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47539188"/>
        <w:docPartObj>
          <w:docPartGallery w:val="Cover Pages"/>
          <w:docPartUnique/>
        </w:docPartObj>
      </w:sdtPr>
      <w:sdtEndPr/>
      <w:sdtContent>
        <w:p w14:paraId="03A9DE78" w14:textId="6D934D82" w:rsidR="00726DCC" w:rsidRPr="006D0240" w:rsidRDefault="006B669A" w:rsidP="006469CC">
          <w:pPr>
            <w:pStyle w:val="ListParagraph"/>
          </w:pPr>
          <w:r w:rsidRPr="006B669A">
            <w:rPr>
              <w:noProof/>
            </w:rPr>
            <w:drawing>
              <wp:anchor distT="0" distB="0" distL="114300" distR="114300" simplePos="0" relativeHeight="251658241" behindDoc="0" locked="0" layoutInCell="1" allowOverlap="1" wp14:anchorId="47117301" wp14:editId="275F3C3A">
                <wp:simplePos x="1362075" y="1323975"/>
                <wp:positionH relativeFrom="margin">
                  <wp:posOffset>3175</wp:posOffset>
                </wp:positionH>
                <wp:positionV relativeFrom="margin">
                  <wp:posOffset>92710</wp:posOffset>
                </wp:positionV>
                <wp:extent cx="1028700" cy="816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816610"/>
                        </a:xfrm>
                        <a:prstGeom prst="rect">
                          <a:avLst/>
                        </a:prstGeom>
                      </pic:spPr>
                    </pic:pic>
                  </a:graphicData>
                </a:graphic>
                <wp14:sizeRelH relativeFrom="margin">
                  <wp14:pctWidth>0</wp14:pctWidth>
                </wp14:sizeRelH>
                <wp14:sizeRelV relativeFrom="margin">
                  <wp14:pctHeight>0</wp14:pctHeight>
                </wp14:sizeRelV>
              </wp:anchor>
            </w:drawing>
          </w:r>
          <w:r w:rsidR="00726DCC">
            <w:rPr>
              <w:noProof/>
            </w:rPr>
            <w:drawing>
              <wp:anchor distT="0" distB="0" distL="114300" distR="114300" simplePos="0" relativeHeight="251658240" behindDoc="1" locked="0" layoutInCell="1" allowOverlap="1" wp14:anchorId="08A6A7B9" wp14:editId="5551CC90">
                <wp:simplePos x="0" y="0"/>
                <wp:positionH relativeFrom="margin">
                  <wp:posOffset>-900430</wp:posOffset>
                </wp:positionH>
                <wp:positionV relativeFrom="page">
                  <wp:posOffset>-20320</wp:posOffset>
                </wp:positionV>
                <wp:extent cx="7570470" cy="10708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84F74" w14:textId="4C3993E0" w:rsidR="00726DCC" w:rsidRPr="006D0240" w:rsidRDefault="00726DCC" w:rsidP="00301755">
          <w:pPr>
            <w:pStyle w:val="Header"/>
            <w:spacing w:after="1200"/>
          </w:pPr>
        </w:p>
        <w:p w14:paraId="190775E6" w14:textId="6DA165A4" w:rsidR="00726DCC" w:rsidRPr="00586605" w:rsidRDefault="00274A7E" w:rsidP="006D445A">
          <w:pPr>
            <w:pStyle w:val="Title"/>
            <w:tabs>
              <w:tab w:val="left" w:pos="6379"/>
            </w:tabs>
            <w:spacing w:after="120" w:line="720" w:lineRule="exact"/>
            <w:ind w:right="2974"/>
          </w:pPr>
          <w:r w:rsidRPr="24BE75EB">
            <w:rPr>
              <w:color w:val="336699" w:themeColor="text2"/>
            </w:rPr>
            <w:t>National Planning Reform Blueprint</w:t>
          </w:r>
          <w:r w:rsidR="00507014">
            <w:br/>
          </w:r>
          <w:r w:rsidRPr="24BE75EB">
            <w:rPr>
              <w:b w:val="0"/>
              <w:sz w:val="48"/>
              <w:szCs w:val="48"/>
            </w:rPr>
            <w:t xml:space="preserve">Tasmania </w:t>
          </w:r>
          <w:r w:rsidR="689570FA" w:rsidRPr="24BE75EB">
            <w:rPr>
              <w:b w:val="0"/>
              <w:sz w:val="48"/>
              <w:szCs w:val="48"/>
            </w:rPr>
            <w:t xml:space="preserve">March 2024 </w:t>
          </w:r>
          <w:r w:rsidRPr="24BE75EB">
            <w:rPr>
              <w:b w:val="0"/>
              <w:sz w:val="48"/>
              <w:szCs w:val="48"/>
            </w:rPr>
            <w:t>progress report</w:t>
          </w:r>
        </w:p>
        <w:p w14:paraId="4E42A776" w14:textId="77777777" w:rsidR="00726DCC" w:rsidRDefault="00726DCC">
          <w:pPr>
            <w:rPr>
              <w:noProof/>
            </w:rPr>
          </w:pPr>
        </w:p>
        <w:p w14:paraId="7A2BA482" w14:textId="2ACBDD65" w:rsidR="00726DCC" w:rsidRDefault="00726DCC">
          <w:pPr>
            <w:spacing w:before="0" w:after="160" w:line="259" w:lineRule="auto"/>
            <w:rPr>
              <w:rFonts w:asciiTheme="majorHAnsi" w:eastAsiaTheme="majorEastAsia" w:hAnsiTheme="majorHAnsi" w:cstheme="majorBidi"/>
              <w:b/>
              <w:spacing w:val="5"/>
              <w:kern w:val="28"/>
              <w:sz w:val="72"/>
              <w:szCs w:val="52"/>
            </w:rPr>
          </w:pPr>
          <w:r>
            <w:br w:type="page"/>
          </w:r>
        </w:p>
      </w:sdtContent>
    </w:sdt>
    <w:p w14:paraId="3E6C36A7" w14:textId="77777777" w:rsidR="002F26A5" w:rsidRPr="002F26A5" w:rsidRDefault="002F26A5" w:rsidP="002F26A5">
      <w:pPr>
        <w:sectPr w:rsidR="002F26A5" w:rsidRPr="002F26A5" w:rsidSect="008D43B4">
          <w:pgSz w:w="11906" w:h="16838" w:code="9"/>
          <w:pgMar w:top="1843" w:right="1418" w:bottom="1418" w:left="1418" w:header="709" w:footer="709" w:gutter="0"/>
          <w:pgNumType w:fmt="lowerRoman" w:start="0"/>
          <w:cols w:space="708"/>
          <w:vAlign w:val="center"/>
          <w:titlePg/>
          <w:docGrid w:linePitch="360"/>
        </w:sectPr>
      </w:pPr>
    </w:p>
    <w:p w14:paraId="295F40FA" w14:textId="51FE1E30" w:rsidR="00B21A39" w:rsidRPr="00B6509C" w:rsidRDefault="00B21A39" w:rsidP="00B21A39">
      <w:pPr>
        <w:spacing w:before="0" w:after="160" w:line="259" w:lineRule="auto"/>
      </w:pPr>
      <w:r w:rsidRPr="00B6509C">
        <w:lastRenderedPageBreak/>
        <w:t xml:space="preserve">© </w:t>
      </w:r>
      <w:r w:rsidR="006B669A" w:rsidRPr="00B6509C">
        <w:t>Tasmanian Government</w:t>
      </w:r>
      <w:r w:rsidRPr="00B6509C">
        <w:t xml:space="preserve"> 2024</w:t>
      </w:r>
    </w:p>
    <w:p w14:paraId="0142817C" w14:textId="1D92ABAD" w:rsidR="00B21A39" w:rsidRPr="00B6509C" w:rsidRDefault="00B21A39" w:rsidP="00B21A39">
      <w:pPr>
        <w:tabs>
          <w:tab w:val="left" w:pos="1650"/>
        </w:tabs>
        <w:rPr>
          <w:rFonts w:cstheme="minorBidi"/>
          <w:sz w:val="24"/>
          <w:szCs w:val="24"/>
        </w:rPr>
      </w:pPr>
      <w:r w:rsidRPr="00B6509C">
        <w:t>This publication is available for your use under a</w:t>
      </w:r>
      <w:r w:rsidRPr="00B6509C">
        <w:rPr>
          <w:rFonts w:cstheme="minorHAnsi"/>
          <w:sz w:val="24"/>
          <w:szCs w:val="24"/>
        </w:rPr>
        <w:t xml:space="preserve"> </w:t>
      </w:r>
      <w:hyperlink r:id="rId10" w:history="1">
        <w:r w:rsidRPr="00B6509C">
          <w:rPr>
            <w:rStyle w:val="Hyperlink"/>
          </w:rPr>
          <w:t>Creative Commons Attribution 3.0 Australia</w:t>
        </w:r>
      </w:hyperlink>
      <w:r w:rsidRPr="00B6509C">
        <w:rPr>
          <w:rFonts w:cstheme="minorHAnsi"/>
          <w:sz w:val="24"/>
          <w:szCs w:val="24"/>
        </w:rPr>
        <w:t xml:space="preserve"> </w:t>
      </w:r>
      <w:r w:rsidRPr="00B6509C">
        <w:t xml:space="preserve">licence, with the exception of the </w:t>
      </w:r>
      <w:r w:rsidR="006B669A" w:rsidRPr="00B6509C">
        <w:t>Tasmanian Government</w:t>
      </w:r>
      <w:r w:rsidRPr="00B6509C">
        <w:t xml:space="preserve"> coat of arms, photographs, images, signatures and where otherwise stated</w:t>
      </w:r>
      <w:r w:rsidR="008940A6">
        <w:t xml:space="preserve">. </w:t>
      </w:r>
      <w:r w:rsidRPr="00B6509C">
        <w:t>The full licence terms are available from</w:t>
      </w:r>
      <w:r w:rsidRPr="00B6509C">
        <w:rPr>
          <w:rFonts w:cstheme="minorHAnsi"/>
          <w:sz w:val="24"/>
          <w:szCs w:val="24"/>
        </w:rPr>
        <w:t xml:space="preserve"> </w:t>
      </w:r>
      <w:hyperlink r:id="rId11" w:history="1">
        <w:r w:rsidRPr="00B6509C">
          <w:rPr>
            <w:rStyle w:val="Hyperlink"/>
          </w:rPr>
          <w:t>http://creativecommons.org/licenses/by/3.0/au/legalcode</w:t>
        </w:r>
      </w:hyperlink>
      <w:r w:rsidRPr="00B6509C">
        <w:rPr>
          <w:rStyle w:val="Hyperlink"/>
        </w:rPr>
        <w:t>.</w:t>
      </w:r>
      <w:r w:rsidRPr="00B6509C">
        <w:rPr>
          <w:sz w:val="24"/>
          <w:szCs w:val="24"/>
        </w:rPr>
        <w:t xml:space="preserve"> </w:t>
      </w:r>
    </w:p>
    <w:p w14:paraId="6F6E310F" w14:textId="77777777" w:rsidR="00B21A39" w:rsidRPr="00B6509C" w:rsidRDefault="00B21A39" w:rsidP="00B21A39">
      <w:pPr>
        <w:pStyle w:val="ChartGraphic"/>
        <w:jc w:val="left"/>
      </w:pPr>
      <w:r w:rsidRPr="00B6509C">
        <w:rPr>
          <w:noProof/>
        </w:rPr>
        <w:drawing>
          <wp:inline distT="0" distB="0" distL="0" distR="0" wp14:anchorId="02CCB4B5" wp14:editId="023D294C">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15D036F" w14:textId="145948FC" w:rsidR="00B21A39" w:rsidRPr="00B6509C" w:rsidRDefault="00B21A39" w:rsidP="00B21A39">
      <w:pPr>
        <w:tabs>
          <w:tab w:val="left" w:pos="1650"/>
        </w:tabs>
      </w:pPr>
      <w:r w:rsidRPr="00B6509C">
        <w:t xml:space="preserve">Use of </w:t>
      </w:r>
      <w:r w:rsidR="006B669A" w:rsidRPr="00B6509C">
        <w:t>Tasmanian Government</w:t>
      </w:r>
      <w:r w:rsidRPr="00B6509C">
        <w:t xml:space="preserve"> material under a</w:t>
      </w:r>
      <w:r w:rsidRPr="00B6509C">
        <w:rPr>
          <w:rFonts w:cstheme="minorHAnsi"/>
          <w:sz w:val="24"/>
          <w:szCs w:val="24"/>
        </w:rPr>
        <w:t xml:space="preserve"> </w:t>
      </w:r>
      <w:hyperlink r:id="rId13" w:history="1">
        <w:r w:rsidRPr="00B6509C">
          <w:rPr>
            <w:rStyle w:val="Hyperlink"/>
          </w:rPr>
          <w:t>Creative Commons Attribution 3.0 Australia</w:t>
        </w:r>
      </w:hyperlink>
      <w:r w:rsidRPr="00B6509C">
        <w:rPr>
          <w:rStyle w:val="Hyperlink"/>
        </w:rPr>
        <w:t xml:space="preserve"> </w:t>
      </w:r>
      <w:r w:rsidRPr="00B6509C">
        <w:t xml:space="preserve">licence requires you to attribute the work (but not in any way that suggests that </w:t>
      </w:r>
      <w:r w:rsidR="006B669A" w:rsidRPr="00B6509C">
        <w:t>the Tasmanian Government</w:t>
      </w:r>
      <w:r w:rsidRPr="00B6509C">
        <w:t xml:space="preserve"> endorses you or your use of the work).</w:t>
      </w:r>
    </w:p>
    <w:p w14:paraId="1859AFCA" w14:textId="0565FD58" w:rsidR="00B21A39" w:rsidRPr="00B6509C" w:rsidRDefault="006B669A" w:rsidP="00B21A39">
      <w:pPr>
        <w:rPr>
          <w:b/>
        </w:rPr>
      </w:pPr>
      <w:r w:rsidRPr="00B6509C">
        <w:rPr>
          <w:b/>
        </w:rPr>
        <w:t>Tasmanian Government</w:t>
      </w:r>
      <w:r w:rsidR="00B21A39" w:rsidRPr="00B6509C">
        <w:rPr>
          <w:b/>
        </w:rPr>
        <w:t xml:space="preserve"> material used ‘as supplied’.</w:t>
      </w:r>
    </w:p>
    <w:p w14:paraId="43B9929A" w14:textId="124DAD5D" w:rsidR="00B21A39" w:rsidRPr="00B6509C" w:rsidRDefault="00B21A39" w:rsidP="00B21A39">
      <w:r w:rsidRPr="00B6509C">
        <w:t xml:space="preserve">Provided you have not modified or transformed </w:t>
      </w:r>
      <w:r w:rsidR="006B669A" w:rsidRPr="00B6509C">
        <w:t>Tasmanian Government</w:t>
      </w:r>
      <w:r w:rsidRPr="00B6509C">
        <w:t xml:space="preserve"> material in any way including, for example, by changing the </w:t>
      </w:r>
      <w:r w:rsidR="007E33C9">
        <w:t>Tasmanian Government</w:t>
      </w:r>
      <w:r w:rsidRPr="00B6509C">
        <w:t xml:space="preserve"> text; calculating percentage changes; graphing or charting data; or deriving new statistics from published </w:t>
      </w:r>
      <w:r w:rsidR="006B669A" w:rsidRPr="00B6509C">
        <w:t>Tasmanian Government</w:t>
      </w:r>
      <w:r w:rsidRPr="00B6509C">
        <w:t xml:space="preserve"> statistics — then </w:t>
      </w:r>
      <w:r w:rsidR="006B669A" w:rsidRPr="00B6509C">
        <w:t>Tasmanian Government</w:t>
      </w:r>
      <w:r w:rsidRPr="00B6509C">
        <w:t xml:space="preserve"> prefers the following attribution: </w:t>
      </w:r>
    </w:p>
    <w:p w14:paraId="4139FCF4" w14:textId="385AC61C" w:rsidR="00B21A39" w:rsidRPr="00B6509C" w:rsidRDefault="00B21A39" w:rsidP="00B21A39">
      <w:pPr>
        <w:ind w:firstLine="720"/>
      </w:pPr>
      <w:r w:rsidRPr="00B6509C">
        <w:rPr>
          <w:i/>
        </w:rPr>
        <w:t xml:space="preserve">Source: </w:t>
      </w:r>
      <w:r w:rsidR="006B669A" w:rsidRPr="00B6509C">
        <w:rPr>
          <w:i/>
        </w:rPr>
        <w:t>Tasmanian Gover</w:t>
      </w:r>
      <w:r w:rsidR="00560AFD">
        <w:rPr>
          <w:i/>
        </w:rPr>
        <w:t>n</w:t>
      </w:r>
      <w:r w:rsidR="006B669A" w:rsidRPr="00B6509C">
        <w:rPr>
          <w:i/>
        </w:rPr>
        <w:t>ment</w:t>
      </w:r>
      <w:r w:rsidRPr="00B6509C">
        <w:t>.</w:t>
      </w:r>
    </w:p>
    <w:p w14:paraId="68AA02C4" w14:textId="77777777" w:rsidR="00B21A39" w:rsidRPr="00B6509C" w:rsidRDefault="00B21A39" w:rsidP="00B21A39">
      <w:r w:rsidRPr="00B6509C">
        <w:rPr>
          <w:b/>
        </w:rPr>
        <w:t>Derivative</w:t>
      </w:r>
      <w:r w:rsidRPr="00B6509C">
        <w:t xml:space="preserve"> </w:t>
      </w:r>
      <w:r w:rsidRPr="00B6509C">
        <w:rPr>
          <w:b/>
        </w:rPr>
        <w:t>material</w:t>
      </w:r>
    </w:p>
    <w:p w14:paraId="5D390925" w14:textId="07E58F02" w:rsidR="00B21A39" w:rsidRPr="00B6509C" w:rsidRDefault="00B21A39" w:rsidP="00B21A39">
      <w:r w:rsidRPr="00B6509C">
        <w:t xml:space="preserve">If you have modified or transformed </w:t>
      </w:r>
      <w:r w:rsidR="004E52C1" w:rsidRPr="00B6509C">
        <w:t>Tasmanian Government</w:t>
      </w:r>
      <w:r w:rsidRPr="00B6509C">
        <w:t xml:space="preserve"> material, or derived new material from those of the </w:t>
      </w:r>
      <w:r w:rsidR="004E52C1" w:rsidRPr="00B6509C">
        <w:t>Tasmanian Government</w:t>
      </w:r>
      <w:r w:rsidRPr="00B6509C">
        <w:t xml:space="preserve"> in any way, then </w:t>
      </w:r>
      <w:r w:rsidR="007E33C9">
        <w:t>the Tasmanian Government</w:t>
      </w:r>
      <w:r w:rsidRPr="00B6509C">
        <w:t xml:space="preserve"> prefers the following attribution: </w:t>
      </w:r>
    </w:p>
    <w:p w14:paraId="7020B884" w14:textId="75C243E9" w:rsidR="00B21A39" w:rsidRPr="00B6509C" w:rsidRDefault="00B21A39" w:rsidP="00B21A39">
      <w:pPr>
        <w:ind w:firstLine="720"/>
      </w:pPr>
      <w:r w:rsidRPr="00B6509C">
        <w:rPr>
          <w:i/>
        </w:rPr>
        <w:t xml:space="preserve">Based on </w:t>
      </w:r>
      <w:r w:rsidR="006B669A" w:rsidRPr="00B6509C">
        <w:rPr>
          <w:i/>
        </w:rPr>
        <w:t>Tasmanian Government</w:t>
      </w:r>
      <w:r w:rsidRPr="00B6509C">
        <w:rPr>
          <w:i/>
        </w:rPr>
        <w:t xml:space="preserve"> data</w:t>
      </w:r>
      <w:r w:rsidRPr="00B6509C">
        <w:t>.</w:t>
      </w:r>
    </w:p>
    <w:p w14:paraId="32538542" w14:textId="57DC8332" w:rsidR="00B21A39" w:rsidRPr="00B6509C" w:rsidRDefault="00B21A39" w:rsidP="00B21A39">
      <w:pPr>
        <w:rPr>
          <w:b/>
        </w:rPr>
      </w:pPr>
      <w:r w:rsidRPr="00B6509C">
        <w:rPr>
          <w:b/>
        </w:rPr>
        <w:t xml:space="preserve">Use of the </w:t>
      </w:r>
      <w:r w:rsidR="006B669A" w:rsidRPr="00B6509C">
        <w:rPr>
          <w:b/>
        </w:rPr>
        <w:t>Tasmanian Government</w:t>
      </w:r>
      <w:r w:rsidRPr="00B6509C">
        <w:rPr>
          <w:b/>
        </w:rPr>
        <w:t xml:space="preserve"> Coat of Arms</w:t>
      </w:r>
    </w:p>
    <w:p w14:paraId="67E22396" w14:textId="77777777" w:rsidR="00B21A39" w:rsidRPr="00B6509C" w:rsidRDefault="00B21A39" w:rsidP="00B21A39">
      <w:r w:rsidRPr="00B6509C">
        <w:t>Enquiries regarding this licence and any other use of this document are welcome at:</w:t>
      </w:r>
    </w:p>
    <w:p w14:paraId="697C21E2" w14:textId="47FEC22A" w:rsidR="00B21A39" w:rsidRPr="00B6509C" w:rsidRDefault="006B669A" w:rsidP="00B21A39">
      <w:pPr>
        <w:ind w:left="720"/>
        <w:rPr>
          <w:rStyle w:val="Hyperlink"/>
          <w:color w:val="000000" w:themeColor="text1"/>
        </w:rPr>
      </w:pPr>
      <w:r w:rsidRPr="00B6509C">
        <w:t>Department of Premier and Cabinet</w:t>
      </w:r>
      <w:r w:rsidR="00B21A39" w:rsidRPr="00B6509C">
        <w:br/>
      </w:r>
      <w:r w:rsidRPr="00B6509C">
        <w:t>GPO Box 123</w:t>
      </w:r>
      <w:r w:rsidRPr="00B6509C">
        <w:br/>
        <w:t>HOBART   TAS   7001</w:t>
      </w:r>
    </w:p>
    <w:p w14:paraId="5DF66DDF" w14:textId="77777777" w:rsidR="000E0B74" w:rsidRDefault="000E0B74" w:rsidP="009E04E4">
      <w:pPr>
        <w:pStyle w:val="Heading1"/>
      </w:pPr>
      <w:bookmarkStart w:id="0" w:name="_Toc164694072"/>
      <w:r w:rsidRPr="009E04E4">
        <w:t>Contents</w:t>
      </w:r>
      <w:bookmarkEnd w:id="0"/>
    </w:p>
    <w:p w14:paraId="4DCE6659" w14:textId="0F423F5E" w:rsidR="0049097A" w:rsidRDefault="000E0B74">
      <w:pPr>
        <w:pStyle w:val="TOC1"/>
        <w:rPr>
          <w:rFonts w:eastAsiaTheme="minorEastAsia" w:cstheme="minorBidi"/>
          <w:b w:val="0"/>
          <w:color w:val="auto"/>
          <w:kern w:val="2"/>
          <w:sz w:val="22"/>
          <w14:ligatures w14:val="standardContextual"/>
        </w:rPr>
      </w:pPr>
      <w:r>
        <w:rPr>
          <w:color w:val="004A7F"/>
        </w:rPr>
        <w:fldChar w:fldCharType="begin"/>
      </w:r>
      <w:r w:rsidRPr="0025652F">
        <w:instrText xml:space="preserve"> TOC \o "1-3" \h \z \u </w:instrText>
      </w:r>
      <w:r>
        <w:rPr>
          <w:color w:val="004A7F"/>
        </w:rPr>
        <w:fldChar w:fldCharType="separate"/>
      </w:r>
      <w:hyperlink w:anchor="_Toc164694072" w:history="1">
        <w:r w:rsidR="0049097A" w:rsidRPr="00AD1461">
          <w:rPr>
            <w:rStyle w:val="Hyperlink"/>
          </w:rPr>
          <w:t>Contents</w:t>
        </w:r>
        <w:r w:rsidR="0049097A">
          <w:rPr>
            <w:webHidden/>
          </w:rPr>
          <w:tab/>
        </w:r>
        <w:r w:rsidR="0049097A">
          <w:rPr>
            <w:webHidden/>
          </w:rPr>
          <w:fldChar w:fldCharType="begin"/>
        </w:r>
        <w:r w:rsidR="0049097A">
          <w:rPr>
            <w:webHidden/>
          </w:rPr>
          <w:instrText xml:space="preserve"> PAGEREF _Toc164694072 \h </w:instrText>
        </w:r>
        <w:r w:rsidR="0049097A">
          <w:rPr>
            <w:webHidden/>
          </w:rPr>
        </w:r>
        <w:r w:rsidR="0049097A">
          <w:rPr>
            <w:webHidden/>
          </w:rPr>
          <w:fldChar w:fldCharType="separate"/>
        </w:r>
        <w:r w:rsidR="0049097A">
          <w:rPr>
            <w:webHidden/>
          </w:rPr>
          <w:t>i</w:t>
        </w:r>
        <w:r w:rsidR="0049097A">
          <w:rPr>
            <w:webHidden/>
          </w:rPr>
          <w:fldChar w:fldCharType="end"/>
        </w:r>
      </w:hyperlink>
    </w:p>
    <w:p w14:paraId="0239546E" w14:textId="6796E4B2" w:rsidR="0049097A" w:rsidRDefault="008C26C6">
      <w:pPr>
        <w:pStyle w:val="TOC1"/>
        <w:rPr>
          <w:rFonts w:eastAsiaTheme="minorEastAsia" w:cstheme="minorBidi"/>
          <w:b w:val="0"/>
          <w:color w:val="auto"/>
          <w:kern w:val="2"/>
          <w:sz w:val="22"/>
          <w14:ligatures w14:val="standardContextual"/>
        </w:rPr>
      </w:pPr>
      <w:hyperlink w:anchor="_Toc164694073" w:history="1">
        <w:r w:rsidR="0049097A" w:rsidRPr="00AD1461">
          <w:rPr>
            <w:rStyle w:val="Hyperlink"/>
            <w:lang w:eastAsia="en-US"/>
          </w:rPr>
          <w:t>Measure 2</w:t>
        </w:r>
        <w:r w:rsidR="005F05B5">
          <w:rPr>
            <w:rStyle w:val="Hyperlink"/>
            <w:lang w:eastAsia="en-US"/>
          </w:rPr>
          <w:t>:</w:t>
        </w:r>
        <w:r w:rsidR="005F05B5" w:rsidRPr="005F05B5">
          <w:t xml:space="preserve"> </w:t>
        </w:r>
        <w:r w:rsidR="005F05B5" w:rsidRPr="005F05B5">
          <w:rPr>
            <w:rStyle w:val="Hyperlink"/>
            <w:lang w:eastAsia="en-US"/>
          </w:rPr>
          <w:t>Strategic plans and housing supply targets</w:t>
        </w:r>
        <w:r w:rsidR="0049097A">
          <w:rPr>
            <w:webHidden/>
          </w:rPr>
          <w:tab/>
        </w:r>
        <w:r w:rsidR="0049097A">
          <w:rPr>
            <w:webHidden/>
          </w:rPr>
          <w:fldChar w:fldCharType="begin"/>
        </w:r>
        <w:r w:rsidR="0049097A">
          <w:rPr>
            <w:webHidden/>
          </w:rPr>
          <w:instrText xml:space="preserve"> PAGEREF _Toc164694073 \h </w:instrText>
        </w:r>
        <w:r w:rsidR="0049097A">
          <w:rPr>
            <w:webHidden/>
          </w:rPr>
        </w:r>
        <w:r w:rsidR="0049097A">
          <w:rPr>
            <w:webHidden/>
          </w:rPr>
          <w:fldChar w:fldCharType="separate"/>
        </w:r>
        <w:r w:rsidR="0049097A">
          <w:rPr>
            <w:webHidden/>
          </w:rPr>
          <w:t>1</w:t>
        </w:r>
        <w:r w:rsidR="0049097A">
          <w:rPr>
            <w:webHidden/>
          </w:rPr>
          <w:fldChar w:fldCharType="end"/>
        </w:r>
      </w:hyperlink>
    </w:p>
    <w:p w14:paraId="6C68A93E" w14:textId="727B9801" w:rsidR="0049097A" w:rsidRDefault="008C26C6">
      <w:pPr>
        <w:pStyle w:val="TOC1"/>
        <w:rPr>
          <w:rFonts w:eastAsiaTheme="minorEastAsia" w:cstheme="minorBidi"/>
          <w:b w:val="0"/>
          <w:color w:val="auto"/>
          <w:kern w:val="2"/>
          <w:sz w:val="22"/>
          <w14:ligatures w14:val="standardContextual"/>
        </w:rPr>
      </w:pPr>
      <w:hyperlink w:anchor="_Toc164694074" w:history="1">
        <w:r w:rsidR="0049097A" w:rsidRPr="00AD1461">
          <w:rPr>
            <w:rStyle w:val="Hyperlink"/>
            <w:lang w:eastAsia="en-US"/>
          </w:rPr>
          <w:t>Measure 3</w:t>
        </w:r>
        <w:r w:rsidR="00F83F1F">
          <w:rPr>
            <w:rStyle w:val="Hyperlink"/>
            <w:lang w:eastAsia="en-US"/>
          </w:rPr>
          <w:t xml:space="preserve">: </w:t>
        </w:r>
        <w:r w:rsidR="00F83F1F" w:rsidRPr="00F83F1F">
          <w:rPr>
            <w:rStyle w:val="Hyperlink"/>
            <w:lang w:eastAsia="en-US"/>
          </w:rPr>
          <w:t>Zoning, planning, land release and other reforms</w:t>
        </w:r>
        <w:r w:rsidR="007F7BFA">
          <w:rPr>
            <w:rStyle w:val="Hyperlink"/>
            <w:lang w:eastAsia="en-US"/>
          </w:rPr>
          <w:t xml:space="preserve"> </w:t>
        </w:r>
        <w:r w:rsidR="0049097A">
          <w:rPr>
            <w:webHidden/>
          </w:rPr>
          <w:tab/>
        </w:r>
        <w:r w:rsidR="0049097A">
          <w:rPr>
            <w:webHidden/>
          </w:rPr>
          <w:fldChar w:fldCharType="begin"/>
        </w:r>
        <w:r w:rsidR="0049097A">
          <w:rPr>
            <w:webHidden/>
          </w:rPr>
          <w:instrText xml:space="preserve"> PAGEREF _Toc164694074 \h </w:instrText>
        </w:r>
        <w:r w:rsidR="0049097A">
          <w:rPr>
            <w:webHidden/>
          </w:rPr>
        </w:r>
        <w:r w:rsidR="0049097A">
          <w:rPr>
            <w:webHidden/>
          </w:rPr>
          <w:fldChar w:fldCharType="separate"/>
        </w:r>
        <w:r w:rsidR="0049097A">
          <w:rPr>
            <w:webHidden/>
          </w:rPr>
          <w:t>2</w:t>
        </w:r>
        <w:r w:rsidR="0049097A">
          <w:rPr>
            <w:webHidden/>
          </w:rPr>
          <w:fldChar w:fldCharType="end"/>
        </w:r>
      </w:hyperlink>
    </w:p>
    <w:p w14:paraId="0631B2F4" w14:textId="5E16B977" w:rsidR="0049097A" w:rsidRDefault="008C26C6">
      <w:pPr>
        <w:pStyle w:val="TOC2"/>
        <w:rPr>
          <w:rFonts w:eastAsiaTheme="minorEastAsia" w:cstheme="minorBidi"/>
          <w:color w:val="auto"/>
          <w:kern w:val="2"/>
          <w:szCs w:val="22"/>
          <w14:ligatures w14:val="standardContextual"/>
        </w:rPr>
      </w:pPr>
      <w:hyperlink w:anchor="_Toc164694075" w:history="1">
        <w:r w:rsidR="0049097A" w:rsidRPr="00AD1461">
          <w:rPr>
            <w:rStyle w:val="Hyperlink"/>
          </w:rPr>
          <w:t>Summary of planning, zoning and land release reforms</w:t>
        </w:r>
        <w:r w:rsidR="0049097A">
          <w:rPr>
            <w:webHidden/>
          </w:rPr>
          <w:tab/>
        </w:r>
        <w:r w:rsidR="0049097A">
          <w:rPr>
            <w:webHidden/>
          </w:rPr>
          <w:fldChar w:fldCharType="begin"/>
        </w:r>
        <w:r w:rsidR="0049097A">
          <w:rPr>
            <w:webHidden/>
          </w:rPr>
          <w:instrText xml:space="preserve"> PAGEREF _Toc164694075 \h </w:instrText>
        </w:r>
        <w:r w:rsidR="0049097A">
          <w:rPr>
            <w:webHidden/>
          </w:rPr>
        </w:r>
        <w:r w:rsidR="0049097A">
          <w:rPr>
            <w:webHidden/>
          </w:rPr>
          <w:fldChar w:fldCharType="separate"/>
        </w:r>
        <w:r w:rsidR="0049097A">
          <w:rPr>
            <w:webHidden/>
          </w:rPr>
          <w:t>2</w:t>
        </w:r>
        <w:r w:rsidR="0049097A">
          <w:rPr>
            <w:webHidden/>
          </w:rPr>
          <w:fldChar w:fldCharType="end"/>
        </w:r>
      </w:hyperlink>
    </w:p>
    <w:p w14:paraId="3BAAF5C2" w14:textId="5B3ABABD" w:rsidR="0049097A" w:rsidRDefault="008C26C6">
      <w:pPr>
        <w:pStyle w:val="TOC1"/>
        <w:rPr>
          <w:rFonts w:eastAsiaTheme="minorEastAsia" w:cstheme="minorBidi"/>
          <w:b w:val="0"/>
          <w:color w:val="auto"/>
          <w:kern w:val="2"/>
          <w:sz w:val="22"/>
          <w14:ligatures w14:val="standardContextual"/>
        </w:rPr>
      </w:pPr>
      <w:hyperlink w:anchor="_Toc164694076" w:history="1">
        <w:r w:rsidR="0049097A" w:rsidRPr="00AD1461">
          <w:rPr>
            <w:rStyle w:val="Hyperlink"/>
            <w:lang w:eastAsia="en-US"/>
          </w:rPr>
          <w:t>Measure 4</w:t>
        </w:r>
        <w:r w:rsidR="007F7BFA" w:rsidRPr="007F7BFA">
          <w:rPr>
            <w:rStyle w:val="Hyperlink"/>
            <w:lang w:eastAsia="en-US"/>
          </w:rPr>
          <w:t>: Development ready land</w:t>
        </w:r>
        <w:r w:rsidR="007F7BFA">
          <w:rPr>
            <w:rStyle w:val="Hyperlink"/>
            <w:lang w:eastAsia="en-US"/>
          </w:rPr>
          <w:t xml:space="preserve"> </w:t>
        </w:r>
        <w:r w:rsidR="0049097A">
          <w:rPr>
            <w:webHidden/>
          </w:rPr>
          <w:tab/>
        </w:r>
        <w:r w:rsidR="0049097A">
          <w:rPr>
            <w:webHidden/>
          </w:rPr>
          <w:fldChar w:fldCharType="begin"/>
        </w:r>
        <w:r w:rsidR="0049097A">
          <w:rPr>
            <w:webHidden/>
          </w:rPr>
          <w:instrText xml:space="preserve"> PAGEREF _Toc164694076 \h </w:instrText>
        </w:r>
        <w:r w:rsidR="0049097A">
          <w:rPr>
            <w:webHidden/>
          </w:rPr>
        </w:r>
        <w:r w:rsidR="0049097A">
          <w:rPr>
            <w:webHidden/>
          </w:rPr>
          <w:fldChar w:fldCharType="separate"/>
        </w:r>
        <w:r w:rsidR="0049097A">
          <w:rPr>
            <w:webHidden/>
          </w:rPr>
          <w:t>4</w:t>
        </w:r>
        <w:r w:rsidR="0049097A">
          <w:rPr>
            <w:webHidden/>
          </w:rPr>
          <w:fldChar w:fldCharType="end"/>
        </w:r>
      </w:hyperlink>
    </w:p>
    <w:p w14:paraId="28A2F961" w14:textId="26176AFD" w:rsidR="0049097A" w:rsidRDefault="008C26C6">
      <w:pPr>
        <w:pStyle w:val="TOC2"/>
        <w:rPr>
          <w:rFonts w:eastAsiaTheme="minorEastAsia" w:cstheme="minorBidi"/>
          <w:color w:val="auto"/>
          <w:kern w:val="2"/>
          <w:szCs w:val="22"/>
          <w14:ligatures w14:val="standardContextual"/>
        </w:rPr>
      </w:pPr>
      <w:hyperlink w:anchor="_Toc164694077" w:history="1">
        <w:r w:rsidR="0049097A" w:rsidRPr="00AD1461">
          <w:rPr>
            <w:rStyle w:val="Hyperlink"/>
          </w:rPr>
          <w:t>Key findings from a development ready land stocktake</w:t>
        </w:r>
        <w:r w:rsidR="0049097A">
          <w:rPr>
            <w:webHidden/>
          </w:rPr>
          <w:tab/>
        </w:r>
        <w:r w:rsidR="0049097A">
          <w:rPr>
            <w:webHidden/>
          </w:rPr>
          <w:fldChar w:fldCharType="begin"/>
        </w:r>
        <w:r w:rsidR="0049097A">
          <w:rPr>
            <w:webHidden/>
          </w:rPr>
          <w:instrText xml:space="preserve"> PAGEREF _Toc164694077 \h </w:instrText>
        </w:r>
        <w:r w:rsidR="0049097A">
          <w:rPr>
            <w:webHidden/>
          </w:rPr>
        </w:r>
        <w:r w:rsidR="0049097A">
          <w:rPr>
            <w:webHidden/>
          </w:rPr>
          <w:fldChar w:fldCharType="separate"/>
        </w:r>
        <w:r w:rsidR="0049097A">
          <w:rPr>
            <w:webHidden/>
          </w:rPr>
          <w:t>4</w:t>
        </w:r>
        <w:r w:rsidR="0049097A">
          <w:rPr>
            <w:webHidden/>
          </w:rPr>
          <w:fldChar w:fldCharType="end"/>
        </w:r>
      </w:hyperlink>
    </w:p>
    <w:p w14:paraId="0F45D948" w14:textId="3815F80B" w:rsidR="0049097A" w:rsidRDefault="008C26C6">
      <w:pPr>
        <w:pStyle w:val="TOC1"/>
        <w:rPr>
          <w:rFonts w:eastAsiaTheme="minorEastAsia" w:cstheme="minorBidi"/>
          <w:b w:val="0"/>
          <w:color w:val="auto"/>
          <w:kern w:val="2"/>
          <w:sz w:val="22"/>
          <w14:ligatures w14:val="standardContextual"/>
        </w:rPr>
      </w:pPr>
      <w:hyperlink w:anchor="_Toc164694078" w:history="1">
        <w:r w:rsidR="0049097A" w:rsidRPr="00AD1461">
          <w:rPr>
            <w:rStyle w:val="Hyperlink"/>
            <w:lang w:eastAsia="en-US"/>
          </w:rPr>
          <w:t>Measure 5</w:t>
        </w:r>
        <w:r w:rsidR="009310F3" w:rsidRPr="009310F3">
          <w:rPr>
            <w:rStyle w:val="Hyperlink"/>
            <w:lang w:eastAsia="en-US"/>
          </w:rPr>
          <w:t>: Promoting dense, diverse housing</w:t>
        </w:r>
        <w:r w:rsidR="009310F3">
          <w:rPr>
            <w:rStyle w:val="Hyperlink"/>
            <w:lang w:eastAsia="en-US"/>
          </w:rPr>
          <w:t xml:space="preserve"> </w:t>
        </w:r>
        <w:r w:rsidR="0049097A">
          <w:rPr>
            <w:webHidden/>
          </w:rPr>
          <w:tab/>
        </w:r>
        <w:r w:rsidR="0049097A">
          <w:rPr>
            <w:webHidden/>
          </w:rPr>
          <w:fldChar w:fldCharType="begin"/>
        </w:r>
        <w:r w:rsidR="0049097A">
          <w:rPr>
            <w:webHidden/>
          </w:rPr>
          <w:instrText xml:space="preserve"> PAGEREF _Toc164694078 \h </w:instrText>
        </w:r>
        <w:r w:rsidR="0049097A">
          <w:rPr>
            <w:webHidden/>
          </w:rPr>
        </w:r>
        <w:r w:rsidR="0049097A">
          <w:rPr>
            <w:webHidden/>
          </w:rPr>
          <w:fldChar w:fldCharType="separate"/>
        </w:r>
        <w:r w:rsidR="0049097A">
          <w:rPr>
            <w:webHidden/>
          </w:rPr>
          <w:t>5</w:t>
        </w:r>
        <w:r w:rsidR="0049097A">
          <w:rPr>
            <w:webHidden/>
          </w:rPr>
          <w:fldChar w:fldCharType="end"/>
        </w:r>
      </w:hyperlink>
    </w:p>
    <w:p w14:paraId="05AD46DF" w14:textId="778D0D61" w:rsidR="0049097A" w:rsidRDefault="008C26C6">
      <w:pPr>
        <w:pStyle w:val="TOC2"/>
        <w:rPr>
          <w:rFonts w:eastAsiaTheme="minorEastAsia" w:cstheme="minorBidi"/>
          <w:color w:val="auto"/>
          <w:kern w:val="2"/>
          <w:szCs w:val="22"/>
          <w14:ligatures w14:val="standardContextual"/>
        </w:rPr>
      </w:pPr>
      <w:hyperlink w:anchor="_Toc164694079" w:history="1">
        <w:r w:rsidR="0049097A" w:rsidRPr="00AD1461">
          <w:rPr>
            <w:rStyle w:val="Hyperlink"/>
          </w:rPr>
          <w:t>Zoning, planning and other amendments to support dense, well located housing</w:t>
        </w:r>
        <w:r w:rsidR="0049097A">
          <w:rPr>
            <w:webHidden/>
          </w:rPr>
          <w:tab/>
        </w:r>
        <w:r w:rsidR="0049097A">
          <w:rPr>
            <w:webHidden/>
          </w:rPr>
          <w:fldChar w:fldCharType="begin"/>
        </w:r>
        <w:r w:rsidR="0049097A">
          <w:rPr>
            <w:webHidden/>
          </w:rPr>
          <w:instrText xml:space="preserve"> PAGEREF _Toc164694079 \h </w:instrText>
        </w:r>
        <w:r w:rsidR="0049097A">
          <w:rPr>
            <w:webHidden/>
          </w:rPr>
        </w:r>
        <w:r w:rsidR="0049097A">
          <w:rPr>
            <w:webHidden/>
          </w:rPr>
          <w:fldChar w:fldCharType="separate"/>
        </w:r>
        <w:r w:rsidR="0049097A">
          <w:rPr>
            <w:webHidden/>
          </w:rPr>
          <w:t>5</w:t>
        </w:r>
        <w:r w:rsidR="0049097A">
          <w:rPr>
            <w:webHidden/>
          </w:rPr>
          <w:fldChar w:fldCharType="end"/>
        </w:r>
      </w:hyperlink>
    </w:p>
    <w:p w14:paraId="638496D3" w14:textId="119FCA2B" w:rsidR="0049097A" w:rsidRDefault="008C26C6">
      <w:pPr>
        <w:pStyle w:val="TOC2"/>
        <w:rPr>
          <w:rFonts w:eastAsiaTheme="minorEastAsia" w:cstheme="minorBidi"/>
          <w:color w:val="auto"/>
          <w:kern w:val="2"/>
          <w:szCs w:val="22"/>
          <w14:ligatures w14:val="standardContextual"/>
        </w:rPr>
      </w:pPr>
      <w:hyperlink w:anchor="_Toc164694080" w:history="1">
        <w:r w:rsidR="0049097A" w:rsidRPr="00AD1461">
          <w:rPr>
            <w:rStyle w:val="Hyperlink"/>
          </w:rPr>
          <w:t>Reforms to non-planning barriers preventing a diversity of housing</w:t>
        </w:r>
        <w:r w:rsidR="0049097A">
          <w:rPr>
            <w:webHidden/>
          </w:rPr>
          <w:tab/>
        </w:r>
        <w:r w:rsidR="0049097A">
          <w:rPr>
            <w:webHidden/>
          </w:rPr>
          <w:fldChar w:fldCharType="begin"/>
        </w:r>
        <w:r w:rsidR="0049097A">
          <w:rPr>
            <w:webHidden/>
          </w:rPr>
          <w:instrText xml:space="preserve"> PAGEREF _Toc164694080 \h </w:instrText>
        </w:r>
        <w:r w:rsidR="0049097A">
          <w:rPr>
            <w:webHidden/>
          </w:rPr>
        </w:r>
        <w:r w:rsidR="0049097A">
          <w:rPr>
            <w:webHidden/>
          </w:rPr>
          <w:fldChar w:fldCharType="separate"/>
        </w:r>
        <w:r w:rsidR="0049097A">
          <w:rPr>
            <w:webHidden/>
          </w:rPr>
          <w:t>6</w:t>
        </w:r>
        <w:r w:rsidR="0049097A">
          <w:rPr>
            <w:webHidden/>
          </w:rPr>
          <w:fldChar w:fldCharType="end"/>
        </w:r>
      </w:hyperlink>
    </w:p>
    <w:p w14:paraId="709B173B" w14:textId="51AA696D" w:rsidR="0049097A" w:rsidRDefault="008C26C6">
      <w:pPr>
        <w:pStyle w:val="TOC3"/>
        <w:rPr>
          <w:rFonts w:eastAsiaTheme="minorEastAsia" w:cstheme="minorBidi"/>
          <w:color w:val="auto"/>
          <w:kern w:val="2"/>
          <w:szCs w:val="22"/>
          <w14:ligatures w14:val="standardContextual"/>
        </w:rPr>
      </w:pPr>
      <w:hyperlink w:anchor="_Toc164694081" w:history="1">
        <w:r w:rsidR="0049097A" w:rsidRPr="00AD1461">
          <w:rPr>
            <w:rStyle w:val="Hyperlink"/>
          </w:rPr>
          <w:t>Expected impact</w:t>
        </w:r>
        <w:r w:rsidR="0049097A">
          <w:rPr>
            <w:webHidden/>
          </w:rPr>
          <w:tab/>
        </w:r>
        <w:r w:rsidR="0049097A">
          <w:rPr>
            <w:webHidden/>
          </w:rPr>
          <w:fldChar w:fldCharType="begin"/>
        </w:r>
        <w:r w:rsidR="0049097A">
          <w:rPr>
            <w:webHidden/>
          </w:rPr>
          <w:instrText xml:space="preserve"> PAGEREF _Toc164694081 \h </w:instrText>
        </w:r>
        <w:r w:rsidR="0049097A">
          <w:rPr>
            <w:webHidden/>
          </w:rPr>
        </w:r>
        <w:r w:rsidR="0049097A">
          <w:rPr>
            <w:webHidden/>
          </w:rPr>
          <w:fldChar w:fldCharType="separate"/>
        </w:r>
        <w:r w:rsidR="0049097A">
          <w:rPr>
            <w:webHidden/>
          </w:rPr>
          <w:t>7</w:t>
        </w:r>
        <w:r w:rsidR="0049097A">
          <w:rPr>
            <w:webHidden/>
          </w:rPr>
          <w:fldChar w:fldCharType="end"/>
        </w:r>
      </w:hyperlink>
    </w:p>
    <w:p w14:paraId="08D738EF" w14:textId="5E2A2892" w:rsidR="0049097A" w:rsidRDefault="008C26C6">
      <w:pPr>
        <w:pStyle w:val="TOC1"/>
        <w:rPr>
          <w:rFonts w:eastAsiaTheme="minorEastAsia" w:cstheme="minorBidi"/>
          <w:b w:val="0"/>
          <w:color w:val="auto"/>
          <w:kern w:val="2"/>
          <w:sz w:val="22"/>
          <w14:ligatures w14:val="standardContextual"/>
        </w:rPr>
      </w:pPr>
      <w:hyperlink w:anchor="_Toc164694082" w:history="1">
        <w:r w:rsidR="0049097A" w:rsidRPr="00AD1461">
          <w:rPr>
            <w:rStyle w:val="Hyperlink"/>
            <w:lang w:eastAsia="en-US"/>
          </w:rPr>
          <w:t>Measure 6</w:t>
        </w:r>
        <w:r w:rsidR="00796DE5" w:rsidRPr="00796DE5">
          <w:rPr>
            <w:rStyle w:val="Hyperlink"/>
            <w:lang w:eastAsia="en-US"/>
          </w:rPr>
          <w:t>: Accelerated development and approval pathways</w:t>
        </w:r>
        <w:r w:rsidR="0049097A">
          <w:rPr>
            <w:webHidden/>
          </w:rPr>
          <w:tab/>
        </w:r>
        <w:r w:rsidR="0049097A">
          <w:rPr>
            <w:webHidden/>
          </w:rPr>
          <w:fldChar w:fldCharType="begin"/>
        </w:r>
        <w:r w:rsidR="0049097A">
          <w:rPr>
            <w:webHidden/>
          </w:rPr>
          <w:instrText xml:space="preserve"> PAGEREF _Toc164694082 \h </w:instrText>
        </w:r>
        <w:r w:rsidR="0049097A">
          <w:rPr>
            <w:webHidden/>
          </w:rPr>
        </w:r>
        <w:r w:rsidR="0049097A">
          <w:rPr>
            <w:webHidden/>
          </w:rPr>
          <w:fldChar w:fldCharType="separate"/>
        </w:r>
        <w:r w:rsidR="0049097A">
          <w:rPr>
            <w:webHidden/>
          </w:rPr>
          <w:t>8</w:t>
        </w:r>
        <w:r w:rsidR="0049097A">
          <w:rPr>
            <w:webHidden/>
          </w:rPr>
          <w:fldChar w:fldCharType="end"/>
        </w:r>
      </w:hyperlink>
    </w:p>
    <w:p w14:paraId="43AFDE19" w14:textId="1827545F" w:rsidR="0049097A" w:rsidRDefault="008C26C6">
      <w:pPr>
        <w:pStyle w:val="TOC2"/>
        <w:rPr>
          <w:rFonts w:eastAsiaTheme="minorEastAsia" w:cstheme="minorBidi"/>
          <w:color w:val="auto"/>
          <w:kern w:val="2"/>
          <w:szCs w:val="22"/>
          <w14:ligatures w14:val="standardContextual"/>
        </w:rPr>
      </w:pPr>
      <w:hyperlink w:anchor="_Toc164694083" w:history="1">
        <w:r w:rsidR="0049097A" w:rsidRPr="00AD1461">
          <w:rPr>
            <w:rStyle w:val="Hyperlink"/>
          </w:rPr>
          <w:t>Reforms to development approval pathways</w:t>
        </w:r>
        <w:r w:rsidR="0049097A">
          <w:rPr>
            <w:webHidden/>
          </w:rPr>
          <w:tab/>
        </w:r>
        <w:r w:rsidR="0049097A">
          <w:rPr>
            <w:webHidden/>
          </w:rPr>
          <w:fldChar w:fldCharType="begin"/>
        </w:r>
        <w:r w:rsidR="0049097A">
          <w:rPr>
            <w:webHidden/>
          </w:rPr>
          <w:instrText xml:space="preserve"> PAGEREF _Toc164694083 \h </w:instrText>
        </w:r>
        <w:r w:rsidR="0049097A">
          <w:rPr>
            <w:webHidden/>
          </w:rPr>
        </w:r>
        <w:r w:rsidR="0049097A">
          <w:rPr>
            <w:webHidden/>
          </w:rPr>
          <w:fldChar w:fldCharType="separate"/>
        </w:r>
        <w:r w:rsidR="0049097A">
          <w:rPr>
            <w:webHidden/>
          </w:rPr>
          <w:t>8</w:t>
        </w:r>
        <w:r w:rsidR="0049097A">
          <w:rPr>
            <w:webHidden/>
          </w:rPr>
          <w:fldChar w:fldCharType="end"/>
        </w:r>
      </w:hyperlink>
    </w:p>
    <w:p w14:paraId="4CE8448A" w14:textId="3AFBFE69" w:rsidR="0049097A" w:rsidRDefault="008C26C6">
      <w:pPr>
        <w:pStyle w:val="TOC2"/>
        <w:rPr>
          <w:rFonts w:eastAsiaTheme="minorEastAsia" w:cstheme="minorBidi"/>
          <w:color w:val="auto"/>
          <w:kern w:val="2"/>
          <w:szCs w:val="22"/>
          <w14:ligatures w14:val="standardContextual"/>
        </w:rPr>
      </w:pPr>
      <w:hyperlink w:anchor="_Toc164694084" w:history="1">
        <w:r w:rsidR="0049097A" w:rsidRPr="00AD1461">
          <w:rPr>
            <w:rStyle w:val="Hyperlink"/>
          </w:rPr>
          <w:t>Existing development approvals which have not been acted upon, and barriers to delivering approved housing</w:t>
        </w:r>
        <w:r w:rsidR="0049097A">
          <w:rPr>
            <w:webHidden/>
          </w:rPr>
          <w:tab/>
        </w:r>
        <w:r w:rsidR="0049097A">
          <w:rPr>
            <w:webHidden/>
          </w:rPr>
          <w:fldChar w:fldCharType="begin"/>
        </w:r>
        <w:r w:rsidR="0049097A">
          <w:rPr>
            <w:webHidden/>
          </w:rPr>
          <w:instrText xml:space="preserve"> PAGEREF _Toc164694084 \h </w:instrText>
        </w:r>
        <w:r w:rsidR="0049097A">
          <w:rPr>
            <w:webHidden/>
          </w:rPr>
        </w:r>
        <w:r w:rsidR="0049097A">
          <w:rPr>
            <w:webHidden/>
          </w:rPr>
          <w:fldChar w:fldCharType="separate"/>
        </w:r>
        <w:r w:rsidR="0049097A">
          <w:rPr>
            <w:webHidden/>
          </w:rPr>
          <w:t>8</w:t>
        </w:r>
        <w:r w:rsidR="0049097A">
          <w:rPr>
            <w:webHidden/>
          </w:rPr>
          <w:fldChar w:fldCharType="end"/>
        </w:r>
      </w:hyperlink>
    </w:p>
    <w:p w14:paraId="059A4BB6" w14:textId="3B9DE911" w:rsidR="0049097A" w:rsidRDefault="008C26C6">
      <w:pPr>
        <w:pStyle w:val="TOC2"/>
        <w:rPr>
          <w:rFonts w:eastAsiaTheme="minorEastAsia" w:cstheme="minorBidi"/>
          <w:color w:val="auto"/>
          <w:kern w:val="2"/>
          <w:szCs w:val="22"/>
          <w14:ligatures w14:val="standardContextual"/>
        </w:rPr>
      </w:pPr>
      <w:hyperlink w:anchor="_Toc164694085" w:history="1">
        <w:r w:rsidR="0049097A" w:rsidRPr="00AD1461">
          <w:rPr>
            <w:rStyle w:val="Hyperlink"/>
          </w:rPr>
          <w:t>Reforms to social and affordable housing approval pathways</w:t>
        </w:r>
        <w:r w:rsidR="0049097A">
          <w:rPr>
            <w:webHidden/>
          </w:rPr>
          <w:tab/>
        </w:r>
        <w:r w:rsidR="0049097A">
          <w:rPr>
            <w:webHidden/>
          </w:rPr>
          <w:fldChar w:fldCharType="begin"/>
        </w:r>
        <w:r w:rsidR="0049097A">
          <w:rPr>
            <w:webHidden/>
          </w:rPr>
          <w:instrText xml:space="preserve"> PAGEREF _Toc164694085 \h </w:instrText>
        </w:r>
        <w:r w:rsidR="0049097A">
          <w:rPr>
            <w:webHidden/>
          </w:rPr>
        </w:r>
        <w:r w:rsidR="0049097A">
          <w:rPr>
            <w:webHidden/>
          </w:rPr>
          <w:fldChar w:fldCharType="separate"/>
        </w:r>
        <w:r w:rsidR="0049097A">
          <w:rPr>
            <w:webHidden/>
          </w:rPr>
          <w:t>8</w:t>
        </w:r>
        <w:r w:rsidR="0049097A">
          <w:rPr>
            <w:webHidden/>
          </w:rPr>
          <w:fldChar w:fldCharType="end"/>
        </w:r>
      </w:hyperlink>
    </w:p>
    <w:p w14:paraId="0B5735F9" w14:textId="255E56B1" w:rsidR="0049097A" w:rsidRDefault="008C26C6">
      <w:pPr>
        <w:pStyle w:val="TOC2"/>
        <w:rPr>
          <w:rFonts w:eastAsiaTheme="minorEastAsia" w:cstheme="minorBidi"/>
          <w:color w:val="auto"/>
          <w:kern w:val="2"/>
          <w:szCs w:val="22"/>
          <w14:ligatures w14:val="standardContextual"/>
        </w:rPr>
      </w:pPr>
      <w:hyperlink w:anchor="_Toc164694086" w:history="1">
        <w:r w:rsidR="0049097A" w:rsidRPr="00AD1461">
          <w:rPr>
            <w:rStyle w:val="Hyperlink"/>
          </w:rPr>
          <w:t>Barriers to the timely issuing of development approvals, and reforms to address them</w:t>
        </w:r>
        <w:r w:rsidR="0049097A">
          <w:rPr>
            <w:webHidden/>
          </w:rPr>
          <w:tab/>
        </w:r>
        <w:r w:rsidR="0049097A">
          <w:rPr>
            <w:webHidden/>
          </w:rPr>
          <w:fldChar w:fldCharType="begin"/>
        </w:r>
        <w:r w:rsidR="0049097A">
          <w:rPr>
            <w:webHidden/>
          </w:rPr>
          <w:instrText xml:space="preserve"> PAGEREF _Toc164694086 \h </w:instrText>
        </w:r>
        <w:r w:rsidR="0049097A">
          <w:rPr>
            <w:webHidden/>
          </w:rPr>
        </w:r>
        <w:r w:rsidR="0049097A">
          <w:rPr>
            <w:webHidden/>
          </w:rPr>
          <w:fldChar w:fldCharType="separate"/>
        </w:r>
        <w:r w:rsidR="0049097A">
          <w:rPr>
            <w:webHidden/>
          </w:rPr>
          <w:t>9</w:t>
        </w:r>
        <w:r w:rsidR="0049097A">
          <w:rPr>
            <w:webHidden/>
          </w:rPr>
          <w:fldChar w:fldCharType="end"/>
        </w:r>
      </w:hyperlink>
    </w:p>
    <w:p w14:paraId="2BBE556B" w14:textId="4D505473" w:rsidR="0049097A" w:rsidRDefault="008C26C6">
      <w:pPr>
        <w:pStyle w:val="TOC2"/>
        <w:rPr>
          <w:rFonts w:eastAsiaTheme="minorEastAsia" w:cstheme="minorBidi"/>
          <w:color w:val="auto"/>
          <w:kern w:val="2"/>
          <w:szCs w:val="22"/>
          <w14:ligatures w14:val="standardContextual"/>
        </w:rPr>
      </w:pPr>
      <w:hyperlink w:anchor="_Toc164694087" w:history="1">
        <w:r w:rsidR="0049097A" w:rsidRPr="00AD1461">
          <w:rPr>
            <w:rStyle w:val="Hyperlink"/>
          </w:rPr>
          <w:t>Initiatives to share planning data and improve visibility of factors affecting housing delivery</w:t>
        </w:r>
        <w:r w:rsidR="0049097A">
          <w:rPr>
            <w:webHidden/>
          </w:rPr>
          <w:tab/>
        </w:r>
        <w:r w:rsidR="0049097A">
          <w:rPr>
            <w:webHidden/>
          </w:rPr>
          <w:fldChar w:fldCharType="begin"/>
        </w:r>
        <w:r w:rsidR="0049097A">
          <w:rPr>
            <w:webHidden/>
          </w:rPr>
          <w:instrText xml:space="preserve"> PAGEREF _Toc164694087 \h </w:instrText>
        </w:r>
        <w:r w:rsidR="0049097A">
          <w:rPr>
            <w:webHidden/>
          </w:rPr>
        </w:r>
        <w:r w:rsidR="0049097A">
          <w:rPr>
            <w:webHidden/>
          </w:rPr>
          <w:fldChar w:fldCharType="separate"/>
        </w:r>
        <w:r w:rsidR="0049097A">
          <w:rPr>
            <w:webHidden/>
          </w:rPr>
          <w:t>9</w:t>
        </w:r>
        <w:r w:rsidR="0049097A">
          <w:rPr>
            <w:webHidden/>
          </w:rPr>
          <w:fldChar w:fldCharType="end"/>
        </w:r>
      </w:hyperlink>
    </w:p>
    <w:p w14:paraId="3FDFBA0B" w14:textId="6B741358" w:rsidR="0049097A" w:rsidRDefault="008C26C6">
      <w:pPr>
        <w:pStyle w:val="TOC2"/>
        <w:rPr>
          <w:rFonts w:eastAsiaTheme="minorEastAsia" w:cstheme="minorBidi"/>
          <w:color w:val="auto"/>
          <w:kern w:val="2"/>
          <w:szCs w:val="22"/>
          <w14:ligatures w14:val="standardContextual"/>
        </w:rPr>
      </w:pPr>
      <w:hyperlink w:anchor="_Toc164694088" w:history="1">
        <w:r w:rsidR="0049097A" w:rsidRPr="00AD1461">
          <w:rPr>
            <w:rStyle w:val="Hyperlink"/>
          </w:rPr>
          <w:t>Planning and inclusionary zoning reforms to support permanent affordable, social and other specialist housing in developments</w:t>
        </w:r>
        <w:r w:rsidR="0049097A">
          <w:rPr>
            <w:webHidden/>
          </w:rPr>
          <w:tab/>
        </w:r>
        <w:r w:rsidR="0049097A">
          <w:rPr>
            <w:webHidden/>
          </w:rPr>
          <w:fldChar w:fldCharType="begin"/>
        </w:r>
        <w:r w:rsidR="0049097A">
          <w:rPr>
            <w:webHidden/>
          </w:rPr>
          <w:instrText xml:space="preserve"> PAGEREF _Toc164694088 \h </w:instrText>
        </w:r>
        <w:r w:rsidR="0049097A">
          <w:rPr>
            <w:webHidden/>
          </w:rPr>
        </w:r>
        <w:r w:rsidR="0049097A">
          <w:rPr>
            <w:webHidden/>
          </w:rPr>
          <w:fldChar w:fldCharType="separate"/>
        </w:r>
        <w:r w:rsidR="0049097A">
          <w:rPr>
            <w:webHidden/>
          </w:rPr>
          <w:t>9</w:t>
        </w:r>
        <w:r w:rsidR="0049097A">
          <w:rPr>
            <w:webHidden/>
          </w:rPr>
          <w:fldChar w:fldCharType="end"/>
        </w:r>
      </w:hyperlink>
    </w:p>
    <w:p w14:paraId="04F11F7A" w14:textId="6BC9AB3D" w:rsidR="0049097A" w:rsidRDefault="008C26C6">
      <w:pPr>
        <w:pStyle w:val="TOC1"/>
        <w:rPr>
          <w:rFonts w:eastAsiaTheme="minorEastAsia" w:cstheme="minorBidi"/>
          <w:b w:val="0"/>
          <w:color w:val="auto"/>
          <w:kern w:val="2"/>
          <w:sz w:val="22"/>
          <w14:ligatures w14:val="standardContextual"/>
        </w:rPr>
      </w:pPr>
      <w:hyperlink w:anchor="_Toc164694089" w:history="1">
        <w:r w:rsidR="0049097A" w:rsidRPr="00AD1461">
          <w:rPr>
            <w:rStyle w:val="Hyperlink"/>
            <w:lang w:eastAsia="en-US"/>
          </w:rPr>
          <w:t>Measure 10</w:t>
        </w:r>
        <w:r w:rsidR="00035A10" w:rsidRPr="00035A10">
          <w:rPr>
            <w:rStyle w:val="Hyperlink"/>
            <w:lang w:eastAsia="en-US"/>
          </w:rPr>
          <w:t>: Government land</w:t>
        </w:r>
        <w:r w:rsidR="0049097A">
          <w:rPr>
            <w:webHidden/>
          </w:rPr>
          <w:tab/>
        </w:r>
        <w:r w:rsidR="0049097A">
          <w:rPr>
            <w:webHidden/>
          </w:rPr>
          <w:fldChar w:fldCharType="begin"/>
        </w:r>
        <w:r w:rsidR="0049097A">
          <w:rPr>
            <w:webHidden/>
          </w:rPr>
          <w:instrText xml:space="preserve"> PAGEREF _Toc164694089 \h </w:instrText>
        </w:r>
        <w:r w:rsidR="0049097A">
          <w:rPr>
            <w:webHidden/>
          </w:rPr>
        </w:r>
        <w:r w:rsidR="0049097A">
          <w:rPr>
            <w:webHidden/>
          </w:rPr>
          <w:fldChar w:fldCharType="separate"/>
        </w:r>
        <w:r w:rsidR="0049097A">
          <w:rPr>
            <w:webHidden/>
          </w:rPr>
          <w:t>11</w:t>
        </w:r>
        <w:r w:rsidR="0049097A">
          <w:rPr>
            <w:webHidden/>
          </w:rPr>
          <w:fldChar w:fldCharType="end"/>
        </w:r>
      </w:hyperlink>
    </w:p>
    <w:p w14:paraId="315138E1" w14:textId="324F1054" w:rsidR="0049097A" w:rsidRDefault="008C26C6">
      <w:pPr>
        <w:pStyle w:val="TOC2"/>
        <w:rPr>
          <w:rFonts w:eastAsiaTheme="minorEastAsia" w:cstheme="minorBidi"/>
          <w:color w:val="auto"/>
          <w:kern w:val="2"/>
          <w:szCs w:val="22"/>
          <w14:ligatures w14:val="standardContextual"/>
        </w:rPr>
      </w:pPr>
      <w:hyperlink w:anchor="_Toc164694090" w:history="1">
        <w:r w:rsidR="0049097A" w:rsidRPr="00AD1461">
          <w:rPr>
            <w:rStyle w:val="Hyperlink"/>
          </w:rPr>
          <w:t>Well located government land suitable for housing</w:t>
        </w:r>
        <w:r w:rsidR="0049097A">
          <w:rPr>
            <w:webHidden/>
          </w:rPr>
          <w:tab/>
        </w:r>
        <w:r w:rsidR="0049097A">
          <w:rPr>
            <w:webHidden/>
          </w:rPr>
          <w:fldChar w:fldCharType="begin"/>
        </w:r>
        <w:r w:rsidR="0049097A">
          <w:rPr>
            <w:webHidden/>
          </w:rPr>
          <w:instrText xml:space="preserve"> PAGEREF _Toc164694090 \h </w:instrText>
        </w:r>
        <w:r w:rsidR="0049097A">
          <w:rPr>
            <w:webHidden/>
          </w:rPr>
        </w:r>
        <w:r w:rsidR="0049097A">
          <w:rPr>
            <w:webHidden/>
          </w:rPr>
          <w:fldChar w:fldCharType="separate"/>
        </w:r>
        <w:r w:rsidR="0049097A">
          <w:rPr>
            <w:webHidden/>
          </w:rPr>
          <w:t>11</w:t>
        </w:r>
        <w:r w:rsidR="0049097A">
          <w:rPr>
            <w:webHidden/>
          </w:rPr>
          <w:fldChar w:fldCharType="end"/>
        </w:r>
      </w:hyperlink>
    </w:p>
    <w:p w14:paraId="13FFD400" w14:textId="7CE1AD56" w:rsidR="0049097A" w:rsidRDefault="008C26C6">
      <w:pPr>
        <w:pStyle w:val="TOC2"/>
        <w:rPr>
          <w:rFonts w:eastAsiaTheme="minorEastAsia" w:cstheme="minorBidi"/>
          <w:color w:val="auto"/>
          <w:kern w:val="2"/>
          <w:szCs w:val="22"/>
          <w14:ligatures w14:val="standardContextual"/>
        </w:rPr>
      </w:pPr>
      <w:hyperlink w:anchor="_Toc164694091" w:history="1">
        <w:r w:rsidR="0049097A" w:rsidRPr="00AD1461">
          <w:rPr>
            <w:rStyle w:val="Hyperlink"/>
          </w:rPr>
          <w:t>Best practice examples of developing government land</w:t>
        </w:r>
        <w:r w:rsidR="0049097A">
          <w:rPr>
            <w:webHidden/>
          </w:rPr>
          <w:tab/>
        </w:r>
        <w:r w:rsidR="0049097A">
          <w:rPr>
            <w:webHidden/>
          </w:rPr>
          <w:fldChar w:fldCharType="begin"/>
        </w:r>
        <w:r w:rsidR="0049097A">
          <w:rPr>
            <w:webHidden/>
          </w:rPr>
          <w:instrText xml:space="preserve"> PAGEREF _Toc164694091 \h </w:instrText>
        </w:r>
        <w:r w:rsidR="0049097A">
          <w:rPr>
            <w:webHidden/>
          </w:rPr>
        </w:r>
        <w:r w:rsidR="0049097A">
          <w:rPr>
            <w:webHidden/>
          </w:rPr>
          <w:fldChar w:fldCharType="separate"/>
        </w:r>
        <w:r w:rsidR="0049097A">
          <w:rPr>
            <w:webHidden/>
          </w:rPr>
          <w:t>11</w:t>
        </w:r>
        <w:r w:rsidR="0049097A">
          <w:rPr>
            <w:webHidden/>
          </w:rPr>
          <w:fldChar w:fldCharType="end"/>
        </w:r>
      </w:hyperlink>
    </w:p>
    <w:p w14:paraId="2113D2A9" w14:textId="5874C9AF" w:rsidR="00B775EE" w:rsidRDefault="000E0B74" w:rsidP="0056582C">
      <w:pPr>
        <w:pStyle w:val="SingleParagraph"/>
        <w:ind w:right="-2"/>
      </w:pPr>
      <w:r>
        <w:fldChar w:fldCharType="end"/>
      </w:r>
      <w:bookmarkStart w:id="1" w:name="_Toc432067103"/>
      <w:bookmarkStart w:id="2" w:name="_Toc452635030"/>
    </w:p>
    <w:p w14:paraId="69A99C92" w14:textId="77777777" w:rsidR="00B775EE" w:rsidRPr="00B775EE" w:rsidRDefault="00B775EE" w:rsidP="0056582C">
      <w:pPr>
        <w:pStyle w:val="SingleParagraph"/>
        <w:ind w:right="-2"/>
        <w:rPr>
          <w:b/>
          <w:bCs/>
        </w:rPr>
        <w:sectPr w:rsidR="00B775EE" w:rsidRPr="00B775EE" w:rsidSect="008D43B4">
          <w:headerReference w:type="even" r:id="rId14"/>
          <w:headerReference w:type="default" r:id="rId15"/>
          <w:footerReference w:type="even" r:id="rId16"/>
          <w:headerReference w:type="first" r:id="rId17"/>
          <w:footerReference w:type="first" r:id="rId18"/>
          <w:pgSz w:w="11906" w:h="16838" w:code="9"/>
          <w:pgMar w:top="1843" w:right="1418" w:bottom="1418" w:left="1418" w:header="709" w:footer="709" w:gutter="0"/>
          <w:pgNumType w:fmt="lowerRoman" w:start="3"/>
          <w:cols w:space="708"/>
          <w:titlePg/>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0D62FED1" w:rsidR="004B063A" w:rsidRDefault="004B063A" w:rsidP="004B063A">
            <w:pPr>
              <w:pStyle w:val="Heading1"/>
              <w:rPr>
                <w:lang w:eastAsia="en-US"/>
              </w:rPr>
            </w:pPr>
            <w:bookmarkStart w:id="3" w:name="_Toc164694073"/>
            <w:bookmarkEnd w:id="1"/>
            <w:bookmarkEnd w:id="2"/>
            <w:r>
              <w:rPr>
                <w:lang w:eastAsia="en-US"/>
              </w:rPr>
              <w:lastRenderedPageBreak/>
              <w:t>Measure 2</w:t>
            </w:r>
            <w:bookmarkEnd w:id="3"/>
          </w:p>
          <w:p w14:paraId="744AE214" w14:textId="3BF3200E" w:rsidR="004B063A" w:rsidRDefault="004B063A" w:rsidP="004B063A">
            <w:pPr>
              <w:pStyle w:val="Boxdoubledot"/>
              <w:numPr>
                <w:ilvl w:val="0"/>
                <w:numId w:val="0"/>
              </w:numPr>
            </w:pPr>
            <w:r w:rsidRPr="00B21A39">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55FC3A2E" w14:textId="77777777" w:rsidR="00C37013" w:rsidRPr="008D2FFE" w:rsidRDefault="00C37013" w:rsidP="008D2FFE">
      <w:pPr>
        <w:pStyle w:val="Heading4"/>
        <w:rPr>
          <w:rStyle w:val="Strong"/>
          <w:b/>
          <w:bCs w:val="0"/>
        </w:rPr>
      </w:pPr>
      <w:r w:rsidRPr="008D2FFE">
        <w:rPr>
          <w:rStyle w:val="Strong"/>
          <w:b/>
          <w:bCs w:val="0"/>
        </w:rPr>
        <w:t>Review of Regional Land Use Strategies</w:t>
      </w:r>
    </w:p>
    <w:p w14:paraId="07509707" w14:textId="77777777" w:rsidR="0089495F" w:rsidRDefault="0089495F" w:rsidP="0089495F">
      <w:pPr>
        <w:spacing w:before="120"/>
      </w:pPr>
      <w:r>
        <w:t>Comprehensive reviews are in progress for all three regional land use strategies in Tasmania. The strategies have been in place since 2011 and strategically identify growth areas and redevelopment areas for housing, informing zoning in the Tasmanian Planning Scheme. New housing demand and supply studies have been undertaken for all three regions to inform the review. The Greater Hobart Plan (part of the Hobart City Deal) is also informing a new Greater Hobart Settlement Plan which will review the current areas identified for densification in Greater Hobart.</w:t>
      </w:r>
    </w:p>
    <w:p w14:paraId="5FEF04C1" w14:textId="77777777" w:rsidR="0089495F" w:rsidRDefault="0089495F" w:rsidP="0089495F">
      <w:pPr>
        <w:spacing w:before="120"/>
      </w:pPr>
      <w:r>
        <w:t>The Tasmanian Planning Policies will set a legislated framework for the settlement plans in each of these strategies to ensure adequate supply of land to address the existing and future needs of the community for a minimum of 20 years. The current reviews are at a stage where they can accommodate the specific housing supply targets that are set for Tasmania and coordinate a statewide response to ensure these are delivered in the most appropriate areas from a statewide and regional perspective.</w:t>
      </w:r>
    </w:p>
    <w:p w14:paraId="3310942A" w14:textId="74653208" w:rsidR="00936387" w:rsidRDefault="0089495F" w:rsidP="0089495F">
      <w:pPr>
        <w:spacing w:before="120"/>
      </w:pPr>
      <w:r w:rsidRPr="00B6509C">
        <w:t>The Minister for Planning has set a timeframe for the declaration of the revised strategies in mid-2025. Foundational</w:t>
      </w:r>
      <w:r>
        <w:t xml:space="preserve"> data has been collected on housing supply and </w:t>
      </w:r>
      <w:r w:rsidR="00890090">
        <w:t>demand</w:t>
      </w:r>
      <w:r>
        <w:t xml:space="preserve"> across the three regions in a consistent way to inform the strategic directions.</w:t>
      </w:r>
      <w:r w:rsidR="00936387">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4" w:name="_Toc164694074"/>
            <w:r>
              <w:rPr>
                <w:lang w:eastAsia="en-US"/>
              </w:rPr>
              <w:t>Measure 3</w:t>
            </w:r>
            <w:bookmarkEnd w:id="4"/>
          </w:p>
          <w:p w14:paraId="7A840E19" w14:textId="25EEEC05" w:rsidR="00B534B5" w:rsidRDefault="00B534B5" w:rsidP="00B534B5">
            <w:pPr>
              <w:pStyle w:val="Boxdoubledot"/>
              <w:numPr>
                <w:ilvl w:val="0"/>
                <w:numId w:val="0"/>
              </w:numPr>
            </w:pPr>
            <w:r w:rsidRPr="0026026F">
              <w:rPr>
                <w:rFonts w:eastAsia="Times New Roman"/>
                <w:color w:val="000000" w:themeColor="text1"/>
                <w:sz w:val="24"/>
                <w:szCs w:val="24"/>
                <w:lang w:eastAsia="en-AU"/>
              </w:rPr>
              <w:t>Planning Ministers will undertake planning, zoning, land release and other reforms, such as increasing density, to meet their jurisdiction share of housing supply targets agreed by National Cabinet.</w:t>
            </w:r>
          </w:p>
        </w:tc>
      </w:tr>
    </w:tbl>
    <w:p w14:paraId="2CA0C347" w14:textId="77777777" w:rsidR="004A1BBB" w:rsidRDefault="004A1BBB" w:rsidP="004A1BBB">
      <w:pPr>
        <w:pStyle w:val="Heading2"/>
      </w:pPr>
      <w:bookmarkStart w:id="5" w:name="_Toc160799701"/>
      <w:bookmarkStart w:id="6" w:name="_Toc164694075"/>
      <w:r>
        <w:t xml:space="preserve">Summary of planning, </w:t>
      </w:r>
      <w:proofErr w:type="gramStart"/>
      <w:r>
        <w:t>zoning</w:t>
      </w:r>
      <w:proofErr w:type="gramEnd"/>
      <w:r>
        <w:t xml:space="preserve"> and land release reforms</w:t>
      </w:r>
      <w:bookmarkEnd w:id="5"/>
      <w:bookmarkEnd w:id="6"/>
    </w:p>
    <w:p w14:paraId="4690D120" w14:textId="4D7637ED" w:rsidR="00EF093E" w:rsidRDefault="00EF093E" w:rsidP="00EF093E">
      <w:pPr>
        <w:spacing w:before="0" w:after="0"/>
        <w:rPr>
          <w:rFonts w:ascii="Calibri Light" w:hAnsi="Calibri Light" w:cs="Arial"/>
          <w:b/>
          <w:kern w:val="32"/>
          <w:sz w:val="28"/>
          <w:szCs w:val="26"/>
        </w:rPr>
      </w:pPr>
      <w:r w:rsidRPr="00EF093E">
        <w:rPr>
          <w:rFonts w:ascii="Calibri Light" w:hAnsi="Calibri Light" w:cs="Arial"/>
          <w:b/>
          <w:kern w:val="32"/>
          <w:sz w:val="28"/>
          <w:szCs w:val="26"/>
        </w:rPr>
        <w:t>Review of State Planning Provisions (SPPs) – Improving Residential Standards in Tasmania Project</w:t>
      </w:r>
    </w:p>
    <w:p w14:paraId="241BD8FB" w14:textId="1A37A49A" w:rsidR="00F25989" w:rsidRDefault="0027463F" w:rsidP="00EF5CA5">
      <w:pPr>
        <w:spacing w:before="0" w:after="0"/>
        <w:rPr>
          <w:i/>
          <w:iCs/>
        </w:rPr>
      </w:pPr>
      <w:r w:rsidRPr="0027463F">
        <w:rPr>
          <w:i/>
          <w:iCs/>
        </w:rPr>
        <w:t>In progress, due for implementation during 2024.</w:t>
      </w:r>
    </w:p>
    <w:p w14:paraId="17F3FD24" w14:textId="77777777" w:rsidR="00816303" w:rsidRDefault="00816303" w:rsidP="00816303">
      <w:r>
        <w:t>A comprehensive review is being undertaken of the statewide planning requirements (the SPPs) in the single planning scheme (the Tasmanian Planning Scheme). The Improving Residential Standards in Tasmania Project is a priority project from this review which will deliver amendments to the planning requirements for housing in the SPPs, including:</w:t>
      </w:r>
    </w:p>
    <w:p w14:paraId="0642FDBD" w14:textId="1F1E248B" w:rsidR="00816303" w:rsidRDefault="00816303" w:rsidP="00816303">
      <w:pPr>
        <w:pStyle w:val="Bullet"/>
      </w:pPr>
      <w:r>
        <w:t>Improved standards for a variety of housing types, including social and affordable housing.</w:t>
      </w:r>
    </w:p>
    <w:p w14:paraId="4D518B7E" w14:textId="7E69AB5B" w:rsidR="0027463F" w:rsidRDefault="00816303" w:rsidP="00816303">
      <w:pPr>
        <w:pStyle w:val="Bullet"/>
      </w:pPr>
      <w:r>
        <w:t>Standardised requirements for medium density housing in appropriate locations with accompanying design guidelines.</w:t>
      </w:r>
    </w:p>
    <w:p w14:paraId="29EBCD41" w14:textId="7472BF6D" w:rsidR="00517746" w:rsidRDefault="00517746" w:rsidP="00517746">
      <w:r w:rsidRPr="00517746">
        <w:t>Implementation of amendments to the SPPs will ensure the planning requirements provide streamlined assessment pathways for a variety of housing types, particularly social and affordable housing, and medium density housing in appropriate locations.</w:t>
      </w:r>
    </w:p>
    <w:p w14:paraId="765615A7" w14:textId="77777777" w:rsidR="00804CFC" w:rsidRPr="008D253A" w:rsidRDefault="00804CFC" w:rsidP="008D253A">
      <w:pPr>
        <w:spacing w:before="0" w:after="0"/>
        <w:rPr>
          <w:rFonts w:ascii="Calibri Light" w:hAnsi="Calibri Light" w:cs="Arial"/>
          <w:b/>
          <w:kern w:val="32"/>
          <w:sz w:val="28"/>
          <w:szCs w:val="26"/>
        </w:rPr>
      </w:pPr>
      <w:r w:rsidRPr="008D253A">
        <w:rPr>
          <w:rFonts w:ascii="Calibri Light" w:hAnsi="Calibri Light" w:cs="Arial"/>
          <w:b/>
          <w:kern w:val="32"/>
          <w:sz w:val="28"/>
          <w:szCs w:val="26"/>
        </w:rPr>
        <w:t>Housing Land Supply Act 2018 extension</w:t>
      </w:r>
    </w:p>
    <w:p w14:paraId="66E64375" w14:textId="545D35D7" w:rsidR="008D253A" w:rsidRPr="008D253A" w:rsidRDefault="008D253A" w:rsidP="008D253A">
      <w:pPr>
        <w:spacing w:before="0" w:after="0"/>
        <w:rPr>
          <w:i/>
          <w:iCs/>
        </w:rPr>
      </w:pPr>
      <w:r w:rsidRPr="008D253A">
        <w:rPr>
          <w:i/>
          <w:iCs/>
        </w:rPr>
        <w:t>Enacted</w:t>
      </w:r>
    </w:p>
    <w:p w14:paraId="224F3BFE" w14:textId="31304965" w:rsidR="00517746" w:rsidRDefault="00804CFC" w:rsidP="008D253A">
      <w:r>
        <w:t xml:space="preserve">The </w:t>
      </w:r>
      <w:r w:rsidRPr="0009561D">
        <w:t>Housing Land Supply Act</w:t>
      </w:r>
      <w:r>
        <w:t xml:space="preserve"> was introduced in 2018 as a fast-track rezoning process for certain Government land for housing through Housing Land Supply Orders, guaranteeing </w:t>
      </w:r>
      <w:r w:rsidR="00BC42CD">
        <w:t xml:space="preserve">a </w:t>
      </w:r>
      <w:r>
        <w:t>portion is provided as social and affordable housing. It also enables changes to the planning scheme requirements applicable to an</w:t>
      </w:r>
      <w:r w:rsidR="00DF1A94">
        <w:t xml:space="preserve"> </w:t>
      </w:r>
      <w:r w:rsidR="00DF1A94" w:rsidRPr="00DF1A94">
        <w:t>area to better facilitate housing. Land subject to a Housing Land Supply Order is vested with Homes Tasmania (Tasmania’s statutory body for delivering social and affordable housing) for delivery with the proportion of social and affordable housing tailored to suit the site and the needs of the community. The Act initially operated for 5 years to boost the supply of land for housing and was extended for a further 10 years in September 2023.</w:t>
      </w:r>
    </w:p>
    <w:p w14:paraId="50D6082A" w14:textId="15C73590" w:rsidR="00DD4D21" w:rsidRDefault="00DD4D21" w:rsidP="008D253A">
      <w:r w:rsidRPr="00DD4D21">
        <w:t xml:space="preserve">Extension of the Housing Land Supply Act is enabling more suitable Government land to be rezoned for social and affordable housing through a fast-track process. Other recent changes to the Act also enable Homes Tasmania to strategically purchase new land for rezoning under the fast-track process. </w:t>
      </w:r>
      <w:r w:rsidRPr="006B669A">
        <w:t>Extension of the Act for a further 10 years</w:t>
      </w:r>
      <w:r w:rsidR="006E7AC9" w:rsidRPr="006B669A">
        <w:t xml:space="preserve"> aligns with the Tasmanian Government’s </w:t>
      </w:r>
      <w:r w:rsidR="00CA0B62" w:rsidRPr="006B669A">
        <w:t>10-year</w:t>
      </w:r>
      <w:r w:rsidR="006E7AC9" w:rsidRPr="006B669A">
        <w:t xml:space="preserve"> plan for delivering more social and affordable housing.</w:t>
      </w:r>
    </w:p>
    <w:p w14:paraId="521F27E6" w14:textId="330DC343" w:rsidR="00EF0E11" w:rsidRPr="00EF0E11" w:rsidRDefault="00EF0E11" w:rsidP="001A5D37">
      <w:pPr>
        <w:spacing w:before="0" w:after="0"/>
        <w:rPr>
          <w:rFonts w:ascii="Calibri Light" w:hAnsi="Calibri Light" w:cs="Arial"/>
          <w:b/>
          <w:kern w:val="32"/>
          <w:sz w:val="28"/>
          <w:szCs w:val="26"/>
        </w:rPr>
      </w:pPr>
      <w:r w:rsidRPr="00EF0E11">
        <w:rPr>
          <w:rFonts w:ascii="Calibri Light" w:hAnsi="Calibri Light" w:cs="Arial"/>
          <w:b/>
          <w:kern w:val="32"/>
          <w:sz w:val="28"/>
          <w:szCs w:val="26"/>
        </w:rPr>
        <w:t>Tasmanian Planning Policies</w:t>
      </w:r>
    </w:p>
    <w:p w14:paraId="645F2B17" w14:textId="491433C2" w:rsidR="001A5D37" w:rsidRPr="001A5D37" w:rsidRDefault="001A5D37" w:rsidP="001A5D37">
      <w:pPr>
        <w:spacing w:before="0" w:after="0"/>
        <w:rPr>
          <w:i/>
          <w:iCs/>
        </w:rPr>
      </w:pPr>
      <w:r w:rsidRPr="001A5D37">
        <w:rPr>
          <w:i/>
          <w:iCs/>
        </w:rPr>
        <w:t>In progress, due for implementation in 2024</w:t>
      </w:r>
    </w:p>
    <w:p w14:paraId="104A7701" w14:textId="7854B2E0" w:rsidR="00EF0E11" w:rsidRPr="00EF0E11" w:rsidRDefault="00EF0E11" w:rsidP="001A5D37">
      <w:r w:rsidRPr="00EF0E11">
        <w:t>The Tasmanian Planning Policies (TPPs) establish a consistent, overarching policy setting for the State’s planning system that will guide planning outcomes mostly delivered through the Tasmanian Planning Scheme and the Regional Land Use Strategies. The TPPs are also required to be considered in the declaration and assessment of the ‘Major Projects’ and housing land supply orders.</w:t>
      </w:r>
    </w:p>
    <w:p w14:paraId="71A541BB" w14:textId="26458ADC" w:rsidR="003D76DB" w:rsidRDefault="00EF0E11" w:rsidP="001A5D37">
      <w:r w:rsidRPr="00EF0E11">
        <w:t xml:space="preserve">The TPPs provide policy direction in the following areas: Settlement, </w:t>
      </w:r>
      <w:r w:rsidR="002931C6" w:rsidRPr="00EF0E11">
        <w:t>Environmental</w:t>
      </w:r>
      <w:r w:rsidRPr="00EF0E11">
        <w:t xml:space="preserve"> Values, Environmental Hazards, Sustainable Economic Development, Physical Infrastructure, Cultural </w:t>
      </w:r>
      <w:proofErr w:type="gramStart"/>
      <w:r w:rsidRPr="00EF0E11">
        <w:t>Heritage</w:t>
      </w:r>
      <w:proofErr w:type="gramEnd"/>
      <w:r w:rsidRPr="00EF0E11">
        <w:t xml:space="preserve"> and Planning Processes.</w:t>
      </w:r>
    </w:p>
    <w:p w14:paraId="7C774A57" w14:textId="079AB19A" w:rsidR="002931C6" w:rsidRDefault="002931C6" w:rsidP="001A5D37">
      <w:r>
        <w:t>The Settlement TPP provides the policy setting for strategically guiding how and where growth will occur. The Settlement TPP prioritises a settlement pattern that locates people where they have access to employment, services, and transport networks to improve connectivity and liveability. It promotes the delivery of social and affordable housing and recognises that these types of housing are essential to improve social and economic resilience of our communities.</w:t>
      </w:r>
    </w:p>
    <w:p w14:paraId="076BF69A" w14:textId="3AB83CF8" w:rsidR="002931C6" w:rsidRDefault="002931C6" w:rsidP="001A5D37">
      <w:r>
        <w:t>To achieve these planning outcomes, the Settlement TPP is split into 5 separate policy areas that provide for liveable settlement</w:t>
      </w:r>
      <w:r w:rsidR="00BC42CD">
        <w:t>s</w:t>
      </w:r>
      <w:r>
        <w:t xml:space="preserve">, mechanisms for directing growth, policies relating to specific settlement types, housing diversity and availability and providing for well-designed built environments and public spaces. </w:t>
      </w:r>
    </w:p>
    <w:p w14:paraId="0D636797" w14:textId="0CC1FCCC" w:rsidR="00E278DF" w:rsidRDefault="002931C6">
      <w:r>
        <w:t xml:space="preserve">The Settlement TPP supports growth that will prioritise and encourage infill development, consolidation, </w:t>
      </w:r>
      <w:proofErr w:type="gramStart"/>
      <w:r>
        <w:t>redevelopment</w:t>
      </w:r>
      <w:proofErr w:type="gramEnd"/>
      <w:r>
        <w:t xml:space="preserve"> and intensification of under-</w:t>
      </w:r>
      <w:r w:rsidR="001A5D37">
        <w:t>utilised</w:t>
      </w:r>
      <w:r>
        <w:t xml:space="preserve"> land in settlement</w:t>
      </w:r>
      <w:r w:rsidR="00860918">
        <w:t>s</w:t>
      </w:r>
      <w:r>
        <w:t xml:space="preserve"> that are well service</w:t>
      </w:r>
      <w:r w:rsidR="00CD499D">
        <w:t>d</w:t>
      </w:r>
      <w:r>
        <w:t xml:space="preserve"> by existing or planned physical and social infrastructure.</w:t>
      </w:r>
    </w:p>
    <w:p w14:paraId="559FD623" w14:textId="77777777" w:rsidR="00B04A10" w:rsidRDefault="00B04A10">
      <w:r>
        <w:rPr>
          <w:b/>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7" w:name="_Toc164694076"/>
            <w:r>
              <w:rPr>
                <w:lang w:eastAsia="en-US"/>
              </w:rPr>
              <w:t>Measure 4</w:t>
            </w:r>
            <w:bookmarkEnd w:id="7"/>
          </w:p>
          <w:p w14:paraId="6678853F" w14:textId="1FBCFD15" w:rsidR="005455D8" w:rsidRDefault="005455D8" w:rsidP="005455D8">
            <w:pPr>
              <w:pStyle w:val="Boxbullet"/>
              <w:numPr>
                <w:ilvl w:val="0"/>
                <w:numId w:val="0"/>
              </w:numPr>
            </w:pPr>
            <w:r w:rsidRPr="00DD7F34">
              <w:rPr>
                <w:sz w:val="24"/>
                <w:szCs w:val="24"/>
              </w:rPr>
              <w:t xml:space="preserve">Planning Ministers will identify well-located ‘development ready’ land before 1 March 2024, having appropriate regard to the protection of land with key attributes </w:t>
            </w:r>
            <w:proofErr w:type="gramStart"/>
            <w:r w:rsidRPr="00DD7F34">
              <w:rPr>
                <w:sz w:val="24"/>
                <w:szCs w:val="24"/>
              </w:rPr>
              <w:t>e.g.</w:t>
            </w:r>
            <w:proofErr w:type="gramEnd"/>
            <w:r w:rsidRPr="00DD7F34">
              <w:rPr>
                <w:sz w:val="24"/>
                <w:szCs w:val="24"/>
              </w:rPr>
              <w:t xml:space="preserve"> environmental or economic.</w:t>
            </w:r>
          </w:p>
        </w:tc>
      </w:tr>
    </w:tbl>
    <w:p w14:paraId="38EA1AEA" w14:textId="77777777" w:rsidR="00DD7F34" w:rsidRDefault="00DD7F34" w:rsidP="00DD7F34">
      <w:pPr>
        <w:pStyle w:val="Heading2"/>
      </w:pPr>
      <w:bookmarkStart w:id="8" w:name="_Toc160799704"/>
      <w:bookmarkStart w:id="9" w:name="_Toc164694077"/>
      <w:r>
        <w:t>Key findings from a development ready land stocktake</w:t>
      </w:r>
      <w:r w:rsidRPr="00300DB4">
        <w:rPr>
          <w:sz w:val="24"/>
          <w:szCs w:val="14"/>
          <w:vertAlign w:val="subscript"/>
        </w:rPr>
        <w:footnoteReference w:id="2"/>
      </w:r>
      <w:bookmarkEnd w:id="8"/>
      <w:bookmarkEnd w:id="9"/>
    </w:p>
    <w:p w14:paraId="4654D08A" w14:textId="60A9D429" w:rsidR="00DC4C13" w:rsidRDefault="0053135D" w:rsidP="0053135D">
      <w:r w:rsidRPr="0053135D">
        <w:t>The Tasmanian Government has recently funded residential demand and supply studies across each of the three regions. This work which was undertaken in collaboration with local government and is now complete, identified the quantum and distribution of vacant residential land in each municipality and its respective “development ready” status for the purpose of future supply. In partnership with local councils, the Tasmanian Government will undertake further analysis to prioritise specific sites.</w:t>
      </w:r>
      <w:r w:rsidR="00DC4C13">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10" w:name="_Toc164694078"/>
            <w:r w:rsidRPr="005455D8">
              <w:rPr>
                <w:lang w:eastAsia="en-US"/>
              </w:rPr>
              <w:t>Measure 5</w:t>
            </w:r>
            <w:bookmarkEnd w:id="10"/>
          </w:p>
          <w:p w14:paraId="0E08CEA4" w14:textId="0759C2B4" w:rsidR="005455D8" w:rsidRDefault="005455D8" w:rsidP="005455D8">
            <w:pPr>
              <w:pStyle w:val="Boxdoubledot"/>
              <w:numPr>
                <w:ilvl w:val="0"/>
                <w:numId w:val="0"/>
              </w:numPr>
            </w:pPr>
            <w:r w:rsidRPr="00DD7F34">
              <w:rPr>
                <w:rFonts w:eastAsia="Times New Roman"/>
                <w:color w:val="000000" w:themeColor="text1"/>
                <w:sz w:val="24"/>
                <w:szCs w:val="24"/>
                <w:lang w:eastAsia="en-AU"/>
              </w:rPr>
              <w:t xml:space="preserve">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w:t>
            </w:r>
            <w:proofErr w:type="gramStart"/>
            <w:r w:rsidRPr="00DD7F34">
              <w:rPr>
                <w:rFonts w:eastAsia="Times New Roman"/>
                <w:color w:val="000000" w:themeColor="text1"/>
                <w:sz w:val="24"/>
                <w:szCs w:val="24"/>
                <w:lang w:eastAsia="en-AU"/>
              </w:rPr>
              <w:t>amenities</w:t>
            </w:r>
            <w:proofErr w:type="gramEnd"/>
            <w:r w:rsidRPr="00DD7F34">
              <w:rPr>
                <w:rFonts w:eastAsia="Times New Roman"/>
                <w:color w:val="000000" w:themeColor="text1"/>
                <w:sz w:val="24"/>
                <w:szCs w:val="24"/>
                <w:lang w:eastAsia="en-AU"/>
              </w:rPr>
              <w:t xml:space="preserve"> and employment.</w:t>
            </w:r>
          </w:p>
        </w:tc>
      </w:tr>
    </w:tbl>
    <w:p w14:paraId="1165ADB4" w14:textId="5B36696C" w:rsidR="003A6543" w:rsidRDefault="003A6543" w:rsidP="003A6543">
      <w:pPr>
        <w:pStyle w:val="Heading2"/>
      </w:pPr>
      <w:bookmarkStart w:id="11" w:name="_Toc160799706"/>
      <w:bookmarkStart w:id="12" w:name="_Toc164694079"/>
      <w:r>
        <w:t>Z</w:t>
      </w:r>
      <w:r w:rsidRPr="005455D8">
        <w:t>oning, planning and other amendments</w:t>
      </w:r>
      <w:r>
        <w:t xml:space="preserve"> to support dense</w:t>
      </w:r>
      <w:r w:rsidR="005103E1">
        <w:t>, well located</w:t>
      </w:r>
      <w:r>
        <w:t xml:space="preserve"> </w:t>
      </w:r>
      <w:proofErr w:type="gramStart"/>
      <w:r>
        <w:t>housing</w:t>
      </w:r>
      <w:bookmarkEnd w:id="11"/>
      <w:bookmarkEnd w:id="12"/>
      <w:proofErr w:type="gramEnd"/>
      <w:r w:rsidRPr="005455D8">
        <w:t xml:space="preserve"> </w:t>
      </w:r>
    </w:p>
    <w:p w14:paraId="06DB3ADB" w14:textId="77777777" w:rsidR="00D465B6" w:rsidRDefault="000E198F" w:rsidP="00D465B6">
      <w:pPr>
        <w:pStyle w:val="Heading4"/>
      </w:pPr>
      <w:r>
        <w:t xml:space="preserve">Review of State Planning Provisions (SPPs) – Improving Residential Standards in Tasmania Project </w:t>
      </w:r>
    </w:p>
    <w:p w14:paraId="19DF8BB3" w14:textId="14939634" w:rsidR="000E198F" w:rsidRDefault="00D465B6" w:rsidP="00D465B6">
      <w:r>
        <w:t>R</w:t>
      </w:r>
      <w:r w:rsidR="000E198F">
        <w:t>eported in Measure 3</w:t>
      </w:r>
      <w:r w:rsidR="00671DE2">
        <w:t>.</w:t>
      </w:r>
    </w:p>
    <w:p w14:paraId="2FFF16E3" w14:textId="77777777" w:rsidR="000E198F" w:rsidRDefault="000E198F" w:rsidP="00D465B6">
      <w:r>
        <w:t>A comprehensive review is being undertaken of the statewide planning requirements (the SPPs) in the single planning scheme (the Tasmanian Planning Scheme). The Improving Residential Standards in Tasmania Project is a priority project from this review which will deliver amendments to the planning requirements for housing in the SPPs, including:</w:t>
      </w:r>
    </w:p>
    <w:p w14:paraId="681DD988" w14:textId="48403561" w:rsidR="000E198F" w:rsidRDefault="000E198F" w:rsidP="00D465B6">
      <w:pPr>
        <w:pStyle w:val="Bullet"/>
      </w:pPr>
      <w:r>
        <w:t xml:space="preserve">Improved standards for a variety of housing types, </w:t>
      </w:r>
      <w:r w:rsidR="00D465B6">
        <w:t>including</w:t>
      </w:r>
      <w:r>
        <w:t xml:space="preserve"> social and affordable housing.</w:t>
      </w:r>
    </w:p>
    <w:p w14:paraId="7DDDEA18" w14:textId="571AA664" w:rsidR="00135D7A" w:rsidRDefault="00D465B6" w:rsidP="00D465B6">
      <w:pPr>
        <w:pStyle w:val="Bullet"/>
      </w:pPr>
      <w:r>
        <w:t>Standardised</w:t>
      </w:r>
      <w:r w:rsidR="000E198F">
        <w:t xml:space="preserve"> requirements for medium density housing in appropriate locations with accompanying design guidelines.</w:t>
      </w:r>
    </w:p>
    <w:p w14:paraId="6C7D05EE" w14:textId="2804A2F3" w:rsidR="00D465B6" w:rsidRDefault="00B96137" w:rsidP="00D465B6">
      <w:r>
        <w:t>This review w</w:t>
      </w:r>
      <w:r w:rsidR="00D465B6" w:rsidRPr="00D465B6">
        <w:t>ill provide more streamlined approval pathways for the approval of quality housing in all areas of Tasmania and deliver standardised requirements for medium density housing types in wel</w:t>
      </w:r>
      <w:r w:rsidR="00441BBE">
        <w:t>l</w:t>
      </w:r>
      <w:r w:rsidR="00D465B6" w:rsidRPr="00D465B6">
        <w:t xml:space="preserve"> located areas</w:t>
      </w:r>
      <w:r w:rsidR="00D465B6">
        <w:t>.</w:t>
      </w:r>
    </w:p>
    <w:p w14:paraId="6AE667DE" w14:textId="77777777" w:rsidR="00B50CA3" w:rsidRPr="00B6509C" w:rsidRDefault="00B50CA3" w:rsidP="00005717">
      <w:pPr>
        <w:spacing w:before="0" w:after="0"/>
        <w:rPr>
          <w:rFonts w:ascii="Calibri Light" w:hAnsi="Calibri Light" w:cs="Arial"/>
          <w:b/>
          <w:kern w:val="32"/>
          <w:sz w:val="28"/>
          <w:szCs w:val="26"/>
        </w:rPr>
      </w:pPr>
      <w:r w:rsidRPr="00B6509C">
        <w:rPr>
          <w:rFonts w:ascii="Calibri Light" w:hAnsi="Calibri Light" w:cs="Arial"/>
          <w:b/>
          <w:kern w:val="32"/>
          <w:sz w:val="28"/>
          <w:szCs w:val="26"/>
        </w:rPr>
        <w:t>Legislation for independent Development Assessment Panels</w:t>
      </w:r>
    </w:p>
    <w:p w14:paraId="04B30B77" w14:textId="3392C972" w:rsidR="00005717" w:rsidRPr="00B6509C" w:rsidRDefault="00005717" w:rsidP="00005717">
      <w:pPr>
        <w:spacing w:before="0" w:after="0"/>
        <w:rPr>
          <w:i/>
          <w:iCs/>
        </w:rPr>
      </w:pPr>
      <w:r w:rsidRPr="00B6509C">
        <w:rPr>
          <w:i/>
          <w:iCs/>
        </w:rPr>
        <w:t xml:space="preserve">The legislation is due for tabling in Parliament in </w:t>
      </w:r>
      <w:r w:rsidR="00AD137F">
        <w:rPr>
          <w:i/>
          <w:iCs/>
        </w:rPr>
        <w:t>October</w:t>
      </w:r>
      <w:r w:rsidRPr="00B6509C">
        <w:rPr>
          <w:i/>
          <w:iCs/>
        </w:rPr>
        <w:t xml:space="preserve"> 2024.</w:t>
      </w:r>
    </w:p>
    <w:p w14:paraId="242BAC42" w14:textId="4372E3C7" w:rsidR="00B50CA3" w:rsidRPr="00B6509C" w:rsidRDefault="00B50CA3" w:rsidP="00005717">
      <w:r w:rsidRPr="00B6509C">
        <w:t>The Tasmanian Government has committed to introduce legislation into Parliament in 2024 that provides for redirecting planning approvals fr</w:t>
      </w:r>
      <w:r w:rsidR="003F0C7F" w:rsidRPr="00B6509C">
        <w:t>o</w:t>
      </w:r>
      <w:r w:rsidRPr="00B6509C">
        <w:t xml:space="preserve">m local councils to independent Development Assessment Panels (DAPs) specifically to address the impact of local NIMBY issues on elected council decisions as opposed to compliance with the planning scheme rules. </w:t>
      </w:r>
    </w:p>
    <w:p w14:paraId="3B008FE5" w14:textId="3A7C1626" w:rsidR="00B50CA3" w:rsidRPr="00B6509C" w:rsidRDefault="00B50CA3" w:rsidP="00005717">
      <w:r w:rsidRPr="00B6509C">
        <w:t>The draft model being progressed provides for a single assessment process for prescribed social and affordable housing projects that do not allow further appeals to the Appeal Tribunal.</w:t>
      </w:r>
    </w:p>
    <w:p w14:paraId="77A1DFD9" w14:textId="6509D8E0" w:rsidR="00CB59BD" w:rsidRDefault="00CB59BD" w:rsidP="00005717">
      <w:r w:rsidRPr="00B6509C">
        <w:t xml:space="preserve">The legislative model will provide social and affordable housing projects that are nominated by the State’s housing agency (Homes Tasmania) to be directly referred to the DAPs which will conduct a </w:t>
      </w:r>
      <w:r w:rsidR="00A6728C" w:rsidRPr="00B6509C">
        <w:t>9</w:t>
      </w:r>
      <w:r w:rsidR="00AD137F">
        <w:t>8</w:t>
      </w:r>
      <w:r w:rsidR="00A6728C" w:rsidRPr="00B6509C">
        <w:t>-day</w:t>
      </w:r>
      <w:r w:rsidRPr="00B6509C">
        <w:t xml:space="preserve"> assessment which includes advice from the local council, third party consultation and capacity for all parties to participate in a hearing to argue issues and conditions.</w:t>
      </w:r>
    </w:p>
    <w:p w14:paraId="7D624261" w14:textId="77777777" w:rsidR="00EE6D24" w:rsidRDefault="00EE6D24" w:rsidP="00EE6D24">
      <w:pPr>
        <w:pStyle w:val="Heading2"/>
      </w:pPr>
      <w:bookmarkStart w:id="13" w:name="_Toc160799707"/>
      <w:bookmarkStart w:id="14" w:name="_Toc164694080"/>
      <w:r>
        <w:t xml:space="preserve">Reforms to non-planning barriers preventing a diversity of </w:t>
      </w:r>
      <w:proofErr w:type="gramStart"/>
      <w:r>
        <w:t>housing</w:t>
      </w:r>
      <w:bookmarkEnd w:id="13"/>
      <w:bookmarkEnd w:id="14"/>
      <w:proofErr w:type="gramEnd"/>
    </w:p>
    <w:p w14:paraId="684B952E" w14:textId="4A0B9729" w:rsidR="007106DA" w:rsidRDefault="007106DA" w:rsidP="007106DA">
      <w:r w:rsidRPr="007106DA">
        <w:t>The Tasmanian Government is engaging with the housing industry and other sectors to determine if there is a need to ensure that the design and construction sectors are capable and willing to deliver more diverse housing. The Department of State Growth, in collaboration with Homes Tasmania, is working to resolve shortages of workers</w:t>
      </w:r>
      <w:r w:rsidR="00C0375B">
        <w:t>’</w:t>
      </w:r>
      <w:r w:rsidRPr="007106DA">
        <w:t xml:space="preserve"> accommodation and workforce capacity in the construction sector including:</w:t>
      </w:r>
    </w:p>
    <w:p w14:paraId="36A6EE76" w14:textId="5EE92D6F" w:rsidR="007106DA" w:rsidRPr="007106DA" w:rsidRDefault="007106DA" w:rsidP="004D6706">
      <w:pPr>
        <w:pStyle w:val="Heading4"/>
      </w:pPr>
      <w:r w:rsidRPr="007106DA">
        <w:t>Workers</w:t>
      </w:r>
      <w:r w:rsidR="00CD499D">
        <w:t>’</w:t>
      </w:r>
      <w:r w:rsidRPr="007106DA">
        <w:t xml:space="preserve"> accommodation</w:t>
      </w:r>
    </w:p>
    <w:p w14:paraId="3D16FC29" w14:textId="76ADE2D5" w:rsidR="007106DA" w:rsidRPr="007106DA" w:rsidRDefault="007106DA" w:rsidP="007106DA">
      <w:r w:rsidRPr="007106DA">
        <w:t>Stakeholder engagement and industry led forums have been facilitated to assess the scale and nature of the requirement. Initiatives being considered currently include:</w:t>
      </w:r>
    </w:p>
    <w:p w14:paraId="35D47BD3" w14:textId="290CC153" w:rsidR="007106DA" w:rsidRPr="007106DA" w:rsidRDefault="007106DA" w:rsidP="004D6706">
      <w:pPr>
        <w:pStyle w:val="Bullet"/>
      </w:pPr>
      <w:r w:rsidRPr="007106DA">
        <w:t>Connecting existing supply with demand: Worker housing facilitator</w:t>
      </w:r>
    </w:p>
    <w:p w14:paraId="339F19B5" w14:textId="7AE31FC2" w:rsidR="007106DA" w:rsidRPr="007106DA" w:rsidRDefault="007106DA" w:rsidP="004D6706">
      <w:pPr>
        <w:pStyle w:val="Bullet"/>
      </w:pPr>
      <w:r w:rsidRPr="007106DA">
        <w:t xml:space="preserve">Strategically growing workforce housing stock: Portable housing, Container housing, </w:t>
      </w:r>
      <w:proofErr w:type="gramStart"/>
      <w:r w:rsidRPr="007106DA">
        <w:t>Tiny</w:t>
      </w:r>
      <w:proofErr w:type="gramEnd"/>
      <w:r w:rsidRPr="007106DA">
        <w:t xml:space="preserve"> house village pilot, Tourism Development Loan Scheme, Tasmanian Housing Strategy.</w:t>
      </w:r>
    </w:p>
    <w:p w14:paraId="085878ED" w14:textId="3FEA5512" w:rsidR="007106DA" w:rsidRPr="007106DA" w:rsidRDefault="007106DA" w:rsidP="004D6706">
      <w:pPr>
        <w:pStyle w:val="Heading4"/>
      </w:pPr>
      <w:r w:rsidRPr="007106DA">
        <w:t>Workforce capacity in the construction sector</w:t>
      </w:r>
    </w:p>
    <w:p w14:paraId="4523CBD4" w14:textId="77777777" w:rsidR="007106DA" w:rsidRPr="004D6706" w:rsidRDefault="007106DA" w:rsidP="00A6728C">
      <w:pPr>
        <w:rPr>
          <w:rStyle w:val="Strong"/>
        </w:rPr>
      </w:pPr>
      <w:r w:rsidRPr="004D6706">
        <w:rPr>
          <w:rStyle w:val="Strong"/>
        </w:rPr>
        <w:t xml:space="preserve">Building and Construction Industry Roundtable </w:t>
      </w:r>
    </w:p>
    <w:p w14:paraId="094F528B" w14:textId="2A0578BC" w:rsidR="007106DA" w:rsidRPr="007106DA" w:rsidRDefault="001F5C94" w:rsidP="007106DA">
      <w:r>
        <w:t xml:space="preserve">The Tasmanian Government established the </w:t>
      </w:r>
      <w:r w:rsidR="007106DA" w:rsidRPr="007106DA">
        <w:t>Building and Construction Industry Roundtable (the Roundtable)</w:t>
      </w:r>
      <w:r>
        <w:t xml:space="preserve"> as a</w:t>
      </w:r>
      <w:r w:rsidR="001655D4">
        <w:t xml:space="preserve"> </w:t>
      </w:r>
      <w:r w:rsidR="007106DA" w:rsidRPr="007106DA">
        <w:t>collaborative approach to address opportunities and challenges within the sector. On 30 May 2022, the Building Tasmania’s Future Memorandum of Understanding was signed by members of the Roundtable. The members agreed on a framework for all parties to work collaboratively to deliver a sustainable infrastructure project pipeline. The Roundtable members agreed on actions for government and industry across five key priority areas. Working groups are convened under the roundtable to monitor progress and inform policy development and strategic planning.</w:t>
      </w:r>
    </w:p>
    <w:p w14:paraId="7F4C7754" w14:textId="77777777" w:rsidR="007106DA" w:rsidRPr="004D6706" w:rsidRDefault="007106DA" w:rsidP="00A6728C">
      <w:pPr>
        <w:rPr>
          <w:rStyle w:val="Strong"/>
        </w:rPr>
      </w:pPr>
      <w:r w:rsidRPr="004D6706">
        <w:rPr>
          <w:rStyle w:val="Strong"/>
        </w:rPr>
        <w:t xml:space="preserve">Hi-Vis Army </w:t>
      </w:r>
    </w:p>
    <w:p w14:paraId="338ADA43" w14:textId="77777777" w:rsidR="007106DA" w:rsidRPr="007106DA" w:rsidRDefault="007106DA" w:rsidP="007106DA">
      <w:r w:rsidRPr="006B669A">
        <w:t>To deliver the significant pipeline of public and private investment projects, in the 2021 State Election the Tasmanian Government committed to establish a ‘High-Vis Army’ to grow the construction workforce by 25 per cent over four years.</w:t>
      </w:r>
    </w:p>
    <w:p w14:paraId="764E15BF" w14:textId="77777777" w:rsidR="007106DA" w:rsidRPr="004D6706" w:rsidRDefault="007106DA" w:rsidP="00A6728C">
      <w:pPr>
        <w:rPr>
          <w:rStyle w:val="Strong"/>
        </w:rPr>
      </w:pPr>
      <w:r w:rsidRPr="004D6706">
        <w:rPr>
          <w:rStyle w:val="Strong"/>
        </w:rPr>
        <w:t>Tasmania’s 10 Year Infrastructure Pipeline</w:t>
      </w:r>
    </w:p>
    <w:p w14:paraId="5F7ED928" w14:textId="77777777" w:rsidR="004D6706" w:rsidRDefault="007106DA" w:rsidP="007106DA">
      <w:r w:rsidRPr="007106DA">
        <w:t xml:space="preserve">The pipeline is an interactive database designed to improve the ability of businesses to </w:t>
      </w:r>
      <w:proofErr w:type="gramStart"/>
      <w:r w:rsidRPr="007106DA">
        <w:t>plan ahead</w:t>
      </w:r>
      <w:proofErr w:type="gramEnd"/>
      <w:r w:rsidRPr="007106DA">
        <w:t xml:space="preserve"> to resource tender applications as well as undertake the work. For businesses involved in designing, </w:t>
      </w:r>
      <w:proofErr w:type="gramStart"/>
      <w:r w:rsidRPr="007106DA">
        <w:t>building</w:t>
      </w:r>
      <w:proofErr w:type="gramEnd"/>
      <w:r w:rsidRPr="007106DA">
        <w:t xml:space="preserve"> and maintaining infrastructure, the pipeline can help to plan, prepare and recruit/train staff. Asset owners can use the pipeline to help plan and execute their infrastructure delivery schedule. Planned and/or funded infrastructure investment by all three levels of government and the private sector are incorporated into the pipeline.</w:t>
      </w:r>
    </w:p>
    <w:p w14:paraId="3E9419F3" w14:textId="77777777" w:rsidR="00D41EAB" w:rsidRDefault="00D41EAB" w:rsidP="00D41EAB">
      <w:pPr>
        <w:pStyle w:val="Heading3"/>
      </w:pPr>
      <w:bookmarkStart w:id="15" w:name="_Toc164694081"/>
      <w:r>
        <w:t xml:space="preserve">Expected </w:t>
      </w:r>
      <w:proofErr w:type="gramStart"/>
      <w:r>
        <w:t>impact</w:t>
      </w:r>
      <w:bookmarkEnd w:id="15"/>
      <w:proofErr w:type="gramEnd"/>
    </w:p>
    <w:p w14:paraId="779BBCA9" w14:textId="479F0A1C" w:rsidR="00031062" w:rsidRDefault="00D41EAB" w:rsidP="007106DA">
      <w:r w:rsidRPr="00D41EAB">
        <w:t>The combination of regulatory reforms, identification of areas for densification through strategic planning and increased demand will assist the housing industry to shift its products towards greater diversity. However, further incentives and government subsidies are likely to be necessary to deliver more permanent housing options to offset the substantial costs which are currently perceived as being prohibitive. The potential for Developer contributions has been identified as an area of further work which could deliver a more sustainable source of funds for infrastructure and services.</w:t>
      </w:r>
      <w:r w:rsidR="00031062">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0CDC39A2" w:rsidR="00440B1E" w:rsidRDefault="00C40C8B" w:rsidP="000D779E">
            <w:pPr>
              <w:pStyle w:val="Heading1"/>
              <w:rPr>
                <w:lang w:eastAsia="en-US"/>
              </w:rPr>
            </w:pPr>
            <w:bookmarkStart w:id="16" w:name="_Toc164694082"/>
            <w:r>
              <w:rPr>
                <w:lang w:eastAsia="en-US"/>
              </w:rPr>
              <w:t>Measure 6</w:t>
            </w:r>
            <w:bookmarkEnd w:id="16"/>
          </w:p>
          <w:p w14:paraId="2378888C" w14:textId="51A1C17B" w:rsidR="00440B1E" w:rsidRDefault="000D779E" w:rsidP="000D779E">
            <w:pPr>
              <w:pStyle w:val="Boxdoubledot"/>
              <w:numPr>
                <w:ilvl w:val="0"/>
                <w:numId w:val="0"/>
              </w:numPr>
            </w:pPr>
            <w:r w:rsidRPr="00EE6D24">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77D3C3DB" w14:textId="7B2620D2" w:rsidR="00321AD4" w:rsidRDefault="000D779E" w:rsidP="000D779E">
      <w:pPr>
        <w:pStyle w:val="Heading2"/>
      </w:pPr>
      <w:bookmarkStart w:id="17" w:name="_Toc164694083"/>
      <w:r>
        <w:t>Reforms to development approval pathways</w:t>
      </w:r>
      <w:bookmarkEnd w:id="17"/>
    </w:p>
    <w:p w14:paraId="19457967" w14:textId="77777777" w:rsidR="00C61B4F" w:rsidRPr="00B6509C" w:rsidRDefault="00C61B4F" w:rsidP="00C61B4F">
      <w:pPr>
        <w:pStyle w:val="Heading4"/>
      </w:pPr>
      <w:r w:rsidRPr="00B6509C">
        <w:t>Development Assessment Panels (DAP)</w:t>
      </w:r>
    </w:p>
    <w:p w14:paraId="657E6F58" w14:textId="2524E85F" w:rsidR="001F5C94" w:rsidRPr="00B6509C" w:rsidRDefault="001F5C94" w:rsidP="00C61B4F">
      <w:r w:rsidRPr="00B6509C">
        <w:t>Reported under Measure 5.</w:t>
      </w:r>
    </w:p>
    <w:p w14:paraId="1606B5A4" w14:textId="688B572B" w:rsidR="00CA01CD" w:rsidRPr="00CA01CD" w:rsidRDefault="00C61B4F" w:rsidP="00C61B4F">
      <w:r w:rsidRPr="00B6509C">
        <w:t xml:space="preserve">Proposed legislation amendments were announced </w:t>
      </w:r>
      <w:r w:rsidR="00AD137F">
        <w:t xml:space="preserve">in 2023 </w:t>
      </w:r>
      <w:r w:rsidRPr="00B6509C">
        <w:t>to provide for an alternate assessment pathway for social and affordable housing development applications</w:t>
      </w:r>
      <w:r w:rsidR="00602580" w:rsidRPr="00B6509C">
        <w:t>,</w:t>
      </w:r>
      <w:r w:rsidRPr="00B6509C">
        <w:t xml:space="preserve"> to be determined by a Development Assessment Panel.</w:t>
      </w:r>
    </w:p>
    <w:p w14:paraId="00D18D65" w14:textId="77777777" w:rsidR="005D65D5" w:rsidRDefault="005D65D5" w:rsidP="005D65D5">
      <w:pPr>
        <w:pStyle w:val="Heading2"/>
      </w:pPr>
      <w:bookmarkStart w:id="18" w:name="_Toc160799710"/>
      <w:bookmarkStart w:id="19" w:name="_Toc164694084"/>
      <w:r w:rsidRPr="00C80CAA">
        <w:t>Existing development approvals which have not been acted upon</w:t>
      </w:r>
      <w:r>
        <w:t>,</w:t>
      </w:r>
      <w:r w:rsidRPr="00C80CAA">
        <w:t xml:space="preserve"> </w:t>
      </w:r>
      <w:r>
        <w:t xml:space="preserve">and barriers to delivering approved </w:t>
      </w:r>
      <w:proofErr w:type="gramStart"/>
      <w:r>
        <w:t>housing</w:t>
      </w:r>
      <w:bookmarkEnd w:id="18"/>
      <w:bookmarkEnd w:id="19"/>
      <w:proofErr w:type="gramEnd"/>
    </w:p>
    <w:p w14:paraId="30F39A8D" w14:textId="66D22F99" w:rsidR="00C61B4F" w:rsidRPr="00C61B4F" w:rsidRDefault="001655D4" w:rsidP="00C61B4F">
      <w:r w:rsidRPr="00B6509C">
        <w:t xml:space="preserve">The delivery of social and affordable housing through Tasmania’s statutory housing authority (Homes Tasmania) will ensure they are delivered following the receipt of the necessary development approvals. There is anecdotal evidence some approved private developments are not progressing in Tasmania due to economic factors which may be beyond the State Government’s scope of influence. Further incentives and government subsidies are likely to be necessary to deliver some housing options to offset the substantial costs which are currently perceived as being prohibitive. The potential for </w:t>
      </w:r>
      <w:r w:rsidR="00AD137F">
        <w:t>d</w:t>
      </w:r>
      <w:r w:rsidRPr="00B6509C">
        <w:t>eveloper contributions has been identified as an area of further work which could deliver a more sustainable source of funds for infrastructure and services.</w:t>
      </w:r>
    </w:p>
    <w:p w14:paraId="29ECB0E3" w14:textId="7B1C473A" w:rsidR="00C80CAA" w:rsidRDefault="00234634" w:rsidP="00234634">
      <w:pPr>
        <w:pStyle w:val="Heading2"/>
      </w:pPr>
      <w:bookmarkStart w:id="20" w:name="_Toc164694085"/>
      <w:r w:rsidRPr="00234634">
        <w:t>Reforms to social and affordable housing approval pathways</w:t>
      </w:r>
      <w:bookmarkEnd w:id="20"/>
    </w:p>
    <w:p w14:paraId="1F1A6BE8" w14:textId="77777777" w:rsidR="001C1E4E" w:rsidRDefault="001C1E4E" w:rsidP="001C1E4E">
      <w:pPr>
        <w:pStyle w:val="Heading4"/>
      </w:pPr>
      <w:r>
        <w:t xml:space="preserve">Housing Land Supply Act 2018 extension </w:t>
      </w:r>
    </w:p>
    <w:p w14:paraId="07C93B70" w14:textId="2DAB4813" w:rsidR="001C1E4E" w:rsidRDefault="001C1E4E" w:rsidP="001C1E4E">
      <w:r>
        <w:t>Reported under Measure 3.</w:t>
      </w:r>
    </w:p>
    <w:p w14:paraId="7294DBE6" w14:textId="1D507ADC" w:rsidR="00B710F4" w:rsidRDefault="001C1E4E" w:rsidP="001C1E4E">
      <w:r>
        <w:t xml:space="preserve">The </w:t>
      </w:r>
      <w:r w:rsidRPr="0009561D">
        <w:t>Housing Land Supply Act</w:t>
      </w:r>
      <w:r>
        <w:t xml:space="preserve"> was introduced in 2018 as a fast-track rezoning process for certain Government land for housing through Housing Land Supply Orders, guaranteeing that </w:t>
      </w:r>
      <w:r w:rsidR="00592E74">
        <w:t xml:space="preserve">a </w:t>
      </w:r>
      <w:r>
        <w:t>portion is provided as social and affordable housing. It also enables changes to the planning scheme requirements applicable to an area to better facilitate housing. Land subject to a Housing Land Supply Order is vested with Homes Tasmania (Tasmania’s statutory body for delivering social and affordable housing) for delivery with the proportion of social and affordable housing tailored to suit the site and the needs of the community. The Act initially operated for 5 years to boost the supply of land for housing and was extended for a further 10 years in September 2023.</w:t>
      </w:r>
    </w:p>
    <w:p w14:paraId="5058363D" w14:textId="5C0C22CA" w:rsidR="001C1E4E" w:rsidRPr="00B710F4" w:rsidRDefault="00A73112" w:rsidP="001C1E4E">
      <w:r>
        <w:t>This e</w:t>
      </w:r>
      <w:r w:rsidR="00D6769A" w:rsidRPr="00D6769A">
        <w:t xml:space="preserve">nables Homes Tasmania to continue to use the fast-track rezoning process for social and affordable housing and deliver on </w:t>
      </w:r>
      <w:r w:rsidR="00D6769A" w:rsidRPr="000B48D3">
        <w:t>the Tasmanian Government</w:t>
      </w:r>
      <w:r w:rsidR="00C01729">
        <w:t>’</w:t>
      </w:r>
      <w:r w:rsidR="00D6769A" w:rsidRPr="000B48D3">
        <w:t xml:space="preserve">s </w:t>
      </w:r>
      <w:proofErr w:type="gramStart"/>
      <w:r w:rsidR="00D6769A" w:rsidRPr="000B48D3">
        <w:t>10 year</w:t>
      </w:r>
      <w:proofErr w:type="gramEnd"/>
      <w:r w:rsidR="00D6769A" w:rsidRPr="000B48D3">
        <w:t xml:space="preserve"> plan for more social and affordable housing.</w:t>
      </w:r>
    </w:p>
    <w:p w14:paraId="3E63AD67" w14:textId="4C27FC9B" w:rsidR="0025578F" w:rsidRDefault="0025578F" w:rsidP="0025578F">
      <w:pPr>
        <w:pStyle w:val="Heading2"/>
      </w:pPr>
      <w:bookmarkStart w:id="21" w:name="_Toc160799712"/>
      <w:bookmarkStart w:id="22" w:name="_Toc164694086"/>
      <w:r>
        <w:t xml:space="preserve">Barriers to the timely issuing of development approvals, and reforms to address </w:t>
      </w:r>
      <w:proofErr w:type="gramStart"/>
      <w:r>
        <w:t>them</w:t>
      </w:r>
      <w:bookmarkEnd w:id="21"/>
      <w:bookmarkEnd w:id="22"/>
      <w:proofErr w:type="gramEnd"/>
    </w:p>
    <w:p w14:paraId="3C86735B" w14:textId="200499A3" w:rsidR="006F6E60" w:rsidRDefault="006F6E60" w:rsidP="006F6E60">
      <w:r>
        <w:t xml:space="preserve">Tasmania has very efficient development approvals with average (median and mean) approval times across local councils below 40 statutory calendar days where there has been public notification and around 20 days where the proposal is complying. These timeframes do not include the considerable number of complying single dwelling developments that are ‘as of right’ and do not require the issuing of planning permits and can proceed </w:t>
      </w:r>
      <w:r w:rsidR="00AD137F">
        <w:t xml:space="preserve">directly </w:t>
      </w:r>
      <w:r>
        <w:t xml:space="preserve">to building approval. To assist with these, the Government introduced private certification of no permit required proposals by certified planners. </w:t>
      </w:r>
    </w:p>
    <w:p w14:paraId="24E5EA6E" w14:textId="61F15837" w:rsidR="006F6E60" w:rsidRDefault="006F6E60" w:rsidP="006F6E60">
      <w:r>
        <w:t xml:space="preserve">Additionally, Tasmania </w:t>
      </w:r>
      <w:r w:rsidR="0017037A">
        <w:t>h</w:t>
      </w:r>
      <w:r>
        <w:t>as recently introduced a process for the timely sign</w:t>
      </w:r>
      <w:r w:rsidR="00AD137F">
        <w:t>-</w:t>
      </w:r>
      <w:r>
        <w:t>off of post approval conditions.</w:t>
      </w:r>
    </w:p>
    <w:p w14:paraId="030115E9" w14:textId="77777777" w:rsidR="00776D00" w:rsidRDefault="00776D00" w:rsidP="00776D00">
      <w:pPr>
        <w:pStyle w:val="Heading2"/>
      </w:pPr>
      <w:bookmarkStart w:id="23" w:name="_Toc160799713"/>
      <w:bookmarkStart w:id="24" w:name="_Toc164694087"/>
      <w:r>
        <w:t xml:space="preserve">Initiatives to share planning data and improve visibility of factors affecting housing </w:t>
      </w:r>
      <w:proofErr w:type="gramStart"/>
      <w:r>
        <w:t>delivery</w:t>
      </w:r>
      <w:bookmarkEnd w:id="23"/>
      <w:bookmarkEnd w:id="24"/>
      <w:proofErr w:type="gramEnd"/>
    </w:p>
    <w:p w14:paraId="1A2B8642" w14:textId="1364AB6E" w:rsidR="00C65C13" w:rsidRDefault="001655D4" w:rsidP="00C65C13">
      <w:pPr>
        <w:rPr>
          <w:iCs/>
        </w:rPr>
      </w:pPr>
      <w:proofErr w:type="spellStart"/>
      <w:r w:rsidRPr="00B6509C">
        <w:rPr>
          <w:iCs/>
        </w:rPr>
        <w:t>PlanBuild</w:t>
      </w:r>
      <w:proofErr w:type="spellEnd"/>
      <w:r w:rsidRPr="00B6509C">
        <w:rPr>
          <w:iCs/>
        </w:rPr>
        <w:t xml:space="preserve"> Tasmania is being established as central location for the lodgement of planning applications and once operational will provide data on council approvals. </w:t>
      </w:r>
      <w:r w:rsidR="009B27BE" w:rsidRPr="00B6509C">
        <w:rPr>
          <w:iCs/>
        </w:rPr>
        <w:t>The Tasmanian Government has recently funded residential demand and supply studies across each of the three regions.  This work which was undertaken in collaboration with local government and is now complete and provides a consistent methodology and framework for ongoing data capture to assist with making strategic planning and policy decision</w:t>
      </w:r>
      <w:r w:rsidR="00325BF7">
        <w:rPr>
          <w:iCs/>
        </w:rPr>
        <w:t>s</w:t>
      </w:r>
      <w:r w:rsidR="009B27BE" w:rsidRPr="00B6509C">
        <w:rPr>
          <w:iCs/>
        </w:rPr>
        <w:t xml:space="preserve"> on housing delivery, particularly through monitoring of the three regional land use strategies.</w:t>
      </w:r>
    </w:p>
    <w:p w14:paraId="2E9ED71E" w14:textId="77777777" w:rsidR="0062235C" w:rsidRDefault="0062235C" w:rsidP="0062235C">
      <w:pPr>
        <w:pStyle w:val="Heading2"/>
      </w:pPr>
      <w:bookmarkStart w:id="25" w:name="_Toc160799716"/>
      <w:bookmarkStart w:id="26" w:name="_Toc164694088"/>
      <w:r>
        <w:t>Planning and i</w:t>
      </w:r>
      <w:r w:rsidRPr="00BE62F5">
        <w:t xml:space="preserve">nclusionary zoning </w:t>
      </w:r>
      <w:r>
        <w:t xml:space="preserve">reforms </w:t>
      </w:r>
      <w:r w:rsidRPr="00BE62F5">
        <w:t xml:space="preserve">to support permanent affordable, </w:t>
      </w:r>
      <w:proofErr w:type="gramStart"/>
      <w:r w:rsidRPr="00BE62F5">
        <w:t>social</w:t>
      </w:r>
      <w:proofErr w:type="gramEnd"/>
      <w:r w:rsidRPr="00BE62F5">
        <w:t xml:space="preserve"> and other specialist housing in developments</w:t>
      </w:r>
      <w:r>
        <w:rPr>
          <w:rStyle w:val="FootnoteReference"/>
        </w:rPr>
        <w:footnoteReference w:id="3"/>
      </w:r>
      <w:bookmarkEnd w:id="25"/>
      <w:bookmarkEnd w:id="26"/>
    </w:p>
    <w:p w14:paraId="73B4D2B6" w14:textId="0286F7FB" w:rsidR="002A40B7" w:rsidRDefault="002A40B7" w:rsidP="002A40B7">
      <w:pPr>
        <w:spacing w:before="0" w:after="160" w:line="259" w:lineRule="auto"/>
      </w:pPr>
      <w:r>
        <w:t xml:space="preserve">Tasmania currently has a form of inclusionary zoning through the </w:t>
      </w:r>
      <w:r w:rsidRPr="00855E9A">
        <w:t>Housing Land Supply Act 2018</w:t>
      </w:r>
      <w:r>
        <w:t xml:space="preserve"> which </w:t>
      </w:r>
      <w:r w:rsidR="0045690F">
        <w:t>provides</w:t>
      </w:r>
      <w:r>
        <w:t xml:space="preserve"> a fast-track process for Homes Tasmania (Tasmania’s statutory authority for providing social and affordable housing) to rezone land for housing. This process ensures a portion is delivered as </w:t>
      </w:r>
      <w:r w:rsidR="0045690F">
        <w:t>social</w:t>
      </w:r>
      <w:r>
        <w:t xml:space="preserve"> and affordable housing with the proportion tailored to the site and the needs of the community. This provides an appropriate </w:t>
      </w:r>
      <w:r w:rsidR="0045690F">
        <w:t>mechanism</w:t>
      </w:r>
      <w:r>
        <w:t xml:space="preserve"> for delivering social and affordable housing in Tasmania without setting mandatory targets.</w:t>
      </w:r>
    </w:p>
    <w:p w14:paraId="7B0473EB" w14:textId="464F818A" w:rsidR="002A40B7" w:rsidRDefault="002A40B7" w:rsidP="002A40B7">
      <w:pPr>
        <w:spacing w:before="0" w:after="160" w:line="259" w:lineRule="auto"/>
      </w:pPr>
      <w:r>
        <w:t xml:space="preserve">Tasmania’s current reforms, specifically the review of the planning requirements for housing </w:t>
      </w:r>
      <w:r w:rsidR="00855E9A">
        <w:t xml:space="preserve">in </w:t>
      </w:r>
      <w:r>
        <w:t>the Tasmanian Planning Scheme, will also focus on optimisation for all housing types regardless of whether they are for social or affordable housing. This avoids distorting the planning requirements for a specific type of housing.</w:t>
      </w:r>
    </w:p>
    <w:p w14:paraId="74DFFC79" w14:textId="77777777" w:rsidR="002A40B7" w:rsidRDefault="002A40B7" w:rsidP="002A40B7">
      <w:pPr>
        <w:spacing w:before="0" w:after="160" w:line="259" w:lineRule="auto"/>
      </w:pPr>
      <w:r>
        <w:t xml:space="preserve">There will likely be difficulties in implementing mandatory inclusionary zoning in Tasmania for the following reasons: </w:t>
      </w:r>
    </w:p>
    <w:p w14:paraId="4FE5A2C5" w14:textId="542E115B" w:rsidR="002A40B7" w:rsidRDefault="002A40B7" w:rsidP="0045690F">
      <w:pPr>
        <w:pStyle w:val="Bullet"/>
      </w:pPr>
      <w:r>
        <w:t>Inclusionary zoning is most effective in large scale developments and Tasmania is traditionally characterised by small scale development so a mandatory inclusion of say 10-15% for small developments would be unlikely to deliver significant amounts of social or affordable housing.</w:t>
      </w:r>
    </w:p>
    <w:p w14:paraId="79A92FB3" w14:textId="033BB725" w:rsidR="0045690F" w:rsidRDefault="002A40B7" w:rsidP="0045690F">
      <w:pPr>
        <w:pStyle w:val="Bullet"/>
      </w:pPr>
      <w:r>
        <w:t>Unless adequately subsidised or delivered through government developments, private developers may not progress housing developments if they become unviable or may seek to underdevelop a site to avoid having to provide a portion of dwellings for social and affordable housing.</w:t>
      </w:r>
    </w:p>
    <w:p w14:paraId="6F467BB5" w14:textId="7D4872ED" w:rsidR="00246664" w:rsidRDefault="0045690F" w:rsidP="002A40B7">
      <w:pPr>
        <w:spacing w:before="0" w:after="160" w:line="259" w:lineRule="auto"/>
      </w:pPr>
      <w:r w:rsidRPr="0045690F">
        <w:t xml:space="preserve">Inclusionary zoning requires ongoing ownership of the properties by housing providers otherwise the ‘subsidy’ is effectively </w:t>
      </w:r>
      <w:proofErr w:type="gramStart"/>
      <w:r w:rsidRPr="0045690F">
        <w:t>one-off</w:t>
      </w:r>
      <w:proofErr w:type="gramEnd"/>
      <w:r w:rsidRPr="0045690F">
        <w:t xml:space="preserve"> and the initial (subsidised) purchaser can sell at market value later. There is limited ability for the planning system to control the ownership of land following approval.</w:t>
      </w:r>
      <w:r w:rsidR="00246664">
        <w:br w:type="page"/>
      </w:r>
    </w:p>
    <w:p w14:paraId="4F652EE1" w14:textId="77777777" w:rsidR="00246664" w:rsidRPr="003074FE" w:rsidRDefault="00246664" w:rsidP="003074FE">
      <w:pPr>
        <w:pStyle w:val="SingleParagraph"/>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46664" w14:paraId="00965AB2" w14:textId="77777777" w:rsidTr="003074FE">
        <w:tc>
          <w:tcPr>
            <w:tcW w:w="5000" w:type="pct"/>
            <w:shd w:val="clear" w:color="auto" w:fill="CEDBE6" w:themeFill="background2"/>
            <w:hideMark/>
          </w:tcPr>
          <w:p w14:paraId="77C44CF8" w14:textId="3F2D8520" w:rsidR="00246664" w:rsidRDefault="00246664" w:rsidP="00AB44A7">
            <w:pPr>
              <w:pStyle w:val="Heading1"/>
              <w:rPr>
                <w:lang w:eastAsia="en-US"/>
              </w:rPr>
            </w:pPr>
            <w:bookmarkStart w:id="27" w:name="_Toc164694089"/>
            <w:r>
              <w:rPr>
                <w:lang w:eastAsia="en-US"/>
              </w:rPr>
              <w:t>Measure 10</w:t>
            </w:r>
            <w:bookmarkEnd w:id="27"/>
          </w:p>
          <w:p w14:paraId="36A8B0E0" w14:textId="1AFD3E20" w:rsidR="00246664" w:rsidRDefault="00AB44A7" w:rsidP="00246664">
            <w:pPr>
              <w:pStyle w:val="BoxText"/>
            </w:pPr>
            <w:r w:rsidRPr="0062235C">
              <w:rPr>
                <w:sz w:val="24"/>
                <w:szCs w:val="24"/>
              </w:rPr>
              <w:t xml:space="preserve">All levels of government will ensure the efficient use of government land, including the identification of surplus land suitable for housing and the delivery of best practice projects to support housing supply, </w:t>
            </w:r>
            <w:proofErr w:type="gramStart"/>
            <w:r w:rsidRPr="0062235C">
              <w:rPr>
                <w:sz w:val="24"/>
                <w:szCs w:val="24"/>
              </w:rPr>
              <w:t>diversity</w:t>
            </w:r>
            <w:proofErr w:type="gramEnd"/>
            <w:r w:rsidRPr="0062235C">
              <w:rPr>
                <w:sz w:val="24"/>
                <w:szCs w:val="24"/>
              </w:rPr>
              <w:t xml:space="preserve"> and affordability.</w:t>
            </w:r>
          </w:p>
        </w:tc>
      </w:tr>
    </w:tbl>
    <w:p w14:paraId="7F9DEE91" w14:textId="38B128C5" w:rsidR="001E1FDE" w:rsidRDefault="001E1FDE" w:rsidP="001E1FDE">
      <w:pPr>
        <w:pStyle w:val="Heading2"/>
      </w:pPr>
      <w:bookmarkStart w:id="28" w:name="_Toc160799718"/>
      <w:bookmarkStart w:id="29" w:name="_Toc164694090"/>
      <w:r>
        <w:t>Well located government land suitable for housing</w:t>
      </w:r>
      <w:bookmarkEnd w:id="28"/>
      <w:bookmarkEnd w:id="29"/>
    </w:p>
    <w:p w14:paraId="4B4036F7" w14:textId="1E36C427" w:rsidR="00E013D9" w:rsidRDefault="00E013D9" w:rsidP="00E013D9">
      <w:r>
        <w:t xml:space="preserve">The Tasmanian Government housing authority (Homes Tasmania) works to identify government land that can be repurposed for housing and utilises the </w:t>
      </w:r>
      <w:r w:rsidRPr="00855E9A">
        <w:t>Housing Land Supply Act 201</w:t>
      </w:r>
      <w:r w:rsidR="001F5C94" w:rsidRPr="00855E9A">
        <w:t>8</w:t>
      </w:r>
      <w:r>
        <w:t xml:space="preserve"> to deliver faster rezoning. It can also acquire land and utilise this process. The criteria set out in the Housing </w:t>
      </w:r>
      <w:r w:rsidRPr="00855E9A">
        <w:t>Land Supply Act 201</w:t>
      </w:r>
      <w:r w:rsidR="001F5C94" w:rsidRPr="00855E9A">
        <w:t>8</w:t>
      </w:r>
      <w:r>
        <w:t xml:space="preserve"> require the land to be suitable for use for residential purposes by virtue of its proximity to public and commercial services, public transport and places that may provide opportunities for employment.</w:t>
      </w:r>
    </w:p>
    <w:p w14:paraId="0C38C4CF" w14:textId="77777777" w:rsidR="00FB7B27" w:rsidRDefault="00FB7B27" w:rsidP="00FB7B27">
      <w:pPr>
        <w:pStyle w:val="Heading2"/>
      </w:pPr>
      <w:bookmarkStart w:id="30" w:name="_Toc160799719"/>
      <w:bookmarkStart w:id="31" w:name="_Toc164694091"/>
      <w:r>
        <w:t>Best practice examples of developing government land</w:t>
      </w:r>
      <w:bookmarkEnd w:id="30"/>
      <w:bookmarkEnd w:id="31"/>
    </w:p>
    <w:p w14:paraId="79898695" w14:textId="1477E31E" w:rsidR="00E013D9" w:rsidRDefault="00E013D9" w:rsidP="00E013D9">
      <w:r>
        <w:t>The Tasmanian Government is also discussing the potential of the transfer of approximately 30ha of Commonwealth (Defence) land at Dowsing Point, Glenorchy which the State has identified as well-located with a development potential of at least 1</w:t>
      </w:r>
      <w:r w:rsidR="00A342C4">
        <w:t>,</w:t>
      </w:r>
      <w:r>
        <w:t>000 dwellings close to all services and employment opportunities.</w:t>
      </w:r>
    </w:p>
    <w:p w14:paraId="42428B1E" w14:textId="288F2FDF" w:rsidR="00154B85" w:rsidRPr="00E013D9" w:rsidRDefault="00E013D9" w:rsidP="00154B85">
      <w:pPr>
        <w:rPr>
          <w:rStyle w:val="Hyperlink"/>
          <w:color w:val="000000" w:themeColor="text1"/>
        </w:rPr>
      </w:pPr>
      <w:r>
        <w:t xml:space="preserve">The Government recently utilised the Housing Land Supply process to rezone 68ha of land at </w:t>
      </w:r>
      <w:proofErr w:type="spellStart"/>
      <w:r>
        <w:t>Huntingfield</w:t>
      </w:r>
      <w:proofErr w:type="spellEnd"/>
      <w:r>
        <w:t xml:space="preserve"> south of Hobart accompanied by a Master Plan setting out best practice staged development. </w:t>
      </w:r>
      <w:hyperlink r:id="rId19" w:history="1">
        <w:r w:rsidRPr="007D6D0B">
          <w:rPr>
            <w:rStyle w:val="Hyperlink"/>
          </w:rPr>
          <w:t>https://www.homestasmania.com.au/engage/land-release/huntingfieldlandrelease</w:t>
        </w:r>
      </w:hyperlink>
    </w:p>
    <w:sectPr w:rsidR="00154B85" w:rsidRPr="00E013D9" w:rsidSect="0049097A">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5005" w14:textId="77777777" w:rsidR="003833A8" w:rsidRDefault="003833A8">
      <w:pPr>
        <w:spacing w:before="0" w:after="0"/>
      </w:pPr>
      <w:r>
        <w:separator/>
      </w:r>
    </w:p>
  </w:endnote>
  <w:endnote w:type="continuationSeparator" w:id="0">
    <w:p w14:paraId="6360BCCA" w14:textId="77777777" w:rsidR="003833A8" w:rsidRDefault="003833A8">
      <w:pPr>
        <w:spacing w:before="0" w:after="0"/>
      </w:pPr>
      <w:r>
        <w:continuationSeparator/>
      </w:r>
    </w:p>
  </w:endnote>
  <w:endnote w:type="continuationNotice" w:id="1">
    <w:p w14:paraId="1ADC048C" w14:textId="77777777" w:rsidR="003833A8" w:rsidRDefault="003833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927B" w14:textId="6E8F0580"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r w:rsidR="008C26C6">
      <w:fldChar w:fldCharType="begin"/>
    </w:r>
    <w:r w:rsidR="008C26C6">
      <w:instrText>STYLEREF  Title  \* MERGEFORMAT</w:instrText>
    </w:r>
    <w:r w:rsidR="008C26C6">
      <w:fldChar w:fldCharType="separate"/>
    </w:r>
    <w:r w:rsidR="008C26C6">
      <w:t>National Planning Reform Blueprint</w:t>
    </w:r>
    <w:r w:rsidR="008C26C6">
      <w:br/>
      <w:t>Tasmania March 2024 progress report</w:t>
    </w:r>
    <w:r w:rsidR="008C26C6">
      <w:fldChar w:fldCharType="end"/>
    </w:r>
    <w:r w:rsidR="008C26C6">
      <w:fldChar w:fldCharType="begin"/>
    </w:r>
    <w:r w:rsidR="008C26C6">
      <w:instrText>STYLEREF  Title  \* MERGEFORMAT</w:instrText>
    </w:r>
    <w:r w:rsidR="008C26C6">
      <w:fldChar w:fldCharType="separate"/>
    </w:r>
    <w:r w:rsidR="008C26C6">
      <w:t>National Planning Reform Blueprint</w:t>
    </w:r>
    <w:r w:rsidR="008C26C6">
      <w:br/>
      <w:t>Tasmania March 2024 progress report</w:t>
    </w:r>
    <w:r w:rsidR="008C26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1E23" w14:textId="6D43B4ED" w:rsidR="00B55B04" w:rsidRDefault="00B55B04" w:rsidP="003C6534">
    <w:pPr>
      <w:pStyle w:val="FooterOdd"/>
    </w:pPr>
    <w:r>
      <w:ptab w:relativeTo="margin" w:alignment="right" w:leader="none"/>
    </w:r>
    <w:r w:rsidR="008C26C6">
      <w:fldChar w:fldCharType="begin"/>
    </w:r>
    <w:r w:rsidR="008C26C6">
      <w:instrText>STYLEREF  "Heading 1"  \* MERGEFORMAT</w:instrText>
    </w:r>
    <w:r w:rsidR="008C26C6">
      <w:fldChar w:fldCharType="separate"/>
    </w:r>
    <w:r w:rsidR="008C26C6">
      <w:rPr>
        <w:noProof/>
      </w:rPr>
      <w:t>Contents</w:t>
    </w:r>
    <w:r w:rsidR="008C26C6">
      <w:rPr>
        <w:noProof/>
      </w:rPr>
      <w:fldChar w:fldCharType="end"/>
    </w:r>
    <w:r>
      <w:rPr>
        <w:noProof/>
      </w:rPr>
      <w:t xml:space="preserve"> </w:t>
    </w:r>
    <w:r>
      <w:t xml:space="preserve">| </w:t>
    </w:r>
    <w:r w:rsidR="0049097A">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AEB3" w14:textId="7574DB1C"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8C26C6">
      <w:fldChar w:fldCharType="begin"/>
    </w:r>
    <w:r w:rsidR="008C26C6">
      <w:instrText>STYLEREF  "Heading 1"  \* MERGEFORMAT</w:instrText>
    </w:r>
    <w:r w:rsidR="008C26C6">
      <w:fldChar w:fldCharType="separate"/>
    </w:r>
    <w:r w:rsidR="008C26C6">
      <w:t>Measure 6</w:t>
    </w:r>
    <w:r w:rsidR="008C26C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E1A6" w14:textId="66D3DF38" w:rsidR="00C60B0F" w:rsidRPr="001515FD" w:rsidRDefault="008C26C6" w:rsidP="00AB738A">
    <w:pPr>
      <w:pStyle w:val="FooterOdd"/>
    </w:pPr>
    <w:r>
      <w:fldChar w:fldCharType="begin"/>
    </w:r>
    <w:r>
      <w:instrText>STYLEREF  "Heading 1"  \* MERGEFORMAT</w:instrText>
    </w:r>
    <w:r>
      <w:fldChar w:fldCharType="separate"/>
    </w:r>
    <w:r>
      <w:rPr>
        <w:noProof/>
      </w:rPr>
      <w:t>Measure 10</w:t>
    </w:r>
    <w:r>
      <w:rPr>
        <w:noProof/>
      </w:rPr>
      <w:fldChar w:fldCharType="end"/>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73C"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2AFE" w14:textId="77777777" w:rsidR="003833A8" w:rsidRPr="00ED5A20" w:rsidRDefault="003833A8" w:rsidP="000F6233">
      <w:pPr>
        <w:rPr>
          <w:color w:val="58B6C0" w:themeColor="accent2"/>
        </w:rPr>
      </w:pPr>
      <w:r w:rsidRPr="00ED5A20">
        <w:rPr>
          <w:color w:val="58B6C0" w:themeColor="accent2"/>
        </w:rPr>
        <w:separator/>
      </w:r>
    </w:p>
  </w:footnote>
  <w:footnote w:type="continuationSeparator" w:id="0">
    <w:p w14:paraId="7B5F403D" w14:textId="77777777" w:rsidR="003833A8" w:rsidRPr="00B737EB" w:rsidRDefault="003833A8">
      <w:pPr>
        <w:spacing w:before="0" w:after="0"/>
        <w:rPr>
          <w:color w:val="3494BA" w:themeColor="accent1"/>
        </w:rPr>
      </w:pPr>
      <w:r w:rsidRPr="00B737EB">
        <w:rPr>
          <w:color w:val="3494BA" w:themeColor="accent1"/>
        </w:rPr>
        <w:continuationSeparator/>
      </w:r>
    </w:p>
  </w:footnote>
  <w:footnote w:type="continuationNotice" w:id="1">
    <w:p w14:paraId="2ACC3E04" w14:textId="77777777" w:rsidR="003833A8" w:rsidRDefault="003833A8">
      <w:pPr>
        <w:spacing w:before="0" w:after="0"/>
      </w:pPr>
    </w:p>
  </w:footnote>
  <w:footnote w:id="2">
    <w:p w14:paraId="08174DA4" w14:textId="77777777" w:rsidR="00DD7F34" w:rsidRDefault="00DD7F34" w:rsidP="00DD7F34">
      <w:pPr>
        <w:pStyle w:val="FootnoteText"/>
      </w:pPr>
      <w:r>
        <w:rPr>
          <w:rStyle w:val="FootnoteReference"/>
        </w:rPr>
        <w:footnoteRef/>
      </w:r>
      <w:r>
        <w:t xml:space="preserve"> </w:t>
      </w:r>
      <w:r w:rsidRPr="00300DB4">
        <w:t>For the purpose of this report it is assumed that development ready means land with infrastructure that is ready to sell and/ or construct</w:t>
      </w:r>
    </w:p>
  </w:footnote>
  <w:footnote w:id="3">
    <w:p w14:paraId="1EAF53AC" w14:textId="0AA03E20" w:rsidR="0062235C" w:rsidRDefault="0062235C" w:rsidP="0062235C">
      <w:pPr>
        <w:pStyle w:val="FootnoteText"/>
      </w:pPr>
      <w:r>
        <w:rPr>
          <w:rStyle w:val="FootnoteReference"/>
        </w:rPr>
        <w:footnoteRef/>
      </w:r>
      <w:r>
        <w:t xml:space="preserve"> W</w:t>
      </w:r>
      <w:r w:rsidRPr="000854ED">
        <w:t xml:space="preserve">here appropriate and where such zoning and planning does not add to construction costs e.g., </w:t>
      </w:r>
      <w:r w:rsidRPr="000854ED">
        <w:t>through the use of incentives such as density bonuses</w:t>
      </w:r>
      <w:r w:rsidR="00A551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AA45" w14:textId="68E70468" w:rsidR="00B55B04" w:rsidRPr="005C5571" w:rsidRDefault="008C26C6" w:rsidP="005C5571">
    <w:pPr>
      <w:pStyle w:val="HeaderEven"/>
    </w:pPr>
    <w:r>
      <w:fldChar w:fldCharType="begin"/>
    </w:r>
    <w:r>
      <w:instrText>STYLEREF  Title  \* MERGEFORMAT</w:instrText>
    </w:r>
    <w:r>
      <w:fldChar w:fldCharType="separate"/>
    </w:r>
    <w:r>
      <w:rPr>
        <w:noProof/>
      </w:rPr>
      <w:t>National Planning Reform Blueprint</w:t>
    </w:r>
    <w:r>
      <w:rPr>
        <w:noProof/>
      </w:rPr>
      <w:br/>
      <w:t>Tasmania March 2024 progress report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8638"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382B" w14:textId="77777777" w:rsidR="005C5571" w:rsidRPr="00647692" w:rsidRDefault="005C5571" w:rsidP="00647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FEA" w14:textId="044275C6" w:rsidR="00C60B0F" w:rsidRPr="00647692" w:rsidRDefault="008C26C6" w:rsidP="00647692">
    <w:pPr>
      <w:pStyle w:val="HeaderEven"/>
    </w:pPr>
    <w:r>
      <w:fldChar w:fldCharType="begin"/>
    </w:r>
    <w:r>
      <w:instrText>STYLEREF  Title  \* MERGEFORMAT</w:instrText>
    </w:r>
    <w:r>
      <w:fldChar w:fldCharType="separate"/>
    </w:r>
    <w:r>
      <w:rPr>
        <w:noProof/>
      </w:rPr>
      <w:t>National Planning Reform Blueprint</w:t>
    </w:r>
    <w:r>
      <w:rPr>
        <w:noProof/>
      </w:rPr>
      <w:br/>
      <w:t>Tasmania March 2024 progress report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25F8" w14:textId="66B0D8FE" w:rsidR="00C60B0F" w:rsidRPr="00F60198" w:rsidRDefault="008C26C6" w:rsidP="00A12F62">
    <w:pPr>
      <w:pStyle w:val="HeaderOdd"/>
    </w:pPr>
    <w:r>
      <w:fldChar w:fldCharType="begin"/>
    </w:r>
    <w:r>
      <w:instrText>STYLEREF  Title  \* MERGEFORMAT</w:instrText>
    </w:r>
    <w:r>
      <w:fldChar w:fldCharType="separate"/>
    </w:r>
    <w:r>
      <w:rPr>
        <w:noProof/>
      </w:rPr>
      <w:t>National Planning Reform Blueprint</w:t>
    </w:r>
    <w:r>
      <w:rPr>
        <w:noProof/>
      </w:rPr>
      <w:br/>
      <w:t>Tasmania March 2024 progress report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3AF2"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71173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0"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90802C60"/>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9"/>
  </w:num>
  <w:num w:numId="2" w16cid:durableId="125392115">
    <w:abstractNumId w:val="0"/>
  </w:num>
  <w:num w:numId="3" w16cid:durableId="1138493796">
    <w:abstractNumId w:val="13"/>
  </w:num>
  <w:num w:numId="4" w16cid:durableId="697198535">
    <w:abstractNumId w:val="2"/>
  </w:num>
  <w:num w:numId="5" w16cid:durableId="402218185">
    <w:abstractNumId w:val="3"/>
  </w:num>
  <w:num w:numId="6" w16cid:durableId="1530605932">
    <w:abstractNumId w:val="15"/>
  </w:num>
  <w:num w:numId="7" w16cid:durableId="1077706018">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8"/>
  </w:num>
  <w:num w:numId="11" w16cid:durableId="981886855">
    <w:abstractNumId w:val="21"/>
  </w:num>
  <w:num w:numId="12" w16cid:durableId="1542596121">
    <w:abstractNumId w:val="15"/>
  </w:num>
  <w:num w:numId="13" w16cid:durableId="920913257">
    <w:abstractNumId w:val="22"/>
  </w:num>
  <w:num w:numId="14" w16cid:durableId="1906601709">
    <w:abstractNumId w:val="14"/>
  </w:num>
  <w:num w:numId="15" w16cid:durableId="1810710942">
    <w:abstractNumId w:val="7"/>
  </w:num>
  <w:num w:numId="16" w16cid:durableId="289938751">
    <w:abstractNumId w:val="18"/>
  </w:num>
  <w:num w:numId="17" w16cid:durableId="157624863">
    <w:abstractNumId w:val="12"/>
  </w:num>
  <w:num w:numId="18" w16cid:durableId="44793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0"/>
  </w:num>
  <w:num w:numId="20" w16cid:durableId="1948073332">
    <w:abstractNumId w:val="11"/>
  </w:num>
  <w:num w:numId="21" w16cid:durableId="207180920">
    <w:abstractNumId w:val="16"/>
  </w:num>
  <w:num w:numId="22" w16cid:durableId="1065297974">
    <w:abstractNumId w:val="17"/>
  </w:num>
  <w:num w:numId="23" w16cid:durableId="464323615">
    <w:abstractNumId w:val="5"/>
  </w:num>
  <w:num w:numId="24" w16cid:durableId="1086416009">
    <w:abstractNumId w:val="20"/>
  </w:num>
  <w:num w:numId="25" w16cid:durableId="399668951">
    <w:abstractNumId w:val="10"/>
  </w:num>
  <w:num w:numId="26" w16cid:durableId="563687371">
    <w:abstractNumId w:val="6"/>
  </w:num>
  <w:num w:numId="27" w16cid:durableId="1258710738">
    <w:abstractNumId w:val="17"/>
  </w:num>
  <w:num w:numId="28" w16cid:durableId="18727676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5D9"/>
    <w:rsid w:val="000008E1"/>
    <w:rsid w:val="00005717"/>
    <w:rsid w:val="00011725"/>
    <w:rsid w:val="00012C62"/>
    <w:rsid w:val="0001396A"/>
    <w:rsid w:val="000140C1"/>
    <w:rsid w:val="00016DA2"/>
    <w:rsid w:val="00020D3F"/>
    <w:rsid w:val="0002544D"/>
    <w:rsid w:val="00025E07"/>
    <w:rsid w:val="000304EA"/>
    <w:rsid w:val="00031062"/>
    <w:rsid w:val="0003540B"/>
    <w:rsid w:val="0003556D"/>
    <w:rsid w:val="00035A10"/>
    <w:rsid w:val="00036788"/>
    <w:rsid w:val="000419B1"/>
    <w:rsid w:val="00042300"/>
    <w:rsid w:val="0004274D"/>
    <w:rsid w:val="00043348"/>
    <w:rsid w:val="00043F29"/>
    <w:rsid w:val="0004483F"/>
    <w:rsid w:val="00046CB4"/>
    <w:rsid w:val="000507C5"/>
    <w:rsid w:val="0005138B"/>
    <w:rsid w:val="000522B7"/>
    <w:rsid w:val="00053118"/>
    <w:rsid w:val="00053717"/>
    <w:rsid w:val="00055B72"/>
    <w:rsid w:val="00056880"/>
    <w:rsid w:val="000611EC"/>
    <w:rsid w:val="00062837"/>
    <w:rsid w:val="000675D1"/>
    <w:rsid w:val="00073521"/>
    <w:rsid w:val="000746A6"/>
    <w:rsid w:val="000775DE"/>
    <w:rsid w:val="000777AD"/>
    <w:rsid w:val="00080725"/>
    <w:rsid w:val="00086647"/>
    <w:rsid w:val="00087228"/>
    <w:rsid w:val="00087C51"/>
    <w:rsid w:val="00087FAF"/>
    <w:rsid w:val="0009561D"/>
    <w:rsid w:val="000A3675"/>
    <w:rsid w:val="000A5876"/>
    <w:rsid w:val="000B093F"/>
    <w:rsid w:val="000B302A"/>
    <w:rsid w:val="000B4322"/>
    <w:rsid w:val="000B48D3"/>
    <w:rsid w:val="000B4B39"/>
    <w:rsid w:val="000B7B56"/>
    <w:rsid w:val="000C0053"/>
    <w:rsid w:val="000C571D"/>
    <w:rsid w:val="000C5F40"/>
    <w:rsid w:val="000D097D"/>
    <w:rsid w:val="000D2B73"/>
    <w:rsid w:val="000D56ED"/>
    <w:rsid w:val="000D5E78"/>
    <w:rsid w:val="000D779E"/>
    <w:rsid w:val="000E0B74"/>
    <w:rsid w:val="000E13B0"/>
    <w:rsid w:val="000E198F"/>
    <w:rsid w:val="000E19B7"/>
    <w:rsid w:val="000E20A0"/>
    <w:rsid w:val="000E4C54"/>
    <w:rsid w:val="000E6467"/>
    <w:rsid w:val="000E727D"/>
    <w:rsid w:val="000E7901"/>
    <w:rsid w:val="000F15F8"/>
    <w:rsid w:val="000F19AB"/>
    <w:rsid w:val="000F23EF"/>
    <w:rsid w:val="000F6233"/>
    <w:rsid w:val="0010520A"/>
    <w:rsid w:val="001076F0"/>
    <w:rsid w:val="0011279A"/>
    <w:rsid w:val="001153C1"/>
    <w:rsid w:val="0013198F"/>
    <w:rsid w:val="00131B2D"/>
    <w:rsid w:val="00131DC3"/>
    <w:rsid w:val="00132E48"/>
    <w:rsid w:val="00133999"/>
    <w:rsid w:val="00135B3C"/>
    <w:rsid w:val="00135D7A"/>
    <w:rsid w:val="00135E4C"/>
    <w:rsid w:val="0013681B"/>
    <w:rsid w:val="00136C1A"/>
    <w:rsid w:val="001373F5"/>
    <w:rsid w:val="00137B0A"/>
    <w:rsid w:val="001454A2"/>
    <w:rsid w:val="00145F89"/>
    <w:rsid w:val="00150070"/>
    <w:rsid w:val="0015007C"/>
    <w:rsid w:val="001515FD"/>
    <w:rsid w:val="001532A9"/>
    <w:rsid w:val="00154B85"/>
    <w:rsid w:val="001574C0"/>
    <w:rsid w:val="001606CF"/>
    <w:rsid w:val="00160A3B"/>
    <w:rsid w:val="0016128D"/>
    <w:rsid w:val="00163252"/>
    <w:rsid w:val="00164599"/>
    <w:rsid w:val="001655D4"/>
    <w:rsid w:val="00165C2A"/>
    <w:rsid w:val="00166D35"/>
    <w:rsid w:val="0017037A"/>
    <w:rsid w:val="0017089D"/>
    <w:rsid w:val="00173D4A"/>
    <w:rsid w:val="00176D19"/>
    <w:rsid w:val="001805A8"/>
    <w:rsid w:val="00180A8A"/>
    <w:rsid w:val="0018175D"/>
    <w:rsid w:val="001821BA"/>
    <w:rsid w:val="0018585F"/>
    <w:rsid w:val="00185A81"/>
    <w:rsid w:val="0019101A"/>
    <w:rsid w:val="00191CFE"/>
    <w:rsid w:val="00195C8E"/>
    <w:rsid w:val="00195CBF"/>
    <w:rsid w:val="00196951"/>
    <w:rsid w:val="001972D2"/>
    <w:rsid w:val="001A2968"/>
    <w:rsid w:val="001A3E33"/>
    <w:rsid w:val="001A4F1F"/>
    <w:rsid w:val="001A5D37"/>
    <w:rsid w:val="001B0524"/>
    <w:rsid w:val="001B1807"/>
    <w:rsid w:val="001B393C"/>
    <w:rsid w:val="001C1E4E"/>
    <w:rsid w:val="001C22C9"/>
    <w:rsid w:val="001C29AF"/>
    <w:rsid w:val="001C2D12"/>
    <w:rsid w:val="001C358D"/>
    <w:rsid w:val="001C3C0B"/>
    <w:rsid w:val="001C40A0"/>
    <w:rsid w:val="001C4D01"/>
    <w:rsid w:val="001D12A7"/>
    <w:rsid w:val="001D1313"/>
    <w:rsid w:val="001E1FDE"/>
    <w:rsid w:val="001E6FD8"/>
    <w:rsid w:val="001F1B27"/>
    <w:rsid w:val="001F5C94"/>
    <w:rsid w:val="002129E4"/>
    <w:rsid w:val="00212D00"/>
    <w:rsid w:val="0021716D"/>
    <w:rsid w:val="0022085C"/>
    <w:rsid w:val="00221EC0"/>
    <w:rsid w:val="002308CB"/>
    <w:rsid w:val="00231049"/>
    <w:rsid w:val="002314D2"/>
    <w:rsid w:val="00232D78"/>
    <w:rsid w:val="0023305C"/>
    <w:rsid w:val="00233FD8"/>
    <w:rsid w:val="00234634"/>
    <w:rsid w:val="00234E09"/>
    <w:rsid w:val="00236E1D"/>
    <w:rsid w:val="00241881"/>
    <w:rsid w:val="0024294C"/>
    <w:rsid w:val="002437D1"/>
    <w:rsid w:val="002453A7"/>
    <w:rsid w:val="002461BA"/>
    <w:rsid w:val="00246664"/>
    <w:rsid w:val="00246DDF"/>
    <w:rsid w:val="002543D8"/>
    <w:rsid w:val="0025578F"/>
    <w:rsid w:val="0025652F"/>
    <w:rsid w:val="00257397"/>
    <w:rsid w:val="0026026F"/>
    <w:rsid w:val="002608F1"/>
    <w:rsid w:val="00261DD0"/>
    <w:rsid w:val="00263B6C"/>
    <w:rsid w:val="00263FE0"/>
    <w:rsid w:val="00264697"/>
    <w:rsid w:val="002646D4"/>
    <w:rsid w:val="00265CD0"/>
    <w:rsid w:val="00270F32"/>
    <w:rsid w:val="00272939"/>
    <w:rsid w:val="0027463F"/>
    <w:rsid w:val="00274A7E"/>
    <w:rsid w:val="0027590B"/>
    <w:rsid w:val="00275ECE"/>
    <w:rsid w:val="002772E0"/>
    <w:rsid w:val="00283181"/>
    <w:rsid w:val="0028562F"/>
    <w:rsid w:val="00285969"/>
    <w:rsid w:val="002931C6"/>
    <w:rsid w:val="00295B30"/>
    <w:rsid w:val="00296BB1"/>
    <w:rsid w:val="002A0839"/>
    <w:rsid w:val="002A130F"/>
    <w:rsid w:val="002A25B8"/>
    <w:rsid w:val="002A40B7"/>
    <w:rsid w:val="002A4975"/>
    <w:rsid w:val="002A74EF"/>
    <w:rsid w:val="002A7A31"/>
    <w:rsid w:val="002A7B88"/>
    <w:rsid w:val="002B11B5"/>
    <w:rsid w:val="002B3829"/>
    <w:rsid w:val="002B69DC"/>
    <w:rsid w:val="002C22EF"/>
    <w:rsid w:val="002C4907"/>
    <w:rsid w:val="002C7937"/>
    <w:rsid w:val="002E0213"/>
    <w:rsid w:val="002E1FB6"/>
    <w:rsid w:val="002E454C"/>
    <w:rsid w:val="002E7F08"/>
    <w:rsid w:val="002F26A5"/>
    <w:rsid w:val="002F27B9"/>
    <w:rsid w:val="002F617F"/>
    <w:rsid w:val="002F7AF6"/>
    <w:rsid w:val="00300109"/>
    <w:rsid w:val="00301755"/>
    <w:rsid w:val="00304929"/>
    <w:rsid w:val="0030665E"/>
    <w:rsid w:val="00306894"/>
    <w:rsid w:val="003074FE"/>
    <w:rsid w:val="003122F4"/>
    <w:rsid w:val="00312881"/>
    <w:rsid w:val="00314DC1"/>
    <w:rsid w:val="00316979"/>
    <w:rsid w:val="00321AD4"/>
    <w:rsid w:val="00324FA2"/>
    <w:rsid w:val="003258E8"/>
    <w:rsid w:val="00325BF7"/>
    <w:rsid w:val="0032657B"/>
    <w:rsid w:val="003268D5"/>
    <w:rsid w:val="003308E1"/>
    <w:rsid w:val="00334176"/>
    <w:rsid w:val="003356FE"/>
    <w:rsid w:val="0033755F"/>
    <w:rsid w:val="00344051"/>
    <w:rsid w:val="003448F6"/>
    <w:rsid w:val="00350388"/>
    <w:rsid w:val="00350759"/>
    <w:rsid w:val="00354D27"/>
    <w:rsid w:val="0035738A"/>
    <w:rsid w:val="00357904"/>
    <w:rsid w:val="00357B8B"/>
    <w:rsid w:val="003629AF"/>
    <w:rsid w:val="00364EB3"/>
    <w:rsid w:val="003667E1"/>
    <w:rsid w:val="00370A12"/>
    <w:rsid w:val="00372397"/>
    <w:rsid w:val="00372E94"/>
    <w:rsid w:val="003744B0"/>
    <w:rsid w:val="0037487E"/>
    <w:rsid w:val="00375655"/>
    <w:rsid w:val="00376AB5"/>
    <w:rsid w:val="00381621"/>
    <w:rsid w:val="003833A8"/>
    <w:rsid w:val="003858A6"/>
    <w:rsid w:val="00386981"/>
    <w:rsid w:val="0039150C"/>
    <w:rsid w:val="003925C6"/>
    <w:rsid w:val="00392DCC"/>
    <w:rsid w:val="00393FF1"/>
    <w:rsid w:val="003941EF"/>
    <w:rsid w:val="00394228"/>
    <w:rsid w:val="00397BB5"/>
    <w:rsid w:val="003A1F1C"/>
    <w:rsid w:val="003A5B36"/>
    <w:rsid w:val="003A6543"/>
    <w:rsid w:val="003A6F94"/>
    <w:rsid w:val="003A7DDA"/>
    <w:rsid w:val="003B50AD"/>
    <w:rsid w:val="003B6903"/>
    <w:rsid w:val="003B698E"/>
    <w:rsid w:val="003B6C78"/>
    <w:rsid w:val="003C24B4"/>
    <w:rsid w:val="003C27A1"/>
    <w:rsid w:val="003C6534"/>
    <w:rsid w:val="003D0251"/>
    <w:rsid w:val="003D1413"/>
    <w:rsid w:val="003D5A35"/>
    <w:rsid w:val="003D67F1"/>
    <w:rsid w:val="003D76DB"/>
    <w:rsid w:val="003E20D6"/>
    <w:rsid w:val="003E4D87"/>
    <w:rsid w:val="003E5EC5"/>
    <w:rsid w:val="003E74B9"/>
    <w:rsid w:val="003F0C7F"/>
    <w:rsid w:val="003F101C"/>
    <w:rsid w:val="003F3C85"/>
    <w:rsid w:val="00401082"/>
    <w:rsid w:val="00402FB2"/>
    <w:rsid w:val="00403D6D"/>
    <w:rsid w:val="004043AE"/>
    <w:rsid w:val="00404976"/>
    <w:rsid w:val="00406225"/>
    <w:rsid w:val="00407BEF"/>
    <w:rsid w:val="00410124"/>
    <w:rsid w:val="00410819"/>
    <w:rsid w:val="00412369"/>
    <w:rsid w:val="004162F6"/>
    <w:rsid w:val="00416762"/>
    <w:rsid w:val="00416E55"/>
    <w:rsid w:val="004179FA"/>
    <w:rsid w:val="00421955"/>
    <w:rsid w:val="00422560"/>
    <w:rsid w:val="004233EB"/>
    <w:rsid w:val="0042518A"/>
    <w:rsid w:val="00427520"/>
    <w:rsid w:val="004276A0"/>
    <w:rsid w:val="00430F55"/>
    <w:rsid w:val="004324C7"/>
    <w:rsid w:val="00433E8E"/>
    <w:rsid w:val="00437EE9"/>
    <w:rsid w:val="00440346"/>
    <w:rsid w:val="0044056C"/>
    <w:rsid w:val="00440B1E"/>
    <w:rsid w:val="004410E7"/>
    <w:rsid w:val="00441BBE"/>
    <w:rsid w:val="00444A63"/>
    <w:rsid w:val="00445265"/>
    <w:rsid w:val="00445F08"/>
    <w:rsid w:val="004464CF"/>
    <w:rsid w:val="0044692D"/>
    <w:rsid w:val="00450458"/>
    <w:rsid w:val="0045338C"/>
    <w:rsid w:val="00453C81"/>
    <w:rsid w:val="004549B5"/>
    <w:rsid w:val="004559CE"/>
    <w:rsid w:val="0045690F"/>
    <w:rsid w:val="00457809"/>
    <w:rsid w:val="00457B89"/>
    <w:rsid w:val="00460E1A"/>
    <w:rsid w:val="00463DF8"/>
    <w:rsid w:val="00467E4F"/>
    <w:rsid w:val="004713C2"/>
    <w:rsid w:val="004741D1"/>
    <w:rsid w:val="00475085"/>
    <w:rsid w:val="00475BC8"/>
    <w:rsid w:val="00476CF6"/>
    <w:rsid w:val="00477AA8"/>
    <w:rsid w:val="00477BE0"/>
    <w:rsid w:val="00482A6B"/>
    <w:rsid w:val="00485726"/>
    <w:rsid w:val="0049097A"/>
    <w:rsid w:val="00492AB6"/>
    <w:rsid w:val="00492FCB"/>
    <w:rsid w:val="00494401"/>
    <w:rsid w:val="0049778D"/>
    <w:rsid w:val="00497F86"/>
    <w:rsid w:val="004A0F11"/>
    <w:rsid w:val="004A1BBB"/>
    <w:rsid w:val="004A3EAA"/>
    <w:rsid w:val="004A7D97"/>
    <w:rsid w:val="004B063A"/>
    <w:rsid w:val="004B0B4F"/>
    <w:rsid w:val="004B122F"/>
    <w:rsid w:val="004B5133"/>
    <w:rsid w:val="004C1EE2"/>
    <w:rsid w:val="004C2902"/>
    <w:rsid w:val="004C41B6"/>
    <w:rsid w:val="004C6DC9"/>
    <w:rsid w:val="004D6706"/>
    <w:rsid w:val="004D6E37"/>
    <w:rsid w:val="004D7DC3"/>
    <w:rsid w:val="004E00EA"/>
    <w:rsid w:val="004E52C1"/>
    <w:rsid w:val="004E6B14"/>
    <w:rsid w:val="004F0013"/>
    <w:rsid w:val="004F3CC2"/>
    <w:rsid w:val="004F4B92"/>
    <w:rsid w:val="004F5BBB"/>
    <w:rsid w:val="00501B6C"/>
    <w:rsid w:val="00502A9D"/>
    <w:rsid w:val="00507014"/>
    <w:rsid w:val="005103E1"/>
    <w:rsid w:val="00515ADF"/>
    <w:rsid w:val="00516785"/>
    <w:rsid w:val="00517746"/>
    <w:rsid w:val="00520B28"/>
    <w:rsid w:val="005218A3"/>
    <w:rsid w:val="005230D4"/>
    <w:rsid w:val="0052419D"/>
    <w:rsid w:val="005263B9"/>
    <w:rsid w:val="00527B4D"/>
    <w:rsid w:val="0053011C"/>
    <w:rsid w:val="005301F8"/>
    <w:rsid w:val="005312FC"/>
    <w:rsid w:val="0053135D"/>
    <w:rsid w:val="00532C6D"/>
    <w:rsid w:val="00532E98"/>
    <w:rsid w:val="00533E89"/>
    <w:rsid w:val="0053569E"/>
    <w:rsid w:val="0053603D"/>
    <w:rsid w:val="0053742A"/>
    <w:rsid w:val="00537C85"/>
    <w:rsid w:val="00541D29"/>
    <w:rsid w:val="00543F23"/>
    <w:rsid w:val="0054554A"/>
    <w:rsid w:val="005455D8"/>
    <w:rsid w:val="00546F43"/>
    <w:rsid w:val="0055176E"/>
    <w:rsid w:val="00553550"/>
    <w:rsid w:val="0055365D"/>
    <w:rsid w:val="00556915"/>
    <w:rsid w:val="00560AFD"/>
    <w:rsid w:val="0056288B"/>
    <w:rsid w:val="00562F17"/>
    <w:rsid w:val="00565035"/>
    <w:rsid w:val="00565232"/>
    <w:rsid w:val="0056582C"/>
    <w:rsid w:val="005703C9"/>
    <w:rsid w:val="00571360"/>
    <w:rsid w:val="005736BB"/>
    <w:rsid w:val="005739B9"/>
    <w:rsid w:val="00573F51"/>
    <w:rsid w:val="005745CC"/>
    <w:rsid w:val="00577281"/>
    <w:rsid w:val="005776B2"/>
    <w:rsid w:val="00582567"/>
    <w:rsid w:val="005841F1"/>
    <w:rsid w:val="00585739"/>
    <w:rsid w:val="00586605"/>
    <w:rsid w:val="005868DE"/>
    <w:rsid w:val="005877AC"/>
    <w:rsid w:val="00592E74"/>
    <w:rsid w:val="00596452"/>
    <w:rsid w:val="005966B7"/>
    <w:rsid w:val="005A1A0D"/>
    <w:rsid w:val="005A6827"/>
    <w:rsid w:val="005B3ADE"/>
    <w:rsid w:val="005B5E2A"/>
    <w:rsid w:val="005B5E7B"/>
    <w:rsid w:val="005C02A4"/>
    <w:rsid w:val="005C20D2"/>
    <w:rsid w:val="005C272E"/>
    <w:rsid w:val="005C32FE"/>
    <w:rsid w:val="005C503A"/>
    <w:rsid w:val="005C5571"/>
    <w:rsid w:val="005C7336"/>
    <w:rsid w:val="005D0058"/>
    <w:rsid w:val="005D024A"/>
    <w:rsid w:val="005D2124"/>
    <w:rsid w:val="005D3480"/>
    <w:rsid w:val="005D4CC6"/>
    <w:rsid w:val="005D4FD4"/>
    <w:rsid w:val="005D50F2"/>
    <w:rsid w:val="005D61BF"/>
    <w:rsid w:val="005D65D5"/>
    <w:rsid w:val="005D6D64"/>
    <w:rsid w:val="005E0BF8"/>
    <w:rsid w:val="005E1A78"/>
    <w:rsid w:val="005E1D2B"/>
    <w:rsid w:val="005E46BB"/>
    <w:rsid w:val="005E716D"/>
    <w:rsid w:val="005F05B5"/>
    <w:rsid w:val="00601650"/>
    <w:rsid w:val="00602580"/>
    <w:rsid w:val="00602F39"/>
    <w:rsid w:val="00603D0C"/>
    <w:rsid w:val="00604EEF"/>
    <w:rsid w:val="006057D2"/>
    <w:rsid w:val="00605AFD"/>
    <w:rsid w:val="00611705"/>
    <w:rsid w:val="00611F76"/>
    <w:rsid w:val="006123D4"/>
    <w:rsid w:val="00613A51"/>
    <w:rsid w:val="006140EB"/>
    <w:rsid w:val="0061445B"/>
    <w:rsid w:val="00615ACA"/>
    <w:rsid w:val="00620F96"/>
    <w:rsid w:val="0062235C"/>
    <w:rsid w:val="00624C4B"/>
    <w:rsid w:val="00630EF3"/>
    <w:rsid w:val="0063616C"/>
    <w:rsid w:val="0063707A"/>
    <w:rsid w:val="00642178"/>
    <w:rsid w:val="006469CC"/>
    <w:rsid w:val="00647692"/>
    <w:rsid w:val="006513A5"/>
    <w:rsid w:val="00654CFB"/>
    <w:rsid w:val="00657DF9"/>
    <w:rsid w:val="00661E2A"/>
    <w:rsid w:val="00665C48"/>
    <w:rsid w:val="00670545"/>
    <w:rsid w:val="00670FAC"/>
    <w:rsid w:val="00671DE2"/>
    <w:rsid w:val="00672B5D"/>
    <w:rsid w:val="00673283"/>
    <w:rsid w:val="0067622C"/>
    <w:rsid w:val="0067754D"/>
    <w:rsid w:val="006812FC"/>
    <w:rsid w:val="006814C9"/>
    <w:rsid w:val="00682249"/>
    <w:rsid w:val="00683C8F"/>
    <w:rsid w:val="00684B85"/>
    <w:rsid w:val="0068535C"/>
    <w:rsid w:val="00685CF7"/>
    <w:rsid w:val="00685DBE"/>
    <w:rsid w:val="00686165"/>
    <w:rsid w:val="00691268"/>
    <w:rsid w:val="00691CB5"/>
    <w:rsid w:val="006923DF"/>
    <w:rsid w:val="00696156"/>
    <w:rsid w:val="006A22A8"/>
    <w:rsid w:val="006A37F5"/>
    <w:rsid w:val="006A6E81"/>
    <w:rsid w:val="006A7577"/>
    <w:rsid w:val="006B0289"/>
    <w:rsid w:val="006B2EAB"/>
    <w:rsid w:val="006B38FF"/>
    <w:rsid w:val="006B669A"/>
    <w:rsid w:val="006B7465"/>
    <w:rsid w:val="006C1892"/>
    <w:rsid w:val="006C495A"/>
    <w:rsid w:val="006C5B73"/>
    <w:rsid w:val="006C645D"/>
    <w:rsid w:val="006C69A7"/>
    <w:rsid w:val="006C7590"/>
    <w:rsid w:val="006D0D34"/>
    <w:rsid w:val="006D1DFF"/>
    <w:rsid w:val="006D445A"/>
    <w:rsid w:val="006E080F"/>
    <w:rsid w:val="006E2D2A"/>
    <w:rsid w:val="006E33D8"/>
    <w:rsid w:val="006E3CC3"/>
    <w:rsid w:val="006E7AC9"/>
    <w:rsid w:val="006F31B2"/>
    <w:rsid w:val="006F3395"/>
    <w:rsid w:val="006F58DD"/>
    <w:rsid w:val="006F6239"/>
    <w:rsid w:val="006F6E60"/>
    <w:rsid w:val="006F78B3"/>
    <w:rsid w:val="00706E8E"/>
    <w:rsid w:val="007078BC"/>
    <w:rsid w:val="007106DA"/>
    <w:rsid w:val="007135AD"/>
    <w:rsid w:val="007208DB"/>
    <w:rsid w:val="00722B53"/>
    <w:rsid w:val="00726DCC"/>
    <w:rsid w:val="00730E95"/>
    <w:rsid w:val="007348FA"/>
    <w:rsid w:val="00742366"/>
    <w:rsid w:val="00744484"/>
    <w:rsid w:val="007509DD"/>
    <w:rsid w:val="007545BF"/>
    <w:rsid w:val="007557A1"/>
    <w:rsid w:val="00763474"/>
    <w:rsid w:val="00766184"/>
    <w:rsid w:val="00775759"/>
    <w:rsid w:val="00776AC7"/>
    <w:rsid w:val="00776D00"/>
    <w:rsid w:val="00777817"/>
    <w:rsid w:val="0078257B"/>
    <w:rsid w:val="00783D75"/>
    <w:rsid w:val="00784C0A"/>
    <w:rsid w:val="007850B5"/>
    <w:rsid w:val="00790447"/>
    <w:rsid w:val="00793DCF"/>
    <w:rsid w:val="00794B40"/>
    <w:rsid w:val="00796DE5"/>
    <w:rsid w:val="00796E26"/>
    <w:rsid w:val="007A1079"/>
    <w:rsid w:val="007A37A4"/>
    <w:rsid w:val="007A5F12"/>
    <w:rsid w:val="007B1E33"/>
    <w:rsid w:val="007B2634"/>
    <w:rsid w:val="007B2677"/>
    <w:rsid w:val="007B6436"/>
    <w:rsid w:val="007B76AB"/>
    <w:rsid w:val="007C5858"/>
    <w:rsid w:val="007C768D"/>
    <w:rsid w:val="007D43EA"/>
    <w:rsid w:val="007D54A9"/>
    <w:rsid w:val="007D592B"/>
    <w:rsid w:val="007D5AA6"/>
    <w:rsid w:val="007D6BB0"/>
    <w:rsid w:val="007D7A91"/>
    <w:rsid w:val="007D7D31"/>
    <w:rsid w:val="007E2541"/>
    <w:rsid w:val="007E33C9"/>
    <w:rsid w:val="007E366D"/>
    <w:rsid w:val="007E6456"/>
    <w:rsid w:val="007F2DB4"/>
    <w:rsid w:val="007F4DAF"/>
    <w:rsid w:val="007F5010"/>
    <w:rsid w:val="007F7029"/>
    <w:rsid w:val="007F7346"/>
    <w:rsid w:val="007F7BFA"/>
    <w:rsid w:val="00803D76"/>
    <w:rsid w:val="00804CFC"/>
    <w:rsid w:val="00811943"/>
    <w:rsid w:val="008137B3"/>
    <w:rsid w:val="0081456B"/>
    <w:rsid w:val="00815C81"/>
    <w:rsid w:val="00816303"/>
    <w:rsid w:val="00823F4F"/>
    <w:rsid w:val="00825F99"/>
    <w:rsid w:val="008274E8"/>
    <w:rsid w:val="008311B8"/>
    <w:rsid w:val="00834243"/>
    <w:rsid w:val="008374C4"/>
    <w:rsid w:val="0084025C"/>
    <w:rsid w:val="0084342A"/>
    <w:rsid w:val="00853CEB"/>
    <w:rsid w:val="00855E9A"/>
    <w:rsid w:val="00857969"/>
    <w:rsid w:val="00860918"/>
    <w:rsid w:val="00870473"/>
    <w:rsid w:val="00870BE4"/>
    <w:rsid w:val="00871C8D"/>
    <w:rsid w:val="00872B5D"/>
    <w:rsid w:val="0087538F"/>
    <w:rsid w:val="00876AB5"/>
    <w:rsid w:val="00882245"/>
    <w:rsid w:val="00882CC4"/>
    <w:rsid w:val="008844AC"/>
    <w:rsid w:val="00884926"/>
    <w:rsid w:val="0088666B"/>
    <w:rsid w:val="00890090"/>
    <w:rsid w:val="00890BEE"/>
    <w:rsid w:val="008932E2"/>
    <w:rsid w:val="008940A6"/>
    <w:rsid w:val="0089495F"/>
    <w:rsid w:val="008954CB"/>
    <w:rsid w:val="00896ADA"/>
    <w:rsid w:val="00896E57"/>
    <w:rsid w:val="00897F46"/>
    <w:rsid w:val="008A1B2D"/>
    <w:rsid w:val="008A798E"/>
    <w:rsid w:val="008C0473"/>
    <w:rsid w:val="008C26C6"/>
    <w:rsid w:val="008C39ED"/>
    <w:rsid w:val="008C4B22"/>
    <w:rsid w:val="008C7F71"/>
    <w:rsid w:val="008D0043"/>
    <w:rsid w:val="008D253A"/>
    <w:rsid w:val="008D2FFE"/>
    <w:rsid w:val="008D339F"/>
    <w:rsid w:val="008D43B4"/>
    <w:rsid w:val="008E6292"/>
    <w:rsid w:val="008F05D7"/>
    <w:rsid w:val="008F23EB"/>
    <w:rsid w:val="00901C08"/>
    <w:rsid w:val="009020B3"/>
    <w:rsid w:val="00906E61"/>
    <w:rsid w:val="00914F84"/>
    <w:rsid w:val="00917E28"/>
    <w:rsid w:val="00920CE2"/>
    <w:rsid w:val="009250E6"/>
    <w:rsid w:val="00925AA5"/>
    <w:rsid w:val="00927D6C"/>
    <w:rsid w:val="009310F3"/>
    <w:rsid w:val="0093540D"/>
    <w:rsid w:val="0093578E"/>
    <w:rsid w:val="00936387"/>
    <w:rsid w:val="00936A96"/>
    <w:rsid w:val="0094019D"/>
    <w:rsid w:val="009407FB"/>
    <w:rsid w:val="00941970"/>
    <w:rsid w:val="00942C11"/>
    <w:rsid w:val="0094351F"/>
    <w:rsid w:val="009547F8"/>
    <w:rsid w:val="0095765C"/>
    <w:rsid w:val="00957E31"/>
    <w:rsid w:val="00962ACF"/>
    <w:rsid w:val="00966A40"/>
    <w:rsid w:val="009729D4"/>
    <w:rsid w:val="00977D0C"/>
    <w:rsid w:val="00977E4E"/>
    <w:rsid w:val="00980759"/>
    <w:rsid w:val="009817B0"/>
    <w:rsid w:val="009821CE"/>
    <w:rsid w:val="009822F9"/>
    <w:rsid w:val="00990B8E"/>
    <w:rsid w:val="00992C3A"/>
    <w:rsid w:val="00997635"/>
    <w:rsid w:val="009A277C"/>
    <w:rsid w:val="009A658F"/>
    <w:rsid w:val="009A65CD"/>
    <w:rsid w:val="009A66BD"/>
    <w:rsid w:val="009B088F"/>
    <w:rsid w:val="009B2249"/>
    <w:rsid w:val="009B27BE"/>
    <w:rsid w:val="009B2EC1"/>
    <w:rsid w:val="009B4656"/>
    <w:rsid w:val="009C171D"/>
    <w:rsid w:val="009C4692"/>
    <w:rsid w:val="009C6BA2"/>
    <w:rsid w:val="009C6D4B"/>
    <w:rsid w:val="009D2C05"/>
    <w:rsid w:val="009D2CFF"/>
    <w:rsid w:val="009E0490"/>
    <w:rsid w:val="009E04E4"/>
    <w:rsid w:val="009E0CA5"/>
    <w:rsid w:val="009E1412"/>
    <w:rsid w:val="009E171B"/>
    <w:rsid w:val="009E49E3"/>
    <w:rsid w:val="009E5A76"/>
    <w:rsid w:val="009F1256"/>
    <w:rsid w:val="009F376B"/>
    <w:rsid w:val="009F6B6A"/>
    <w:rsid w:val="00A00436"/>
    <w:rsid w:val="00A015E8"/>
    <w:rsid w:val="00A033E6"/>
    <w:rsid w:val="00A044EA"/>
    <w:rsid w:val="00A05633"/>
    <w:rsid w:val="00A073E6"/>
    <w:rsid w:val="00A07D47"/>
    <w:rsid w:val="00A10593"/>
    <w:rsid w:val="00A10F3A"/>
    <w:rsid w:val="00A11D5A"/>
    <w:rsid w:val="00A12F13"/>
    <w:rsid w:val="00A12F62"/>
    <w:rsid w:val="00A13085"/>
    <w:rsid w:val="00A136A8"/>
    <w:rsid w:val="00A13C53"/>
    <w:rsid w:val="00A14FE9"/>
    <w:rsid w:val="00A2236A"/>
    <w:rsid w:val="00A22D64"/>
    <w:rsid w:val="00A24911"/>
    <w:rsid w:val="00A24C85"/>
    <w:rsid w:val="00A314D1"/>
    <w:rsid w:val="00A342C4"/>
    <w:rsid w:val="00A34B6D"/>
    <w:rsid w:val="00A36F74"/>
    <w:rsid w:val="00A3717A"/>
    <w:rsid w:val="00A3749B"/>
    <w:rsid w:val="00A37D87"/>
    <w:rsid w:val="00A404B1"/>
    <w:rsid w:val="00A42C86"/>
    <w:rsid w:val="00A500B2"/>
    <w:rsid w:val="00A504C6"/>
    <w:rsid w:val="00A50D88"/>
    <w:rsid w:val="00A51497"/>
    <w:rsid w:val="00A5156F"/>
    <w:rsid w:val="00A516C9"/>
    <w:rsid w:val="00A52D3C"/>
    <w:rsid w:val="00A53DEE"/>
    <w:rsid w:val="00A54292"/>
    <w:rsid w:val="00A54654"/>
    <w:rsid w:val="00A551CB"/>
    <w:rsid w:val="00A56923"/>
    <w:rsid w:val="00A625D6"/>
    <w:rsid w:val="00A62E42"/>
    <w:rsid w:val="00A646DA"/>
    <w:rsid w:val="00A64A71"/>
    <w:rsid w:val="00A65143"/>
    <w:rsid w:val="00A65CD3"/>
    <w:rsid w:val="00A66825"/>
    <w:rsid w:val="00A6728C"/>
    <w:rsid w:val="00A7236C"/>
    <w:rsid w:val="00A72960"/>
    <w:rsid w:val="00A72D8F"/>
    <w:rsid w:val="00A73112"/>
    <w:rsid w:val="00A74815"/>
    <w:rsid w:val="00A822F7"/>
    <w:rsid w:val="00A86551"/>
    <w:rsid w:val="00A90923"/>
    <w:rsid w:val="00A912ED"/>
    <w:rsid w:val="00A93401"/>
    <w:rsid w:val="00A97160"/>
    <w:rsid w:val="00AB25F2"/>
    <w:rsid w:val="00AB44A7"/>
    <w:rsid w:val="00AB56CF"/>
    <w:rsid w:val="00AB6422"/>
    <w:rsid w:val="00AB738A"/>
    <w:rsid w:val="00AB7E0A"/>
    <w:rsid w:val="00AC3196"/>
    <w:rsid w:val="00AC4065"/>
    <w:rsid w:val="00AC6930"/>
    <w:rsid w:val="00AD137F"/>
    <w:rsid w:val="00AD2384"/>
    <w:rsid w:val="00AD6219"/>
    <w:rsid w:val="00AE013F"/>
    <w:rsid w:val="00AE2F90"/>
    <w:rsid w:val="00AF4A61"/>
    <w:rsid w:val="00AF7956"/>
    <w:rsid w:val="00B03DD6"/>
    <w:rsid w:val="00B04A10"/>
    <w:rsid w:val="00B07FDD"/>
    <w:rsid w:val="00B100BB"/>
    <w:rsid w:val="00B10C05"/>
    <w:rsid w:val="00B11393"/>
    <w:rsid w:val="00B12F61"/>
    <w:rsid w:val="00B172F4"/>
    <w:rsid w:val="00B214C6"/>
    <w:rsid w:val="00B21A39"/>
    <w:rsid w:val="00B34C17"/>
    <w:rsid w:val="00B3583B"/>
    <w:rsid w:val="00B37A8F"/>
    <w:rsid w:val="00B50CA3"/>
    <w:rsid w:val="00B52776"/>
    <w:rsid w:val="00B534B5"/>
    <w:rsid w:val="00B54400"/>
    <w:rsid w:val="00B55ADD"/>
    <w:rsid w:val="00B55B04"/>
    <w:rsid w:val="00B55BA8"/>
    <w:rsid w:val="00B56816"/>
    <w:rsid w:val="00B571A9"/>
    <w:rsid w:val="00B600DC"/>
    <w:rsid w:val="00B62398"/>
    <w:rsid w:val="00B6241E"/>
    <w:rsid w:val="00B6386E"/>
    <w:rsid w:val="00B6509C"/>
    <w:rsid w:val="00B65347"/>
    <w:rsid w:val="00B65DE1"/>
    <w:rsid w:val="00B66783"/>
    <w:rsid w:val="00B710EE"/>
    <w:rsid w:val="00B710F4"/>
    <w:rsid w:val="00B71C11"/>
    <w:rsid w:val="00B71F3F"/>
    <w:rsid w:val="00B72AF0"/>
    <w:rsid w:val="00B737EB"/>
    <w:rsid w:val="00B74063"/>
    <w:rsid w:val="00B75478"/>
    <w:rsid w:val="00B765BC"/>
    <w:rsid w:val="00B76F2D"/>
    <w:rsid w:val="00B775EE"/>
    <w:rsid w:val="00B87927"/>
    <w:rsid w:val="00B915D3"/>
    <w:rsid w:val="00B931D6"/>
    <w:rsid w:val="00B96137"/>
    <w:rsid w:val="00B97308"/>
    <w:rsid w:val="00BA0F35"/>
    <w:rsid w:val="00BB00F3"/>
    <w:rsid w:val="00BB3BD8"/>
    <w:rsid w:val="00BB3FE6"/>
    <w:rsid w:val="00BB4F10"/>
    <w:rsid w:val="00BB5AA6"/>
    <w:rsid w:val="00BB707D"/>
    <w:rsid w:val="00BC42CD"/>
    <w:rsid w:val="00BC6E69"/>
    <w:rsid w:val="00BC7856"/>
    <w:rsid w:val="00BD26AA"/>
    <w:rsid w:val="00BD2B12"/>
    <w:rsid w:val="00BD454F"/>
    <w:rsid w:val="00BD659D"/>
    <w:rsid w:val="00BD6633"/>
    <w:rsid w:val="00BE065F"/>
    <w:rsid w:val="00BE200E"/>
    <w:rsid w:val="00BE3421"/>
    <w:rsid w:val="00BE368F"/>
    <w:rsid w:val="00BE62F5"/>
    <w:rsid w:val="00BE6CC5"/>
    <w:rsid w:val="00BE7005"/>
    <w:rsid w:val="00BE7EA5"/>
    <w:rsid w:val="00C01729"/>
    <w:rsid w:val="00C01CD8"/>
    <w:rsid w:val="00C01DCC"/>
    <w:rsid w:val="00C0375B"/>
    <w:rsid w:val="00C03AD3"/>
    <w:rsid w:val="00C04B70"/>
    <w:rsid w:val="00C05765"/>
    <w:rsid w:val="00C057F2"/>
    <w:rsid w:val="00C05DC9"/>
    <w:rsid w:val="00C10898"/>
    <w:rsid w:val="00C11B28"/>
    <w:rsid w:val="00C12B3F"/>
    <w:rsid w:val="00C15C5E"/>
    <w:rsid w:val="00C160EE"/>
    <w:rsid w:val="00C202B3"/>
    <w:rsid w:val="00C21EE0"/>
    <w:rsid w:val="00C26EE8"/>
    <w:rsid w:val="00C2779C"/>
    <w:rsid w:val="00C30297"/>
    <w:rsid w:val="00C33125"/>
    <w:rsid w:val="00C34FEC"/>
    <w:rsid w:val="00C3569B"/>
    <w:rsid w:val="00C37013"/>
    <w:rsid w:val="00C40C8B"/>
    <w:rsid w:val="00C45989"/>
    <w:rsid w:val="00C45F53"/>
    <w:rsid w:val="00C477AE"/>
    <w:rsid w:val="00C50B48"/>
    <w:rsid w:val="00C517DF"/>
    <w:rsid w:val="00C5282A"/>
    <w:rsid w:val="00C555AC"/>
    <w:rsid w:val="00C60B0F"/>
    <w:rsid w:val="00C61B4F"/>
    <w:rsid w:val="00C65C13"/>
    <w:rsid w:val="00C65E71"/>
    <w:rsid w:val="00C670E3"/>
    <w:rsid w:val="00C70E6F"/>
    <w:rsid w:val="00C713ED"/>
    <w:rsid w:val="00C72318"/>
    <w:rsid w:val="00C724E6"/>
    <w:rsid w:val="00C747A5"/>
    <w:rsid w:val="00C75681"/>
    <w:rsid w:val="00C75D3C"/>
    <w:rsid w:val="00C7673E"/>
    <w:rsid w:val="00C779D3"/>
    <w:rsid w:val="00C80CAA"/>
    <w:rsid w:val="00C85314"/>
    <w:rsid w:val="00C86B77"/>
    <w:rsid w:val="00C87E29"/>
    <w:rsid w:val="00C92EBC"/>
    <w:rsid w:val="00C94ED3"/>
    <w:rsid w:val="00C964E0"/>
    <w:rsid w:val="00C972E3"/>
    <w:rsid w:val="00C97932"/>
    <w:rsid w:val="00C97FD5"/>
    <w:rsid w:val="00CA0116"/>
    <w:rsid w:val="00CA01CD"/>
    <w:rsid w:val="00CA0B62"/>
    <w:rsid w:val="00CA36DB"/>
    <w:rsid w:val="00CA4AE4"/>
    <w:rsid w:val="00CA4BC0"/>
    <w:rsid w:val="00CA5729"/>
    <w:rsid w:val="00CA5CA8"/>
    <w:rsid w:val="00CB0157"/>
    <w:rsid w:val="00CB0221"/>
    <w:rsid w:val="00CB25AE"/>
    <w:rsid w:val="00CB28E9"/>
    <w:rsid w:val="00CB5205"/>
    <w:rsid w:val="00CB59BD"/>
    <w:rsid w:val="00CB7622"/>
    <w:rsid w:val="00CC1976"/>
    <w:rsid w:val="00CC2F27"/>
    <w:rsid w:val="00CC38AC"/>
    <w:rsid w:val="00CC559D"/>
    <w:rsid w:val="00CD0C13"/>
    <w:rsid w:val="00CD499D"/>
    <w:rsid w:val="00CD5EE1"/>
    <w:rsid w:val="00CD654B"/>
    <w:rsid w:val="00CE09C8"/>
    <w:rsid w:val="00CE223E"/>
    <w:rsid w:val="00CE379D"/>
    <w:rsid w:val="00CE39ED"/>
    <w:rsid w:val="00CF3F0D"/>
    <w:rsid w:val="00CF4025"/>
    <w:rsid w:val="00D00CE8"/>
    <w:rsid w:val="00D0497B"/>
    <w:rsid w:val="00D101F7"/>
    <w:rsid w:val="00D1118F"/>
    <w:rsid w:val="00D12ABA"/>
    <w:rsid w:val="00D13D97"/>
    <w:rsid w:val="00D145F5"/>
    <w:rsid w:val="00D15B6F"/>
    <w:rsid w:val="00D15EFE"/>
    <w:rsid w:val="00D17493"/>
    <w:rsid w:val="00D21C9F"/>
    <w:rsid w:val="00D2580C"/>
    <w:rsid w:val="00D26960"/>
    <w:rsid w:val="00D30A16"/>
    <w:rsid w:val="00D316A1"/>
    <w:rsid w:val="00D31998"/>
    <w:rsid w:val="00D3285B"/>
    <w:rsid w:val="00D329F1"/>
    <w:rsid w:val="00D355F0"/>
    <w:rsid w:val="00D3600D"/>
    <w:rsid w:val="00D41EAB"/>
    <w:rsid w:val="00D43AC8"/>
    <w:rsid w:val="00D45BB2"/>
    <w:rsid w:val="00D465B6"/>
    <w:rsid w:val="00D46AA7"/>
    <w:rsid w:val="00D5052E"/>
    <w:rsid w:val="00D50879"/>
    <w:rsid w:val="00D51610"/>
    <w:rsid w:val="00D51ECE"/>
    <w:rsid w:val="00D54098"/>
    <w:rsid w:val="00D547F3"/>
    <w:rsid w:val="00D54F46"/>
    <w:rsid w:val="00D55D3E"/>
    <w:rsid w:val="00D56113"/>
    <w:rsid w:val="00D643F4"/>
    <w:rsid w:val="00D6769A"/>
    <w:rsid w:val="00D6775A"/>
    <w:rsid w:val="00D76D49"/>
    <w:rsid w:val="00D809B4"/>
    <w:rsid w:val="00D82DAC"/>
    <w:rsid w:val="00D833D9"/>
    <w:rsid w:val="00D83BD9"/>
    <w:rsid w:val="00D932CA"/>
    <w:rsid w:val="00D94DCF"/>
    <w:rsid w:val="00D94EAE"/>
    <w:rsid w:val="00D96605"/>
    <w:rsid w:val="00D96CB3"/>
    <w:rsid w:val="00DA0EAC"/>
    <w:rsid w:val="00DA4B5C"/>
    <w:rsid w:val="00DA586F"/>
    <w:rsid w:val="00DA7838"/>
    <w:rsid w:val="00DB08DA"/>
    <w:rsid w:val="00DB328F"/>
    <w:rsid w:val="00DB5E34"/>
    <w:rsid w:val="00DB7F09"/>
    <w:rsid w:val="00DC00E8"/>
    <w:rsid w:val="00DC1C56"/>
    <w:rsid w:val="00DC387F"/>
    <w:rsid w:val="00DC4756"/>
    <w:rsid w:val="00DC4C13"/>
    <w:rsid w:val="00DC4E32"/>
    <w:rsid w:val="00DC6379"/>
    <w:rsid w:val="00DC6AAD"/>
    <w:rsid w:val="00DC79F2"/>
    <w:rsid w:val="00DD14CA"/>
    <w:rsid w:val="00DD44AA"/>
    <w:rsid w:val="00DD4D21"/>
    <w:rsid w:val="00DD5EFD"/>
    <w:rsid w:val="00DD6521"/>
    <w:rsid w:val="00DD7F34"/>
    <w:rsid w:val="00DE1A23"/>
    <w:rsid w:val="00DE2531"/>
    <w:rsid w:val="00DE2763"/>
    <w:rsid w:val="00DE3A53"/>
    <w:rsid w:val="00DE3C77"/>
    <w:rsid w:val="00DE577F"/>
    <w:rsid w:val="00DE68A5"/>
    <w:rsid w:val="00DE70F1"/>
    <w:rsid w:val="00DE75FC"/>
    <w:rsid w:val="00DF1A94"/>
    <w:rsid w:val="00DF25AD"/>
    <w:rsid w:val="00DF6F61"/>
    <w:rsid w:val="00E00C96"/>
    <w:rsid w:val="00E013D9"/>
    <w:rsid w:val="00E03934"/>
    <w:rsid w:val="00E05A16"/>
    <w:rsid w:val="00E101C6"/>
    <w:rsid w:val="00E13775"/>
    <w:rsid w:val="00E20733"/>
    <w:rsid w:val="00E22D51"/>
    <w:rsid w:val="00E278DF"/>
    <w:rsid w:val="00E30AEB"/>
    <w:rsid w:val="00E31016"/>
    <w:rsid w:val="00E349A7"/>
    <w:rsid w:val="00E359E0"/>
    <w:rsid w:val="00E45B6B"/>
    <w:rsid w:val="00E45F5B"/>
    <w:rsid w:val="00E500A4"/>
    <w:rsid w:val="00E50E7C"/>
    <w:rsid w:val="00E51366"/>
    <w:rsid w:val="00E51385"/>
    <w:rsid w:val="00E51545"/>
    <w:rsid w:val="00E51D9E"/>
    <w:rsid w:val="00E52F4E"/>
    <w:rsid w:val="00E537D1"/>
    <w:rsid w:val="00E53910"/>
    <w:rsid w:val="00E567E6"/>
    <w:rsid w:val="00E56971"/>
    <w:rsid w:val="00E60C94"/>
    <w:rsid w:val="00E61484"/>
    <w:rsid w:val="00E617CC"/>
    <w:rsid w:val="00E6296D"/>
    <w:rsid w:val="00E7017C"/>
    <w:rsid w:val="00E711D7"/>
    <w:rsid w:val="00E72DDF"/>
    <w:rsid w:val="00E7306E"/>
    <w:rsid w:val="00E73730"/>
    <w:rsid w:val="00E7409F"/>
    <w:rsid w:val="00E76512"/>
    <w:rsid w:val="00E815E1"/>
    <w:rsid w:val="00E902B0"/>
    <w:rsid w:val="00E902E8"/>
    <w:rsid w:val="00E9296B"/>
    <w:rsid w:val="00E93DD2"/>
    <w:rsid w:val="00E95100"/>
    <w:rsid w:val="00E961C0"/>
    <w:rsid w:val="00E97C19"/>
    <w:rsid w:val="00EA23AC"/>
    <w:rsid w:val="00EA398F"/>
    <w:rsid w:val="00EA529B"/>
    <w:rsid w:val="00EA7C3D"/>
    <w:rsid w:val="00EB4B0B"/>
    <w:rsid w:val="00EB6878"/>
    <w:rsid w:val="00EC0F73"/>
    <w:rsid w:val="00EC1E0E"/>
    <w:rsid w:val="00EC236D"/>
    <w:rsid w:val="00EC4838"/>
    <w:rsid w:val="00EC6B16"/>
    <w:rsid w:val="00ED3C58"/>
    <w:rsid w:val="00ED486E"/>
    <w:rsid w:val="00ED5A20"/>
    <w:rsid w:val="00EE1447"/>
    <w:rsid w:val="00EE1BF1"/>
    <w:rsid w:val="00EE4864"/>
    <w:rsid w:val="00EE5CF9"/>
    <w:rsid w:val="00EE6D24"/>
    <w:rsid w:val="00EE6F6D"/>
    <w:rsid w:val="00EE7744"/>
    <w:rsid w:val="00EF03E1"/>
    <w:rsid w:val="00EF093E"/>
    <w:rsid w:val="00EF0E11"/>
    <w:rsid w:val="00EF1092"/>
    <w:rsid w:val="00EF145E"/>
    <w:rsid w:val="00EF2BBB"/>
    <w:rsid w:val="00EF3E4C"/>
    <w:rsid w:val="00EF5CA5"/>
    <w:rsid w:val="00F0079F"/>
    <w:rsid w:val="00F0082D"/>
    <w:rsid w:val="00F015AB"/>
    <w:rsid w:val="00F02C3D"/>
    <w:rsid w:val="00F045E0"/>
    <w:rsid w:val="00F04DE8"/>
    <w:rsid w:val="00F0575F"/>
    <w:rsid w:val="00F07C90"/>
    <w:rsid w:val="00F11922"/>
    <w:rsid w:val="00F13DEB"/>
    <w:rsid w:val="00F20F8A"/>
    <w:rsid w:val="00F22982"/>
    <w:rsid w:val="00F25989"/>
    <w:rsid w:val="00F3017F"/>
    <w:rsid w:val="00F304A4"/>
    <w:rsid w:val="00F336B6"/>
    <w:rsid w:val="00F33DB8"/>
    <w:rsid w:val="00F43938"/>
    <w:rsid w:val="00F45627"/>
    <w:rsid w:val="00F474A1"/>
    <w:rsid w:val="00F50694"/>
    <w:rsid w:val="00F51D7F"/>
    <w:rsid w:val="00F5484D"/>
    <w:rsid w:val="00F556E3"/>
    <w:rsid w:val="00F56BBF"/>
    <w:rsid w:val="00F57303"/>
    <w:rsid w:val="00F57BED"/>
    <w:rsid w:val="00F60198"/>
    <w:rsid w:val="00F6318E"/>
    <w:rsid w:val="00F669CD"/>
    <w:rsid w:val="00F737DB"/>
    <w:rsid w:val="00F73BCE"/>
    <w:rsid w:val="00F7613A"/>
    <w:rsid w:val="00F82746"/>
    <w:rsid w:val="00F836F9"/>
    <w:rsid w:val="00F83DEB"/>
    <w:rsid w:val="00F83F1F"/>
    <w:rsid w:val="00F845D7"/>
    <w:rsid w:val="00F86A51"/>
    <w:rsid w:val="00F92279"/>
    <w:rsid w:val="00F967DD"/>
    <w:rsid w:val="00FA1439"/>
    <w:rsid w:val="00FA30A5"/>
    <w:rsid w:val="00FB0D99"/>
    <w:rsid w:val="00FB4D21"/>
    <w:rsid w:val="00FB762B"/>
    <w:rsid w:val="00FB7B27"/>
    <w:rsid w:val="00FC0419"/>
    <w:rsid w:val="00FC6ADA"/>
    <w:rsid w:val="00FD222C"/>
    <w:rsid w:val="00FD70D1"/>
    <w:rsid w:val="00FE146D"/>
    <w:rsid w:val="00FE50BE"/>
    <w:rsid w:val="00FF10B1"/>
    <w:rsid w:val="24BE75EB"/>
    <w:rsid w:val="68957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F6318E"/>
    <w:pPr>
      <w:spacing w:before="360" w:line="460" w:lineRule="exact"/>
      <w:outlineLvl w:val="1"/>
    </w:pPr>
    <w:rPr>
      <w:bCs w:val="0"/>
      <w:iCs/>
      <w:color w:val="336699" w:themeColor="text2"/>
      <w:sz w:val="36"/>
      <w:szCs w:val="28"/>
    </w:rPr>
  </w:style>
  <w:style w:type="paragraph" w:styleId="Heading3">
    <w:name w:val="heading 3"/>
    <w:basedOn w:val="HeadingBase"/>
    <w:next w:val="Normal"/>
    <w:link w:val="Heading3Char"/>
    <w:autoRedefine/>
    <w:qFormat/>
    <w:rsid w:val="00F6318E"/>
    <w:pPr>
      <w:spacing w:before="320" w:line="276" w:lineRule="auto"/>
      <w:outlineLvl w:val="2"/>
    </w:pPr>
    <w:rPr>
      <w:bCs w:val="0"/>
      <w:color w:val="84ACB6" w:themeColor="accent5"/>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F6318E"/>
    <w:rPr>
      <w:rFonts w:asciiTheme="majorHAnsi" w:eastAsia="Times New Roman" w:hAnsiTheme="majorHAnsi" w:cs="Arial"/>
      <w:iCs/>
      <w:color w:val="336699" w:themeColor="text2"/>
      <w:kern w:val="32"/>
      <w:sz w:val="36"/>
      <w:szCs w:val="28"/>
      <w:lang w:eastAsia="en-AU"/>
    </w:rPr>
  </w:style>
  <w:style w:type="character" w:customStyle="1" w:styleId="Heading3Char">
    <w:name w:val="Heading 3 Char"/>
    <w:basedOn w:val="DefaultParagraphFont"/>
    <w:link w:val="Heading3"/>
    <w:rsid w:val="00F6318E"/>
    <w:rPr>
      <w:rFonts w:asciiTheme="majorHAnsi" w:eastAsia="Times New Roman" w:hAnsiTheme="majorHAnsi" w:cs="Arial"/>
      <w:color w:val="84ACB6" w:themeColor="accent5"/>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reativecommons.org/licenses/by/3.0/au/deed.en"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creativecommons.org/licenses/by/3.0/au/deed.en" TargetMode="External"/><Relationship Id="rId19" Type="http://schemas.openxmlformats.org/officeDocument/2006/relationships/hyperlink" Target="https://www.homestasmania.com.au/engage/land-release/huntingfieldlandrelease"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5489-0BBA-4ECF-A0CD-A28BE773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3361</Words>
  <Characters>20403</Characters>
  <Application>Microsoft Office Word</Application>
  <DocSecurity>0</DocSecurity>
  <Lines>658</Lines>
  <Paragraphs>282</Paragraphs>
  <ScaleCrop>false</ScaleCrop>
  <HeadingPairs>
    <vt:vector size="2" baseType="variant">
      <vt:variant>
        <vt:lpstr>Title</vt:lpstr>
      </vt:variant>
      <vt:variant>
        <vt:i4>1</vt:i4>
      </vt:variant>
    </vt:vector>
  </HeadingPairs>
  <TitlesOfParts>
    <vt:vector size="1" baseType="lpstr">
      <vt:lpstr>National Planning Reform Blueprint – Tasmanian Government progress report – March 2024</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Tasmanian Government progress report – March 2024</dc:title>
  <dc:subject/>
  <dc:creator/>
  <cp:keywords/>
  <cp:lastModifiedBy/>
  <cp:revision>1</cp:revision>
  <dcterms:created xsi:type="dcterms:W3CDTF">2024-08-02T05:47:00Z</dcterms:created>
  <dcterms:modified xsi:type="dcterms:W3CDTF">2024-08-02T05:47:00Z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2024-08-02T05:47:45Z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01fdbd0d-2789-4f5f-8ffa-9cb7de9ac9a7</vt:lpwstr>
  </property>
  <property fmtid="{D5CDD505-2E9C-101B-9397-08002B2CF9AE}" pid="8" name="MSIP_Label_4f932d64-9ab1-4d9b-81d2-a3a8b82dd47d_ContentBits">
    <vt:lpwstr>0</vt:lpwstr>
  </property>
</Properties>
</file>