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B50D4" w14:textId="16FB9CF6" w:rsidR="00823A6D" w:rsidRPr="00840B0C" w:rsidRDefault="00973E66" w:rsidP="00C0506E">
      <w:pPr>
        <w:pStyle w:val="CoverTitleBlackText"/>
      </w:pPr>
      <w:sdt>
        <w:sdtPr>
          <w:alias w:val="Title"/>
          <w:id w:val="-311095339"/>
          <w:lock w:val="sdtLocked"/>
          <w:placeholder>
            <w:docPart w:val="F64F218F1A224EF18D4F8B0BFC47EEEB"/>
          </w:placeholder>
          <w:text/>
        </w:sdtPr>
        <w:sdtEndPr/>
        <w:sdtContent>
          <w:r w:rsidR="00BA433B">
            <w:t>National Planning Reform Blueprint</w:t>
          </w:r>
        </w:sdtContent>
      </w:sdt>
    </w:p>
    <w:p w14:paraId="3998CA94" w14:textId="2AFC29E8" w:rsidR="00823A6D" w:rsidRPr="00896A43" w:rsidRDefault="00B24BAA" w:rsidP="00C0506E">
      <w:pPr>
        <w:pStyle w:val="CoverSubtitleBlackText"/>
        <w:rPr>
          <w:sz w:val="40"/>
          <w:szCs w:val="40"/>
        </w:rPr>
      </w:pPr>
      <w:r w:rsidRPr="00896A43">
        <w:rPr>
          <w:sz w:val="40"/>
          <w:szCs w:val="40"/>
        </w:rPr>
        <w:t>New South Wales progress report</w:t>
      </w:r>
    </w:p>
    <w:p w14:paraId="35A06975" w14:textId="47E5B225" w:rsidR="00050AC4" w:rsidRDefault="00797A87" w:rsidP="00C0506E">
      <w:pPr>
        <w:pStyle w:val="CoverDateBlackText"/>
      </w:pPr>
      <w:r>
        <w:t>March</w:t>
      </w:r>
      <w:r w:rsidR="00B24BAA">
        <w:t xml:space="preserve"> 2024</w:t>
      </w:r>
    </w:p>
    <w:p w14:paraId="65FA713D" w14:textId="77777777" w:rsidR="00050AC4" w:rsidRDefault="00B24534" w:rsidP="00C0506E">
      <w:pPr>
        <w:pStyle w:val="CoverImage"/>
      </w:pPr>
      <w:r>
        <w:rPr>
          <w:noProof/>
        </w:rPr>
        <w:drawing>
          <wp:inline distT="0" distB="0" distL="0" distR="0" wp14:anchorId="3D749647" wp14:editId="112672EE">
            <wp:extent cx="6489523" cy="4386932"/>
            <wp:effectExtent l="0" t="0" r="6985" b="0"/>
            <wp:docPr id="214" name="Picture 214" descr="A small model of a timber frame house sitting on top of a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small model of a timber frame house sitting on top of a blueprin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89523" cy="4386932"/>
                    </a:xfrm>
                    <a:prstGeom prst="rect">
                      <a:avLst/>
                    </a:prstGeom>
                    <a:noFill/>
                  </pic:spPr>
                </pic:pic>
              </a:graphicData>
            </a:graphic>
          </wp:inline>
        </w:drawing>
      </w:r>
    </w:p>
    <w:p w14:paraId="53D712CA" w14:textId="77777777" w:rsidR="00C0506E" w:rsidRDefault="00C0506E" w:rsidP="00B24534"/>
    <w:p w14:paraId="7CF8C338" w14:textId="77777777" w:rsidR="00C0506E" w:rsidRPr="00050AC4" w:rsidRDefault="00C0506E" w:rsidP="00C0506E">
      <w:pPr>
        <w:pStyle w:val="BodyText"/>
        <w:sectPr w:rsidR="00C0506E" w:rsidRPr="00050AC4" w:rsidSect="00705475">
          <w:headerReference w:type="even" r:id="rId10"/>
          <w:headerReference w:type="default" r:id="rId11"/>
          <w:footerReference w:type="even" r:id="rId12"/>
          <w:footerReference w:type="default" r:id="rId13"/>
          <w:headerReference w:type="first" r:id="rId14"/>
          <w:footerReference w:type="first" r:id="rId15"/>
          <w:pgSz w:w="11900" w:h="16840" w:code="9"/>
          <w:pgMar w:top="3686" w:right="851" w:bottom="426" w:left="851" w:header="1417" w:footer="567" w:gutter="0"/>
          <w:pgNumType w:fmt="lowerLetter" w:start="1"/>
          <w:cols w:space="708"/>
          <w:docGrid w:linePitch="299"/>
        </w:sectPr>
      </w:pPr>
    </w:p>
    <w:p w14:paraId="6E663480" w14:textId="77777777" w:rsidR="00E5079E" w:rsidRPr="007A363E" w:rsidRDefault="00E205BB" w:rsidP="00571F3A">
      <w:pPr>
        <w:pStyle w:val="AckHeading"/>
      </w:pPr>
      <w:bookmarkStart w:id="0" w:name="_Toc162522580"/>
      <w:r w:rsidRPr="007A363E">
        <w:lastRenderedPageBreak/>
        <w:drawing>
          <wp:anchor distT="0" distB="0" distL="114300" distR="114300" simplePos="0" relativeHeight="251621376" behindDoc="1" locked="1" layoutInCell="1" allowOverlap="1" wp14:anchorId="2E469338" wp14:editId="648AA9E7">
            <wp:simplePos x="0" y="0"/>
            <wp:positionH relativeFrom="column">
              <wp:posOffset>-2171065</wp:posOffset>
            </wp:positionH>
            <wp:positionV relativeFrom="page">
              <wp:posOffset>-9525</wp:posOffset>
            </wp:positionV>
            <wp:extent cx="1990725" cy="9117965"/>
            <wp:effectExtent l="0" t="0" r="952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990725" cy="9117965"/>
                    </a:xfrm>
                    <a:prstGeom prst="rect">
                      <a:avLst/>
                    </a:prstGeom>
                  </pic:spPr>
                </pic:pic>
              </a:graphicData>
            </a:graphic>
            <wp14:sizeRelH relativeFrom="page">
              <wp14:pctWidth>0</wp14:pctWidth>
            </wp14:sizeRelH>
            <wp14:sizeRelV relativeFrom="page">
              <wp14:pctHeight>0</wp14:pctHeight>
            </wp14:sizeRelV>
          </wp:anchor>
        </w:drawing>
      </w:r>
      <w:r w:rsidR="00E5079E" w:rsidRPr="007A363E">
        <w:t>Acknowledgement of Country</w:t>
      </w:r>
      <w:bookmarkEnd w:id="0"/>
    </w:p>
    <w:p w14:paraId="61F907C3" w14:textId="77777777" w:rsidR="00E5079E" w:rsidRDefault="00E5079E" w:rsidP="008F47B7">
      <w:pPr>
        <w:pStyle w:val="CalloutBody"/>
      </w:pPr>
      <w:r w:rsidRPr="00C468E9">
        <w:t>The Department of Planning</w:t>
      </w:r>
      <w:r w:rsidR="008A4C1A">
        <w:t>, Housing</w:t>
      </w:r>
      <w:r w:rsidRPr="00C468E9">
        <w:t xml:space="preserve"> and </w:t>
      </w:r>
      <w:r w:rsidR="008A4C1A">
        <w:t>Infrastructure</w:t>
      </w:r>
      <w:r w:rsidRPr="00C468E9">
        <w:t xml:space="preserve"> acknowledges that it stands on Aboriginal land. We acknowledge the </w:t>
      </w:r>
      <w:r>
        <w:t>T</w:t>
      </w:r>
      <w:r w:rsidRPr="00C468E9">
        <w:t xml:space="preserve">raditional </w:t>
      </w:r>
      <w:r>
        <w:t>C</w:t>
      </w:r>
      <w:r w:rsidRPr="00C468E9">
        <w:t>ustodians of the land</w:t>
      </w:r>
      <w:r w:rsidR="008A4C1A">
        <w:t>,</w:t>
      </w:r>
      <w:r w:rsidRPr="00C468E9">
        <w:t xml:space="preserve"> and we show our respect for </w:t>
      </w:r>
      <w:r>
        <w:t>E</w:t>
      </w:r>
      <w:r w:rsidRPr="00C468E9">
        <w:t>lders past, present and emerging through thoughtful and collaborative approaches to our work, seeking to demonstrate our ongoing commitment to providing places in which Aboriginal people are included socially, culturally and economically.</w:t>
      </w:r>
    </w:p>
    <w:p w14:paraId="29ABA805" w14:textId="77777777" w:rsidR="00144421" w:rsidRPr="00E205BB" w:rsidRDefault="001B237A" w:rsidP="007A363E">
      <w:pPr>
        <w:pStyle w:val="PublishedBy"/>
      </w:pPr>
      <w:r w:rsidRPr="00E205BB">
        <w:t>Published by NSW Department of Planning</w:t>
      </w:r>
      <w:r w:rsidR="008A4C1A">
        <w:t>, Housing</w:t>
      </w:r>
      <w:r w:rsidRPr="00E205BB">
        <w:t xml:space="preserve"> and </w:t>
      </w:r>
      <w:r w:rsidR="008A4C1A">
        <w:t>Infrastructure</w:t>
      </w:r>
    </w:p>
    <w:p w14:paraId="39599C09" w14:textId="77777777" w:rsidR="00A739A4" w:rsidRDefault="00973E66" w:rsidP="00144421">
      <w:pPr>
        <w:pStyle w:val="BodyText"/>
        <w:rPr>
          <w:rStyle w:val="Hyperlink"/>
          <w:sz w:val="18"/>
          <w:szCs w:val="16"/>
        </w:rPr>
      </w:pPr>
      <w:hyperlink r:id="rId17" w:history="1">
        <w:r w:rsidR="008A4C1A">
          <w:rPr>
            <w:rStyle w:val="Hyperlink"/>
            <w:sz w:val="18"/>
            <w:szCs w:val="16"/>
          </w:rPr>
          <w:t>dphi.nsw.gov.au</w:t>
        </w:r>
      </w:hyperlink>
    </w:p>
    <w:p w14:paraId="3DC3E567" w14:textId="41D0A361" w:rsidR="007A363E" w:rsidRDefault="00BA433B" w:rsidP="00144421">
      <w:pPr>
        <w:pStyle w:val="BodyText"/>
        <w:rPr>
          <w:rStyle w:val="BodySmallChar"/>
        </w:rPr>
      </w:pPr>
      <w:r>
        <w:rPr>
          <w:rStyle w:val="BodySmallChar"/>
        </w:rPr>
        <w:t>National Planning Reform Blueprint</w:t>
      </w:r>
      <w:r w:rsidR="002A5A95">
        <w:rPr>
          <w:rStyle w:val="BodySmallChar"/>
        </w:rPr>
        <w:t xml:space="preserve"> </w:t>
      </w:r>
    </w:p>
    <w:p w14:paraId="308E35AD" w14:textId="1FF4B540" w:rsidR="00B52A48" w:rsidRPr="00B52A48" w:rsidRDefault="00B52A48" w:rsidP="00B52A48">
      <w:pPr>
        <w:pStyle w:val="BodySmall"/>
      </w:pPr>
      <w:r w:rsidRPr="00094A44">
        <w:t>First published</w:t>
      </w:r>
      <w:r>
        <w:t>: 2024</w:t>
      </w:r>
    </w:p>
    <w:p w14:paraId="5A6CC82E" w14:textId="0FE173AB" w:rsidR="00A70EFD" w:rsidRPr="00E205BB" w:rsidRDefault="00A70EFD" w:rsidP="00E205BB">
      <w:pPr>
        <w:pStyle w:val="BodySmall"/>
        <w:rPr>
          <w:szCs w:val="16"/>
        </w:rPr>
      </w:pPr>
      <w:r w:rsidRPr="000D7913">
        <w:rPr>
          <w:szCs w:val="16"/>
        </w:rPr>
        <w:t xml:space="preserve">Department reference number: </w:t>
      </w:r>
      <w:r w:rsidR="000D7913" w:rsidRPr="000D7913">
        <w:rPr>
          <w:rStyle w:val="ui-provider"/>
        </w:rPr>
        <w:t>IRF24/635</w:t>
      </w:r>
    </w:p>
    <w:p w14:paraId="7DB11C0C" w14:textId="77777777" w:rsidR="00DF39BF" w:rsidRPr="00094A44" w:rsidRDefault="00DF39BF" w:rsidP="00E205BB">
      <w:pPr>
        <w:pStyle w:val="BodySmall"/>
        <w:rPr>
          <w:rFonts w:ascii="Public Sans Medium" w:hAnsi="Public Sans Medium"/>
          <w:szCs w:val="16"/>
        </w:rPr>
      </w:pPr>
      <w:r w:rsidRPr="00094A44">
        <w:rPr>
          <w:rFonts w:ascii="Public Sans Medium" w:hAnsi="Public Sans Medium"/>
          <w:szCs w:val="16"/>
        </w:rPr>
        <w:t>Copyright and disclaimer</w:t>
      </w:r>
    </w:p>
    <w:p w14:paraId="0E8DFD49" w14:textId="7C5A8AE4" w:rsidR="00A70EFD" w:rsidRPr="00E205BB" w:rsidRDefault="00A70EFD" w:rsidP="00E205BB">
      <w:pPr>
        <w:pStyle w:val="BodySmall"/>
        <w:rPr>
          <w:rStyle w:val="Hyperlink"/>
          <w:szCs w:val="16"/>
        </w:rPr>
      </w:pPr>
      <w:bookmarkStart w:id="1" w:name="_Hlk91073325"/>
      <w:r w:rsidRPr="00E205BB">
        <w:rPr>
          <w:szCs w:val="16"/>
        </w:rPr>
        <w:t xml:space="preserve">© State of New South Wales through </w:t>
      </w:r>
      <w:r w:rsidR="00D841A9">
        <w:rPr>
          <w:szCs w:val="16"/>
        </w:rPr>
        <w:t xml:space="preserve">the </w:t>
      </w:r>
      <w:r w:rsidRPr="00E205BB">
        <w:rPr>
          <w:szCs w:val="16"/>
        </w:rPr>
        <w:t>Department of Planning</w:t>
      </w:r>
      <w:r w:rsidR="008A4C1A">
        <w:rPr>
          <w:szCs w:val="16"/>
        </w:rPr>
        <w:t>, Housing</w:t>
      </w:r>
      <w:r w:rsidRPr="00E205BB">
        <w:rPr>
          <w:szCs w:val="16"/>
        </w:rPr>
        <w:t xml:space="preserve"> and </w:t>
      </w:r>
      <w:r w:rsidR="008A4C1A">
        <w:rPr>
          <w:szCs w:val="16"/>
        </w:rPr>
        <w:t>Infrastructure</w:t>
      </w:r>
      <w:r w:rsidRPr="00E205BB">
        <w:rPr>
          <w:szCs w:val="16"/>
        </w:rPr>
        <w:t xml:space="preserve"> 202</w:t>
      </w:r>
      <w:r w:rsidR="008A4C1A">
        <w:rPr>
          <w:szCs w:val="16"/>
        </w:rPr>
        <w:t>4</w:t>
      </w:r>
      <w:r w:rsidRPr="00E205BB">
        <w:rPr>
          <w:szCs w:val="16"/>
        </w:rPr>
        <w:t>. Information in this publication is based on knowledge and understanding at the time of writing,</w:t>
      </w:r>
      <w:r w:rsidR="000632C4">
        <w:rPr>
          <w:szCs w:val="16"/>
        </w:rPr>
        <w:t xml:space="preserve"> March</w:t>
      </w:r>
      <w:r w:rsidR="0049557C">
        <w:rPr>
          <w:szCs w:val="16"/>
        </w:rPr>
        <w:t xml:space="preserve"> 2024</w:t>
      </w:r>
      <w:r w:rsidR="00632490">
        <w:rPr>
          <w:szCs w:val="16"/>
        </w:rPr>
        <w:t>,</w:t>
      </w:r>
      <w:r w:rsidRPr="00E205BB">
        <w:rPr>
          <w:szCs w:val="16"/>
        </w:rPr>
        <w:t xml:space="preserve"> and is subject to change. For more information, please visit </w:t>
      </w:r>
      <w:hyperlink r:id="rId18" w:history="1">
        <w:r w:rsidR="00BA533F">
          <w:rPr>
            <w:rStyle w:val="Hyperlink"/>
            <w:szCs w:val="16"/>
          </w:rPr>
          <w:t>nsw.gov.au/copyright</w:t>
        </w:r>
      </w:hyperlink>
    </w:p>
    <w:bookmarkEnd w:id="1"/>
    <w:p w14:paraId="7A98D4C9" w14:textId="77777777" w:rsidR="00144421" w:rsidRPr="00B03A42" w:rsidRDefault="00144421" w:rsidP="004F4513">
      <w:pPr>
        <w:pStyle w:val="BodyText"/>
        <w:rPr>
          <w:sz w:val="20"/>
          <w:szCs w:val="20"/>
        </w:rPr>
        <w:sectPr w:rsidR="00144421" w:rsidRPr="00B03A42" w:rsidSect="00705475">
          <w:headerReference w:type="even" r:id="rId19"/>
          <w:headerReference w:type="default" r:id="rId20"/>
          <w:footerReference w:type="even" r:id="rId21"/>
          <w:footerReference w:type="default" r:id="rId22"/>
          <w:headerReference w:type="first" r:id="rId23"/>
          <w:footerReference w:type="first" r:id="rId24"/>
          <w:pgSz w:w="11900" w:h="16840" w:code="9"/>
          <w:pgMar w:top="1134" w:right="851" w:bottom="1134" w:left="3402" w:header="567" w:footer="567" w:gutter="0"/>
          <w:cols w:space="708"/>
          <w:docGrid w:linePitch="299"/>
        </w:sectPr>
      </w:pPr>
    </w:p>
    <w:p w14:paraId="5428271E" w14:textId="473461A4" w:rsidR="00A220AA" w:rsidRPr="001B328F" w:rsidRDefault="001B328F" w:rsidP="00F536BA">
      <w:pPr>
        <w:pStyle w:val="H1NoTOC"/>
        <w:tabs>
          <w:tab w:val="left" w:pos="3330"/>
        </w:tabs>
        <w:rPr>
          <w:webHidden/>
        </w:rPr>
      </w:pPr>
      <w:bookmarkStart w:id="2" w:name="_Toc94254608"/>
      <w:bookmarkStart w:id="3" w:name="_Toc94254652"/>
      <w:bookmarkStart w:id="4" w:name="_Toc162522581"/>
      <w:r>
        <w:rPr>
          <w:webHidden/>
        </w:rPr>
        <w:lastRenderedPageBreak/>
        <w:t>Contents</w:t>
      </w:r>
      <w:bookmarkEnd w:id="2"/>
      <w:bookmarkEnd w:id="3"/>
      <w:bookmarkEnd w:id="4"/>
    </w:p>
    <w:p w14:paraId="473EBA79" w14:textId="67964DDD" w:rsidR="00652F3D" w:rsidRDefault="00CD5AB3">
      <w:pPr>
        <w:pStyle w:val="TOC1"/>
        <w:rPr>
          <w:rFonts w:asciiTheme="minorHAnsi" w:eastAsiaTheme="minorEastAsia" w:hAnsiTheme="minorHAnsi" w:cstheme="minorBidi"/>
          <w:b w:val="0"/>
          <w:bCs w:val="0"/>
          <w:color w:val="auto"/>
          <w:lang w:eastAsia="en-AU"/>
        </w:rPr>
      </w:pPr>
      <w:r>
        <w:rPr>
          <w:b w:val="0"/>
          <w:bCs w:val="0"/>
          <w:webHidden/>
          <w:color w:val="002664" w:themeColor="background2"/>
        </w:rPr>
        <w:fldChar w:fldCharType="begin"/>
      </w:r>
      <w:r>
        <w:rPr>
          <w:b w:val="0"/>
          <w:bCs w:val="0"/>
          <w:webHidden/>
          <w:color w:val="002664" w:themeColor="background2"/>
        </w:rPr>
        <w:instrText xml:space="preserve"> TOC \o "1-3" \h \z \u </w:instrText>
      </w:r>
      <w:r>
        <w:rPr>
          <w:b w:val="0"/>
          <w:bCs w:val="0"/>
          <w:webHidden/>
          <w:color w:val="002664" w:themeColor="background2"/>
        </w:rPr>
        <w:fldChar w:fldCharType="separate"/>
      </w:r>
      <w:hyperlink w:anchor="_Toc162522580" w:history="1">
        <w:r w:rsidR="00652F3D" w:rsidRPr="00313641">
          <w:rPr>
            <w:rStyle w:val="Hyperlink"/>
          </w:rPr>
          <w:t>Acknowledgement of Country</w:t>
        </w:r>
        <w:r w:rsidR="00652F3D">
          <w:rPr>
            <w:webHidden/>
          </w:rPr>
          <w:tab/>
        </w:r>
        <w:r w:rsidR="00652F3D">
          <w:rPr>
            <w:webHidden/>
          </w:rPr>
          <w:fldChar w:fldCharType="begin"/>
        </w:r>
        <w:r w:rsidR="00652F3D">
          <w:rPr>
            <w:webHidden/>
          </w:rPr>
          <w:instrText xml:space="preserve"> PAGEREF _Toc162522580 \h </w:instrText>
        </w:r>
        <w:r w:rsidR="00652F3D">
          <w:rPr>
            <w:webHidden/>
          </w:rPr>
        </w:r>
        <w:r w:rsidR="00652F3D">
          <w:rPr>
            <w:webHidden/>
          </w:rPr>
          <w:fldChar w:fldCharType="separate"/>
        </w:r>
        <w:r w:rsidR="00C14B8E">
          <w:rPr>
            <w:webHidden/>
          </w:rPr>
          <w:t>2</w:t>
        </w:r>
        <w:r w:rsidR="00652F3D">
          <w:rPr>
            <w:webHidden/>
          </w:rPr>
          <w:fldChar w:fldCharType="end"/>
        </w:r>
      </w:hyperlink>
    </w:p>
    <w:p w14:paraId="4C849B95" w14:textId="4A9DAD29" w:rsidR="00652F3D" w:rsidRDefault="00973E66">
      <w:pPr>
        <w:pStyle w:val="TOC1"/>
        <w:rPr>
          <w:rFonts w:asciiTheme="minorHAnsi" w:eastAsiaTheme="minorEastAsia" w:hAnsiTheme="minorHAnsi" w:cstheme="minorBidi"/>
          <w:b w:val="0"/>
          <w:bCs w:val="0"/>
          <w:color w:val="auto"/>
          <w:lang w:eastAsia="en-AU"/>
        </w:rPr>
      </w:pPr>
      <w:hyperlink w:anchor="_Toc162522581" w:history="1">
        <w:r w:rsidR="00652F3D" w:rsidRPr="00313641">
          <w:rPr>
            <w:rStyle w:val="Hyperlink"/>
          </w:rPr>
          <w:t>Contents</w:t>
        </w:r>
        <w:r w:rsidR="00652F3D">
          <w:rPr>
            <w:webHidden/>
          </w:rPr>
          <w:tab/>
        </w:r>
        <w:r w:rsidR="00652F3D">
          <w:rPr>
            <w:webHidden/>
          </w:rPr>
          <w:fldChar w:fldCharType="begin"/>
        </w:r>
        <w:r w:rsidR="00652F3D">
          <w:rPr>
            <w:webHidden/>
          </w:rPr>
          <w:instrText xml:space="preserve"> PAGEREF _Toc162522581 \h </w:instrText>
        </w:r>
        <w:r w:rsidR="00652F3D">
          <w:rPr>
            <w:webHidden/>
          </w:rPr>
        </w:r>
        <w:r w:rsidR="00652F3D">
          <w:rPr>
            <w:webHidden/>
          </w:rPr>
          <w:fldChar w:fldCharType="separate"/>
        </w:r>
        <w:r w:rsidR="00C14B8E">
          <w:rPr>
            <w:webHidden/>
          </w:rPr>
          <w:t>3</w:t>
        </w:r>
        <w:r w:rsidR="00652F3D">
          <w:rPr>
            <w:webHidden/>
          </w:rPr>
          <w:fldChar w:fldCharType="end"/>
        </w:r>
      </w:hyperlink>
    </w:p>
    <w:p w14:paraId="165184FD" w14:textId="56E6DAD6" w:rsidR="00652F3D" w:rsidRDefault="00973E66">
      <w:pPr>
        <w:pStyle w:val="TOC1"/>
        <w:rPr>
          <w:rFonts w:asciiTheme="minorHAnsi" w:eastAsiaTheme="minorEastAsia" w:hAnsiTheme="minorHAnsi" w:cstheme="minorBidi"/>
          <w:b w:val="0"/>
          <w:bCs w:val="0"/>
          <w:color w:val="auto"/>
          <w:lang w:eastAsia="en-AU"/>
        </w:rPr>
      </w:pPr>
      <w:hyperlink w:anchor="_Toc162522582" w:history="1">
        <w:r w:rsidR="00652F3D" w:rsidRPr="00313641">
          <w:rPr>
            <w:rStyle w:val="Hyperlink"/>
          </w:rPr>
          <w:t>Background</w:t>
        </w:r>
        <w:r w:rsidR="00652F3D">
          <w:rPr>
            <w:webHidden/>
          </w:rPr>
          <w:tab/>
        </w:r>
        <w:r w:rsidR="00652F3D">
          <w:rPr>
            <w:webHidden/>
          </w:rPr>
          <w:fldChar w:fldCharType="begin"/>
        </w:r>
        <w:r w:rsidR="00652F3D">
          <w:rPr>
            <w:webHidden/>
          </w:rPr>
          <w:instrText xml:space="preserve"> PAGEREF _Toc162522582 \h </w:instrText>
        </w:r>
        <w:r w:rsidR="00652F3D">
          <w:rPr>
            <w:webHidden/>
          </w:rPr>
        </w:r>
        <w:r w:rsidR="00652F3D">
          <w:rPr>
            <w:webHidden/>
          </w:rPr>
          <w:fldChar w:fldCharType="separate"/>
        </w:r>
        <w:r w:rsidR="00C14B8E">
          <w:rPr>
            <w:webHidden/>
          </w:rPr>
          <w:t>4</w:t>
        </w:r>
        <w:r w:rsidR="00652F3D">
          <w:rPr>
            <w:webHidden/>
          </w:rPr>
          <w:fldChar w:fldCharType="end"/>
        </w:r>
      </w:hyperlink>
    </w:p>
    <w:p w14:paraId="506799ED" w14:textId="754D5183" w:rsidR="00652F3D" w:rsidRDefault="00973E66">
      <w:pPr>
        <w:pStyle w:val="TOC1"/>
        <w:rPr>
          <w:rFonts w:asciiTheme="minorHAnsi" w:eastAsiaTheme="minorEastAsia" w:hAnsiTheme="minorHAnsi" w:cstheme="minorBidi"/>
          <w:b w:val="0"/>
          <w:bCs w:val="0"/>
          <w:color w:val="auto"/>
          <w:lang w:eastAsia="en-AU"/>
        </w:rPr>
      </w:pPr>
      <w:hyperlink w:anchor="_Toc162522583" w:history="1">
        <w:r w:rsidR="00652F3D" w:rsidRPr="00313641">
          <w:rPr>
            <w:rStyle w:val="Hyperlink"/>
          </w:rPr>
          <w:t>Measure 2</w:t>
        </w:r>
        <w:r w:rsidR="00652F3D">
          <w:rPr>
            <w:webHidden/>
          </w:rPr>
          <w:tab/>
        </w:r>
        <w:r w:rsidR="00652F3D">
          <w:rPr>
            <w:webHidden/>
          </w:rPr>
          <w:fldChar w:fldCharType="begin"/>
        </w:r>
        <w:r w:rsidR="00652F3D">
          <w:rPr>
            <w:webHidden/>
          </w:rPr>
          <w:instrText xml:space="preserve"> PAGEREF _Toc162522583 \h </w:instrText>
        </w:r>
        <w:r w:rsidR="00652F3D">
          <w:rPr>
            <w:webHidden/>
          </w:rPr>
        </w:r>
        <w:r w:rsidR="00652F3D">
          <w:rPr>
            <w:webHidden/>
          </w:rPr>
          <w:fldChar w:fldCharType="separate"/>
        </w:r>
        <w:r w:rsidR="00C14B8E">
          <w:rPr>
            <w:webHidden/>
          </w:rPr>
          <w:t>5</w:t>
        </w:r>
        <w:r w:rsidR="00652F3D">
          <w:rPr>
            <w:webHidden/>
          </w:rPr>
          <w:fldChar w:fldCharType="end"/>
        </w:r>
      </w:hyperlink>
    </w:p>
    <w:p w14:paraId="318905E5" w14:textId="6CD78332" w:rsidR="00652F3D" w:rsidRDefault="00973E66">
      <w:pPr>
        <w:pStyle w:val="TOC1"/>
        <w:rPr>
          <w:rFonts w:asciiTheme="minorHAnsi" w:eastAsiaTheme="minorEastAsia" w:hAnsiTheme="minorHAnsi" w:cstheme="minorBidi"/>
          <w:b w:val="0"/>
          <w:bCs w:val="0"/>
          <w:color w:val="auto"/>
          <w:lang w:eastAsia="en-AU"/>
        </w:rPr>
      </w:pPr>
      <w:hyperlink w:anchor="_Toc162522584" w:history="1">
        <w:r w:rsidR="00652F3D" w:rsidRPr="00313641">
          <w:rPr>
            <w:rStyle w:val="Hyperlink"/>
          </w:rPr>
          <w:t>Measure 3</w:t>
        </w:r>
        <w:r w:rsidR="00652F3D">
          <w:rPr>
            <w:webHidden/>
          </w:rPr>
          <w:tab/>
        </w:r>
        <w:r w:rsidR="00652F3D">
          <w:rPr>
            <w:webHidden/>
          </w:rPr>
          <w:fldChar w:fldCharType="begin"/>
        </w:r>
        <w:r w:rsidR="00652F3D">
          <w:rPr>
            <w:webHidden/>
          </w:rPr>
          <w:instrText xml:space="preserve"> PAGEREF _Toc162522584 \h </w:instrText>
        </w:r>
        <w:r w:rsidR="00652F3D">
          <w:rPr>
            <w:webHidden/>
          </w:rPr>
        </w:r>
        <w:r w:rsidR="00652F3D">
          <w:rPr>
            <w:webHidden/>
          </w:rPr>
          <w:fldChar w:fldCharType="separate"/>
        </w:r>
        <w:r w:rsidR="00C14B8E">
          <w:rPr>
            <w:webHidden/>
          </w:rPr>
          <w:t>6</w:t>
        </w:r>
        <w:r w:rsidR="00652F3D">
          <w:rPr>
            <w:webHidden/>
          </w:rPr>
          <w:fldChar w:fldCharType="end"/>
        </w:r>
      </w:hyperlink>
    </w:p>
    <w:p w14:paraId="70B3F223" w14:textId="48140101" w:rsidR="00652F3D" w:rsidRDefault="00973E66">
      <w:pPr>
        <w:pStyle w:val="TOC3"/>
        <w:rPr>
          <w:rFonts w:asciiTheme="minorHAnsi" w:eastAsiaTheme="minorEastAsia" w:hAnsiTheme="minorHAnsi" w:cstheme="minorBidi"/>
          <w:color w:val="auto"/>
          <w:lang w:eastAsia="en-AU"/>
        </w:rPr>
      </w:pPr>
      <w:hyperlink w:anchor="_Toc162522585" w:history="1">
        <w:r w:rsidR="00652F3D" w:rsidRPr="00313641">
          <w:rPr>
            <w:rStyle w:val="Hyperlink"/>
          </w:rPr>
          <w:t>Summary of planning, zoning and land release reforms</w:t>
        </w:r>
        <w:r w:rsidR="00652F3D">
          <w:rPr>
            <w:webHidden/>
          </w:rPr>
          <w:tab/>
        </w:r>
        <w:r w:rsidR="00652F3D">
          <w:rPr>
            <w:webHidden/>
          </w:rPr>
          <w:fldChar w:fldCharType="begin"/>
        </w:r>
        <w:r w:rsidR="00652F3D">
          <w:rPr>
            <w:webHidden/>
          </w:rPr>
          <w:instrText xml:space="preserve"> PAGEREF _Toc162522585 \h </w:instrText>
        </w:r>
        <w:r w:rsidR="00652F3D">
          <w:rPr>
            <w:webHidden/>
          </w:rPr>
        </w:r>
        <w:r w:rsidR="00652F3D">
          <w:rPr>
            <w:webHidden/>
          </w:rPr>
          <w:fldChar w:fldCharType="separate"/>
        </w:r>
        <w:r w:rsidR="00C14B8E">
          <w:rPr>
            <w:webHidden/>
          </w:rPr>
          <w:t>6</w:t>
        </w:r>
        <w:r w:rsidR="00652F3D">
          <w:rPr>
            <w:webHidden/>
          </w:rPr>
          <w:fldChar w:fldCharType="end"/>
        </w:r>
      </w:hyperlink>
    </w:p>
    <w:p w14:paraId="425D21A6" w14:textId="78AF8084" w:rsidR="00652F3D" w:rsidRDefault="00973E66">
      <w:pPr>
        <w:pStyle w:val="TOC1"/>
        <w:rPr>
          <w:rFonts w:asciiTheme="minorHAnsi" w:eastAsiaTheme="minorEastAsia" w:hAnsiTheme="minorHAnsi" w:cstheme="minorBidi"/>
          <w:b w:val="0"/>
          <w:bCs w:val="0"/>
          <w:color w:val="auto"/>
          <w:lang w:eastAsia="en-AU"/>
        </w:rPr>
      </w:pPr>
      <w:hyperlink w:anchor="_Toc162522586" w:history="1">
        <w:r w:rsidR="00652F3D" w:rsidRPr="00313641">
          <w:rPr>
            <w:rStyle w:val="Hyperlink"/>
          </w:rPr>
          <w:t>Measure 4</w:t>
        </w:r>
        <w:r w:rsidR="00652F3D">
          <w:rPr>
            <w:webHidden/>
          </w:rPr>
          <w:tab/>
        </w:r>
        <w:r w:rsidR="00652F3D">
          <w:rPr>
            <w:webHidden/>
          </w:rPr>
          <w:fldChar w:fldCharType="begin"/>
        </w:r>
        <w:r w:rsidR="00652F3D">
          <w:rPr>
            <w:webHidden/>
          </w:rPr>
          <w:instrText xml:space="preserve"> PAGEREF _Toc162522586 \h </w:instrText>
        </w:r>
        <w:r w:rsidR="00652F3D">
          <w:rPr>
            <w:webHidden/>
          </w:rPr>
        </w:r>
        <w:r w:rsidR="00652F3D">
          <w:rPr>
            <w:webHidden/>
          </w:rPr>
          <w:fldChar w:fldCharType="separate"/>
        </w:r>
        <w:r w:rsidR="00C14B8E">
          <w:rPr>
            <w:webHidden/>
          </w:rPr>
          <w:t>10</w:t>
        </w:r>
        <w:r w:rsidR="00652F3D">
          <w:rPr>
            <w:webHidden/>
          </w:rPr>
          <w:fldChar w:fldCharType="end"/>
        </w:r>
      </w:hyperlink>
    </w:p>
    <w:p w14:paraId="09E0BDBE" w14:textId="25CEE587" w:rsidR="00652F3D" w:rsidRDefault="00973E66">
      <w:pPr>
        <w:pStyle w:val="TOC3"/>
        <w:rPr>
          <w:rFonts w:asciiTheme="minorHAnsi" w:eastAsiaTheme="minorEastAsia" w:hAnsiTheme="minorHAnsi" w:cstheme="minorBidi"/>
          <w:color w:val="auto"/>
          <w:lang w:eastAsia="en-AU"/>
        </w:rPr>
      </w:pPr>
      <w:hyperlink w:anchor="_Toc162522587" w:history="1">
        <w:r w:rsidR="00652F3D" w:rsidRPr="00313641">
          <w:rPr>
            <w:rStyle w:val="Hyperlink"/>
          </w:rPr>
          <w:t>Key findings from a development ready land stocktake</w:t>
        </w:r>
        <w:r w:rsidR="00652F3D">
          <w:rPr>
            <w:webHidden/>
          </w:rPr>
          <w:tab/>
        </w:r>
        <w:r w:rsidR="00652F3D">
          <w:rPr>
            <w:webHidden/>
          </w:rPr>
          <w:fldChar w:fldCharType="begin"/>
        </w:r>
        <w:r w:rsidR="00652F3D">
          <w:rPr>
            <w:webHidden/>
          </w:rPr>
          <w:instrText xml:space="preserve"> PAGEREF _Toc162522587 \h </w:instrText>
        </w:r>
        <w:r w:rsidR="00652F3D">
          <w:rPr>
            <w:webHidden/>
          </w:rPr>
        </w:r>
        <w:r w:rsidR="00652F3D">
          <w:rPr>
            <w:webHidden/>
          </w:rPr>
          <w:fldChar w:fldCharType="separate"/>
        </w:r>
        <w:r w:rsidR="00C14B8E">
          <w:rPr>
            <w:webHidden/>
          </w:rPr>
          <w:t>10</w:t>
        </w:r>
        <w:r w:rsidR="00652F3D">
          <w:rPr>
            <w:webHidden/>
          </w:rPr>
          <w:fldChar w:fldCharType="end"/>
        </w:r>
      </w:hyperlink>
    </w:p>
    <w:p w14:paraId="0DDBCCBC" w14:textId="233E7F5F" w:rsidR="00652F3D" w:rsidRDefault="00973E66">
      <w:pPr>
        <w:pStyle w:val="TOC1"/>
        <w:rPr>
          <w:rFonts w:asciiTheme="minorHAnsi" w:eastAsiaTheme="minorEastAsia" w:hAnsiTheme="minorHAnsi" w:cstheme="minorBidi"/>
          <w:b w:val="0"/>
          <w:bCs w:val="0"/>
          <w:color w:val="auto"/>
          <w:lang w:eastAsia="en-AU"/>
        </w:rPr>
      </w:pPr>
      <w:hyperlink w:anchor="_Toc162522588" w:history="1">
        <w:r w:rsidR="00652F3D" w:rsidRPr="00313641">
          <w:rPr>
            <w:rStyle w:val="Hyperlink"/>
          </w:rPr>
          <w:t>Measure 5</w:t>
        </w:r>
        <w:r w:rsidR="00652F3D">
          <w:rPr>
            <w:webHidden/>
          </w:rPr>
          <w:tab/>
        </w:r>
        <w:r w:rsidR="00652F3D">
          <w:rPr>
            <w:webHidden/>
          </w:rPr>
          <w:fldChar w:fldCharType="begin"/>
        </w:r>
        <w:r w:rsidR="00652F3D">
          <w:rPr>
            <w:webHidden/>
          </w:rPr>
          <w:instrText xml:space="preserve"> PAGEREF _Toc162522588 \h </w:instrText>
        </w:r>
        <w:r w:rsidR="00652F3D">
          <w:rPr>
            <w:webHidden/>
          </w:rPr>
        </w:r>
        <w:r w:rsidR="00652F3D">
          <w:rPr>
            <w:webHidden/>
          </w:rPr>
          <w:fldChar w:fldCharType="separate"/>
        </w:r>
        <w:r w:rsidR="00C14B8E">
          <w:rPr>
            <w:webHidden/>
          </w:rPr>
          <w:t>11</w:t>
        </w:r>
        <w:r w:rsidR="00652F3D">
          <w:rPr>
            <w:webHidden/>
          </w:rPr>
          <w:fldChar w:fldCharType="end"/>
        </w:r>
      </w:hyperlink>
    </w:p>
    <w:p w14:paraId="444A104E" w14:textId="042D86E1" w:rsidR="00652F3D" w:rsidRDefault="00973E66">
      <w:pPr>
        <w:pStyle w:val="TOC3"/>
        <w:rPr>
          <w:rFonts w:asciiTheme="minorHAnsi" w:eastAsiaTheme="minorEastAsia" w:hAnsiTheme="minorHAnsi" w:cstheme="minorBidi"/>
          <w:color w:val="auto"/>
          <w:lang w:eastAsia="en-AU"/>
        </w:rPr>
      </w:pPr>
      <w:hyperlink w:anchor="_Toc162522589" w:history="1">
        <w:r w:rsidR="00652F3D" w:rsidRPr="00313641">
          <w:rPr>
            <w:rStyle w:val="Hyperlink"/>
          </w:rPr>
          <w:t>Zoning, planning and other amendments to support dense, well located housing</w:t>
        </w:r>
        <w:r w:rsidR="00652F3D">
          <w:rPr>
            <w:webHidden/>
          </w:rPr>
          <w:tab/>
        </w:r>
        <w:r w:rsidR="00652F3D">
          <w:rPr>
            <w:webHidden/>
          </w:rPr>
          <w:fldChar w:fldCharType="begin"/>
        </w:r>
        <w:r w:rsidR="00652F3D">
          <w:rPr>
            <w:webHidden/>
          </w:rPr>
          <w:instrText xml:space="preserve"> PAGEREF _Toc162522589 \h </w:instrText>
        </w:r>
        <w:r w:rsidR="00652F3D">
          <w:rPr>
            <w:webHidden/>
          </w:rPr>
        </w:r>
        <w:r w:rsidR="00652F3D">
          <w:rPr>
            <w:webHidden/>
          </w:rPr>
          <w:fldChar w:fldCharType="separate"/>
        </w:r>
        <w:r w:rsidR="00C14B8E">
          <w:rPr>
            <w:webHidden/>
          </w:rPr>
          <w:t>11</w:t>
        </w:r>
        <w:r w:rsidR="00652F3D">
          <w:rPr>
            <w:webHidden/>
          </w:rPr>
          <w:fldChar w:fldCharType="end"/>
        </w:r>
      </w:hyperlink>
    </w:p>
    <w:p w14:paraId="6860492A" w14:textId="3CDC2084" w:rsidR="00652F3D" w:rsidRDefault="00973E66">
      <w:pPr>
        <w:pStyle w:val="TOC1"/>
        <w:rPr>
          <w:rFonts w:asciiTheme="minorHAnsi" w:eastAsiaTheme="minorEastAsia" w:hAnsiTheme="minorHAnsi" w:cstheme="minorBidi"/>
          <w:b w:val="0"/>
          <w:bCs w:val="0"/>
          <w:color w:val="auto"/>
          <w:lang w:eastAsia="en-AU"/>
        </w:rPr>
      </w:pPr>
      <w:hyperlink w:anchor="_Toc162522590" w:history="1">
        <w:r w:rsidR="00652F3D" w:rsidRPr="00313641">
          <w:rPr>
            <w:rStyle w:val="Hyperlink"/>
          </w:rPr>
          <w:t>Measure 6</w:t>
        </w:r>
        <w:r w:rsidR="00652F3D">
          <w:rPr>
            <w:webHidden/>
          </w:rPr>
          <w:tab/>
        </w:r>
        <w:r w:rsidR="00652F3D">
          <w:rPr>
            <w:webHidden/>
          </w:rPr>
          <w:fldChar w:fldCharType="begin"/>
        </w:r>
        <w:r w:rsidR="00652F3D">
          <w:rPr>
            <w:webHidden/>
          </w:rPr>
          <w:instrText xml:space="preserve"> PAGEREF _Toc162522590 \h </w:instrText>
        </w:r>
        <w:r w:rsidR="00652F3D">
          <w:rPr>
            <w:webHidden/>
          </w:rPr>
        </w:r>
        <w:r w:rsidR="00652F3D">
          <w:rPr>
            <w:webHidden/>
          </w:rPr>
          <w:fldChar w:fldCharType="separate"/>
        </w:r>
        <w:r w:rsidR="00C14B8E">
          <w:rPr>
            <w:webHidden/>
          </w:rPr>
          <w:t>13</w:t>
        </w:r>
        <w:r w:rsidR="00652F3D">
          <w:rPr>
            <w:webHidden/>
          </w:rPr>
          <w:fldChar w:fldCharType="end"/>
        </w:r>
      </w:hyperlink>
    </w:p>
    <w:p w14:paraId="50E3BF60" w14:textId="77CBB829" w:rsidR="00652F3D" w:rsidRDefault="00973E66">
      <w:pPr>
        <w:pStyle w:val="TOC3"/>
        <w:rPr>
          <w:rFonts w:asciiTheme="minorHAnsi" w:eastAsiaTheme="minorEastAsia" w:hAnsiTheme="minorHAnsi" w:cstheme="minorBidi"/>
          <w:color w:val="auto"/>
          <w:lang w:eastAsia="en-AU"/>
        </w:rPr>
      </w:pPr>
      <w:hyperlink w:anchor="_Toc162522591" w:history="1">
        <w:r w:rsidR="00652F3D" w:rsidRPr="00313641">
          <w:rPr>
            <w:rStyle w:val="Hyperlink"/>
          </w:rPr>
          <w:t>Reforms to development approval pathways</w:t>
        </w:r>
        <w:r w:rsidR="00652F3D">
          <w:rPr>
            <w:webHidden/>
          </w:rPr>
          <w:tab/>
        </w:r>
        <w:r w:rsidR="00652F3D">
          <w:rPr>
            <w:webHidden/>
          </w:rPr>
          <w:fldChar w:fldCharType="begin"/>
        </w:r>
        <w:r w:rsidR="00652F3D">
          <w:rPr>
            <w:webHidden/>
          </w:rPr>
          <w:instrText xml:space="preserve"> PAGEREF _Toc162522591 \h </w:instrText>
        </w:r>
        <w:r w:rsidR="00652F3D">
          <w:rPr>
            <w:webHidden/>
          </w:rPr>
        </w:r>
        <w:r w:rsidR="00652F3D">
          <w:rPr>
            <w:webHidden/>
          </w:rPr>
          <w:fldChar w:fldCharType="separate"/>
        </w:r>
        <w:r w:rsidR="00C14B8E">
          <w:rPr>
            <w:webHidden/>
          </w:rPr>
          <w:t>13</w:t>
        </w:r>
        <w:r w:rsidR="00652F3D">
          <w:rPr>
            <w:webHidden/>
          </w:rPr>
          <w:fldChar w:fldCharType="end"/>
        </w:r>
      </w:hyperlink>
    </w:p>
    <w:p w14:paraId="4C31AE06" w14:textId="048E0E02" w:rsidR="00652F3D" w:rsidRDefault="00973E66">
      <w:pPr>
        <w:pStyle w:val="TOC3"/>
        <w:rPr>
          <w:rFonts w:asciiTheme="minorHAnsi" w:eastAsiaTheme="minorEastAsia" w:hAnsiTheme="minorHAnsi" w:cstheme="minorBidi"/>
          <w:color w:val="auto"/>
          <w:lang w:eastAsia="en-AU"/>
        </w:rPr>
      </w:pPr>
      <w:hyperlink w:anchor="_Toc162522592" w:history="1">
        <w:r w:rsidR="00652F3D" w:rsidRPr="00313641">
          <w:rPr>
            <w:rStyle w:val="Hyperlink"/>
          </w:rPr>
          <w:t>Reforms to social and affordable housing approval pathways</w:t>
        </w:r>
        <w:r w:rsidR="00652F3D">
          <w:rPr>
            <w:webHidden/>
          </w:rPr>
          <w:tab/>
        </w:r>
        <w:r w:rsidR="00652F3D">
          <w:rPr>
            <w:webHidden/>
          </w:rPr>
          <w:fldChar w:fldCharType="begin"/>
        </w:r>
        <w:r w:rsidR="00652F3D">
          <w:rPr>
            <w:webHidden/>
          </w:rPr>
          <w:instrText xml:space="preserve"> PAGEREF _Toc162522592 \h </w:instrText>
        </w:r>
        <w:r w:rsidR="00652F3D">
          <w:rPr>
            <w:webHidden/>
          </w:rPr>
        </w:r>
        <w:r w:rsidR="00652F3D">
          <w:rPr>
            <w:webHidden/>
          </w:rPr>
          <w:fldChar w:fldCharType="separate"/>
        </w:r>
        <w:r w:rsidR="00C14B8E">
          <w:rPr>
            <w:webHidden/>
          </w:rPr>
          <w:t>16</w:t>
        </w:r>
        <w:r w:rsidR="00652F3D">
          <w:rPr>
            <w:webHidden/>
          </w:rPr>
          <w:fldChar w:fldCharType="end"/>
        </w:r>
      </w:hyperlink>
    </w:p>
    <w:p w14:paraId="28EE0874" w14:textId="42423F59" w:rsidR="00652F3D" w:rsidRDefault="00973E66">
      <w:pPr>
        <w:pStyle w:val="TOC3"/>
        <w:rPr>
          <w:rFonts w:asciiTheme="minorHAnsi" w:eastAsiaTheme="minorEastAsia" w:hAnsiTheme="minorHAnsi" w:cstheme="minorBidi"/>
          <w:color w:val="auto"/>
          <w:lang w:eastAsia="en-AU"/>
        </w:rPr>
      </w:pPr>
      <w:hyperlink w:anchor="_Toc162522593" w:history="1">
        <w:r w:rsidR="00652F3D" w:rsidRPr="00313641">
          <w:rPr>
            <w:rStyle w:val="Hyperlink"/>
          </w:rPr>
          <w:t>Initiatives to share planning data</w:t>
        </w:r>
        <w:r w:rsidR="00652F3D">
          <w:rPr>
            <w:webHidden/>
          </w:rPr>
          <w:tab/>
        </w:r>
        <w:r w:rsidR="00652F3D">
          <w:rPr>
            <w:webHidden/>
          </w:rPr>
          <w:fldChar w:fldCharType="begin"/>
        </w:r>
        <w:r w:rsidR="00652F3D">
          <w:rPr>
            <w:webHidden/>
          </w:rPr>
          <w:instrText xml:space="preserve"> PAGEREF _Toc162522593 \h </w:instrText>
        </w:r>
        <w:r w:rsidR="00652F3D">
          <w:rPr>
            <w:webHidden/>
          </w:rPr>
        </w:r>
        <w:r w:rsidR="00652F3D">
          <w:rPr>
            <w:webHidden/>
          </w:rPr>
          <w:fldChar w:fldCharType="separate"/>
        </w:r>
        <w:r w:rsidR="00C14B8E">
          <w:rPr>
            <w:webHidden/>
          </w:rPr>
          <w:t>18</w:t>
        </w:r>
        <w:r w:rsidR="00652F3D">
          <w:rPr>
            <w:webHidden/>
          </w:rPr>
          <w:fldChar w:fldCharType="end"/>
        </w:r>
      </w:hyperlink>
    </w:p>
    <w:p w14:paraId="4EC70FAC" w14:textId="4606B31D" w:rsidR="00652F3D" w:rsidRDefault="00973E66">
      <w:pPr>
        <w:pStyle w:val="TOC3"/>
        <w:rPr>
          <w:rFonts w:asciiTheme="minorHAnsi" w:eastAsiaTheme="minorEastAsia" w:hAnsiTheme="minorHAnsi" w:cstheme="minorBidi"/>
          <w:color w:val="auto"/>
          <w:lang w:eastAsia="en-AU"/>
        </w:rPr>
      </w:pPr>
      <w:hyperlink w:anchor="_Toc162522594" w:history="1">
        <w:r w:rsidR="00652F3D" w:rsidRPr="00313641">
          <w:rPr>
            <w:rStyle w:val="Hyperlink"/>
          </w:rPr>
          <w:t>Reforms to support permanent affordable, social and other specialist housing in developments</w:t>
        </w:r>
        <w:r w:rsidR="00652F3D">
          <w:rPr>
            <w:webHidden/>
          </w:rPr>
          <w:tab/>
        </w:r>
        <w:r w:rsidR="00652F3D">
          <w:rPr>
            <w:webHidden/>
          </w:rPr>
          <w:fldChar w:fldCharType="begin"/>
        </w:r>
        <w:r w:rsidR="00652F3D">
          <w:rPr>
            <w:webHidden/>
          </w:rPr>
          <w:instrText xml:space="preserve"> PAGEREF _Toc162522594 \h </w:instrText>
        </w:r>
        <w:r w:rsidR="00652F3D">
          <w:rPr>
            <w:webHidden/>
          </w:rPr>
        </w:r>
        <w:r w:rsidR="00652F3D">
          <w:rPr>
            <w:webHidden/>
          </w:rPr>
          <w:fldChar w:fldCharType="separate"/>
        </w:r>
        <w:r w:rsidR="00C14B8E">
          <w:rPr>
            <w:webHidden/>
          </w:rPr>
          <w:t>19</w:t>
        </w:r>
        <w:r w:rsidR="00652F3D">
          <w:rPr>
            <w:webHidden/>
          </w:rPr>
          <w:fldChar w:fldCharType="end"/>
        </w:r>
      </w:hyperlink>
    </w:p>
    <w:p w14:paraId="45B128E7" w14:textId="785B1E9B" w:rsidR="00652F3D" w:rsidRDefault="00973E66">
      <w:pPr>
        <w:pStyle w:val="TOC1"/>
        <w:rPr>
          <w:rFonts w:asciiTheme="minorHAnsi" w:eastAsiaTheme="minorEastAsia" w:hAnsiTheme="minorHAnsi" w:cstheme="minorBidi"/>
          <w:b w:val="0"/>
          <w:bCs w:val="0"/>
          <w:color w:val="auto"/>
          <w:lang w:eastAsia="en-AU"/>
        </w:rPr>
      </w:pPr>
      <w:hyperlink w:anchor="_Toc162522595" w:history="1">
        <w:r w:rsidR="00652F3D" w:rsidRPr="00313641">
          <w:rPr>
            <w:rStyle w:val="Hyperlink"/>
          </w:rPr>
          <w:t>Measure 10</w:t>
        </w:r>
        <w:r w:rsidR="00652F3D">
          <w:rPr>
            <w:webHidden/>
          </w:rPr>
          <w:tab/>
        </w:r>
        <w:r w:rsidR="00652F3D">
          <w:rPr>
            <w:webHidden/>
          </w:rPr>
          <w:fldChar w:fldCharType="begin"/>
        </w:r>
        <w:r w:rsidR="00652F3D">
          <w:rPr>
            <w:webHidden/>
          </w:rPr>
          <w:instrText xml:space="preserve"> PAGEREF _Toc162522595 \h </w:instrText>
        </w:r>
        <w:r w:rsidR="00652F3D">
          <w:rPr>
            <w:webHidden/>
          </w:rPr>
        </w:r>
        <w:r w:rsidR="00652F3D">
          <w:rPr>
            <w:webHidden/>
          </w:rPr>
          <w:fldChar w:fldCharType="separate"/>
        </w:r>
        <w:r w:rsidR="00C14B8E">
          <w:rPr>
            <w:webHidden/>
          </w:rPr>
          <w:t>21</w:t>
        </w:r>
        <w:r w:rsidR="00652F3D">
          <w:rPr>
            <w:webHidden/>
          </w:rPr>
          <w:fldChar w:fldCharType="end"/>
        </w:r>
      </w:hyperlink>
    </w:p>
    <w:p w14:paraId="387B0394" w14:textId="7F650A06" w:rsidR="00652F3D" w:rsidRDefault="00973E66">
      <w:pPr>
        <w:pStyle w:val="TOC3"/>
        <w:rPr>
          <w:rFonts w:asciiTheme="minorHAnsi" w:eastAsiaTheme="minorEastAsia" w:hAnsiTheme="minorHAnsi" w:cstheme="minorBidi"/>
          <w:color w:val="auto"/>
          <w:lang w:eastAsia="en-AU"/>
        </w:rPr>
      </w:pPr>
      <w:hyperlink w:anchor="_Toc162522596" w:history="1">
        <w:r w:rsidR="00652F3D" w:rsidRPr="00313641">
          <w:rPr>
            <w:rStyle w:val="Hyperlink"/>
          </w:rPr>
          <w:t>Well located government land suitable for housing</w:t>
        </w:r>
        <w:r w:rsidR="00652F3D">
          <w:rPr>
            <w:webHidden/>
          </w:rPr>
          <w:tab/>
        </w:r>
        <w:r w:rsidR="00652F3D">
          <w:rPr>
            <w:webHidden/>
          </w:rPr>
          <w:fldChar w:fldCharType="begin"/>
        </w:r>
        <w:r w:rsidR="00652F3D">
          <w:rPr>
            <w:webHidden/>
          </w:rPr>
          <w:instrText xml:space="preserve"> PAGEREF _Toc162522596 \h </w:instrText>
        </w:r>
        <w:r w:rsidR="00652F3D">
          <w:rPr>
            <w:webHidden/>
          </w:rPr>
        </w:r>
        <w:r w:rsidR="00652F3D">
          <w:rPr>
            <w:webHidden/>
          </w:rPr>
          <w:fldChar w:fldCharType="separate"/>
        </w:r>
        <w:r w:rsidR="00C14B8E">
          <w:rPr>
            <w:webHidden/>
          </w:rPr>
          <w:t>21</w:t>
        </w:r>
        <w:r w:rsidR="00652F3D">
          <w:rPr>
            <w:webHidden/>
          </w:rPr>
          <w:fldChar w:fldCharType="end"/>
        </w:r>
      </w:hyperlink>
    </w:p>
    <w:p w14:paraId="6245208D" w14:textId="10C42ECD" w:rsidR="00652F3D" w:rsidRDefault="00973E66">
      <w:pPr>
        <w:pStyle w:val="TOC3"/>
        <w:rPr>
          <w:rFonts w:asciiTheme="minorHAnsi" w:eastAsiaTheme="minorEastAsia" w:hAnsiTheme="minorHAnsi" w:cstheme="minorBidi"/>
          <w:color w:val="auto"/>
          <w:lang w:eastAsia="en-AU"/>
        </w:rPr>
      </w:pPr>
      <w:hyperlink w:anchor="_Toc162522597" w:history="1">
        <w:r w:rsidR="00652F3D" w:rsidRPr="00313641">
          <w:rPr>
            <w:rStyle w:val="Hyperlink"/>
          </w:rPr>
          <w:t>Best practice examples of developing government land</w:t>
        </w:r>
        <w:r w:rsidR="00652F3D">
          <w:rPr>
            <w:webHidden/>
          </w:rPr>
          <w:tab/>
        </w:r>
        <w:r w:rsidR="00652F3D">
          <w:rPr>
            <w:webHidden/>
          </w:rPr>
          <w:fldChar w:fldCharType="begin"/>
        </w:r>
        <w:r w:rsidR="00652F3D">
          <w:rPr>
            <w:webHidden/>
          </w:rPr>
          <w:instrText xml:space="preserve"> PAGEREF _Toc162522597 \h </w:instrText>
        </w:r>
        <w:r w:rsidR="00652F3D">
          <w:rPr>
            <w:webHidden/>
          </w:rPr>
        </w:r>
        <w:r w:rsidR="00652F3D">
          <w:rPr>
            <w:webHidden/>
          </w:rPr>
          <w:fldChar w:fldCharType="separate"/>
        </w:r>
        <w:r w:rsidR="00C14B8E">
          <w:rPr>
            <w:webHidden/>
          </w:rPr>
          <w:t>21</w:t>
        </w:r>
        <w:r w:rsidR="00652F3D">
          <w:rPr>
            <w:webHidden/>
          </w:rPr>
          <w:fldChar w:fldCharType="end"/>
        </w:r>
      </w:hyperlink>
    </w:p>
    <w:p w14:paraId="019713C1" w14:textId="10FEAE9F" w:rsidR="002C6FAE" w:rsidRPr="00016ECC" w:rsidRDefault="00CD5AB3" w:rsidP="00C46093">
      <w:pPr>
        <w:pStyle w:val="BodyText"/>
        <w:outlineLvl w:val="2"/>
        <w:sectPr w:rsidR="002C6FAE" w:rsidRPr="00016ECC" w:rsidSect="008F2092">
          <w:headerReference w:type="even" r:id="rId25"/>
          <w:headerReference w:type="default" r:id="rId26"/>
          <w:footerReference w:type="even" r:id="rId27"/>
          <w:footerReference w:type="default" r:id="rId28"/>
          <w:headerReference w:type="first" r:id="rId29"/>
          <w:footerReference w:type="first" r:id="rId30"/>
          <w:pgSz w:w="11900" w:h="16840" w:code="9"/>
          <w:pgMar w:top="1134" w:right="1134" w:bottom="1134" w:left="1134" w:header="567" w:footer="567" w:gutter="0"/>
          <w:cols w:space="708"/>
          <w:docGrid w:linePitch="299"/>
        </w:sectPr>
      </w:pPr>
      <w:r>
        <w:rPr>
          <w:rFonts w:asciiTheme="majorHAnsi" w:hAnsiTheme="majorHAnsi"/>
          <w:b/>
          <w:bCs/>
          <w:noProof/>
          <w:webHidden/>
          <w:color w:val="002664" w:themeColor="background2"/>
        </w:rPr>
        <w:fldChar w:fldCharType="end"/>
      </w:r>
    </w:p>
    <w:p w14:paraId="36FA2A14" w14:textId="1E1D543C" w:rsidR="00B24BAA" w:rsidRDefault="00B24BAA" w:rsidP="00FE61FB">
      <w:pPr>
        <w:pStyle w:val="Heading1"/>
        <w:spacing w:after="100" w:afterAutospacing="1"/>
      </w:pPr>
      <w:bookmarkStart w:id="5" w:name="_Toc162522582"/>
      <w:r>
        <w:t>Background</w:t>
      </w:r>
      <w:bookmarkEnd w:id="5"/>
    </w:p>
    <w:p w14:paraId="7315900A" w14:textId="4A8C1F94" w:rsidR="00BE694D" w:rsidRPr="00C163D0" w:rsidRDefault="00B24BAA" w:rsidP="00C163D0">
      <w:pPr>
        <w:pStyle w:val="BodyText"/>
        <w:spacing w:after="100" w:afterAutospacing="1"/>
        <w:rPr>
          <w:rFonts w:cstheme="minorHAnsi"/>
        </w:rPr>
      </w:pPr>
      <w:r w:rsidRPr="008F7D50">
        <w:t xml:space="preserve">In August 2023, National Cabinet agreed to a </w:t>
      </w:r>
      <w:hyperlink r:id="rId31" w:history="1">
        <w:r w:rsidR="007623A4" w:rsidRPr="007623A4">
          <w:rPr>
            <w:rStyle w:val="Hyperlink"/>
            <w:rFonts w:cstheme="minorHAnsi"/>
          </w:rPr>
          <w:t>National Planning Reform Blueprint</w:t>
        </w:r>
      </w:hyperlink>
      <w:r w:rsidR="007623A4">
        <w:rPr>
          <w:rFonts w:cstheme="minorHAnsi"/>
        </w:rPr>
        <w:t xml:space="preserve"> </w:t>
      </w:r>
      <w:r w:rsidR="00FB61EF" w:rsidRPr="00C163D0">
        <w:t xml:space="preserve">to outline </w:t>
      </w:r>
      <w:r w:rsidRPr="00C163D0">
        <w:t xml:space="preserve">planning, zoning, land release and other reform measures to improve housing supply and affordability. </w:t>
      </w:r>
      <w:r w:rsidR="00BE694D" w:rsidRPr="00C163D0">
        <w:t>The Blueprint’s measures include:</w:t>
      </w:r>
    </w:p>
    <w:p w14:paraId="1D43C160" w14:textId="77777777" w:rsidR="00BE694D" w:rsidRPr="00BE694D" w:rsidRDefault="00BE694D" w:rsidP="00BE694D">
      <w:pPr>
        <w:numPr>
          <w:ilvl w:val="0"/>
          <w:numId w:val="27"/>
        </w:numPr>
        <w:shd w:val="clear" w:color="auto" w:fill="FFFFFF"/>
        <w:spacing w:before="100" w:beforeAutospacing="1" w:after="100" w:afterAutospacing="1" w:line="240" w:lineRule="auto"/>
      </w:pPr>
      <w:r w:rsidRPr="00BE694D">
        <w:t>Updating state, regional, and local strategic plans to reflect housing supply targets.</w:t>
      </w:r>
    </w:p>
    <w:p w14:paraId="4B5E4F86" w14:textId="60B652D1" w:rsidR="00BE694D" w:rsidRPr="00BE694D" w:rsidRDefault="00BE694D" w:rsidP="27A15360">
      <w:pPr>
        <w:numPr>
          <w:ilvl w:val="0"/>
          <w:numId w:val="27"/>
        </w:numPr>
        <w:shd w:val="clear" w:color="auto" w:fill="FFFFFF" w:themeFill="background1"/>
        <w:spacing w:before="100" w:beforeAutospacing="1" w:after="100" w:afterAutospacing="1" w:line="240" w:lineRule="auto"/>
      </w:pPr>
      <w:r w:rsidRPr="00BE694D">
        <w:t xml:space="preserve">Promoting medium and </w:t>
      </w:r>
      <w:proofErr w:type="gramStart"/>
      <w:r w:rsidRPr="00BE694D">
        <w:t>high</w:t>
      </w:r>
      <w:r w:rsidR="0B83CB1B">
        <w:t xml:space="preserve"> </w:t>
      </w:r>
      <w:r w:rsidRPr="00BE694D">
        <w:t>density</w:t>
      </w:r>
      <w:proofErr w:type="gramEnd"/>
      <w:r w:rsidRPr="00BE694D">
        <w:t xml:space="preserve"> housing in well</w:t>
      </w:r>
      <w:r w:rsidR="4ABCD356">
        <w:t>-</w:t>
      </w:r>
      <w:r w:rsidRPr="00BE694D">
        <w:t>located areas close to existing public transport connections, amenities and employment.</w:t>
      </w:r>
    </w:p>
    <w:p w14:paraId="7C1DA4BD" w14:textId="77777777" w:rsidR="00BE694D" w:rsidRPr="00BE694D" w:rsidRDefault="00BE694D" w:rsidP="00BE694D">
      <w:pPr>
        <w:numPr>
          <w:ilvl w:val="0"/>
          <w:numId w:val="27"/>
        </w:numPr>
        <w:shd w:val="clear" w:color="auto" w:fill="FFFFFF"/>
        <w:spacing w:before="100" w:beforeAutospacing="1" w:after="100" w:afterAutospacing="1" w:line="240" w:lineRule="auto"/>
      </w:pPr>
      <w:r w:rsidRPr="00BE694D">
        <w:t>Streamlining approval pathways.</w:t>
      </w:r>
    </w:p>
    <w:p w14:paraId="514787C8" w14:textId="77777777" w:rsidR="00B24BAA" w:rsidRPr="00C163D0" w:rsidRDefault="00B24BAA" w:rsidP="00FE61FB">
      <w:pPr>
        <w:pStyle w:val="BodyText"/>
        <w:spacing w:after="100" w:afterAutospacing="1"/>
      </w:pPr>
      <w:r w:rsidRPr="00C163D0">
        <w:t xml:space="preserve">This is the first report for New South Wales summarising progress against Measures 2 through 6 and 10 of the National Planning Reform Blueprint. </w:t>
      </w:r>
    </w:p>
    <w:p w14:paraId="4030EF8E" w14:textId="36B3340B" w:rsidR="00B24BAA" w:rsidRDefault="00B24BAA" w:rsidP="00FE61FB">
      <w:pPr>
        <w:pStyle w:val="BodyText"/>
        <w:spacing w:after="100" w:afterAutospacing="1"/>
      </w:pPr>
      <w:r w:rsidRPr="00C163D0">
        <w:t xml:space="preserve">More information on </w:t>
      </w:r>
      <w:r w:rsidR="00B25B7C">
        <w:t>the</w:t>
      </w:r>
      <w:r w:rsidR="00076EFD">
        <w:t xml:space="preserve"> National Housing Accord can be found at </w:t>
      </w:r>
      <w:hyperlink r:id="rId32" w:history="1">
        <w:r w:rsidR="00B25B7C" w:rsidRPr="005976F2">
          <w:rPr>
            <w:rStyle w:val="Hyperlink"/>
          </w:rPr>
          <w:t>https://treasury.gov.au/housing-policy/accord</w:t>
        </w:r>
      </w:hyperlink>
    </w:p>
    <w:p w14:paraId="56643E8E" w14:textId="77777777" w:rsidR="00B25B7C" w:rsidRPr="00C163D0" w:rsidRDefault="00B25B7C" w:rsidP="00FE61FB">
      <w:pPr>
        <w:pStyle w:val="BodyText"/>
        <w:spacing w:after="100" w:afterAutospacing="1"/>
      </w:pPr>
    </w:p>
    <w:p w14:paraId="35569425" w14:textId="557E30B3" w:rsidR="00B24BAA" w:rsidRDefault="00B24BAA" w:rsidP="00B24BAA">
      <w:pPr>
        <w:pStyle w:val="BodyText"/>
        <w:rPr>
          <w:rFonts w:cstheme="minorHAnsi"/>
        </w:rPr>
      </w:pPr>
    </w:p>
    <w:p w14:paraId="651F1406" w14:textId="74501194" w:rsidR="00B24BAA" w:rsidRDefault="00B24BAA" w:rsidP="00B24BAA">
      <w:pPr>
        <w:pStyle w:val="BodyText"/>
        <w:rPr>
          <w:rFonts w:cstheme="minorHAnsi"/>
        </w:rPr>
      </w:pPr>
    </w:p>
    <w:p w14:paraId="3EBF4E15" w14:textId="4C234416" w:rsidR="00B24BAA" w:rsidRDefault="00B24BAA" w:rsidP="00B24BAA">
      <w:pPr>
        <w:pStyle w:val="BodyText"/>
        <w:rPr>
          <w:rFonts w:cstheme="minorHAnsi"/>
        </w:rPr>
      </w:pPr>
    </w:p>
    <w:p w14:paraId="7FF7CC44" w14:textId="60644975" w:rsidR="00B24BAA" w:rsidRDefault="00B24BAA" w:rsidP="00B24BAA">
      <w:pPr>
        <w:pStyle w:val="BodyText"/>
        <w:rPr>
          <w:rFonts w:cstheme="minorHAnsi"/>
        </w:rPr>
      </w:pPr>
    </w:p>
    <w:p w14:paraId="0262F7FB" w14:textId="29D00FEF" w:rsidR="00B24BAA" w:rsidRDefault="00B24BAA" w:rsidP="00B24BAA">
      <w:pPr>
        <w:pStyle w:val="BodyText"/>
        <w:rPr>
          <w:rFonts w:cstheme="minorHAnsi"/>
        </w:rPr>
      </w:pPr>
    </w:p>
    <w:p w14:paraId="2DFFFCB3" w14:textId="508E2456" w:rsidR="00B24BAA" w:rsidRDefault="00B24BAA" w:rsidP="00B24BAA">
      <w:pPr>
        <w:pStyle w:val="BodyText"/>
        <w:rPr>
          <w:rFonts w:cstheme="minorHAnsi"/>
        </w:rPr>
      </w:pPr>
    </w:p>
    <w:p w14:paraId="7814D1C1" w14:textId="51BFC323" w:rsidR="00B24BAA" w:rsidRDefault="00B24BAA" w:rsidP="00B24BAA">
      <w:pPr>
        <w:pStyle w:val="BodyText"/>
        <w:rPr>
          <w:rFonts w:cstheme="minorHAnsi"/>
        </w:rPr>
      </w:pPr>
    </w:p>
    <w:p w14:paraId="44ADF074" w14:textId="5FEE6AB4" w:rsidR="00B24BAA" w:rsidRDefault="00B24BAA" w:rsidP="00B24BAA">
      <w:pPr>
        <w:pStyle w:val="BodyText"/>
        <w:rPr>
          <w:rFonts w:cstheme="minorHAnsi"/>
        </w:rPr>
      </w:pPr>
    </w:p>
    <w:p w14:paraId="5880700E" w14:textId="52579BCE" w:rsidR="00B24BAA" w:rsidRDefault="00B24BAA" w:rsidP="00B24BAA">
      <w:pPr>
        <w:pStyle w:val="BodyText"/>
        <w:rPr>
          <w:rFonts w:cstheme="minorHAnsi"/>
        </w:rPr>
      </w:pPr>
    </w:p>
    <w:p w14:paraId="06011C0F" w14:textId="739E2657" w:rsidR="00B24BAA" w:rsidRDefault="00B24BAA" w:rsidP="00B24BAA">
      <w:pPr>
        <w:pStyle w:val="BodyText"/>
        <w:rPr>
          <w:rFonts w:cstheme="minorHAnsi"/>
        </w:rPr>
      </w:pPr>
    </w:p>
    <w:p w14:paraId="1531CEF8" w14:textId="32DDC135" w:rsidR="00B24BAA" w:rsidRDefault="00B24BAA" w:rsidP="00B24BAA">
      <w:pPr>
        <w:pStyle w:val="BodyText"/>
        <w:rPr>
          <w:rFonts w:cstheme="minorHAnsi"/>
        </w:rPr>
      </w:pPr>
    </w:p>
    <w:p w14:paraId="0049E22E" w14:textId="2D769C9C" w:rsidR="00B24BAA" w:rsidRDefault="00B24BAA" w:rsidP="00B24BAA">
      <w:pPr>
        <w:pStyle w:val="BodyText"/>
        <w:rPr>
          <w:rFonts w:cstheme="minorHAnsi"/>
        </w:rPr>
      </w:pPr>
    </w:p>
    <w:p w14:paraId="3A62D25B" w14:textId="7C2CD26F" w:rsidR="00B24BAA" w:rsidRDefault="00B24BAA" w:rsidP="00B24BAA">
      <w:pPr>
        <w:pStyle w:val="BodyText"/>
        <w:rPr>
          <w:rFonts w:cstheme="minorHAnsi"/>
        </w:rPr>
      </w:pPr>
    </w:p>
    <w:p w14:paraId="5E91E34F" w14:textId="1DCA38A0" w:rsidR="00B24BAA" w:rsidRDefault="00B24BAA" w:rsidP="00B24BAA">
      <w:pPr>
        <w:pStyle w:val="BodyText"/>
        <w:rPr>
          <w:rFonts w:cstheme="minorHAnsi"/>
        </w:rPr>
      </w:pPr>
    </w:p>
    <w:p w14:paraId="71EB0D51" w14:textId="616AC94B" w:rsidR="00B24BAA" w:rsidRDefault="00B24BAA" w:rsidP="00B24BAA">
      <w:pPr>
        <w:pStyle w:val="BodyText"/>
        <w:rPr>
          <w:rFonts w:cstheme="minorHAnsi"/>
        </w:rPr>
      </w:pPr>
    </w:p>
    <w:p w14:paraId="418F7352" w14:textId="77777777" w:rsidR="00D64507" w:rsidRDefault="00D64507" w:rsidP="00B24BAA">
      <w:pPr>
        <w:pStyle w:val="BodyText"/>
        <w:rPr>
          <w:rFonts w:cstheme="minorHAnsi"/>
        </w:rPr>
      </w:pPr>
    </w:p>
    <w:p w14:paraId="4AE09CA8" w14:textId="585FC41C" w:rsidR="001817B7" w:rsidRPr="001817B7" w:rsidRDefault="00257950" w:rsidP="009835AE">
      <w:pPr>
        <w:pStyle w:val="Heading1"/>
        <w:spacing w:after="240"/>
      </w:pPr>
      <w:bookmarkStart w:id="6" w:name="_Toc162522583"/>
      <w:r>
        <w:t>Measure 2</w:t>
      </w:r>
      <w:bookmarkEnd w:id="6"/>
    </w:p>
    <w:p w14:paraId="0C1DA214" w14:textId="5CAC30DC" w:rsidR="005232A8" w:rsidRPr="005232A8" w:rsidRDefault="0005223E" w:rsidP="009835AE">
      <w:pPr>
        <w:pStyle w:val="CalloutHeading2"/>
        <w:spacing w:after="240"/>
      </w:pPr>
      <w:r w:rsidRPr="00306516">
        <w:t>Planning Ministers will report to National Cabinet on state, regional and local strategic plans before 1 March 2024 that reflect their jurisdiction’s share of housing supply targets agreed by National Cabinet and links with infrastructure pipelines.</w:t>
      </w:r>
    </w:p>
    <w:p w14:paraId="6FF09AD2" w14:textId="7A3F49C1" w:rsidR="00B2732B" w:rsidRPr="00791E44" w:rsidRDefault="00B2732B" w:rsidP="00791E44">
      <w:pPr>
        <w:pStyle w:val="BodyText"/>
      </w:pPr>
      <w:r w:rsidRPr="00791E44">
        <w:t xml:space="preserve">The </w:t>
      </w:r>
      <w:r w:rsidRPr="002E49DD">
        <w:rPr>
          <w:i/>
          <w:iCs/>
        </w:rPr>
        <w:t>NSW Environmental Planning and Assessment Act 1979</w:t>
      </w:r>
      <w:r w:rsidRPr="00791E44">
        <w:t xml:space="preserve"> (EP&amp;A Act) establishes the framework for Regional and City Plans, State Environmental Planning Policies (SEPPs), Local Strategic Planning Statements (LSPSs) and Local Environmental Plans (LEPs) and Development Control Plans (DCPs). Regional and City Plans create the overarching vision for places across NSW.  </w:t>
      </w:r>
    </w:p>
    <w:p w14:paraId="7C706D7C" w14:textId="2AC10F01" w:rsidR="00B2732B" w:rsidRPr="00791E44" w:rsidRDefault="00B2732B" w:rsidP="00791E44">
      <w:pPr>
        <w:pStyle w:val="BodyText"/>
      </w:pPr>
      <w:r w:rsidRPr="00791E44">
        <w:t>In 2024, the</w:t>
      </w:r>
      <w:r w:rsidR="00043D69">
        <w:rPr>
          <w:rStyle w:val="ui-provider"/>
        </w:rPr>
        <w:t xml:space="preserve"> NSW Department of Planning, Housing and Infrastructure is reviewing the Greater Sydney Region Plan, as well as, the Illawarra-Shoalhaven, Central Coast and Lower Hunter and Greater Hunter Regional Plans, to ensure they remain fit for purpose. The Department will update the Greater Sydney Region Plan following this review.</w:t>
      </w:r>
      <w:r w:rsidR="00043D69" w:rsidRPr="00791E44" w:rsidDel="00043D69">
        <w:t xml:space="preserve"> </w:t>
      </w:r>
    </w:p>
    <w:p w14:paraId="0025305A" w14:textId="7C37766C" w:rsidR="00B2732B" w:rsidRPr="00791E44" w:rsidRDefault="00B2732B" w:rsidP="00791E44">
      <w:pPr>
        <w:pStyle w:val="BodyText"/>
      </w:pPr>
      <w:r w:rsidRPr="00791E44">
        <w:t xml:space="preserve">The Department will publish </w:t>
      </w:r>
      <w:r w:rsidR="00F6306C">
        <w:t xml:space="preserve">local </w:t>
      </w:r>
      <w:r w:rsidRPr="00791E44">
        <w:t xml:space="preserve">housing targets for 5, 10 and 20 years. Strategic plans must have regard to any state infrastructure strategy, 5-year infrastructure plan or sectoral State Infrastructure Strategy statement under the </w:t>
      </w:r>
      <w:r w:rsidRPr="00DA2BEB">
        <w:rPr>
          <w:i/>
          <w:iCs/>
        </w:rPr>
        <w:t>Infrastructure NSW Act 2011</w:t>
      </w:r>
      <w:r w:rsidRPr="00791E44">
        <w:t xml:space="preserve">, and new plans must consider state disaster mitigation plans. </w:t>
      </w:r>
    </w:p>
    <w:p w14:paraId="2DBC9B61" w14:textId="77777777" w:rsidR="00B2732B" w:rsidRPr="00791E44" w:rsidRDefault="00B2732B" w:rsidP="00791E44">
      <w:pPr>
        <w:pStyle w:val="BodyText"/>
      </w:pPr>
      <w:r w:rsidRPr="00791E44">
        <w:t xml:space="preserve">The Department collaborates with other NSW agencies, local government, industry and utility providers on strategic planning and monitoring of land use and housing delivery. This is enabled by an expansion of the Urban Development Program (UDP). The UDPs support the delivery of infrastructure and new development by improving the coordination of the various stakeholders responsible for housing development and infrastructure delivery, and by actively managing a pipeline of future development. </w:t>
      </w:r>
    </w:p>
    <w:p w14:paraId="37A191EF" w14:textId="77777777" w:rsidR="00B2732B" w:rsidRPr="00791E44" w:rsidRDefault="00B2732B" w:rsidP="00791E44">
      <w:pPr>
        <w:pStyle w:val="BodyText"/>
      </w:pPr>
      <w:r w:rsidRPr="00791E44">
        <w:t xml:space="preserve">Councils will be required to apply the strategic vision at a local level, including to support the delivery of housing targets. Councils may also need to update local infrastructure contributions plans in place to ensure contributions will adequately address increased demand created by expected housing growth.  </w:t>
      </w:r>
    </w:p>
    <w:p w14:paraId="4C6860CE" w14:textId="2C51D891" w:rsidR="00B2732B" w:rsidRPr="00791E44" w:rsidRDefault="00B2732B" w:rsidP="00791E44">
      <w:pPr>
        <w:pStyle w:val="BodyText"/>
      </w:pPr>
      <w:r w:rsidRPr="00791E44">
        <w:t xml:space="preserve">NSW has also provided its </w:t>
      </w:r>
      <w:hyperlink r:id="rId33" w:history="1">
        <w:r w:rsidRPr="00FF0D95">
          <w:t>implementation plan</w:t>
        </w:r>
      </w:hyperlink>
      <w:r w:rsidRPr="00791E44">
        <w:t xml:space="preserve"> to increase supply of around 1,500 dwellings under its $610 million share of the Social Housing Accelerator payment.</w:t>
      </w:r>
    </w:p>
    <w:p w14:paraId="5B5696A7" w14:textId="2A867377" w:rsidR="00B2732B" w:rsidRPr="00791E44" w:rsidRDefault="00973E66" w:rsidP="00791E44">
      <w:pPr>
        <w:pStyle w:val="BodyText"/>
      </w:pPr>
      <w:hyperlink r:id="rId34" w:history="1">
        <w:r w:rsidR="008F1A77" w:rsidRPr="00553572">
          <w:rPr>
            <w:rStyle w:val="Hyperlink"/>
          </w:rPr>
          <w:t>https://treasury.gov.au/sites/default/files/2023-11/shap-nsw.pdf</w:t>
        </w:r>
      </w:hyperlink>
      <w:r w:rsidR="008F1A77">
        <w:t xml:space="preserve"> </w:t>
      </w:r>
    </w:p>
    <w:p w14:paraId="66354A8D" w14:textId="4FFEEAFF" w:rsidR="00B24BAA" w:rsidRDefault="00225882" w:rsidP="00F6306C">
      <w:pPr>
        <w:pStyle w:val="Heading1"/>
        <w:spacing w:after="240"/>
      </w:pPr>
      <w:r>
        <w:br w:type="page"/>
      </w:r>
      <w:bookmarkStart w:id="7" w:name="_Toc162522584"/>
      <w:r w:rsidR="00905435">
        <w:t>Measure 3</w:t>
      </w:r>
      <w:bookmarkEnd w:id="7"/>
    </w:p>
    <w:p w14:paraId="17532677" w14:textId="39B10E8B" w:rsidR="00905435" w:rsidRPr="00905435" w:rsidRDefault="009A7E4E" w:rsidP="00C977E6">
      <w:pPr>
        <w:pStyle w:val="CalloutHeading2"/>
        <w:spacing w:after="240"/>
      </w:pPr>
      <w:r w:rsidRPr="00306516">
        <w:rPr>
          <w:lang w:eastAsia="en-AU"/>
        </w:rPr>
        <w:t>Planning Ministers will undertake planning, zoning, land release and other reforms, such as increasing density, to meet their jurisdiction share of housing supply targets agreed by National Cabinet.</w:t>
      </w:r>
    </w:p>
    <w:p w14:paraId="04E0D6C6" w14:textId="77777777" w:rsidR="002E49DD" w:rsidRPr="000062D2" w:rsidRDefault="002E49DD" w:rsidP="000062D2">
      <w:pPr>
        <w:pStyle w:val="Heading3"/>
      </w:pPr>
      <w:bookmarkStart w:id="8" w:name="_Toc162522585"/>
      <w:r w:rsidRPr="000062D2">
        <w:t>Summary of planning, zoning and land release reforms</w:t>
      </w:r>
      <w:bookmarkEnd w:id="8"/>
    </w:p>
    <w:p w14:paraId="409C2679" w14:textId="6DCAB874" w:rsidR="002E49DD" w:rsidRPr="008F2C96" w:rsidRDefault="002E49DD" w:rsidP="00602567">
      <w:pPr>
        <w:pStyle w:val="Heading4"/>
      </w:pPr>
      <w:r w:rsidRPr="008F2C96">
        <w:t>Transport Oriented Development Program:</w:t>
      </w:r>
      <w:r w:rsidR="007A271C" w:rsidRPr="008F2C96">
        <w:t xml:space="preserve"> </w:t>
      </w:r>
      <w:r w:rsidRPr="008F2C96">
        <w:t>Accelerated Precincts</w:t>
      </w:r>
    </w:p>
    <w:p w14:paraId="417CC0CE" w14:textId="77777777" w:rsidR="002E49DD" w:rsidRPr="00B534B5" w:rsidRDefault="002E49DD" w:rsidP="00602567">
      <w:pPr>
        <w:pStyle w:val="BodyText"/>
        <w:rPr>
          <w:i/>
          <w:iCs/>
        </w:rPr>
      </w:pPr>
      <w:r w:rsidRPr="00B534B5">
        <w:rPr>
          <w:i/>
          <w:iCs/>
        </w:rPr>
        <w:t>Announced December 2023</w:t>
      </w:r>
    </w:p>
    <w:p w14:paraId="69FD784C" w14:textId="58774139" w:rsidR="002E49DD" w:rsidRDefault="002E49DD" w:rsidP="002E49DD">
      <w:pPr>
        <w:pStyle w:val="BodyText"/>
      </w:pPr>
      <w:r w:rsidRPr="00B534B5">
        <w:t xml:space="preserve">Eight Sydney transport hubs for accelerated rezoning </w:t>
      </w:r>
      <w:r>
        <w:t>will</w:t>
      </w:r>
      <w:r w:rsidRPr="00B534B5">
        <w:t xml:space="preserve"> provide well-located high and mid-rise homes within 1</w:t>
      </w:r>
      <w:r>
        <w:t>,</w:t>
      </w:r>
      <w:r w:rsidRPr="00B534B5">
        <w:t>200</w:t>
      </w:r>
      <w:r>
        <w:t xml:space="preserve"> </w:t>
      </w:r>
      <w:r w:rsidRPr="00B534B5">
        <w:t>m</w:t>
      </w:r>
      <w:r>
        <w:t>etres</w:t>
      </w:r>
      <w:r w:rsidRPr="00B534B5">
        <w:t xml:space="preserve"> of metro and rail station</w:t>
      </w:r>
      <w:r w:rsidR="00237337">
        <w:t>s</w:t>
      </w:r>
      <w:r w:rsidRPr="00B534B5">
        <w:t>, including up to 15% affordable housing in perpetuity. Residential developments over $60</w:t>
      </w:r>
      <w:r>
        <w:t xml:space="preserve"> </w:t>
      </w:r>
      <w:r w:rsidRPr="00B534B5">
        <w:t>m</w:t>
      </w:r>
      <w:r>
        <w:t>illion</w:t>
      </w:r>
      <w:r w:rsidRPr="00B534B5">
        <w:t xml:space="preserve"> within the precinct will have access to a new </w:t>
      </w:r>
      <w:r>
        <w:t>state significant development (</w:t>
      </w:r>
      <w:r w:rsidRPr="00B534B5">
        <w:t>SSD</w:t>
      </w:r>
      <w:r>
        <w:t>)</w:t>
      </w:r>
      <w:r w:rsidRPr="00B534B5">
        <w:t xml:space="preserve"> pathway and construction will be required to commence within 2 years of approval. $520</w:t>
      </w:r>
      <w:r>
        <w:t xml:space="preserve"> </w:t>
      </w:r>
      <w:r w:rsidRPr="00B534B5">
        <w:t>m</w:t>
      </w:r>
      <w:r>
        <w:t>illion</w:t>
      </w:r>
      <w:r w:rsidRPr="00B534B5">
        <w:t xml:space="preserve"> will be provided for community infrastructure, such as road upgrades, active transport links and good quality public open spaces.</w:t>
      </w:r>
    </w:p>
    <w:p w14:paraId="3BFCF72B" w14:textId="2C39C013" w:rsidR="002E49DD" w:rsidRDefault="002E49DD" w:rsidP="002E49DD">
      <w:pPr>
        <w:pStyle w:val="BodyText"/>
      </w:pPr>
      <w:r w:rsidRPr="00B534B5">
        <w:t>Estimated capacity for 47,800 new homes</w:t>
      </w:r>
      <w:r w:rsidR="003363A4">
        <w:t xml:space="preserve"> over 15 years</w:t>
      </w:r>
      <w:r>
        <w:t>.</w:t>
      </w:r>
    </w:p>
    <w:p w14:paraId="72A2F440" w14:textId="44890D71" w:rsidR="002E49DD" w:rsidRDefault="00973E66" w:rsidP="002E49DD">
      <w:pPr>
        <w:pStyle w:val="BodyText"/>
      </w:pPr>
      <w:hyperlink r:id="rId35" w:history="1">
        <w:r w:rsidR="008F1A77" w:rsidRPr="00553572">
          <w:rPr>
            <w:rStyle w:val="Hyperlink"/>
          </w:rPr>
          <w:t>https://www.planning.nsw.gov.au/policy-and-legislation/housing/transport-oriented-development-program</w:t>
        </w:r>
      </w:hyperlink>
      <w:r w:rsidR="008F1A77">
        <w:t xml:space="preserve"> </w:t>
      </w:r>
    </w:p>
    <w:p w14:paraId="70812DF6" w14:textId="1A92F7AC" w:rsidR="002E49DD" w:rsidRPr="008F2C96" w:rsidRDefault="002E49DD" w:rsidP="008F2C96">
      <w:pPr>
        <w:pStyle w:val="Heading4"/>
      </w:pPr>
      <w:r w:rsidRPr="008F2C96">
        <w:t>Transport Oriented Development Program:</w:t>
      </w:r>
      <w:r w:rsidR="007A271C" w:rsidRPr="008F2C96">
        <w:t xml:space="preserve"> </w:t>
      </w:r>
      <w:r w:rsidRPr="008F2C96">
        <w:t>State Environmental Planning Policy (SEPP)</w:t>
      </w:r>
    </w:p>
    <w:p w14:paraId="26CD3A2B" w14:textId="77777777" w:rsidR="002E49DD" w:rsidRPr="00B534B5" w:rsidRDefault="002E49DD" w:rsidP="000A5258">
      <w:pPr>
        <w:pStyle w:val="BodyText"/>
        <w:rPr>
          <w:i/>
          <w:iCs/>
        </w:rPr>
      </w:pPr>
      <w:r w:rsidRPr="00B534B5">
        <w:rPr>
          <w:i/>
          <w:iCs/>
        </w:rPr>
        <w:t>Announced December 2023</w:t>
      </w:r>
    </w:p>
    <w:p w14:paraId="2A3D4A94" w14:textId="5376C010" w:rsidR="002E49DD" w:rsidRDefault="002E49DD" w:rsidP="002E49DD">
      <w:pPr>
        <w:pStyle w:val="BodyText"/>
      </w:pPr>
      <w:r>
        <w:t xml:space="preserve">The SEPP will </w:t>
      </w:r>
      <w:r w:rsidRPr="00B534B5">
        <w:t>apply in 31 locations across NSW within 400</w:t>
      </w:r>
      <w:r>
        <w:t xml:space="preserve"> </w:t>
      </w:r>
      <w:r w:rsidRPr="00B534B5">
        <w:t>m</w:t>
      </w:r>
      <w:r>
        <w:t>etres</w:t>
      </w:r>
      <w:r w:rsidRPr="00B534B5">
        <w:t xml:space="preserve"> of Metro or suburban rail station</w:t>
      </w:r>
      <w:r w:rsidR="000347E4">
        <w:t>s</w:t>
      </w:r>
      <w:r w:rsidRPr="00B534B5">
        <w:t xml:space="preserve"> to make residential flat buildings and shop top housing permissible in all residential zones.</w:t>
      </w:r>
    </w:p>
    <w:p w14:paraId="0C62EA22" w14:textId="77777777" w:rsidR="002E49DD" w:rsidRDefault="002E49DD" w:rsidP="002E49DD">
      <w:pPr>
        <w:pStyle w:val="BodyText"/>
      </w:pPr>
      <w:r w:rsidRPr="00B534B5">
        <w:t>These locations have been identified as being capable of accommodating new homes within existing enabling infrastructure.</w:t>
      </w:r>
    </w:p>
    <w:p w14:paraId="49BCD013" w14:textId="3A4D93F6" w:rsidR="002E49DD" w:rsidRDefault="002E49DD" w:rsidP="002E49DD">
      <w:pPr>
        <w:pStyle w:val="BodyText"/>
      </w:pPr>
      <w:r>
        <w:t>Estimated capacity for 138,000 new homes</w:t>
      </w:r>
      <w:r w:rsidR="003363A4">
        <w:t xml:space="preserve"> over 15 years</w:t>
      </w:r>
      <w:r>
        <w:t>.</w:t>
      </w:r>
    </w:p>
    <w:p w14:paraId="5EC21080" w14:textId="514FB8AD" w:rsidR="00965498" w:rsidRDefault="00973E66" w:rsidP="00B24BAA">
      <w:pPr>
        <w:pStyle w:val="BodyText"/>
      </w:pPr>
      <w:hyperlink r:id="rId36" w:history="1">
        <w:r w:rsidR="008F1A77" w:rsidRPr="00553572">
          <w:rPr>
            <w:rStyle w:val="Hyperlink"/>
          </w:rPr>
          <w:t>https://www.planning.nsw.gov.au/policy-and-legislation/housing/transport-oriented-development-program</w:t>
        </w:r>
      </w:hyperlink>
      <w:r w:rsidR="008F1A77">
        <w:t xml:space="preserve"> </w:t>
      </w:r>
    </w:p>
    <w:p w14:paraId="4EC51918" w14:textId="59932A76" w:rsidR="00673B72" w:rsidRDefault="00CE2C14" w:rsidP="00642D70">
      <w:pPr>
        <w:pStyle w:val="Heading4"/>
      </w:pPr>
      <w:r>
        <w:t xml:space="preserve">Diverse and </w:t>
      </w:r>
      <w:proofErr w:type="gramStart"/>
      <w:r>
        <w:t>well located</w:t>
      </w:r>
      <w:proofErr w:type="gramEnd"/>
      <w:r>
        <w:t xml:space="preserve"> housing </w:t>
      </w:r>
    </w:p>
    <w:p w14:paraId="7A6092CB" w14:textId="77777777" w:rsidR="00673B72" w:rsidRPr="00684B85" w:rsidRDefault="00673B72" w:rsidP="008F1A77">
      <w:pPr>
        <w:pStyle w:val="BodyText"/>
        <w:rPr>
          <w:i/>
          <w:iCs/>
        </w:rPr>
      </w:pPr>
      <w:r w:rsidRPr="00684B85">
        <w:rPr>
          <w:i/>
          <w:iCs/>
        </w:rPr>
        <w:t>Announced December 2023</w:t>
      </w:r>
    </w:p>
    <w:p w14:paraId="65EC7738" w14:textId="0DB30B0B" w:rsidR="00673B72" w:rsidRDefault="00673B72" w:rsidP="00673B72">
      <w:pPr>
        <w:pStyle w:val="BodyText"/>
      </w:pPr>
      <w:r>
        <w:t xml:space="preserve">These reforms have been publicly exhibited, and propose: </w:t>
      </w:r>
    </w:p>
    <w:p w14:paraId="3BA69AC0" w14:textId="77777777" w:rsidR="00673B72" w:rsidRDefault="00673B72" w:rsidP="00673B72">
      <w:pPr>
        <w:pStyle w:val="BodyText"/>
        <w:numPr>
          <w:ilvl w:val="0"/>
          <w:numId w:val="17"/>
        </w:numPr>
      </w:pPr>
      <w:r>
        <w:t xml:space="preserve">Dual occupancies (two separate homes on a single lot), such as duplexes, in all R2 low density residential zones across all of NSW. In Greater Sydney, reduced site area requirements and increased floor space allowance. </w:t>
      </w:r>
    </w:p>
    <w:p w14:paraId="018B97D0" w14:textId="77777777" w:rsidR="00673B72" w:rsidRDefault="00673B72" w:rsidP="00673B72">
      <w:pPr>
        <w:pStyle w:val="BodyText"/>
        <w:numPr>
          <w:ilvl w:val="0"/>
          <w:numId w:val="17"/>
        </w:numPr>
      </w:pPr>
      <w:r>
        <w:t xml:space="preserve">Terraces, townhouses and two storey apartment blocks near train stations and town centres in R2 low density residential zones across the Greater Sydney region, Hunter, Central Coast and Illawarra. In these areas, site area requirements will be </w:t>
      </w:r>
      <w:proofErr w:type="gramStart"/>
      <w:r>
        <w:t>reduced</w:t>
      </w:r>
      <w:proofErr w:type="gramEnd"/>
      <w:r>
        <w:t xml:space="preserve"> and floor area allowances increased. </w:t>
      </w:r>
    </w:p>
    <w:p w14:paraId="634BB4CB" w14:textId="77777777" w:rsidR="00673B72" w:rsidRDefault="00673B72" w:rsidP="00673B72">
      <w:pPr>
        <w:pStyle w:val="BodyText"/>
        <w:numPr>
          <w:ilvl w:val="0"/>
          <w:numId w:val="17"/>
        </w:numPr>
      </w:pPr>
      <w:r>
        <w:t>Mid-rise apartment blocks near train stations and town centres in R3 medium density zones. In these areas, floor area and heights will be increased to allow 4 to 6 storeys.</w:t>
      </w:r>
    </w:p>
    <w:p w14:paraId="0CD817D9" w14:textId="5FC6C4CD" w:rsidR="00673B72" w:rsidRDefault="00673B72" w:rsidP="00673B72">
      <w:pPr>
        <w:pStyle w:val="BodyText"/>
      </w:pPr>
      <w:r w:rsidRPr="00DF3ED7">
        <w:t xml:space="preserve">The reforms will be finalised </w:t>
      </w:r>
      <w:r w:rsidR="0091443F">
        <w:t xml:space="preserve">in </w:t>
      </w:r>
      <w:r w:rsidRPr="00DF3ED7">
        <w:t>2024</w:t>
      </w:r>
      <w:r w:rsidR="00703066">
        <w:t xml:space="preserve"> </w:t>
      </w:r>
      <w:r w:rsidR="005A2AC3">
        <w:t>and w</w:t>
      </w:r>
      <w:r w:rsidR="005969E5">
        <w:t>ill create capacity for up</w:t>
      </w:r>
      <w:r w:rsidRPr="00684B85">
        <w:t xml:space="preserve"> to 112,000 new homes</w:t>
      </w:r>
      <w:r w:rsidR="003363A4">
        <w:t xml:space="preserve"> over 5 years</w:t>
      </w:r>
      <w:r w:rsidDel="00CC45B9">
        <w:t>.</w:t>
      </w:r>
    </w:p>
    <w:p w14:paraId="59178BD0" w14:textId="10CAC397" w:rsidR="00673B72" w:rsidRDefault="00973E66" w:rsidP="00673B72">
      <w:pPr>
        <w:pStyle w:val="BodyText"/>
      </w:pPr>
      <w:hyperlink r:id="rId37" w:history="1">
        <w:r w:rsidR="008F1A77" w:rsidRPr="00553572">
          <w:rPr>
            <w:rStyle w:val="Hyperlink"/>
          </w:rPr>
          <w:t>https://www.planning.nsw.gov.au/policy-and-legislation/housing/diverse-and-well-located-homes</w:t>
        </w:r>
      </w:hyperlink>
      <w:r w:rsidR="008F1A77">
        <w:t xml:space="preserve"> </w:t>
      </w:r>
    </w:p>
    <w:p w14:paraId="775B9C4D" w14:textId="77777777" w:rsidR="00673B72" w:rsidRDefault="00673B72" w:rsidP="00421FAD">
      <w:pPr>
        <w:pStyle w:val="Heading4"/>
      </w:pPr>
      <w:r>
        <w:t>State-led strategic planning and rezoning to deliver additional housing in well-located areas already serviced by major infrastructure</w:t>
      </w:r>
    </w:p>
    <w:p w14:paraId="10882BD7" w14:textId="77777777" w:rsidR="00673B72" w:rsidRPr="00684B85" w:rsidRDefault="00673B72" w:rsidP="00421FAD">
      <w:pPr>
        <w:pStyle w:val="BodyText"/>
        <w:rPr>
          <w:i/>
          <w:iCs/>
        </w:rPr>
      </w:pPr>
      <w:r w:rsidRPr="00684B85">
        <w:rPr>
          <w:i/>
          <w:iCs/>
        </w:rPr>
        <w:t>In progress</w:t>
      </w:r>
    </w:p>
    <w:p w14:paraId="53067FF1" w14:textId="77777777" w:rsidR="00673B72" w:rsidRDefault="00673B72" w:rsidP="00673B72">
      <w:pPr>
        <w:pStyle w:val="BodyText"/>
      </w:pPr>
      <w:r>
        <w:t>This includes:</w:t>
      </w:r>
    </w:p>
    <w:p w14:paraId="3B671A2A" w14:textId="77777777" w:rsidR="00673B72" w:rsidRDefault="00673B72" w:rsidP="00673B72">
      <w:pPr>
        <w:pStyle w:val="BodyText"/>
        <w:numPr>
          <w:ilvl w:val="0"/>
          <w:numId w:val="18"/>
        </w:numPr>
      </w:pPr>
      <w:r>
        <w:t xml:space="preserve">Completed rezoning to allow for 1,800 new homes in Parramatta’s Church Street North precinct, including to allow for increased building heights. </w:t>
      </w:r>
    </w:p>
    <w:p w14:paraId="7D63A062" w14:textId="77777777" w:rsidR="00673B72" w:rsidRPr="00B6130B" w:rsidRDefault="00673B72" w:rsidP="00673B72">
      <w:pPr>
        <w:pStyle w:val="BodyText"/>
        <w:numPr>
          <w:ilvl w:val="0"/>
          <w:numId w:val="18"/>
        </w:numPr>
      </w:pPr>
      <w:r>
        <w:t xml:space="preserve">Progressing rezoning for an additional 7 state-led rezonings and 8 state-assessed </w:t>
      </w:r>
      <w:r w:rsidRPr="00B6130B">
        <w:t xml:space="preserve">planning proposals to deliver 70,000 new homes under the Rezone and Build initiative. Examples include: </w:t>
      </w:r>
    </w:p>
    <w:p w14:paraId="7255EF18" w14:textId="39389150" w:rsidR="00673B72" w:rsidRDefault="00673B72" w:rsidP="006600C3">
      <w:pPr>
        <w:pStyle w:val="BodyText"/>
        <w:numPr>
          <w:ilvl w:val="1"/>
          <w:numId w:val="18"/>
        </w:numPr>
      </w:pPr>
      <w:r w:rsidRPr="00B6130B">
        <w:t>Rezoning proposal for Macquarie Park Innovation Precinct Stage 1 to allow for</w:t>
      </w:r>
      <w:r w:rsidR="006600C3" w:rsidRPr="00B6130B">
        <w:t xml:space="preserve"> </w:t>
      </w:r>
      <w:r w:rsidRPr="00B6130B">
        <w:t>3,060 new homes</w:t>
      </w:r>
      <w:r>
        <w:t xml:space="preserve"> including affordable housing plus an additional 5,040 homes build-to-rent, depending on market demand.  </w:t>
      </w:r>
    </w:p>
    <w:p w14:paraId="65C2500C" w14:textId="20481541" w:rsidR="0022471F" w:rsidRDefault="00673B72" w:rsidP="006600C3">
      <w:pPr>
        <w:pStyle w:val="BodyText"/>
        <w:numPr>
          <w:ilvl w:val="1"/>
          <w:numId w:val="18"/>
        </w:numPr>
      </w:pPr>
      <w:r>
        <w:t xml:space="preserve">Rezoning proposal for Explorer St Eveleigh to allow up to 400 new homes with 30% allocated for social </w:t>
      </w:r>
      <w:r w:rsidR="00C73CA5">
        <w:t xml:space="preserve">housing </w:t>
      </w:r>
      <w:r>
        <w:t xml:space="preserve">and 20% for affordable housing. </w:t>
      </w:r>
    </w:p>
    <w:p w14:paraId="6A85BE97" w14:textId="2DB7415D" w:rsidR="00673B72" w:rsidRDefault="00673B72" w:rsidP="006600C3">
      <w:pPr>
        <w:pStyle w:val="BodyText"/>
        <w:numPr>
          <w:ilvl w:val="1"/>
          <w:numId w:val="18"/>
        </w:numPr>
      </w:pPr>
      <w:r>
        <w:t>State-assess</w:t>
      </w:r>
      <w:r w:rsidR="005969E5">
        <w:t>ed</w:t>
      </w:r>
      <w:r>
        <w:t xml:space="preserve"> planning proposal at Appin (part) precinct approved to enable 12,900 homes.</w:t>
      </w:r>
    </w:p>
    <w:p w14:paraId="0AE5E420" w14:textId="6965898E" w:rsidR="008F1A77" w:rsidRDefault="00973E66" w:rsidP="00673B72">
      <w:pPr>
        <w:pStyle w:val="BodyText"/>
      </w:pPr>
      <w:hyperlink r:id="rId38" w:history="1">
        <w:r w:rsidR="008F1A77" w:rsidRPr="00553572">
          <w:rPr>
            <w:rStyle w:val="Hyperlink"/>
          </w:rPr>
          <w:t>https://www.planning.nsw.gov.au/plans-for-your-area/rezoning-pathways-program</w:t>
        </w:r>
      </w:hyperlink>
    </w:p>
    <w:p w14:paraId="0C22D701" w14:textId="77777777" w:rsidR="008F1A77" w:rsidRPr="00502D6F" w:rsidRDefault="008F1A77" w:rsidP="008F1A77">
      <w:pPr>
        <w:pStyle w:val="Heading4"/>
      </w:pPr>
      <w:r w:rsidRPr="00502D6F">
        <w:t xml:space="preserve">Amendment to dwelling caps in The Hills Showground Station precinct </w:t>
      </w:r>
    </w:p>
    <w:p w14:paraId="2F9F083F" w14:textId="77777777" w:rsidR="008F1A77" w:rsidRPr="000279EA" w:rsidRDefault="008F1A77" w:rsidP="008F1A77">
      <w:pPr>
        <w:pStyle w:val="BodyText"/>
        <w:rPr>
          <w:i/>
          <w:iCs/>
        </w:rPr>
      </w:pPr>
      <w:r w:rsidRPr="000279EA">
        <w:rPr>
          <w:i/>
          <w:iCs/>
        </w:rPr>
        <w:t>Enacted September 2023</w:t>
      </w:r>
    </w:p>
    <w:p w14:paraId="030C2C49" w14:textId="77777777" w:rsidR="008F1A77" w:rsidRPr="00502D6F" w:rsidRDefault="008F1A77" w:rsidP="008F1A77">
      <w:pPr>
        <w:pStyle w:val="BodyText"/>
      </w:pPr>
      <w:r w:rsidRPr="00502D6F">
        <w:t xml:space="preserve">This will allow for an additional 4,500 new homes, up from 5,000 homes previously. The additional capacity is feasible </w:t>
      </w:r>
      <w:proofErr w:type="gramStart"/>
      <w:r w:rsidRPr="00502D6F">
        <w:t>as a result of</w:t>
      </w:r>
      <w:proofErr w:type="gramEnd"/>
      <w:r w:rsidRPr="00502D6F">
        <w:t xml:space="preserve"> planned transport and other infrastructure upgrades, including delivery of the Sydney Metro.</w:t>
      </w:r>
    </w:p>
    <w:p w14:paraId="050BA65E" w14:textId="77777777" w:rsidR="008F1A77" w:rsidRDefault="008F1A77" w:rsidP="008F1A77">
      <w:pPr>
        <w:pStyle w:val="BodyText"/>
      </w:pPr>
      <w:r w:rsidRPr="00502D6F">
        <w:t>Estimated capacity for 9,500 new homes</w:t>
      </w:r>
      <w:r w:rsidRPr="00502D6F" w:rsidDel="00CC45B9">
        <w:t>.</w:t>
      </w:r>
    </w:p>
    <w:p w14:paraId="2AFA2052" w14:textId="77777777" w:rsidR="008F1A77" w:rsidRPr="00DE3E24" w:rsidRDefault="008F1A77" w:rsidP="008F1A77">
      <w:pPr>
        <w:pStyle w:val="BodyText"/>
        <w:rPr>
          <w:rStyle w:val="Hyperlink"/>
        </w:rPr>
      </w:pPr>
      <w:r w:rsidRPr="00DE3E24">
        <w:rPr>
          <w:rStyle w:val="Hyperlink"/>
        </w:rPr>
        <w:t>https://www.planning.nsw.gov.au/plans-for-your-area/priority-growth-areas-and-precincts/sydney-metro-northwest-urban-renewal-corridor/showground-station</w:t>
      </w:r>
      <w:bookmarkStart w:id="9" w:name="_Toc162007752"/>
      <w:r w:rsidRPr="00DE3E24">
        <w:rPr>
          <w:rStyle w:val="Hyperlink"/>
        </w:rPr>
        <w:t>Summary of other reforms</w:t>
      </w:r>
      <w:bookmarkEnd w:id="9"/>
    </w:p>
    <w:p w14:paraId="58B6AECA" w14:textId="77777777" w:rsidR="008F1A77" w:rsidRDefault="008F1A77" w:rsidP="008F1A77">
      <w:pPr>
        <w:pStyle w:val="Heading4"/>
        <w:spacing w:after="0"/>
      </w:pPr>
      <w:r w:rsidRPr="00684B85">
        <w:t>Introduction of the Housing and Productivity Contribution</w:t>
      </w:r>
    </w:p>
    <w:p w14:paraId="735C5123" w14:textId="77777777" w:rsidR="008F1A77" w:rsidRPr="000279EA" w:rsidRDefault="008F1A77" w:rsidP="008F1A77">
      <w:pPr>
        <w:pStyle w:val="BodyText"/>
        <w:rPr>
          <w:i/>
          <w:iCs/>
        </w:rPr>
      </w:pPr>
      <w:r w:rsidRPr="000279EA">
        <w:rPr>
          <w:i/>
          <w:iCs/>
        </w:rPr>
        <w:t>Enacted 1 October 2023</w:t>
      </w:r>
    </w:p>
    <w:p w14:paraId="37A19477" w14:textId="77777777" w:rsidR="008F1A77" w:rsidRDefault="008F1A77" w:rsidP="008F1A77">
      <w:pPr>
        <w:pStyle w:val="BodyText"/>
      </w:pPr>
      <w:r>
        <w:t>F</w:t>
      </w:r>
      <w:r w:rsidRPr="00684B85">
        <w:t xml:space="preserve">or residential developments in Greater Sydney, Illawarra-Shoalhaven, Lower Hunter and Central Coast regions in place of the State Infrastructure Contribution. The </w:t>
      </w:r>
      <w:r>
        <w:t>Housing and Productivity Contribution delivers</w:t>
      </w:r>
      <w:r w:rsidRPr="00684B85">
        <w:t xml:space="preserve"> the certainty needed to attract investment and funding required to support the timely delivery of infrastructure for new homes and jobs.</w:t>
      </w:r>
    </w:p>
    <w:p w14:paraId="4CC970AC" w14:textId="77777777" w:rsidR="008F1A77" w:rsidRDefault="008F1A77" w:rsidP="008F1A77">
      <w:pPr>
        <w:pStyle w:val="BodyText"/>
      </w:pPr>
      <w:r w:rsidRPr="004043AE">
        <w:t>When fully implemented, the Housing and Productivity Contribution is expected to collect $700</w:t>
      </w:r>
      <w:r>
        <w:t> </w:t>
      </w:r>
      <w:r w:rsidRPr="004043AE">
        <w:t>million annually across the four growth regions to support the delivery of infrastructure needed to enable housing and productivity</w:t>
      </w:r>
      <w:r>
        <w:t>.</w:t>
      </w:r>
    </w:p>
    <w:p w14:paraId="66F44F59" w14:textId="57CB5179" w:rsidR="008F1A77" w:rsidRPr="001A1F1F" w:rsidRDefault="00973E66" w:rsidP="008F1A77">
      <w:pPr>
        <w:pStyle w:val="BodyText"/>
      </w:pPr>
      <w:hyperlink r:id="rId39" w:anchor="housing-and-productivity-contribution" w:history="1">
        <w:r w:rsidR="00CC7AD5" w:rsidRPr="0028301C">
          <w:rPr>
            <w:rStyle w:val="Hyperlink"/>
          </w:rPr>
          <w:t>https://www.planning.nsw.gov.au/policy-and-legislation/infrastructure/infrastructure-funding/improving-the-infrastructure-contributions-system#housing-and-productivity-contribution</w:t>
        </w:r>
      </w:hyperlink>
    </w:p>
    <w:p w14:paraId="4594F381" w14:textId="77777777" w:rsidR="008F1A77" w:rsidRDefault="008F1A77" w:rsidP="008F1A77">
      <w:pPr>
        <w:pStyle w:val="Heading4"/>
        <w:spacing w:after="0"/>
      </w:pPr>
      <w:r w:rsidRPr="004043AE">
        <w:t>$300</w:t>
      </w:r>
      <w:r>
        <w:t xml:space="preserve"> </w:t>
      </w:r>
      <w:r w:rsidRPr="004043AE">
        <w:t>m</w:t>
      </w:r>
      <w:r>
        <w:t>illion</w:t>
      </w:r>
      <w:r w:rsidRPr="004043AE">
        <w:t xml:space="preserve"> reinvested in </w:t>
      </w:r>
      <w:proofErr w:type="spellStart"/>
      <w:r w:rsidRPr="004043AE">
        <w:t>Landcom</w:t>
      </w:r>
      <w:proofErr w:type="spellEnd"/>
      <w:r w:rsidRPr="004043AE">
        <w:t xml:space="preserve"> to accelerate housing construction</w:t>
      </w:r>
    </w:p>
    <w:p w14:paraId="7E4E8476" w14:textId="77777777" w:rsidR="008F1A77" w:rsidRPr="000279EA" w:rsidRDefault="008F1A77" w:rsidP="008F1A77">
      <w:pPr>
        <w:pStyle w:val="BodyText"/>
        <w:rPr>
          <w:i/>
          <w:iCs/>
        </w:rPr>
      </w:pPr>
      <w:r w:rsidRPr="000279EA">
        <w:rPr>
          <w:i/>
          <w:iCs/>
        </w:rPr>
        <w:t>Announced September 2023</w:t>
      </w:r>
    </w:p>
    <w:p w14:paraId="253C9296" w14:textId="32810996" w:rsidR="008F1A77" w:rsidRDefault="008F1A77" w:rsidP="008F1A77">
      <w:pPr>
        <w:pStyle w:val="BodyText"/>
      </w:pPr>
      <w:r w:rsidRPr="004043AE">
        <w:t xml:space="preserve">Estimated to deliver 4,697 new homes, </w:t>
      </w:r>
      <w:r>
        <w:t>with 30% of these to be affordable housing.</w:t>
      </w:r>
    </w:p>
    <w:p w14:paraId="1FD057BD" w14:textId="77777777" w:rsidR="008F1A77" w:rsidRDefault="008F1A77" w:rsidP="00ED3FAC">
      <w:pPr>
        <w:pStyle w:val="Heading4"/>
      </w:pPr>
      <w:r w:rsidRPr="004043AE">
        <w:t xml:space="preserve">Apartment building case studies </w:t>
      </w:r>
    </w:p>
    <w:p w14:paraId="16C2BFEF" w14:textId="77777777" w:rsidR="008F1A77" w:rsidRPr="004043AE" w:rsidRDefault="008F1A77" w:rsidP="008F1A77">
      <w:pPr>
        <w:pStyle w:val="BodyText"/>
        <w:rPr>
          <w:i/>
          <w:iCs/>
        </w:rPr>
      </w:pPr>
      <w:r w:rsidRPr="4897352A">
        <w:rPr>
          <w:i/>
          <w:iCs/>
        </w:rPr>
        <w:t>Published</w:t>
      </w:r>
      <w:r w:rsidRPr="004043AE">
        <w:rPr>
          <w:i/>
          <w:iCs/>
        </w:rPr>
        <w:t xml:space="preserve"> March 2023</w:t>
      </w:r>
    </w:p>
    <w:p w14:paraId="4849F83C" w14:textId="77777777" w:rsidR="008F1A77" w:rsidRDefault="008F1A77" w:rsidP="008F1A77">
      <w:pPr>
        <w:pStyle w:val="BodyText"/>
      </w:pPr>
      <w:r>
        <w:t xml:space="preserve">These case studies </w:t>
      </w:r>
      <w:r w:rsidRPr="004043AE">
        <w:t>have been published by the NSW Government Architect to showcase high-quality apartment buildings to guide consent authorities and industry. The case studies complement the NSW Apartment Design Guide and highlight opportunities to achieve good residential amenity in response to different site constraints.</w:t>
      </w:r>
    </w:p>
    <w:p w14:paraId="58C4E96A" w14:textId="77777777" w:rsidR="008F1A77" w:rsidRDefault="00973E66" w:rsidP="008F1A77">
      <w:pPr>
        <w:pStyle w:val="BodyText"/>
      </w:pPr>
      <w:hyperlink r:id="rId40" w:tgtFrame="_blank" w:tooltip="https://www.planning.nsw.gov.au/government-architect-nsw/case-studies/residential-projects" w:history="1">
        <w:r w:rsidR="008F1A77">
          <w:rPr>
            <w:rStyle w:val="Hyperlink"/>
          </w:rPr>
          <w:t>https://www.planning.nsw.gov.au/government-architect-nsw/case-studies/residential-projects</w:t>
        </w:r>
      </w:hyperlink>
    </w:p>
    <w:p w14:paraId="67F9EF90" w14:textId="77777777" w:rsidR="00467464" w:rsidRDefault="00467464" w:rsidP="00467464">
      <w:pPr>
        <w:pStyle w:val="Heading4"/>
      </w:pPr>
      <w:r w:rsidRPr="004043AE">
        <w:t>Development of a pattern book of endorsed building designs for low-rise and mid-rise buildings</w:t>
      </w:r>
    </w:p>
    <w:p w14:paraId="7A68584D" w14:textId="77777777" w:rsidR="00467464" w:rsidRPr="004043AE" w:rsidRDefault="00467464" w:rsidP="00467464">
      <w:pPr>
        <w:pStyle w:val="BodyText"/>
        <w:rPr>
          <w:i/>
          <w:iCs/>
        </w:rPr>
      </w:pPr>
      <w:r w:rsidRPr="004043AE">
        <w:rPr>
          <w:i/>
          <w:iCs/>
        </w:rPr>
        <w:t>Announced November 2023</w:t>
      </w:r>
    </w:p>
    <w:p w14:paraId="10107EE2" w14:textId="77777777" w:rsidR="00467464" w:rsidRDefault="00467464" w:rsidP="00467464">
      <w:pPr>
        <w:pStyle w:val="Bullet"/>
        <w:numPr>
          <w:ilvl w:val="0"/>
          <w:numId w:val="0"/>
        </w:numPr>
      </w:pPr>
      <w:r w:rsidRPr="004043AE">
        <w:t>Developers who use the pattern book will have access to an accelerated approval pathway. The pattern book will feature the winning design/s from an international design competition to be run in 2024.</w:t>
      </w:r>
    </w:p>
    <w:p w14:paraId="63E04FC8" w14:textId="126DB942" w:rsidR="00467464" w:rsidRDefault="00973E66" w:rsidP="00467464">
      <w:pPr>
        <w:spacing w:after="60" w:line="276" w:lineRule="auto"/>
      </w:pPr>
      <w:hyperlink r:id="rId41" w:history="1">
        <w:r w:rsidR="00467464" w:rsidRPr="00553572">
          <w:rPr>
            <w:rStyle w:val="Hyperlink"/>
          </w:rPr>
          <w:t>https://www.planning.nsw.gov.au/policy-and-legislation/housing/pattern-book-of-housing-design</w:t>
        </w:r>
      </w:hyperlink>
      <w:r w:rsidR="00467464">
        <w:t xml:space="preserve"> </w:t>
      </w:r>
    </w:p>
    <w:p w14:paraId="2F61A7E4" w14:textId="77777777" w:rsidR="00467464" w:rsidRDefault="00467464" w:rsidP="00467464">
      <w:pPr>
        <w:pStyle w:val="Heading4"/>
      </w:pPr>
      <w:r w:rsidRPr="004043AE">
        <w:t>Social and affordable housing reforms</w:t>
      </w:r>
    </w:p>
    <w:p w14:paraId="50728F73" w14:textId="77777777" w:rsidR="00467464" w:rsidRPr="005455D8" w:rsidRDefault="00467464" w:rsidP="00467464">
      <w:pPr>
        <w:pStyle w:val="BodyText"/>
        <w:rPr>
          <w:i/>
          <w:iCs/>
        </w:rPr>
      </w:pPr>
      <w:r w:rsidRPr="005455D8">
        <w:rPr>
          <w:i/>
          <w:iCs/>
        </w:rPr>
        <w:t>Enacted December 2023</w:t>
      </w:r>
    </w:p>
    <w:p w14:paraId="55F5FC67" w14:textId="47955DBB" w:rsidR="00467464" w:rsidRDefault="00084032" w:rsidP="00467464">
      <w:pPr>
        <w:pStyle w:val="Bullet"/>
        <w:numPr>
          <w:ilvl w:val="0"/>
          <w:numId w:val="0"/>
        </w:numPr>
      </w:pPr>
      <w:r>
        <w:t xml:space="preserve">Facilitate the </w:t>
      </w:r>
      <w:r w:rsidR="00A94C6D">
        <w:t>i</w:t>
      </w:r>
      <w:r w:rsidR="00467464" w:rsidRPr="004043AE">
        <w:t>ncrease</w:t>
      </w:r>
      <w:r>
        <w:t>d supply of social and affordable housing</w:t>
      </w:r>
      <w:r w:rsidR="00467464" w:rsidRPr="004043AE">
        <w:t xml:space="preserve"> </w:t>
      </w:r>
      <w:r w:rsidR="00CB0126">
        <w:t>for low-income households and essential workers through</w:t>
      </w:r>
      <w:r w:rsidR="00467464" w:rsidRPr="004043AE">
        <w:t xml:space="preserve"> expand</w:t>
      </w:r>
      <w:r w:rsidR="00CB0126">
        <w:t>ed</w:t>
      </w:r>
      <w:r w:rsidR="00467464" w:rsidRPr="004043AE">
        <w:t xml:space="preserve"> self-assessment provisions for government housing agencies, </w:t>
      </w:r>
      <w:r w:rsidR="00BC219B">
        <w:t>a new</w:t>
      </w:r>
      <w:r w:rsidR="00467464" w:rsidRPr="004043AE">
        <w:t xml:space="preserve"> State significant development pathways</w:t>
      </w:r>
      <w:r w:rsidR="0057062B">
        <w:t xml:space="preserve"> and new bonuses for affordable housing</w:t>
      </w:r>
      <w:r w:rsidR="00A94C6D">
        <w:t xml:space="preserve"> t</w:t>
      </w:r>
      <w:r w:rsidR="00A94C6D" w:rsidRPr="00A94C6D">
        <w:t>o encourage private developers to build more affordable housing and more housing in general. Projects that include at least 10-15% affordable housing will be eligible for height and floor space ratio bonuses of 20-30%.</w:t>
      </w:r>
    </w:p>
    <w:p w14:paraId="54D8DF3B" w14:textId="0089D748" w:rsidR="00965498" w:rsidRDefault="00973E66" w:rsidP="00467464">
      <w:pPr>
        <w:pStyle w:val="BodyText"/>
        <w:rPr>
          <w:rStyle w:val="Hyperlink"/>
        </w:rPr>
      </w:pPr>
      <w:hyperlink r:id="rId42" w:history="1">
        <w:r w:rsidR="00467464" w:rsidRPr="00553572">
          <w:rPr>
            <w:rStyle w:val="Hyperlink"/>
          </w:rPr>
          <w:t>https://www.planning.nsw.gov.au/policy-and-legislation/housing/housing-sepp</w:t>
        </w:r>
      </w:hyperlink>
    </w:p>
    <w:p w14:paraId="503F0A9C" w14:textId="47E7ACDB" w:rsidR="00225882" w:rsidRDefault="00225882">
      <w:pPr>
        <w:rPr>
          <w:rStyle w:val="Hyperlink"/>
        </w:rPr>
      </w:pPr>
      <w:r>
        <w:rPr>
          <w:rStyle w:val="Hyperlink"/>
        </w:rPr>
        <w:br w:type="page"/>
      </w:r>
    </w:p>
    <w:p w14:paraId="5C5E6163" w14:textId="21BC1DDA" w:rsidR="00467464" w:rsidRDefault="00467464" w:rsidP="00D0133C">
      <w:pPr>
        <w:pStyle w:val="Heading1"/>
        <w:spacing w:before="100" w:beforeAutospacing="1" w:after="240"/>
        <w:rPr>
          <w:rStyle w:val="Hyperlink"/>
          <w:u w:val="none"/>
        </w:rPr>
      </w:pPr>
      <w:bookmarkStart w:id="10" w:name="_Toc162522586"/>
      <w:r w:rsidRPr="00467464">
        <w:rPr>
          <w:rStyle w:val="Hyperlink"/>
          <w:u w:val="none"/>
        </w:rPr>
        <w:t>Measure 4</w:t>
      </w:r>
      <w:bookmarkEnd w:id="10"/>
    </w:p>
    <w:p w14:paraId="74BAF3C6" w14:textId="6E422B6B" w:rsidR="00CE430E" w:rsidRPr="00D0133C" w:rsidRDefault="00C927C1" w:rsidP="00D0133C">
      <w:pPr>
        <w:pStyle w:val="CalloutHeading2"/>
        <w:spacing w:before="100" w:beforeAutospacing="1" w:after="240"/>
      </w:pPr>
      <w:r w:rsidRPr="00306516">
        <w:t>Planning Ministers will identify well-located ‘development ready’ land before 1 March 2024, having appropriate regard to the protection of land with key attributes e.g. environmental or economic.</w:t>
      </w:r>
    </w:p>
    <w:p w14:paraId="64C808CF" w14:textId="77777777" w:rsidR="00CE430E" w:rsidRPr="00D0133C" w:rsidRDefault="00CE430E" w:rsidP="000062D2">
      <w:pPr>
        <w:pStyle w:val="Heading3"/>
      </w:pPr>
      <w:bookmarkStart w:id="11" w:name="_Toc162522587"/>
      <w:r w:rsidRPr="00D0133C">
        <w:t>Key findings from a development ready land stocktake</w:t>
      </w:r>
      <w:r w:rsidRPr="00D0133C">
        <w:rPr>
          <w:vertAlign w:val="subscript"/>
        </w:rPr>
        <w:footnoteReference w:id="2"/>
      </w:r>
      <w:bookmarkEnd w:id="11"/>
    </w:p>
    <w:p w14:paraId="6906ECE0" w14:textId="673B08BA" w:rsidR="00CE430E" w:rsidRDefault="00CE430E" w:rsidP="00D0133C">
      <w:pPr>
        <w:pStyle w:val="BodyText"/>
      </w:pPr>
      <w:r>
        <w:t>NSW monitors and coordinates the delivery of development, land supply, and infrastructure through its Urban Development Program (UDP). The UDP support</w:t>
      </w:r>
      <w:r w:rsidR="002F7458">
        <w:t>s</w:t>
      </w:r>
      <w:r>
        <w:t xml:space="preserve"> the delivery of infrastructure and new development by improving the coordination of the various stakeholders responsible for housing development and infrastructure delivery, and by actively managing a pipeline of future development. </w:t>
      </w:r>
    </w:p>
    <w:p w14:paraId="49BA3AFF" w14:textId="15643EAB" w:rsidR="00CE430E" w:rsidRDefault="00CE430E" w:rsidP="00D0133C">
      <w:pPr>
        <w:pStyle w:val="BodyText"/>
      </w:pPr>
      <w:r>
        <w:t xml:space="preserve">The UDPs monitor zoned land supply, development approvals, infrastructure status, issues that are blocking housing and employment land supply and delivery. The UDPs also estimate the forward pipeline of housing and housing needs and provides advice across government on priority development areas, infrastructure needs and development of solutions to overcome housing and infrastructure shortfalls. </w:t>
      </w:r>
    </w:p>
    <w:p w14:paraId="08761884" w14:textId="561979D0" w:rsidR="005A3BBE" w:rsidRDefault="00CE430E" w:rsidP="005A3BBE">
      <w:pPr>
        <w:pStyle w:val="BodyText"/>
      </w:pPr>
      <w:r w:rsidRPr="00DE3E24">
        <w:t xml:space="preserve">In Greater Sydney, upcoming developments are measured through the residential development pipeline (residential development data from several sources) and the greenfield audit, which tracks recently subdivided residential lots and residential subdivision development projects in key rezoned greenfield areas. </w:t>
      </w:r>
    </w:p>
    <w:p w14:paraId="027AAD35" w14:textId="6D7C52F7" w:rsidR="00CE430E" w:rsidRDefault="00CE430E" w:rsidP="005A3BBE">
      <w:pPr>
        <w:pStyle w:val="BodyText"/>
      </w:pPr>
      <w:r>
        <w:t xml:space="preserve">In 2022, as part of the UDP, </w:t>
      </w:r>
      <w:r w:rsidR="00434D6B">
        <w:t xml:space="preserve">the </w:t>
      </w:r>
      <w:r>
        <w:t xml:space="preserve">NSW Government commenced an audit program of the housing supply pipeline in growth areas across regional NSW.  The pilot identified ‘development ready’ lots in a greenfield setting and </w:t>
      </w:r>
      <w:r w:rsidR="00651133" w:rsidRPr="00BD50E8">
        <w:t>in major infill release areas to include land zoned, infrastructure enabled, bio-certified and subdivision approved or awaiting development consent. The audit also identified pipeline dwellings including both greenfield and infill lots awaiting development approval, infrastructure funding, biodiversity approval or other strategic planning.</w:t>
      </w:r>
    </w:p>
    <w:p w14:paraId="68DBB4A2" w14:textId="77777777" w:rsidR="00A5268F" w:rsidRDefault="00CE430E" w:rsidP="00A5268F">
      <w:pPr>
        <w:pStyle w:val="BodyText"/>
      </w:pPr>
      <w:r>
        <w:t>The Department is working with local government to finalise validation of the audit data with councils. Findings will be publicly released on Regional UDP dashboards and in accompanying annual reports in 2024.</w:t>
      </w:r>
    </w:p>
    <w:p w14:paraId="0EE31947" w14:textId="6729902C" w:rsidR="005403B6" w:rsidRPr="007C06D2" w:rsidRDefault="00225882" w:rsidP="007C06D2">
      <w:pPr>
        <w:pStyle w:val="Heading1"/>
        <w:spacing w:before="100" w:beforeAutospacing="1" w:after="240"/>
        <w:rPr>
          <w:rStyle w:val="Hyperlink"/>
          <w:u w:val="none"/>
        </w:rPr>
      </w:pPr>
      <w:r>
        <w:br w:type="page"/>
      </w:r>
      <w:bookmarkStart w:id="12" w:name="_Toc162522588"/>
      <w:r w:rsidR="005403B6" w:rsidRPr="007C06D2">
        <w:rPr>
          <w:rStyle w:val="Hyperlink"/>
          <w:u w:val="none"/>
        </w:rPr>
        <w:t>Measure 5</w:t>
      </w:r>
      <w:bookmarkEnd w:id="12"/>
      <w:r w:rsidR="005403B6" w:rsidRPr="007C06D2">
        <w:rPr>
          <w:rStyle w:val="Hyperlink"/>
          <w:u w:val="none"/>
        </w:rPr>
        <w:t xml:space="preserve"> </w:t>
      </w:r>
    </w:p>
    <w:p w14:paraId="329F1729" w14:textId="77777777" w:rsidR="00636970" w:rsidRDefault="00636970" w:rsidP="00100D74">
      <w:pPr>
        <w:pStyle w:val="CalloutHeading2"/>
        <w:spacing w:after="240"/>
        <w:rPr>
          <w:lang w:eastAsia="en-AU"/>
        </w:rPr>
      </w:pPr>
      <w:r w:rsidRPr="00306516">
        <w:rPr>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p w14:paraId="4E3C504A" w14:textId="77777777" w:rsidR="00100D74" w:rsidRPr="00100D74" w:rsidRDefault="00100D74" w:rsidP="000062D2">
      <w:pPr>
        <w:pStyle w:val="Heading3"/>
      </w:pPr>
      <w:bookmarkStart w:id="13" w:name="_Toc162522589"/>
      <w:r w:rsidRPr="000062D2">
        <w:t>Zoning</w:t>
      </w:r>
      <w:r w:rsidRPr="00100D74">
        <w:t xml:space="preserve">, planning and other amendments to support dense, well located </w:t>
      </w:r>
      <w:proofErr w:type="gramStart"/>
      <w:r w:rsidRPr="00100D74">
        <w:t>housing</w:t>
      </w:r>
      <w:bookmarkEnd w:id="13"/>
      <w:proofErr w:type="gramEnd"/>
      <w:r w:rsidRPr="00100D74">
        <w:t xml:space="preserve"> </w:t>
      </w:r>
    </w:p>
    <w:p w14:paraId="7AE11207" w14:textId="77777777" w:rsidR="00100D74" w:rsidRDefault="00100D74" w:rsidP="00100D74">
      <w:pPr>
        <w:pStyle w:val="BodyText"/>
      </w:pPr>
      <w:r>
        <w:t>See the amendments highlighted under Measure 3, in particular:</w:t>
      </w:r>
    </w:p>
    <w:p w14:paraId="277D8D02" w14:textId="77777777" w:rsidR="00100D74" w:rsidRDefault="00100D74" w:rsidP="00100D74">
      <w:pPr>
        <w:pStyle w:val="BodyText"/>
        <w:numPr>
          <w:ilvl w:val="0"/>
          <w:numId w:val="22"/>
        </w:numPr>
      </w:pPr>
      <w:r w:rsidRPr="00C65E71">
        <w:t>Transport Oriented Development Program</w:t>
      </w:r>
      <w:r>
        <w:t xml:space="preserve"> </w:t>
      </w:r>
      <w:r w:rsidRPr="00C65E71">
        <w:t>– Accelerated Precincts</w:t>
      </w:r>
    </w:p>
    <w:p w14:paraId="16973FF3" w14:textId="77777777" w:rsidR="00100D74" w:rsidRDefault="00100D74" w:rsidP="00100D74">
      <w:pPr>
        <w:pStyle w:val="BodyText"/>
        <w:numPr>
          <w:ilvl w:val="0"/>
          <w:numId w:val="22"/>
        </w:numPr>
      </w:pPr>
      <w:r>
        <w:t xml:space="preserve">Transport Oriented Development Program </w:t>
      </w:r>
      <w:r w:rsidRPr="00C65E71">
        <w:t>–</w:t>
      </w:r>
      <w:r>
        <w:t xml:space="preserve"> State Environmental Planning Policy</w:t>
      </w:r>
    </w:p>
    <w:p w14:paraId="437D05EC" w14:textId="77777777" w:rsidR="00100D74" w:rsidRPr="00C65E71" w:rsidRDefault="00100D74" w:rsidP="00100D74">
      <w:pPr>
        <w:pStyle w:val="BodyText"/>
        <w:numPr>
          <w:ilvl w:val="0"/>
          <w:numId w:val="22"/>
        </w:numPr>
      </w:pPr>
      <w:r w:rsidRPr="00C65E71">
        <w:t>Proposed reforms to low and mid-rise housing</w:t>
      </w:r>
    </w:p>
    <w:p w14:paraId="2A822BDE" w14:textId="77777777" w:rsidR="00100D74" w:rsidRDefault="00100D74" w:rsidP="00100D74">
      <w:pPr>
        <w:pStyle w:val="Heading4"/>
      </w:pPr>
      <w:r w:rsidRPr="00C65E71">
        <w:t>Co-funding local infrastructure projects with councils</w:t>
      </w:r>
    </w:p>
    <w:p w14:paraId="5ED9A55C" w14:textId="77777777" w:rsidR="00100D74" w:rsidRPr="00C65E71" w:rsidRDefault="00100D74" w:rsidP="00100D74">
      <w:pPr>
        <w:pStyle w:val="BodyText"/>
        <w:rPr>
          <w:i/>
          <w:iCs/>
        </w:rPr>
      </w:pPr>
      <w:r w:rsidRPr="00C65E71">
        <w:rPr>
          <w:i/>
          <w:iCs/>
        </w:rPr>
        <w:t>Announced July 2023, Projects to be completed by 2026.</w:t>
      </w:r>
    </w:p>
    <w:p w14:paraId="5EA99FB9" w14:textId="407D8512" w:rsidR="00100D74" w:rsidRDefault="00100D74" w:rsidP="00100D74">
      <w:pPr>
        <w:pStyle w:val="BodyText"/>
      </w:pPr>
      <w:r w:rsidRPr="00C65E71">
        <w:t xml:space="preserve">$49.9 million under the Accelerated Infrastructure Fund to fast track critical infrastructure in rapidly growing communities in Greater Sydney and Central Coast. Improved servicing </w:t>
      </w:r>
      <w:r>
        <w:t xml:space="preserve">will </w:t>
      </w:r>
      <w:r w:rsidRPr="00C65E71">
        <w:t>allow for higher density in well-located communities</w:t>
      </w:r>
      <w:r>
        <w:t xml:space="preserve">. </w:t>
      </w:r>
    </w:p>
    <w:p w14:paraId="2C616C3A" w14:textId="19D7FBD7" w:rsidR="00100D74" w:rsidRDefault="00973E66" w:rsidP="00100D74">
      <w:pPr>
        <w:pStyle w:val="BodyText"/>
      </w:pPr>
      <w:hyperlink r:id="rId43" w:history="1">
        <w:r w:rsidR="003D36DB" w:rsidRPr="00553572">
          <w:rPr>
            <w:rStyle w:val="Hyperlink"/>
          </w:rPr>
          <w:t>https://www.planning.nsw.gov.au/plans-for-your-area/infrastructure-funding/accelerated-infrastructure-fund</w:t>
        </w:r>
      </w:hyperlink>
      <w:r w:rsidR="003D36DB">
        <w:t xml:space="preserve"> </w:t>
      </w:r>
    </w:p>
    <w:p w14:paraId="3081B5C1" w14:textId="77777777" w:rsidR="00100D74" w:rsidRDefault="00100D74" w:rsidP="00100D74">
      <w:pPr>
        <w:pStyle w:val="Heading4"/>
        <w:spacing w:after="0"/>
      </w:pPr>
      <w:r w:rsidRPr="00C65E71">
        <w:t>Expanding the Urban Development Programs</w:t>
      </w:r>
    </w:p>
    <w:p w14:paraId="7B2667EE" w14:textId="77777777" w:rsidR="00100D74" w:rsidRPr="00C65E71" w:rsidRDefault="00100D74" w:rsidP="004220B8">
      <w:pPr>
        <w:pStyle w:val="BodyText"/>
        <w:rPr>
          <w:i/>
          <w:iCs/>
        </w:rPr>
      </w:pPr>
      <w:r w:rsidRPr="00C65E71">
        <w:rPr>
          <w:i/>
          <w:iCs/>
        </w:rPr>
        <w:t>Ongoing</w:t>
      </w:r>
    </w:p>
    <w:p w14:paraId="0B6E05DB" w14:textId="12C5AFC4" w:rsidR="00100D74" w:rsidRDefault="00100D74" w:rsidP="00100D74">
      <w:r>
        <w:t xml:space="preserve">This will </w:t>
      </w:r>
      <w:r w:rsidRPr="00C65E71">
        <w:t>bring key NSW infrastructure agencies, council</w:t>
      </w:r>
      <w:r w:rsidR="00E66232">
        <w:t>s</w:t>
      </w:r>
      <w:r w:rsidRPr="00C65E71">
        <w:t xml:space="preserve"> and developers together to provide clearer links between development priorities and investment </w:t>
      </w:r>
      <w:r w:rsidR="00DD6C0D" w:rsidRPr="00C65E71">
        <w:t>decisions and</w:t>
      </w:r>
      <w:r w:rsidRPr="00C65E71">
        <w:t xml:space="preserve"> improve governance arrangements to better coordinate service delivery and private development.</w:t>
      </w:r>
      <w:r>
        <w:t xml:space="preserve"> </w:t>
      </w:r>
      <w:r w:rsidRPr="00C65E71">
        <w:t>Align</w:t>
      </w:r>
      <w:r>
        <w:t>ing</w:t>
      </w:r>
      <w:r w:rsidRPr="00C65E71">
        <w:t xml:space="preserve"> infrastructure provision</w:t>
      </w:r>
      <w:r w:rsidR="002F771B">
        <w:t>s</w:t>
      </w:r>
      <w:r w:rsidRPr="00C65E71">
        <w:t xml:space="preserve"> </w:t>
      </w:r>
      <w:r>
        <w:t xml:space="preserve">will </w:t>
      </w:r>
      <w:r w:rsidRPr="00C65E71">
        <w:t>enable planned housing delivery</w:t>
      </w:r>
      <w:r>
        <w:t xml:space="preserve">. </w:t>
      </w:r>
    </w:p>
    <w:p w14:paraId="68881CDF" w14:textId="209BA74C" w:rsidR="00B70B90" w:rsidRDefault="00973E66" w:rsidP="00B100B4">
      <w:hyperlink r:id="rId44" w:history="1">
        <w:r w:rsidR="003D36DB" w:rsidRPr="00553572">
          <w:rPr>
            <w:rStyle w:val="Hyperlink"/>
          </w:rPr>
          <w:t>https://www.planning.nsw.gov.au/policy-and-legislation/housing/housing-supply-insights/quarterly-insights-monitor-q2/urban-development-programs</w:t>
        </w:r>
      </w:hyperlink>
      <w:r w:rsidR="003D36DB">
        <w:t xml:space="preserve"> </w:t>
      </w:r>
    </w:p>
    <w:p w14:paraId="58CBD156" w14:textId="77777777" w:rsidR="00936B8D" w:rsidRPr="00DE3E24" w:rsidRDefault="00936B8D" w:rsidP="00B70B90">
      <w:pPr>
        <w:pStyle w:val="Heading4"/>
      </w:pPr>
      <w:r w:rsidRPr="00DE3E24">
        <w:t xml:space="preserve">$24 million establishment of the NSW Building Commission </w:t>
      </w:r>
    </w:p>
    <w:p w14:paraId="1E2AC06A" w14:textId="77777777" w:rsidR="00936B8D" w:rsidRPr="00DC79F2" w:rsidRDefault="00936B8D" w:rsidP="00936B8D">
      <w:pPr>
        <w:spacing w:before="0"/>
        <w:rPr>
          <w:i/>
          <w:iCs/>
        </w:rPr>
      </w:pPr>
      <w:r w:rsidRPr="00DC79F2">
        <w:rPr>
          <w:i/>
          <w:iCs/>
        </w:rPr>
        <w:t>Commenced 1 December 2023</w:t>
      </w:r>
    </w:p>
    <w:p w14:paraId="692452C2" w14:textId="77777777" w:rsidR="00936B8D" w:rsidRDefault="00936B8D" w:rsidP="00936B8D">
      <w:r>
        <w:t>T</w:t>
      </w:r>
      <w:r w:rsidRPr="00C10898">
        <w:t>o support high quality housing and protect home buyers from sub-standard buildings. The Commission is responsible for the oversight and regulation of the construction industry.</w:t>
      </w:r>
      <w:r>
        <w:t xml:space="preserve"> This contributes to improving </w:t>
      </w:r>
      <w:r w:rsidRPr="00DC79F2">
        <w:t>community confidence in the industry</w:t>
      </w:r>
      <w:r>
        <w:t>.</w:t>
      </w:r>
    </w:p>
    <w:p w14:paraId="4407526F" w14:textId="77777777" w:rsidR="00936B8D" w:rsidRPr="005263B9" w:rsidRDefault="00936B8D" w:rsidP="00936B8D">
      <w:pPr>
        <w:pStyle w:val="Heading4"/>
        <w:spacing w:after="0"/>
      </w:pPr>
      <w:r w:rsidRPr="005263B9">
        <w:t>Additional $70</w:t>
      </w:r>
      <w:r>
        <w:t xml:space="preserve"> </w:t>
      </w:r>
      <w:r w:rsidRPr="005263B9">
        <w:t>m</w:t>
      </w:r>
      <w:r>
        <w:t>illion</w:t>
      </w:r>
      <w:r w:rsidRPr="005263B9">
        <w:t xml:space="preserve"> debt financing to progress land and site works</w:t>
      </w:r>
    </w:p>
    <w:p w14:paraId="67F250CD" w14:textId="77777777" w:rsidR="00936B8D" w:rsidRPr="009E1AEA" w:rsidRDefault="00936B8D" w:rsidP="00936B8D">
      <w:r w:rsidRPr="009E1AEA">
        <w:t xml:space="preserve">The land and site works are required to delivery social, affordable and private homes, primarily in regional NSW. This initiative is led by Homes NSW (Land and Housing </w:t>
      </w:r>
      <w:r>
        <w:t>C</w:t>
      </w:r>
      <w:r w:rsidRPr="009E1AEA">
        <w:t xml:space="preserve">orporation). </w:t>
      </w:r>
    </w:p>
    <w:p w14:paraId="5612B890" w14:textId="77777777" w:rsidR="00936B8D" w:rsidRPr="005263B9" w:rsidRDefault="00936B8D" w:rsidP="00936B8D">
      <w:pPr>
        <w:pStyle w:val="Heading4"/>
        <w:spacing w:after="0"/>
      </w:pPr>
      <w:r w:rsidRPr="005263B9">
        <w:t>$10</w:t>
      </w:r>
      <w:r>
        <w:t xml:space="preserve"> </w:t>
      </w:r>
      <w:r w:rsidRPr="005263B9">
        <w:t>m</w:t>
      </w:r>
      <w:r>
        <w:t>illion</w:t>
      </w:r>
      <w:r w:rsidRPr="005263B9">
        <w:t xml:space="preserve"> Modular Housing Trial</w:t>
      </w:r>
    </w:p>
    <w:p w14:paraId="45ABE737" w14:textId="3B5681D9" w:rsidR="00936B8D" w:rsidRPr="009E1AEA" w:rsidRDefault="00936B8D" w:rsidP="00936B8D">
      <w:r w:rsidRPr="009E1AEA">
        <w:t xml:space="preserve">The trial, led by Homes NSW, will explore options to reduce the cost of building modular housing at scale and achieve efficiencies of scale in manufacturing. The program will target innovative ways to build social housing, and is expected to reduce costs, increase speed and scale up delivery of diverse housing. </w:t>
      </w:r>
    </w:p>
    <w:p w14:paraId="6ED1F362" w14:textId="0E6DDDA9" w:rsidR="00936B8D" w:rsidRPr="005263B9" w:rsidRDefault="00936B8D" w:rsidP="00936B8D">
      <w:pPr>
        <w:pStyle w:val="Heading4"/>
        <w:spacing w:after="0"/>
      </w:pPr>
      <w:r w:rsidRPr="005263B9">
        <w:t>$6</w:t>
      </w:r>
      <w:r w:rsidR="00B70B90">
        <w:t>5</w:t>
      </w:r>
      <w:r>
        <w:t xml:space="preserve"> </w:t>
      </w:r>
      <w:r w:rsidRPr="005263B9">
        <w:t>m</w:t>
      </w:r>
      <w:r>
        <w:t>illion</w:t>
      </w:r>
      <w:r w:rsidRPr="005263B9">
        <w:t xml:space="preserve"> supporting new Build to Rent trials in the South Coast and Northern Rivers</w:t>
      </w:r>
    </w:p>
    <w:p w14:paraId="0772DE9B" w14:textId="77777777" w:rsidR="00936B8D" w:rsidRDefault="00936B8D" w:rsidP="00936B8D">
      <w:r w:rsidRPr="00863778">
        <w:t xml:space="preserve">These trials, led by </w:t>
      </w:r>
      <w:proofErr w:type="spellStart"/>
      <w:r w:rsidRPr="00863778">
        <w:t>Landcom</w:t>
      </w:r>
      <w:proofErr w:type="spellEnd"/>
      <w:r w:rsidRPr="00863778">
        <w:t xml:space="preserve">, will enable more long-term, diverse housing in regional markets. </w:t>
      </w:r>
      <w:r w:rsidRPr="00F97578">
        <w:t>60 Build to Rent apartments</w:t>
      </w:r>
      <w:r>
        <w:t>, of which at least 20% is affordable rental housing</w:t>
      </w:r>
      <w:r w:rsidRPr="00F97578">
        <w:t xml:space="preserve"> in </w:t>
      </w:r>
      <w:hyperlink r:id="rId45" w:tgtFrame="_blank" w:history="1">
        <w:r w:rsidRPr="00F97578">
          <w:t>Bomaderry</w:t>
        </w:r>
      </w:hyperlink>
      <w:r w:rsidRPr="00F97578">
        <w:t>, north of Nowra, in the South Coast will provide future renters with easy access to transport and other amenitie</w:t>
      </w:r>
      <w:r>
        <w:t>s.</w:t>
      </w:r>
      <w:r w:rsidRPr="00F97578">
        <w:t xml:space="preserve"> </w:t>
      </w:r>
      <w:proofErr w:type="spellStart"/>
      <w:r w:rsidRPr="00F97578">
        <w:t>Landcom</w:t>
      </w:r>
      <w:proofErr w:type="spellEnd"/>
      <w:r w:rsidRPr="00F97578">
        <w:t xml:space="preserve"> is investigating suitable sites in the Northern Rivers region that will enable around 50 Build to Rent apartments to be delivered.</w:t>
      </w:r>
    </w:p>
    <w:p w14:paraId="5CD29847" w14:textId="359B9668" w:rsidR="00936B8D" w:rsidRDefault="00973E66" w:rsidP="00936B8D">
      <w:hyperlink r:id="rId46" w:history="1">
        <w:r w:rsidR="00E370FF" w:rsidRPr="005976F2">
          <w:rPr>
            <w:rStyle w:val="Hyperlink"/>
          </w:rPr>
          <w:t>https://www.landcom.com.au/about/housing/buildtorent</w:t>
        </w:r>
      </w:hyperlink>
    </w:p>
    <w:p w14:paraId="25B1893A" w14:textId="77777777" w:rsidR="00E370FF" w:rsidRDefault="00E370FF" w:rsidP="00936B8D"/>
    <w:p w14:paraId="6ADF72DF" w14:textId="77777777" w:rsidR="00D91068" w:rsidRDefault="00D91068">
      <w:r>
        <w:rPr>
          <w:bCs/>
        </w:rPr>
        <w:br w:type="page"/>
      </w:r>
    </w:p>
    <w:p w14:paraId="7E92D28C" w14:textId="60D51DA7" w:rsidR="005616C7" w:rsidRDefault="005616C7" w:rsidP="004A1B9C">
      <w:pPr>
        <w:pStyle w:val="Heading1"/>
        <w:spacing w:after="240"/>
      </w:pPr>
      <w:bookmarkStart w:id="14" w:name="_Toc162522590"/>
      <w:r>
        <w:t>Measure 6</w:t>
      </w:r>
      <w:bookmarkEnd w:id="14"/>
    </w:p>
    <w:p w14:paraId="44413C8F" w14:textId="076FAF85" w:rsidR="005616C7" w:rsidRDefault="00467A60" w:rsidP="004A1B9C">
      <w:pPr>
        <w:pStyle w:val="CalloutHeading2"/>
        <w:spacing w:after="240"/>
      </w:pPr>
      <w:r w:rsidRPr="00306516">
        <w:rPr>
          <w:lang w:eastAsia="en-AU"/>
        </w:rPr>
        <w:t>Planning Ministers will create accelerated development pathways and streamline approval processes for eligible development types, particularly in well-located areas, including to support the rapid delivery of social and affordable housing.</w:t>
      </w:r>
    </w:p>
    <w:p w14:paraId="64FC0C31" w14:textId="3F8DBEB2" w:rsidR="004A1B9C" w:rsidRPr="006F3727" w:rsidRDefault="004A1B9C" w:rsidP="00B41455">
      <w:pPr>
        <w:pStyle w:val="Heading3"/>
      </w:pPr>
      <w:bookmarkStart w:id="15" w:name="_Toc162522591"/>
      <w:r w:rsidRPr="006F3727">
        <w:t xml:space="preserve">Reforms to </w:t>
      </w:r>
      <w:r w:rsidRPr="00B41455">
        <w:t>development</w:t>
      </w:r>
      <w:r w:rsidRPr="006F3727">
        <w:t xml:space="preserve"> approval pathways</w:t>
      </w:r>
      <w:bookmarkEnd w:id="15"/>
    </w:p>
    <w:p w14:paraId="346CABC3" w14:textId="77777777" w:rsidR="004A1B9C" w:rsidRDefault="004A1B9C" w:rsidP="004A1B9C">
      <w:pPr>
        <w:pStyle w:val="Heading4"/>
        <w:spacing w:after="0"/>
      </w:pPr>
      <w:r>
        <w:t xml:space="preserve">Introduced standard conditions of development consent </w:t>
      </w:r>
    </w:p>
    <w:p w14:paraId="48062A43" w14:textId="77777777" w:rsidR="004A1B9C" w:rsidRDefault="004A1B9C" w:rsidP="006F3727">
      <w:pPr>
        <w:pStyle w:val="BodyText"/>
      </w:pPr>
      <w:r>
        <w:t xml:space="preserve">These standards improve certainty and consistency for builders, developers, investors and certifiers who work across multiple local government areas.  </w:t>
      </w:r>
    </w:p>
    <w:p w14:paraId="46F61151" w14:textId="2AED81F4" w:rsidR="004A1B9C" w:rsidRDefault="004A1B9C" w:rsidP="006F3727">
      <w:pPr>
        <w:pStyle w:val="BodyText"/>
      </w:pPr>
      <w:r>
        <w:t>NSW has also released a</w:t>
      </w:r>
      <w:r>
        <w:rPr>
          <w:rFonts w:ascii="Cambria Math" w:hAnsi="Cambria Math" w:cs="Cambria Math"/>
        </w:rPr>
        <w:t> </w:t>
      </w:r>
      <w:r>
        <w:t>writing guide</w:t>
      </w:r>
      <w:r>
        <w:rPr>
          <w:rFonts w:ascii="Cambria Math" w:hAnsi="Cambria Math" w:cs="Cambria Math"/>
        </w:rPr>
        <w:t> </w:t>
      </w:r>
      <w:r>
        <w:t>to help consent authorities prepare appropriate, well-structured and legally enforceable conditions and development consents. Councils are also required to use standard format notice of determination for local DAs.</w:t>
      </w:r>
    </w:p>
    <w:p w14:paraId="69031FEC" w14:textId="77777777" w:rsidR="004A1B9C" w:rsidRDefault="00973E66" w:rsidP="006F3727">
      <w:pPr>
        <w:pStyle w:val="BodyText"/>
      </w:pPr>
      <w:hyperlink r:id="rId47" w:history="1">
        <w:r w:rsidR="004A1B9C" w:rsidRPr="001E2F5F">
          <w:rPr>
            <w:rStyle w:val="Hyperlink"/>
          </w:rPr>
          <w:t>https://www.planning.nsw.gov.au/policy-and-legislation/planning-reforms/standard-conditions-of-consent/standard-conditions-of-development-consent</w:t>
        </w:r>
      </w:hyperlink>
      <w:r w:rsidR="004A1B9C">
        <w:t xml:space="preserve"> </w:t>
      </w:r>
    </w:p>
    <w:p w14:paraId="37EC9639" w14:textId="77777777" w:rsidR="004A1B9C" w:rsidRDefault="004A1B9C" w:rsidP="006F3727">
      <w:pPr>
        <w:pStyle w:val="Heading4"/>
      </w:pPr>
      <w:r>
        <w:t>Simplification of Clause 4.6 of the Standard Instrument LEP</w:t>
      </w:r>
    </w:p>
    <w:p w14:paraId="0A4BDB5B" w14:textId="77777777" w:rsidR="004A1B9C" w:rsidRPr="004D7DC3" w:rsidRDefault="004A1B9C" w:rsidP="006F3727">
      <w:pPr>
        <w:pStyle w:val="BodyText"/>
        <w:rPr>
          <w:i/>
          <w:iCs/>
        </w:rPr>
      </w:pPr>
      <w:r w:rsidRPr="004D7DC3">
        <w:rPr>
          <w:i/>
          <w:iCs/>
        </w:rPr>
        <w:t>In place from 1 November 2023</w:t>
      </w:r>
    </w:p>
    <w:p w14:paraId="1B2AF2F3" w14:textId="77777777" w:rsidR="004A1B9C" w:rsidRDefault="004A1B9C" w:rsidP="006F3727">
      <w:pPr>
        <w:pStyle w:val="BodyText"/>
      </w:pPr>
      <w:r>
        <w:t xml:space="preserve">This provides certainty about when and how development standards can be varied. Consent authorities and applicants must consider the same matters. An accompanying guide provides more clarity on applying for and assessing variations.  </w:t>
      </w:r>
    </w:p>
    <w:p w14:paraId="5F6BF4DE" w14:textId="77777777" w:rsidR="004A1B9C" w:rsidRDefault="00973E66" w:rsidP="004A1B9C">
      <w:hyperlink r:id="rId48" w:history="1">
        <w:r w:rsidR="004A1B9C" w:rsidRPr="001E2F5F">
          <w:rPr>
            <w:rStyle w:val="Hyperlink"/>
          </w:rPr>
          <w:t>https://www.planning.nsw.gov.au/policy-and-legislation/under-review-and-new-policy-and-legislation/variations-review</w:t>
        </w:r>
      </w:hyperlink>
      <w:r w:rsidR="004A1B9C">
        <w:t xml:space="preserve"> </w:t>
      </w:r>
    </w:p>
    <w:p w14:paraId="4B9DD392" w14:textId="77777777" w:rsidR="004A1B9C" w:rsidRDefault="004A1B9C" w:rsidP="008D6310">
      <w:pPr>
        <w:pStyle w:val="Heading4"/>
      </w:pPr>
      <w:r w:rsidRPr="001A2968">
        <w:t xml:space="preserve">New </w:t>
      </w:r>
      <w:r>
        <w:t>g</w:t>
      </w:r>
      <w:r w:rsidRPr="001A2968">
        <w:t xml:space="preserve">uidelines on the withdrawal of development applications </w:t>
      </w:r>
    </w:p>
    <w:p w14:paraId="00CA699A" w14:textId="77777777" w:rsidR="004A1B9C" w:rsidRPr="004D7DC3" w:rsidRDefault="004A1B9C" w:rsidP="006F3727">
      <w:pPr>
        <w:pStyle w:val="BodyText"/>
        <w:rPr>
          <w:i/>
          <w:iCs/>
        </w:rPr>
      </w:pPr>
      <w:r w:rsidRPr="004D7DC3">
        <w:rPr>
          <w:i/>
          <w:iCs/>
        </w:rPr>
        <w:t>Released October 2023</w:t>
      </w:r>
    </w:p>
    <w:p w14:paraId="29321E46" w14:textId="4CE23B9D" w:rsidR="004A1B9C" w:rsidRDefault="004A1B9C" w:rsidP="006F3727">
      <w:pPr>
        <w:pStyle w:val="BodyText"/>
      </w:pPr>
      <w:r>
        <w:t>These guidelines</w:t>
      </w:r>
      <w:r w:rsidR="00157673">
        <w:t xml:space="preserve"> </w:t>
      </w:r>
      <w:r w:rsidR="00893739">
        <w:t xml:space="preserve">encourage councils to contribute to providing more appropriate housing to address the State’s housing </w:t>
      </w:r>
      <w:r w:rsidR="00242821">
        <w:t>shortfall th</w:t>
      </w:r>
      <w:r w:rsidR="0008475A">
        <w:t>rough</w:t>
      </w:r>
      <w:r w:rsidR="002207A4">
        <w:t xml:space="preserve"> the expeditious assessment and determination of DAs, </w:t>
      </w:r>
      <w:r w:rsidR="00157673">
        <w:t>require</w:t>
      </w:r>
      <w:r w:rsidRPr="001A2968">
        <w:t xml:space="preserve"> councils </w:t>
      </w:r>
      <w:r w:rsidR="002207A4">
        <w:t xml:space="preserve">to </w:t>
      </w:r>
      <w:r w:rsidRPr="001A2968">
        <w:t>adequately resource planning and assessment teams, an</w:t>
      </w:r>
      <w:r w:rsidR="00657B88">
        <w:t>d strongly encourage councils to av</w:t>
      </w:r>
      <w:r w:rsidR="00C17307">
        <w:t xml:space="preserve">oid practices that delay DA assessment </w:t>
      </w:r>
      <w:r w:rsidR="00564069">
        <w:t>within reasonable timeframes.</w:t>
      </w:r>
      <w:r w:rsidR="00682A42">
        <w:t xml:space="preserve"> </w:t>
      </w:r>
    </w:p>
    <w:p w14:paraId="1AE5197F" w14:textId="7858892E" w:rsidR="004C2A3C" w:rsidRDefault="00973E66" w:rsidP="00A75DA1">
      <w:pPr>
        <w:pStyle w:val="BodyText"/>
      </w:pPr>
      <w:hyperlink r:id="rId49" w:history="1">
        <w:r w:rsidR="004C2A3C" w:rsidRPr="005976F2">
          <w:rPr>
            <w:rStyle w:val="Hyperlink"/>
          </w:rPr>
          <w:t>https://www.planning.nsw.gov.au/plans-for-your-area/local-planning-and-zoning/strategic-planning-toolkit</w:t>
        </w:r>
      </w:hyperlink>
    </w:p>
    <w:p w14:paraId="56B35C74" w14:textId="77777777" w:rsidR="004C2A3C" w:rsidRDefault="004C2A3C" w:rsidP="00A75DA1">
      <w:pPr>
        <w:pStyle w:val="BodyText"/>
      </w:pPr>
    </w:p>
    <w:p w14:paraId="7D2EF7B8" w14:textId="22913495" w:rsidR="00A75DA1" w:rsidRDefault="00A75DA1" w:rsidP="00A75DA1">
      <w:pPr>
        <w:pStyle w:val="BodyText"/>
      </w:pPr>
      <w:r w:rsidRPr="00A75DA1">
        <w:rPr>
          <w:rStyle w:val="Heading4Char"/>
        </w:rPr>
        <w:t xml:space="preserve">$5.6 million for an Artificial Intelligence </w:t>
      </w:r>
      <w:r w:rsidR="00444C3E">
        <w:rPr>
          <w:rStyle w:val="Heading4Char"/>
        </w:rPr>
        <w:t>in NSW Planning</w:t>
      </w:r>
      <w:r>
        <w:br/>
      </w:r>
      <w:r w:rsidR="00444C3E">
        <w:rPr>
          <w:rFonts w:asciiTheme="minorHAnsi" w:hAnsiTheme="minorHAnsi"/>
          <w:i/>
          <w:iCs/>
          <w:szCs w:val="20"/>
        </w:rPr>
        <w:t>Launched</w:t>
      </w:r>
      <w:r>
        <w:rPr>
          <w:rFonts w:asciiTheme="minorHAnsi" w:hAnsiTheme="minorHAnsi"/>
          <w:i/>
          <w:iCs/>
          <w:szCs w:val="20"/>
        </w:rPr>
        <w:t xml:space="preserve"> </w:t>
      </w:r>
      <w:r w:rsidR="00444C3E">
        <w:rPr>
          <w:rFonts w:asciiTheme="minorHAnsi" w:hAnsiTheme="minorHAnsi"/>
          <w:i/>
          <w:iCs/>
          <w:szCs w:val="20"/>
        </w:rPr>
        <w:t>November</w:t>
      </w:r>
      <w:r>
        <w:rPr>
          <w:rFonts w:asciiTheme="minorHAnsi" w:hAnsiTheme="minorHAnsi"/>
          <w:i/>
          <w:iCs/>
          <w:szCs w:val="20"/>
        </w:rPr>
        <w:t xml:space="preserve"> </w:t>
      </w:r>
      <w:r w:rsidRPr="00AF1229">
        <w:rPr>
          <w:rFonts w:asciiTheme="minorHAnsi" w:hAnsiTheme="minorHAnsi"/>
          <w:i/>
          <w:iCs/>
          <w:szCs w:val="20"/>
        </w:rPr>
        <w:t>2023</w:t>
      </w:r>
    </w:p>
    <w:p w14:paraId="504EC810" w14:textId="4BEBB4CA" w:rsidR="001F1C33" w:rsidRPr="001F1C33" w:rsidRDefault="001F1C33" w:rsidP="001F1C33">
      <w:pPr>
        <w:spacing w:before="0" w:after="0" w:line="240" w:lineRule="auto"/>
      </w:pPr>
      <w:r w:rsidRPr="001F1C33">
        <w:t>Artificial intelligence (AI) can help accelerate planning processes by harnessing the power of big data, improving productivity and reducing the administrative burden on planners</w:t>
      </w:r>
      <w:r w:rsidR="008D5B5B">
        <w:t xml:space="preserve">. </w:t>
      </w:r>
    </w:p>
    <w:p w14:paraId="5F0CCD16" w14:textId="77777777" w:rsidR="007E36D8" w:rsidRDefault="007E36D8" w:rsidP="001F1C33">
      <w:pPr>
        <w:spacing w:before="100" w:beforeAutospacing="1" w:after="100" w:afterAutospacing="1" w:line="240" w:lineRule="auto"/>
      </w:pPr>
    </w:p>
    <w:p w14:paraId="228143DC" w14:textId="2AB43973" w:rsidR="001F1C33" w:rsidRPr="001F1C33" w:rsidRDefault="001F1C33" w:rsidP="001F1C33">
      <w:pPr>
        <w:spacing w:before="100" w:beforeAutospacing="1" w:after="100" w:afterAutospacing="1" w:line="240" w:lineRule="auto"/>
      </w:pPr>
      <w:r w:rsidRPr="001F1C33">
        <w:t>The AI in NSW Planning project is focused on delivering 2 key outcomes:</w:t>
      </w:r>
    </w:p>
    <w:p w14:paraId="4776B8CB" w14:textId="58828ECE" w:rsidR="001F1C33" w:rsidRPr="001F1C33" w:rsidRDefault="001F1C33" w:rsidP="008D5B5B">
      <w:pPr>
        <w:spacing w:before="0" w:after="0" w:line="240" w:lineRule="auto"/>
      </w:pPr>
      <w:r w:rsidRPr="001F1C33">
        <w:t>1. Enabling councils to assess development applications more efficiently by improving the quality of submitted applications.</w:t>
      </w:r>
    </w:p>
    <w:p w14:paraId="3BE5D34F" w14:textId="77777777" w:rsidR="008D5B5B" w:rsidRDefault="008D5B5B" w:rsidP="008D5B5B">
      <w:pPr>
        <w:spacing w:before="0" w:after="0" w:line="240" w:lineRule="auto"/>
      </w:pPr>
    </w:p>
    <w:p w14:paraId="6EEBA363" w14:textId="1BEBB0AE" w:rsidR="001F1C33" w:rsidRPr="001F1C33" w:rsidRDefault="001F1C33" w:rsidP="008D5B5B">
      <w:pPr>
        <w:spacing w:before="0" w:after="0" w:line="240" w:lineRule="auto"/>
      </w:pPr>
      <w:r w:rsidRPr="001F1C33">
        <w:t>2. Identifying a selection of fit-for-purpose and ready-to-deploy AI and digital products that councils can start using right away.</w:t>
      </w:r>
    </w:p>
    <w:p w14:paraId="05638337" w14:textId="2CCC7DD3" w:rsidR="008D5B5B" w:rsidRDefault="003E066D" w:rsidP="00A75DA1">
      <w:pPr>
        <w:pStyle w:val="BodyText"/>
      </w:pPr>
      <w:r>
        <w:t>Suppliers were invited to submit their AI product s</w:t>
      </w:r>
      <w:r w:rsidR="00F91940">
        <w:t xml:space="preserve">olutions </w:t>
      </w:r>
      <w:r w:rsidR="00C91528">
        <w:t>by</w:t>
      </w:r>
      <w:r w:rsidR="00F91940">
        <w:t xml:space="preserve"> 11 March 2024. Evaluation of applications has no</w:t>
      </w:r>
      <w:r w:rsidR="00C91528">
        <w:t>w</w:t>
      </w:r>
      <w:r w:rsidR="00F91940">
        <w:t xml:space="preserve"> commenced. By </w:t>
      </w:r>
      <w:r w:rsidR="006808BC">
        <w:t xml:space="preserve">June 2024, </w:t>
      </w:r>
      <w:r w:rsidR="005B3ADC">
        <w:t xml:space="preserve">grants </w:t>
      </w:r>
      <w:r w:rsidR="006D131B">
        <w:t xml:space="preserve">will be </w:t>
      </w:r>
      <w:r w:rsidR="003F1FB1">
        <w:t xml:space="preserve">awarded </w:t>
      </w:r>
      <w:r w:rsidR="006D131B">
        <w:t>to councils</w:t>
      </w:r>
      <w:r w:rsidR="003F1FB1">
        <w:t xml:space="preserve"> to </w:t>
      </w:r>
      <w:r w:rsidR="00346AED">
        <w:t>access selected AI product solutions</w:t>
      </w:r>
      <w:r w:rsidR="006D131B">
        <w:t xml:space="preserve">. </w:t>
      </w:r>
    </w:p>
    <w:p w14:paraId="3E51AEAD" w14:textId="3752FA92" w:rsidR="00A75DA1" w:rsidRDefault="00973E66" w:rsidP="00A75DA1">
      <w:pPr>
        <w:pStyle w:val="BodyText"/>
      </w:pPr>
      <w:hyperlink r:id="rId50" w:history="1">
        <w:r w:rsidR="00A75DA1" w:rsidRPr="001E2F5F">
          <w:rPr>
            <w:rStyle w:val="Hyperlink"/>
          </w:rPr>
          <w:t>https://www.planning.nsw.gov.au/assess-and-regulate/development-assessment/artificial-intelligence-in-nsw-planning</w:t>
        </w:r>
      </w:hyperlink>
      <w:r w:rsidR="00A75DA1">
        <w:t xml:space="preserve"> </w:t>
      </w:r>
    </w:p>
    <w:p w14:paraId="5EA6EF93" w14:textId="77777777" w:rsidR="00A75DA1" w:rsidRDefault="00A75DA1" w:rsidP="006F6F6A">
      <w:pPr>
        <w:pStyle w:val="Heading4"/>
      </w:pPr>
      <w:r w:rsidRPr="001A3E33">
        <w:t>Systems improvements to standardise and automate concurrences and referrals</w:t>
      </w:r>
    </w:p>
    <w:p w14:paraId="04AC8033" w14:textId="6CFE28C3" w:rsidR="00A75DA1" w:rsidRDefault="00A75DA1" w:rsidP="00A75DA1">
      <w:pPr>
        <w:pStyle w:val="BodyText"/>
      </w:pPr>
      <w:r>
        <w:t>The Department works closely with partner agencies to remove unnecessary referrals, simplify agency requirements and implement systems improvements.</w:t>
      </w:r>
      <w:r w:rsidR="00795242">
        <w:t xml:space="preserve"> </w:t>
      </w:r>
      <w:r w:rsidR="00B938CB">
        <w:t xml:space="preserve">In October 2023, the Department released a guide </w:t>
      </w:r>
      <w:r w:rsidR="00C458BD">
        <w:t>to help councils and applica</w:t>
      </w:r>
      <w:r w:rsidR="004035A9">
        <w:t>nts</w:t>
      </w:r>
      <w:r w:rsidR="00C458BD">
        <w:t xml:space="preserve"> understand if a development application requires input from a referral authority</w:t>
      </w:r>
      <w:r w:rsidR="00534760">
        <w:t xml:space="preserve">. </w:t>
      </w:r>
    </w:p>
    <w:p w14:paraId="68BED78D" w14:textId="77777777" w:rsidR="00A75DA1" w:rsidRDefault="00973E66" w:rsidP="00A75DA1">
      <w:pPr>
        <w:pStyle w:val="BodyText"/>
      </w:pPr>
      <w:hyperlink r:id="rId51" w:history="1">
        <w:r w:rsidR="00A75DA1" w:rsidRPr="00426AE5">
          <w:rPr>
            <w:rStyle w:val="Hyperlink"/>
          </w:rPr>
          <w:t>https://www.planning.nsw.gov.au/policy-and-legislation/planning-reforms/concurrence-and-referral-reforms</w:t>
        </w:r>
      </w:hyperlink>
      <w:r w:rsidR="00A75DA1">
        <w:t xml:space="preserve"> </w:t>
      </w:r>
      <w:r w:rsidR="00A75DA1" w:rsidRPr="00D04113">
        <w:t xml:space="preserve"> </w:t>
      </w:r>
    </w:p>
    <w:p w14:paraId="7C6030CF" w14:textId="669335F5" w:rsidR="00A75DA1" w:rsidRDefault="00A75DA1" w:rsidP="006F6F6A">
      <w:pPr>
        <w:pStyle w:val="Heading4"/>
      </w:pPr>
      <w:r w:rsidRPr="00B931D6">
        <w:t>Wait Time Reduction Scheme</w:t>
      </w:r>
    </w:p>
    <w:p w14:paraId="113D6751" w14:textId="77777777" w:rsidR="00A75DA1" w:rsidRPr="00B931D6" w:rsidRDefault="00A75DA1" w:rsidP="00A75DA1">
      <w:pPr>
        <w:pStyle w:val="BodyText"/>
        <w:rPr>
          <w:i/>
          <w:iCs/>
        </w:rPr>
      </w:pPr>
      <w:r w:rsidRPr="00B931D6">
        <w:rPr>
          <w:i/>
          <w:iCs/>
        </w:rPr>
        <w:t>Announced May 2023</w:t>
      </w:r>
    </w:p>
    <w:p w14:paraId="7BB15A7A" w14:textId="77777777" w:rsidR="00A75DA1" w:rsidRDefault="00A75DA1" w:rsidP="00A75DA1">
      <w:pPr>
        <w:pStyle w:val="BodyText"/>
      </w:pPr>
      <w:r>
        <w:t>The Scheme</w:t>
      </w:r>
      <w:r w:rsidRPr="00B931D6">
        <w:t xml:space="preserve"> reduce</w:t>
      </w:r>
      <w:r>
        <w:t>s</w:t>
      </w:r>
      <w:r w:rsidRPr="00B931D6">
        <w:t xml:space="preserve"> wait time to acceptable levels for State Design Review Panel review of state-significant projects by private developers.</w:t>
      </w:r>
    </w:p>
    <w:p w14:paraId="5DE8E22B" w14:textId="77777777" w:rsidR="00A75DA1" w:rsidRDefault="00973E66" w:rsidP="00A75DA1">
      <w:pPr>
        <w:pStyle w:val="BodyText"/>
      </w:pPr>
      <w:hyperlink r:id="rId52" w:history="1">
        <w:r w:rsidR="00A75DA1" w:rsidRPr="001E2F5F">
          <w:rPr>
            <w:rStyle w:val="Hyperlink"/>
          </w:rPr>
          <w:t>https://www.planning.nsw.gov.au/government-architect-nsw/design-review/nsw-state-design-review-panel</w:t>
        </w:r>
      </w:hyperlink>
      <w:r w:rsidR="00A75DA1">
        <w:t xml:space="preserve"> </w:t>
      </w:r>
    </w:p>
    <w:p w14:paraId="4A398288" w14:textId="77777777" w:rsidR="00A75DA1" w:rsidRDefault="00A75DA1" w:rsidP="006F6F6A">
      <w:pPr>
        <w:pStyle w:val="Heading4"/>
      </w:pPr>
      <w:r w:rsidRPr="00FA30A5">
        <w:t>Start Strong Cadetship Program</w:t>
      </w:r>
    </w:p>
    <w:p w14:paraId="1B517F5D" w14:textId="77777777" w:rsidR="00A75DA1" w:rsidRPr="00FA30A5" w:rsidRDefault="00A75DA1" w:rsidP="00A75DA1">
      <w:pPr>
        <w:pStyle w:val="BodyText"/>
        <w:rPr>
          <w:i/>
          <w:iCs/>
        </w:rPr>
      </w:pPr>
      <w:r w:rsidRPr="00FA30A5">
        <w:rPr>
          <w:i/>
          <w:iCs/>
        </w:rPr>
        <w:t>Program commenced May 2023</w:t>
      </w:r>
    </w:p>
    <w:p w14:paraId="208FD21A" w14:textId="73B63B4A" w:rsidR="00A75DA1" w:rsidRDefault="00A75DA1" w:rsidP="00A75DA1">
      <w:pPr>
        <w:pStyle w:val="BodyText"/>
      </w:pPr>
      <w:r>
        <w:t xml:space="preserve">The program addresses </w:t>
      </w:r>
      <w:r w:rsidRPr="00FA30A5">
        <w:t>the planning skills shortage and fill</w:t>
      </w:r>
      <w:r w:rsidR="009B38CE">
        <w:t>s</w:t>
      </w:r>
      <w:r w:rsidRPr="00FA30A5">
        <w:t xml:space="preserve"> vacancies in council planning teams. The program includes $1.85</w:t>
      </w:r>
      <w:r>
        <w:t xml:space="preserve"> </w:t>
      </w:r>
      <w:r w:rsidRPr="00FA30A5">
        <w:t>m</w:t>
      </w:r>
      <w:r>
        <w:t>illion</w:t>
      </w:r>
      <w:r w:rsidRPr="00FA30A5">
        <w:t xml:space="preserve"> in grant funding to subsidise the university fees of new planning cadets they employ, a mentoring program, a centralised employment director, and providing incentives for regional councils.  </w:t>
      </w:r>
    </w:p>
    <w:p w14:paraId="487BF594" w14:textId="25458311" w:rsidR="00A75DA1" w:rsidRDefault="00973E66" w:rsidP="00A75DA1">
      <w:pPr>
        <w:pStyle w:val="BodyText"/>
      </w:pPr>
      <w:hyperlink r:id="rId53" w:anchor="toc-key-information" w:history="1">
        <w:r w:rsidR="006F6F6A" w:rsidRPr="00553572">
          <w:rPr>
            <w:rStyle w:val="Hyperlink"/>
          </w:rPr>
          <w:t>https://www.nsw.gov.au/grants-and-funding/strong-start-cadetship-program#toc-key-information</w:t>
        </w:r>
      </w:hyperlink>
      <w:r w:rsidR="006F6F6A">
        <w:t xml:space="preserve"> </w:t>
      </w:r>
    </w:p>
    <w:p w14:paraId="1EC75AD8" w14:textId="77777777" w:rsidR="000C531F" w:rsidRDefault="000C531F" w:rsidP="000C531F">
      <w:pPr>
        <w:pStyle w:val="Heading4"/>
      </w:pPr>
      <w:r w:rsidRPr="00A05633">
        <w:t>Proposed Temporary and Seasonal Workers’ Accommodation planning framework and guidelines</w:t>
      </w:r>
    </w:p>
    <w:p w14:paraId="60F4D7CC" w14:textId="77777777" w:rsidR="000C531F" w:rsidRPr="00C80CAA" w:rsidRDefault="000C531F" w:rsidP="000C531F">
      <w:pPr>
        <w:pStyle w:val="BodyText"/>
        <w:rPr>
          <w:i/>
          <w:iCs/>
        </w:rPr>
      </w:pPr>
      <w:r w:rsidRPr="00C80CAA">
        <w:rPr>
          <w:i/>
          <w:iCs/>
        </w:rPr>
        <w:t>Exhibited in August and September 2023</w:t>
      </w:r>
    </w:p>
    <w:p w14:paraId="2C07AA51" w14:textId="40331FDB" w:rsidR="000C531F" w:rsidRDefault="00B4050E" w:rsidP="000C531F">
      <w:pPr>
        <w:pStyle w:val="BodyText"/>
      </w:pPr>
      <w:r w:rsidRPr="00AC7EEE">
        <w:t>A new clearer planning framework and guidelines to help regional councils plan for more and better housing for the thousands of temporary and seasonal workers was exhibited in August / September 2023.</w:t>
      </w:r>
      <w:r w:rsidR="00456864">
        <w:t xml:space="preserve"> </w:t>
      </w:r>
      <w:r w:rsidR="00254FF1">
        <w:t xml:space="preserve">Feedback from submissions is currently under consideration. </w:t>
      </w:r>
      <w:r w:rsidR="009A73A0">
        <w:t xml:space="preserve"> </w:t>
      </w:r>
    </w:p>
    <w:p w14:paraId="3D1DACE8" w14:textId="77777777" w:rsidR="000C531F" w:rsidRDefault="00973E66" w:rsidP="000C531F">
      <w:pPr>
        <w:pStyle w:val="BodyText"/>
      </w:pPr>
      <w:hyperlink r:id="rId54" w:history="1">
        <w:r w:rsidR="000C531F" w:rsidRPr="001E2F5F">
          <w:rPr>
            <w:rStyle w:val="Hyperlink"/>
          </w:rPr>
          <w:t>https://www.planning.nsw.gov.au/policy-and-legislation/housing/regional-housing/regional-housing-taskforce/temporary-and-seasonal-workers-accommodation-toolkit</w:t>
        </w:r>
      </w:hyperlink>
      <w:r w:rsidR="000C531F">
        <w:t xml:space="preserve"> </w:t>
      </w:r>
    </w:p>
    <w:p w14:paraId="367F2510" w14:textId="77777777" w:rsidR="000C531F" w:rsidRDefault="000C531F" w:rsidP="000C531F">
      <w:pPr>
        <w:pStyle w:val="Heading4"/>
      </w:pPr>
      <w:r>
        <w:t>Integration of BASIX into the Planning Portal</w:t>
      </w:r>
    </w:p>
    <w:p w14:paraId="46BD960D" w14:textId="77777777" w:rsidR="000C531F" w:rsidRPr="00C80CAA" w:rsidRDefault="000C531F" w:rsidP="000C531F">
      <w:pPr>
        <w:pStyle w:val="BodyText"/>
        <w:rPr>
          <w:i/>
          <w:iCs/>
        </w:rPr>
      </w:pPr>
      <w:r>
        <w:rPr>
          <w:i/>
          <w:iCs/>
        </w:rPr>
        <w:t>Released October 2023</w:t>
      </w:r>
    </w:p>
    <w:p w14:paraId="7232563F" w14:textId="77777777" w:rsidR="000C531F" w:rsidRDefault="000C531F" w:rsidP="000C531F">
      <w:pPr>
        <w:pStyle w:val="BodyText"/>
      </w:pPr>
      <w:r>
        <w:t>The State Environmental Planning Policy (Sustainable Buildings) 2022 encourages the design and delivery of more sustainable buildings across NSW. The Sustainable Buildings SEPP supports net zero goals and sets sustainability standards for residential development. The BASIX tool has moved to the NSW Planning Portal to help streamline the planning process.</w:t>
      </w:r>
    </w:p>
    <w:p w14:paraId="58608217" w14:textId="550468DB" w:rsidR="00DE5E08" w:rsidRDefault="00973E66" w:rsidP="00B100B4">
      <w:pPr>
        <w:pStyle w:val="BodyText"/>
        <w:rPr>
          <w:rFonts w:ascii="Public Sans Medium" w:eastAsia="Times New Roman" w:hAnsi="Public Sans Medium"/>
          <w:sz w:val="28"/>
          <w:szCs w:val="28"/>
        </w:rPr>
      </w:pPr>
      <w:hyperlink r:id="rId55" w:history="1">
        <w:r w:rsidR="000C531F" w:rsidRPr="005976F2">
          <w:rPr>
            <w:rStyle w:val="Hyperlink"/>
          </w:rPr>
          <w:t>https://www.planning.nsw.gov.au/policy-and-legislation/buildings/sustainable-buildings-sepp/sustainability-standards-residential-development-basix</w:t>
        </w:r>
      </w:hyperlink>
    </w:p>
    <w:p w14:paraId="76469782" w14:textId="401BAF4A" w:rsidR="00971284" w:rsidRPr="00971284" w:rsidRDefault="00971284" w:rsidP="00DE5E08">
      <w:pPr>
        <w:pStyle w:val="Heading4"/>
      </w:pPr>
      <w:r w:rsidRPr="00B41455">
        <w:t>Existing</w:t>
      </w:r>
      <w:r w:rsidRPr="00971284">
        <w:t xml:space="preserve"> development approvals which have not been acted upon, and barriers to delivering approved housing</w:t>
      </w:r>
    </w:p>
    <w:p w14:paraId="0D2F4DF7" w14:textId="57AFF837" w:rsidR="00971284" w:rsidRDefault="00971284" w:rsidP="00971284">
      <w:pPr>
        <w:pStyle w:val="BodyText"/>
      </w:pPr>
      <w:r w:rsidRPr="00061A8C">
        <w:t xml:space="preserve">According to ABS data, NSW has </w:t>
      </w:r>
      <w:r w:rsidR="006E1A91">
        <w:t>1</w:t>
      </w:r>
      <w:r w:rsidR="00B27641">
        <w:t>6,046</w:t>
      </w:r>
      <w:r w:rsidRPr="00061A8C">
        <w:t xml:space="preserve"> dwellings approved </w:t>
      </w:r>
      <w:r w:rsidR="006E1A91">
        <w:t xml:space="preserve">for construction </w:t>
      </w:r>
      <w:r w:rsidRPr="00061A8C">
        <w:t xml:space="preserve">but not commenced as </w:t>
      </w:r>
      <w:proofErr w:type="gramStart"/>
      <w:r w:rsidRPr="00061A8C">
        <w:t>at</w:t>
      </w:r>
      <w:proofErr w:type="gramEnd"/>
      <w:r w:rsidRPr="00061A8C">
        <w:t xml:space="preserve"> </w:t>
      </w:r>
      <w:r w:rsidR="006E1A91">
        <w:t>March 2024</w:t>
      </w:r>
      <w:r w:rsidRPr="00061A8C">
        <w:t>.</w:t>
      </w:r>
      <w:r>
        <w:t xml:space="preserve"> </w:t>
      </w:r>
    </w:p>
    <w:p w14:paraId="6ACEBA65" w14:textId="77777777" w:rsidR="00971284" w:rsidRDefault="00971284" w:rsidP="00971284">
      <w:pPr>
        <w:pStyle w:val="BodyText"/>
      </w:pPr>
      <w:r>
        <w:t xml:space="preserve">Industry intelligence and a range of economic indicators show that increases in construction costs – both materials and labour – are caused by supply constraints both internationally and domestically.  </w:t>
      </w:r>
    </w:p>
    <w:p w14:paraId="602748C4" w14:textId="77777777" w:rsidR="00971284" w:rsidRDefault="00971284" w:rsidP="00971284">
      <w:pPr>
        <w:pStyle w:val="BodyText"/>
      </w:pPr>
      <w:r>
        <w:t xml:space="preserve">There is a very large infrastructure pipeline in NSW, driven by investment in transport infrastructure such as metro rail and roads, accelerating energy transition and increase in health and education infrastructure investment.  Materials such as steel and cement and skills such as engineering often overlap with the requirements of residential construction (particularly apartments). The market in NSW will be significantly challenged to deliver these projects simultaneously. </w:t>
      </w:r>
    </w:p>
    <w:p w14:paraId="5E1F6FF4" w14:textId="77777777" w:rsidR="00971284" w:rsidRDefault="00971284" w:rsidP="00971284">
      <w:pPr>
        <w:pStyle w:val="BodyText"/>
      </w:pPr>
      <w:r>
        <w:t xml:space="preserve">While materials construction costs are still rising, they are not rising as sharply. Cost escalation continues to be driven by key inputs—such as steel, timber, and cement. High freight and energy costs have also flowed into prices for inputs across the sector. Coupled with higher interest rates, the market will continue to face difficulties in achieving required returns to investment. </w:t>
      </w:r>
    </w:p>
    <w:p w14:paraId="7716BAEE" w14:textId="33A92171" w:rsidR="00971284" w:rsidRDefault="00971284" w:rsidP="00971284">
      <w:pPr>
        <w:pStyle w:val="BodyText"/>
      </w:pPr>
      <w:r>
        <w:t>Skilled labour shortages persist</w:t>
      </w:r>
      <w:r w:rsidR="00AD2A3D">
        <w:t xml:space="preserve">. </w:t>
      </w:r>
      <w:r>
        <w:t xml:space="preserve"> Construction job vacancies remains at an elevated level as </w:t>
      </w:r>
      <w:proofErr w:type="gramStart"/>
      <w:r>
        <w:t>at</w:t>
      </w:r>
      <w:proofErr w:type="gramEnd"/>
      <w:r>
        <w:t xml:space="preserve"> August 2023 and the Reserve Bank of Australia notes in the August 2023 Statement of Monetary Policy that: </w:t>
      </w:r>
    </w:p>
    <w:p w14:paraId="3E0E2DC1" w14:textId="1B4577B5" w:rsidR="00971284" w:rsidRPr="00862D37" w:rsidRDefault="00971284" w:rsidP="00862D37">
      <w:pPr>
        <w:pStyle w:val="Quote"/>
        <w:rPr>
          <w:i/>
          <w:iCs/>
          <w:sz w:val="22"/>
          <w:szCs w:val="22"/>
        </w:rPr>
      </w:pPr>
      <w:r w:rsidRPr="00862D37">
        <w:rPr>
          <w:i/>
          <w:iCs/>
          <w:sz w:val="22"/>
          <w:szCs w:val="22"/>
        </w:rPr>
        <w:t>“While constraints on the supply of materials have eased, poor availability of tradespeople- particularly for the latter stages of construction has continued to limit the pace of work done. These delays have contributed to the elevated pipeline of residential construction and, along with substantial increase in costs, have reduce cash flows for some firms and increased insolvencies in the industry over the past years. Construction insolvencies in the June quarter were at their highest level since the series began in 2013.</w:t>
      </w:r>
      <w:r w:rsidR="0059258A" w:rsidRPr="00862D37">
        <w:rPr>
          <w:i/>
          <w:iCs/>
          <w:sz w:val="22"/>
          <w:szCs w:val="22"/>
        </w:rPr>
        <w:t>”</w:t>
      </w:r>
    </w:p>
    <w:p w14:paraId="6DE5601B" w14:textId="77777777" w:rsidR="00971284" w:rsidRDefault="00971284" w:rsidP="00971284">
      <w:pPr>
        <w:pStyle w:val="BodyText"/>
      </w:pPr>
      <w:r>
        <w:t xml:space="preserve">Slowing construction sector productivity is an issue in Australia and internationally. Australia’s construction productivity growth has been slow over the past 30 years and is lagging other sectors of the economy. </w:t>
      </w:r>
    </w:p>
    <w:p w14:paraId="13A4E293" w14:textId="77777777" w:rsidR="00971284" w:rsidRPr="00821636" w:rsidRDefault="00971284" w:rsidP="00821636">
      <w:pPr>
        <w:pStyle w:val="BodyText"/>
      </w:pPr>
      <w:r w:rsidRPr="00821636">
        <w:t xml:space="preserve">There is also a need for capability uplift across the sector to address gaps in the market. For example, there is a need to increase the number of firms certified for the construction of Class 2 buildings (i.e., apartments). This will require specific training and capability uplift across the sector. </w:t>
      </w:r>
    </w:p>
    <w:p w14:paraId="409A8483" w14:textId="59052F62" w:rsidR="0005076B" w:rsidRPr="0005076B" w:rsidRDefault="0005076B" w:rsidP="00B41455">
      <w:pPr>
        <w:pStyle w:val="Heading3"/>
      </w:pPr>
      <w:bookmarkStart w:id="16" w:name="_Toc162522592"/>
      <w:r w:rsidRPr="00B41455">
        <w:t>Reforms</w:t>
      </w:r>
      <w:r w:rsidRPr="0005076B">
        <w:t xml:space="preserve"> to social and affordable housing approval pathways</w:t>
      </w:r>
      <w:bookmarkEnd w:id="16"/>
    </w:p>
    <w:p w14:paraId="02DA7D5F" w14:textId="5F7F65AC" w:rsidR="0005076B" w:rsidRDefault="00262138" w:rsidP="0005076B">
      <w:pPr>
        <w:pStyle w:val="Heading4"/>
      </w:pPr>
      <w:r>
        <w:t>State significant development and</w:t>
      </w:r>
      <w:r w:rsidR="0005076B">
        <w:t xml:space="preserve"> affordable housing</w:t>
      </w:r>
    </w:p>
    <w:p w14:paraId="13084895" w14:textId="77777777" w:rsidR="0005076B" w:rsidRPr="00A2236A" w:rsidRDefault="0005076B" w:rsidP="0005076B">
      <w:pPr>
        <w:pStyle w:val="BodyText"/>
        <w:rPr>
          <w:i/>
          <w:iCs/>
        </w:rPr>
      </w:pPr>
      <w:r w:rsidRPr="00A2236A">
        <w:rPr>
          <w:i/>
          <w:iCs/>
        </w:rPr>
        <w:t>In place from 14 December 2023</w:t>
      </w:r>
    </w:p>
    <w:p w14:paraId="51846817" w14:textId="15731266" w:rsidR="00EC1B39" w:rsidRDefault="001B4EF6" w:rsidP="0005076B">
      <w:pPr>
        <w:pStyle w:val="BodyText"/>
        <w:rPr>
          <w:rFonts w:ascii="Public Sans" w:hAnsi="Public Sans"/>
          <w:color w:val="22272B"/>
          <w:shd w:val="clear" w:color="auto" w:fill="FFFFFF"/>
        </w:rPr>
      </w:pPr>
      <w:r w:rsidRPr="001B4EF6">
        <w:t>A new state significant development (SSD) pathway has been introduced for residential development with a capital investment value of over $75 million in Greater Sydney, and $30 million outside Greater Sydney, which includes at least 10 per cent affordable housing</w:t>
      </w:r>
      <w:r>
        <w:rPr>
          <w:rFonts w:ascii="Public Sans" w:hAnsi="Public Sans"/>
          <w:color w:val="22272B"/>
          <w:shd w:val="clear" w:color="auto" w:fill="FFFFFF"/>
        </w:rPr>
        <w:t>.</w:t>
      </w:r>
    </w:p>
    <w:p w14:paraId="208D7C6F" w14:textId="77777777" w:rsidR="0005076B" w:rsidRDefault="00973E66" w:rsidP="0005076B">
      <w:pPr>
        <w:pStyle w:val="BodyText"/>
      </w:pPr>
      <w:hyperlink r:id="rId56" w:history="1">
        <w:r w:rsidR="0005076B" w:rsidRPr="001E2F5F">
          <w:rPr>
            <w:rStyle w:val="Hyperlink"/>
          </w:rPr>
          <w:t>https://www.planning.nsw.gov.au/policy-and-legislation/housing/housing-sepp/in-fill-affordable-housing</w:t>
        </w:r>
      </w:hyperlink>
      <w:r w:rsidR="0005076B">
        <w:t xml:space="preserve"> </w:t>
      </w:r>
    </w:p>
    <w:p w14:paraId="267C1233" w14:textId="790A545D" w:rsidR="0005076B" w:rsidRDefault="008075AB" w:rsidP="0005076B">
      <w:pPr>
        <w:pStyle w:val="Heading4"/>
      </w:pPr>
      <w:r>
        <w:t xml:space="preserve">Changes for government housing agencies </w:t>
      </w:r>
    </w:p>
    <w:p w14:paraId="00D30838" w14:textId="77777777" w:rsidR="0005076B" w:rsidRPr="0056288B" w:rsidRDefault="0005076B" w:rsidP="0005076B">
      <w:pPr>
        <w:pStyle w:val="BodyText"/>
        <w:rPr>
          <w:i/>
          <w:iCs/>
        </w:rPr>
      </w:pPr>
      <w:r w:rsidRPr="0056288B">
        <w:rPr>
          <w:i/>
          <w:iCs/>
        </w:rPr>
        <w:t>Enacted 14 December 2023</w:t>
      </w:r>
    </w:p>
    <w:p w14:paraId="3096DDB0" w14:textId="107CF599" w:rsidR="008E4732" w:rsidRPr="008E4732" w:rsidRDefault="004F11A3" w:rsidP="008E4732">
      <w:pPr>
        <w:shd w:val="clear" w:color="auto" w:fill="FFFFFF"/>
        <w:spacing w:before="0" w:after="0" w:line="240" w:lineRule="auto"/>
      </w:pPr>
      <w:r>
        <w:t>T</w:t>
      </w:r>
      <w:r w:rsidR="008E4732" w:rsidRPr="008E4732">
        <w:t>he NSW Government implemented reforms to enable state housing agencies to deliver projects more efficiently, including:</w:t>
      </w:r>
    </w:p>
    <w:p w14:paraId="26C36ABA" w14:textId="3DDDC9C6" w:rsidR="008E4732" w:rsidRDefault="008E4732" w:rsidP="00A96DC8">
      <w:pPr>
        <w:pStyle w:val="BodyText"/>
        <w:numPr>
          <w:ilvl w:val="0"/>
          <w:numId w:val="29"/>
        </w:numPr>
      </w:pPr>
      <w:r w:rsidRPr="008E4732">
        <w:t xml:space="preserve">a new state significant development (SSD) pathway for the </w:t>
      </w:r>
      <w:proofErr w:type="gramStart"/>
      <w:r w:rsidR="00D873DA">
        <w:t>Homes</w:t>
      </w:r>
      <w:proofErr w:type="gramEnd"/>
      <w:r w:rsidR="00D873DA">
        <w:t xml:space="preserve"> NSW agencies, </w:t>
      </w:r>
      <w:r w:rsidRPr="008E4732">
        <w:t>Land and Housing Corporation (LAHC) and the A</w:t>
      </w:r>
      <w:r w:rsidR="008D46E1">
        <w:t xml:space="preserve">boriginal </w:t>
      </w:r>
      <w:r w:rsidRPr="008E4732">
        <w:t>H</w:t>
      </w:r>
      <w:r w:rsidR="008D46E1">
        <w:t xml:space="preserve">ousing </w:t>
      </w:r>
      <w:r w:rsidRPr="008E4732">
        <w:t>O</w:t>
      </w:r>
      <w:r w:rsidR="008D46E1">
        <w:t>ffice (AHO)</w:t>
      </w:r>
      <w:r w:rsidR="00D873DA">
        <w:t>,</w:t>
      </w:r>
      <w:r w:rsidRPr="008E4732">
        <w:t xml:space="preserve"> where these agencies are seeking to deliver residential developments of over 75 homes</w:t>
      </w:r>
    </w:p>
    <w:p w14:paraId="31E2277B" w14:textId="77777777" w:rsidR="008E4732" w:rsidRDefault="008E4732" w:rsidP="00A96DC8">
      <w:pPr>
        <w:pStyle w:val="BodyText"/>
        <w:numPr>
          <w:ilvl w:val="0"/>
          <w:numId w:val="29"/>
        </w:numPr>
      </w:pPr>
      <w:proofErr w:type="spellStart"/>
      <w:r w:rsidRPr="008E4732">
        <w:t>Landcom</w:t>
      </w:r>
      <w:proofErr w:type="spellEnd"/>
      <w:r w:rsidRPr="008E4732">
        <w:t xml:space="preserve"> also benefits from this SSD pathway where the development includes at least 50% affordable housing</w:t>
      </w:r>
    </w:p>
    <w:p w14:paraId="4C115F37" w14:textId="25378D1A" w:rsidR="008E4732" w:rsidRDefault="002637B3" w:rsidP="00A96DC8">
      <w:pPr>
        <w:pStyle w:val="BodyText"/>
        <w:numPr>
          <w:ilvl w:val="0"/>
          <w:numId w:val="29"/>
        </w:numPr>
      </w:pPr>
      <w:r>
        <w:t>Homes NSW</w:t>
      </w:r>
      <w:r w:rsidR="008E4732" w:rsidRPr="008E4732">
        <w:t xml:space="preserve"> and </w:t>
      </w:r>
      <w:proofErr w:type="spellStart"/>
      <w:r w:rsidR="008E4732" w:rsidRPr="008E4732">
        <w:t>Landcom</w:t>
      </w:r>
      <w:proofErr w:type="spellEnd"/>
      <w:r w:rsidR="008E4732" w:rsidRPr="008E4732">
        <w:t xml:space="preserve"> are now able to self-assess social and affordable developments of up to 75 homes, including residential flat buildings up to 11 m in height where the land use is permissible</w:t>
      </w:r>
    </w:p>
    <w:p w14:paraId="517EB066" w14:textId="5F2CD55E" w:rsidR="008E4732" w:rsidRPr="008E4732" w:rsidRDefault="008E4732" w:rsidP="00A96DC8">
      <w:pPr>
        <w:pStyle w:val="BodyText"/>
        <w:numPr>
          <w:ilvl w:val="0"/>
          <w:numId w:val="29"/>
        </w:numPr>
      </w:pPr>
      <w:r w:rsidRPr="008E4732">
        <w:t xml:space="preserve">the minimum lot size for dual occupancies being delivered as complying development by </w:t>
      </w:r>
      <w:r w:rsidR="002637B3">
        <w:t>Homes NSW</w:t>
      </w:r>
      <w:r w:rsidRPr="008E4732">
        <w:t xml:space="preserve"> and community housing providers (CHPs)/Aboriginal Community Housing Providers has been reduced to 400 m</w:t>
      </w:r>
      <w:r w:rsidRPr="00FF69D0">
        <w:rPr>
          <w:vertAlign w:val="superscript"/>
        </w:rPr>
        <w:t>2</w:t>
      </w:r>
      <w:r w:rsidRPr="008E4732">
        <w:t xml:space="preserve"> under the </w:t>
      </w:r>
      <w:proofErr w:type="gramStart"/>
      <w:r w:rsidRPr="008E4732">
        <w:t>Low Rise</w:t>
      </w:r>
      <w:proofErr w:type="gramEnd"/>
      <w:r w:rsidRPr="008E4732">
        <w:t xml:space="preserve"> Housing Diversity Code, making more land available for this type of development.</w:t>
      </w:r>
    </w:p>
    <w:p w14:paraId="0EF68767" w14:textId="77777777" w:rsidR="00C64EC4" w:rsidRPr="004937C4" w:rsidRDefault="00C64EC4" w:rsidP="00B054F6">
      <w:pPr>
        <w:pStyle w:val="Heading4"/>
      </w:pPr>
      <w:r w:rsidRPr="000D29A1">
        <w:t>Barriers</w:t>
      </w:r>
      <w:r w:rsidRPr="004937C4">
        <w:t xml:space="preserve"> to the timely issuing of development approvals, and reforms to address them</w:t>
      </w:r>
    </w:p>
    <w:p w14:paraId="22B52C19" w14:textId="77777777" w:rsidR="00C64EC4" w:rsidRPr="004937C4" w:rsidRDefault="00C64EC4" w:rsidP="004937C4">
      <w:pPr>
        <w:pStyle w:val="BodyText"/>
      </w:pPr>
      <w:r w:rsidRPr="004937C4">
        <w:t xml:space="preserve">Barriers to timely issuing of development approvals include: </w:t>
      </w:r>
    </w:p>
    <w:p w14:paraId="1F81561C" w14:textId="77777777" w:rsidR="004937C4" w:rsidRDefault="00C64EC4" w:rsidP="004937C4">
      <w:pPr>
        <w:pStyle w:val="BodyText"/>
        <w:numPr>
          <w:ilvl w:val="0"/>
          <w:numId w:val="24"/>
        </w:numPr>
      </w:pPr>
      <w:r w:rsidRPr="004937C4">
        <w:t xml:space="preserve">Council resourcing and shortage of planners, engineers and other technical specialists </w:t>
      </w:r>
    </w:p>
    <w:p w14:paraId="39B42A51" w14:textId="77777777" w:rsidR="004937C4" w:rsidRDefault="00C64EC4" w:rsidP="004937C4">
      <w:pPr>
        <w:pStyle w:val="BodyText"/>
        <w:numPr>
          <w:ilvl w:val="0"/>
          <w:numId w:val="24"/>
        </w:numPr>
      </w:pPr>
      <w:r w:rsidRPr="004937C4">
        <w:t xml:space="preserve">Upcoming local government elections (September 2024) and potential delays due to caretaker period and/or political sensitivities </w:t>
      </w:r>
    </w:p>
    <w:p w14:paraId="50298435" w14:textId="25293A74" w:rsidR="00C64EC4" w:rsidRPr="004937C4" w:rsidRDefault="00C64EC4" w:rsidP="004937C4">
      <w:pPr>
        <w:pStyle w:val="BodyText"/>
        <w:numPr>
          <w:ilvl w:val="0"/>
          <w:numId w:val="24"/>
        </w:numPr>
      </w:pPr>
      <w:r w:rsidRPr="004937C4">
        <w:t xml:space="preserve">Poor quality information from applicants </w:t>
      </w:r>
    </w:p>
    <w:p w14:paraId="63C1B8CC" w14:textId="77777777" w:rsidR="00C64EC4" w:rsidRPr="004937C4" w:rsidRDefault="00C64EC4" w:rsidP="004937C4">
      <w:pPr>
        <w:pStyle w:val="BodyText"/>
        <w:numPr>
          <w:ilvl w:val="0"/>
          <w:numId w:val="24"/>
        </w:numPr>
      </w:pPr>
      <w:r w:rsidRPr="004937C4">
        <w:t xml:space="preserve">Impact of resourcing court appeals by applicants against consent authorities </w:t>
      </w:r>
    </w:p>
    <w:p w14:paraId="19DB5842" w14:textId="77777777" w:rsidR="00C64EC4" w:rsidRPr="004937C4" w:rsidRDefault="00C64EC4" w:rsidP="004937C4">
      <w:pPr>
        <w:pStyle w:val="BodyText"/>
        <w:numPr>
          <w:ilvl w:val="0"/>
          <w:numId w:val="24"/>
        </w:numPr>
      </w:pPr>
      <w:r w:rsidRPr="004937C4">
        <w:t xml:space="preserve">Extended lead times for planning panels and design review panels </w:t>
      </w:r>
    </w:p>
    <w:p w14:paraId="0ED58FE8" w14:textId="77777777" w:rsidR="00C64EC4" w:rsidRPr="004937C4" w:rsidRDefault="00C64EC4" w:rsidP="004937C4">
      <w:pPr>
        <w:pStyle w:val="BodyText"/>
        <w:numPr>
          <w:ilvl w:val="0"/>
          <w:numId w:val="24"/>
        </w:numPr>
      </w:pPr>
      <w:r w:rsidRPr="004937C4">
        <w:t xml:space="preserve">Outdated strategic planning requiring more assessment at the DA stage </w:t>
      </w:r>
    </w:p>
    <w:p w14:paraId="31FE660A" w14:textId="77777777" w:rsidR="00C64EC4" w:rsidRPr="004937C4" w:rsidRDefault="00C64EC4" w:rsidP="004937C4">
      <w:pPr>
        <w:pStyle w:val="BodyText"/>
        <w:numPr>
          <w:ilvl w:val="0"/>
          <w:numId w:val="24"/>
        </w:numPr>
      </w:pPr>
      <w:r w:rsidRPr="004937C4">
        <w:t xml:space="preserve">Time taken by government agencies to complete concurrence and referrals. </w:t>
      </w:r>
    </w:p>
    <w:p w14:paraId="75D6ECE7" w14:textId="77777777" w:rsidR="00FB42E8" w:rsidRDefault="00FB42E8" w:rsidP="004937C4">
      <w:pPr>
        <w:pStyle w:val="BodyText"/>
      </w:pPr>
    </w:p>
    <w:p w14:paraId="020F61B7" w14:textId="60C85758" w:rsidR="00BB589D" w:rsidRDefault="00C64EC4" w:rsidP="00B100B4">
      <w:pPr>
        <w:pStyle w:val="BodyText"/>
        <w:rPr>
          <w:rFonts w:ascii="Public Sans Medium" w:eastAsia="Times New Roman" w:hAnsi="Public Sans Medium"/>
          <w:sz w:val="28"/>
          <w:szCs w:val="28"/>
        </w:rPr>
      </w:pPr>
      <w:r w:rsidRPr="004937C4">
        <w:t>NSW reforms to improve timely issuing of development approvals are detailed above (</w:t>
      </w:r>
      <w:r w:rsidRPr="004937C4">
        <w:rPr>
          <w:i/>
          <w:iCs/>
        </w:rPr>
        <w:t>see Reforms to development approval pathways</w:t>
      </w:r>
      <w:r w:rsidRPr="004937C4">
        <w:t>).</w:t>
      </w:r>
    </w:p>
    <w:p w14:paraId="1A55D1F7" w14:textId="1A4BED33" w:rsidR="00313EA3" w:rsidRPr="00313EA3" w:rsidRDefault="00313EA3" w:rsidP="000D29A1">
      <w:pPr>
        <w:pStyle w:val="Heading3"/>
      </w:pPr>
      <w:bookmarkStart w:id="17" w:name="_Toc162522593"/>
      <w:r w:rsidRPr="000D29A1">
        <w:t>Initiatives</w:t>
      </w:r>
      <w:r w:rsidRPr="00313EA3">
        <w:t xml:space="preserve"> to share planning data</w:t>
      </w:r>
      <w:bookmarkEnd w:id="17"/>
      <w:r w:rsidRPr="00313EA3">
        <w:t xml:space="preserve"> </w:t>
      </w:r>
    </w:p>
    <w:p w14:paraId="69649FA2" w14:textId="77777777" w:rsidR="00313EA3" w:rsidRPr="009E379C" w:rsidRDefault="00313EA3" w:rsidP="00D8630B">
      <w:pPr>
        <w:pStyle w:val="Heading4"/>
      </w:pPr>
      <w:bookmarkStart w:id="18" w:name="_Toc162007764"/>
      <w:r w:rsidRPr="009E379C">
        <w:t>NSW data sharing initiatives</w:t>
      </w:r>
      <w:bookmarkEnd w:id="18"/>
    </w:p>
    <w:p w14:paraId="544CFED0" w14:textId="77777777" w:rsidR="00313EA3" w:rsidRPr="00652F3D" w:rsidRDefault="00313EA3" w:rsidP="00652F3D">
      <w:pPr>
        <w:pStyle w:val="Heading4"/>
      </w:pPr>
      <w:r w:rsidRPr="00652F3D">
        <w:t xml:space="preserve">Urban Development Programs </w:t>
      </w:r>
    </w:p>
    <w:p w14:paraId="0B0E592A" w14:textId="77777777" w:rsidR="00D4781C" w:rsidRDefault="00313EA3" w:rsidP="00313EA3">
      <w:pPr>
        <w:pStyle w:val="BodyText"/>
      </w:pPr>
      <w:r>
        <w:t xml:space="preserve">Urban Development Programs (UDPs) operate across Greater Sydney and key regional NSW locations. UDPs monitor land supply and development and help coordinate delivery of enabling infrastructure such as transport, water, power, and sewage infrastructure. </w:t>
      </w:r>
    </w:p>
    <w:p w14:paraId="7031FFAA" w14:textId="4D1F3928" w:rsidR="00D4781C" w:rsidRDefault="00D4781C" w:rsidP="00313EA3">
      <w:pPr>
        <w:pStyle w:val="BodyText"/>
      </w:pPr>
      <w:r>
        <w:rPr>
          <w:rFonts w:ascii="Public Sans" w:hAnsi="Public Sans"/>
          <w:color w:val="22272B"/>
          <w:shd w:val="clear" w:color="auto" w:fill="FFFFFF"/>
        </w:rPr>
        <w:t>The government has established UDP dashboards to</w:t>
      </w:r>
      <w:r w:rsidR="00C55E91">
        <w:rPr>
          <w:rFonts w:ascii="Public Sans" w:hAnsi="Public Sans"/>
          <w:color w:val="22272B"/>
          <w:shd w:val="clear" w:color="auto" w:fill="FFFFFF"/>
        </w:rPr>
        <w:t xml:space="preserve"> monitor key housing data in UDP areas. </w:t>
      </w:r>
    </w:p>
    <w:p w14:paraId="28EA1252" w14:textId="6CB9685E" w:rsidR="004419B4" w:rsidRPr="004419B4" w:rsidRDefault="00973E66" w:rsidP="004419B4">
      <w:pPr>
        <w:pStyle w:val="BodyText"/>
      </w:pPr>
      <w:hyperlink r:id="rId57" w:history="1">
        <w:r w:rsidR="009B0783" w:rsidRPr="005976F2">
          <w:rPr>
            <w:rStyle w:val="Hyperlink"/>
          </w:rPr>
          <w:t>https://www.planningportal.nsw.gov.au/online-dashboards</w:t>
        </w:r>
      </w:hyperlink>
    </w:p>
    <w:p w14:paraId="28C6F4C8" w14:textId="77777777" w:rsidR="00313EA3" w:rsidRPr="00652F3D" w:rsidRDefault="00313EA3" w:rsidP="00652F3D">
      <w:pPr>
        <w:pStyle w:val="Heading4"/>
      </w:pPr>
      <w:r w:rsidRPr="00652F3D">
        <w:t xml:space="preserve">Land </w:t>
      </w:r>
      <w:proofErr w:type="spellStart"/>
      <w:r w:rsidRPr="00652F3D">
        <w:t>iQ</w:t>
      </w:r>
      <w:proofErr w:type="spellEnd"/>
    </w:p>
    <w:p w14:paraId="73A957FF" w14:textId="560A8D0E" w:rsidR="00313EA3" w:rsidRDefault="00313EA3" w:rsidP="00313EA3">
      <w:pPr>
        <w:pStyle w:val="BodyText"/>
      </w:pPr>
      <w:r>
        <w:t xml:space="preserve">Land </w:t>
      </w:r>
      <w:proofErr w:type="spellStart"/>
      <w:r>
        <w:t>iQ</w:t>
      </w:r>
      <w:proofErr w:type="spellEnd"/>
      <w:r>
        <w:t xml:space="preserve"> is </w:t>
      </w:r>
      <w:proofErr w:type="gramStart"/>
      <w:r>
        <w:t>a</w:t>
      </w:r>
      <w:proofErr w:type="gramEnd"/>
      <w:r>
        <w:t xml:space="preserve"> NSW </w:t>
      </w:r>
      <w:r w:rsidR="005340A6">
        <w:t>G</w:t>
      </w:r>
      <w:r>
        <w:t xml:space="preserve">overnment platform to support analysis of different land use scenarios. It includes 40 land use data types on a single platform that covers more than 8 million lots and properties across NSW. It is currently being used by NSW </w:t>
      </w:r>
      <w:r w:rsidR="005340A6">
        <w:t>G</w:t>
      </w:r>
      <w:r>
        <w:t xml:space="preserve">overnment departments and nine local councils to assess development. The NSW Government is committing $9.3 million to further develop Land </w:t>
      </w:r>
      <w:proofErr w:type="spellStart"/>
      <w:r>
        <w:t>iQ</w:t>
      </w:r>
      <w:proofErr w:type="spellEnd"/>
      <w:r>
        <w:t xml:space="preserve"> over the next two</w:t>
      </w:r>
      <w:r w:rsidR="00A64547">
        <w:t xml:space="preserve"> </w:t>
      </w:r>
      <w:r>
        <w:t xml:space="preserve">years, including to develop license options to make it available to additional local councils, Local Aboriginal Land Councils, researchers and industry. The Australian Government is also investing $1.8 million under Round One of the Disaster Ready Fund to include hazard vulnerability data and allow for natural disaster risk and resilience analysis to be built into the tool. </w:t>
      </w:r>
    </w:p>
    <w:p w14:paraId="27183BF9" w14:textId="740A0D8F" w:rsidR="00BF7563" w:rsidRDefault="00973E66" w:rsidP="00313EA3">
      <w:pPr>
        <w:pStyle w:val="BodyText"/>
      </w:pPr>
      <w:hyperlink r:id="rId58" w:history="1">
        <w:r w:rsidR="00313EA3" w:rsidRPr="001E2F5F">
          <w:rPr>
            <w:rStyle w:val="Hyperlink"/>
          </w:rPr>
          <w:t>https://www.dpie.nsw.gov.au/housing-and-property/our-business/advisory-and-transactions/land-iq</w:t>
        </w:r>
      </w:hyperlink>
      <w:r w:rsidR="00313EA3">
        <w:t xml:space="preserve"> </w:t>
      </w:r>
    </w:p>
    <w:p w14:paraId="542D002A" w14:textId="6CB2EC18" w:rsidR="00313EA3" w:rsidRPr="00652F3D" w:rsidRDefault="00313EA3" w:rsidP="00652F3D">
      <w:pPr>
        <w:pStyle w:val="Heading4"/>
      </w:pPr>
      <w:r w:rsidRPr="00652F3D">
        <w:t>NSW Planning Performance Dashboard</w:t>
      </w:r>
    </w:p>
    <w:p w14:paraId="5D6C216D" w14:textId="77777777" w:rsidR="00313EA3" w:rsidRDefault="00313EA3" w:rsidP="00313EA3">
      <w:pPr>
        <w:pStyle w:val="BodyText"/>
      </w:pPr>
      <w:r>
        <w:t>This dashboard shares data on development consent activity across NSW, by local government area, including development approvals performance by local government area, including assessment timeframes.</w:t>
      </w:r>
    </w:p>
    <w:p w14:paraId="184B2818" w14:textId="77777777" w:rsidR="00313EA3" w:rsidRDefault="00973E66" w:rsidP="00313EA3">
      <w:pPr>
        <w:pStyle w:val="BodyText"/>
      </w:pPr>
      <w:hyperlink r:id="rId59" w:history="1">
        <w:r w:rsidR="00313EA3" w:rsidRPr="001E2F5F">
          <w:rPr>
            <w:rStyle w:val="Hyperlink"/>
          </w:rPr>
          <w:t>https://www.planningportal.nsw.gov.au/eplanningreport</w:t>
        </w:r>
      </w:hyperlink>
      <w:r w:rsidR="00313EA3">
        <w:t xml:space="preserve">    </w:t>
      </w:r>
    </w:p>
    <w:p w14:paraId="164DDDDD" w14:textId="77777777" w:rsidR="00313EA3" w:rsidRPr="00652F3D" w:rsidRDefault="00313EA3" w:rsidP="00652F3D">
      <w:pPr>
        <w:pStyle w:val="Heading4"/>
      </w:pPr>
      <w:r w:rsidRPr="00652F3D">
        <w:t>NSW Common Planning Assumptions</w:t>
      </w:r>
    </w:p>
    <w:p w14:paraId="44452327" w14:textId="0DE622D2" w:rsidR="00313EA3" w:rsidRDefault="00313EA3" w:rsidP="00313EA3">
      <w:pPr>
        <w:pStyle w:val="BodyText"/>
      </w:pPr>
      <w:r>
        <w:t xml:space="preserve">NSW Common Planning Assumptions are agreed by a group of NSW Government agencies and used in the development of new NSW government policies, strategies, business cases. </w:t>
      </w:r>
    </w:p>
    <w:p w14:paraId="2B626E07" w14:textId="77777777" w:rsidR="00313EA3" w:rsidRDefault="00973E66" w:rsidP="00313EA3">
      <w:pPr>
        <w:pStyle w:val="BodyText"/>
      </w:pPr>
      <w:hyperlink r:id="rId60" w:history="1">
        <w:r w:rsidR="00313EA3" w:rsidRPr="001E2F5F">
          <w:rPr>
            <w:rStyle w:val="Hyperlink"/>
          </w:rPr>
          <w:t>https://www.treasury.nsw.gov.au/information-public-entities/nsw-common-planning-assumptions</w:t>
        </w:r>
      </w:hyperlink>
      <w:r w:rsidR="00313EA3">
        <w:t xml:space="preserve"> </w:t>
      </w:r>
    </w:p>
    <w:p w14:paraId="7A23DABB" w14:textId="77777777" w:rsidR="00313EA3" w:rsidRPr="00652F3D" w:rsidRDefault="00313EA3" w:rsidP="00652F3D">
      <w:pPr>
        <w:pStyle w:val="Heading4"/>
      </w:pPr>
      <w:r w:rsidRPr="00652F3D">
        <w:t>Local Aboriginal Land Council planning analysis reports</w:t>
      </w:r>
    </w:p>
    <w:p w14:paraId="4C8B301E" w14:textId="77777777" w:rsidR="00313EA3" w:rsidRDefault="00313EA3" w:rsidP="00313EA3">
      <w:pPr>
        <w:pStyle w:val="BodyText"/>
      </w:pPr>
      <w:r>
        <w:t>These reports are being prepared to include mapping, imagery and key planning information about sites owned by local Aboriginal Land Councils in NSW. The reports are part of a new initiative to assist local Aboriginal Land Councils better understand the location and characteristics of land they own and inform a process for identifying sites that may align with local Aboriginal land use priorities.</w:t>
      </w:r>
    </w:p>
    <w:p w14:paraId="12C1D63A" w14:textId="77777777" w:rsidR="00313EA3" w:rsidRDefault="00973E66" w:rsidP="00313EA3">
      <w:pPr>
        <w:pStyle w:val="BodyText"/>
      </w:pPr>
      <w:hyperlink r:id="rId61" w:history="1">
        <w:r w:rsidR="00313EA3" w:rsidRPr="001E2F5F">
          <w:rPr>
            <w:rStyle w:val="Hyperlink"/>
          </w:rPr>
          <w:t>https://www.planning.nsw.gov.au/policy-and-legislation/aboriginal-land-use-planning/aboriginal-land-planning-framework</w:t>
        </w:r>
      </w:hyperlink>
      <w:r w:rsidR="00313EA3">
        <w:t xml:space="preserve"> </w:t>
      </w:r>
    </w:p>
    <w:p w14:paraId="3144350E" w14:textId="77777777" w:rsidR="00313EA3" w:rsidRPr="00652F3D" w:rsidRDefault="00313EA3" w:rsidP="00652F3D">
      <w:pPr>
        <w:pStyle w:val="Heading4"/>
        <w:rPr>
          <w:rStyle w:val="Heading4Char"/>
        </w:rPr>
      </w:pPr>
      <w:bookmarkStart w:id="19" w:name="_Toc162007765"/>
      <w:r w:rsidRPr="00652F3D">
        <w:rPr>
          <w:rStyle w:val="Heading4Char"/>
        </w:rPr>
        <w:t>Interjurisdictional</w:t>
      </w:r>
      <w:r w:rsidRPr="00652F3D">
        <w:t xml:space="preserve"> </w:t>
      </w:r>
      <w:r w:rsidRPr="00652F3D">
        <w:rPr>
          <w:rStyle w:val="Heading4Char"/>
        </w:rPr>
        <w:t>data sharing</w:t>
      </w:r>
      <w:bookmarkEnd w:id="19"/>
    </w:p>
    <w:p w14:paraId="296785D8" w14:textId="00D679C3" w:rsidR="00BB589D" w:rsidRDefault="00313EA3" w:rsidP="00B100B4">
      <w:pPr>
        <w:pStyle w:val="BodyText"/>
      </w:pPr>
      <w:r>
        <w:t xml:space="preserve">NSW shares data from the NSW Planning Portal with the ABS to support dwelling-related ABS data series, including Building Approvals and Building Activity. </w:t>
      </w:r>
    </w:p>
    <w:p w14:paraId="3F84AA6B" w14:textId="4045E561" w:rsidR="00313EA3" w:rsidRPr="00BF7563" w:rsidRDefault="00C71FE3" w:rsidP="000D29A1">
      <w:pPr>
        <w:pStyle w:val="Heading3"/>
      </w:pPr>
      <w:bookmarkStart w:id="20" w:name="_Toc162522594"/>
      <w:r>
        <w:t>R</w:t>
      </w:r>
      <w:r w:rsidR="00313EA3" w:rsidRPr="00BF7563">
        <w:t>eforms to support permanent affordable, social and other specialist housing in developments</w:t>
      </w:r>
      <w:r w:rsidR="00313EA3" w:rsidRPr="00BF7563">
        <w:rPr>
          <w:rStyle w:val="FootnoteReference"/>
          <w:color w:val="auto"/>
        </w:rPr>
        <w:footnoteReference w:id="3"/>
      </w:r>
      <w:bookmarkEnd w:id="20"/>
    </w:p>
    <w:p w14:paraId="5F8AA323" w14:textId="77777777" w:rsidR="00313EA3" w:rsidRDefault="00313EA3" w:rsidP="00BF7563">
      <w:pPr>
        <w:pStyle w:val="BodyText"/>
      </w:pPr>
      <w:r>
        <w:t xml:space="preserve">The Transport Oriented Development Program will establish inclusionary zoning for affordable housing: </w:t>
      </w:r>
    </w:p>
    <w:p w14:paraId="64A14E81" w14:textId="77777777" w:rsidR="00313EA3" w:rsidRDefault="00313EA3" w:rsidP="00BF7563">
      <w:pPr>
        <w:pStyle w:val="BodyText"/>
        <w:numPr>
          <w:ilvl w:val="0"/>
          <w:numId w:val="25"/>
        </w:numPr>
      </w:pPr>
      <w:r>
        <w:t xml:space="preserve">Affordable housing held in perpetuity will make up to 15% of homes in the 8 TOD accelerated precincts. </w:t>
      </w:r>
    </w:p>
    <w:p w14:paraId="1B4D8E12" w14:textId="6A312DB5" w:rsidR="00313EA3" w:rsidRDefault="00313EA3" w:rsidP="00BF7563">
      <w:pPr>
        <w:pStyle w:val="BodyText"/>
        <w:numPr>
          <w:ilvl w:val="0"/>
          <w:numId w:val="25"/>
        </w:numPr>
      </w:pPr>
      <w:r>
        <w:t xml:space="preserve">The new Transport Oriented Development Program State Environmental Planning Policy will mandate a minimum 2% affordable housing contribution on all new developments in 31 well-located transport hubs. </w:t>
      </w:r>
      <w:r w:rsidDel="00256835">
        <w:t xml:space="preserve">The affordable housing contribution will gradually increase over time to </w:t>
      </w:r>
      <w:r w:rsidR="00B011F3">
        <w:t>a published schedule</w:t>
      </w:r>
      <w:r w:rsidDel="00256835">
        <w:t xml:space="preserve">. </w:t>
      </w:r>
    </w:p>
    <w:p w14:paraId="5F585689" w14:textId="77777777" w:rsidR="00313EA3" w:rsidRDefault="00313EA3" w:rsidP="00BF7563">
      <w:pPr>
        <w:pStyle w:val="BodyText"/>
      </w:pPr>
      <w:r>
        <w:t xml:space="preserve">The State Environmental Planning Policy (Housing) 2021 (Housing SEPP) facilitates development of affordable and diverse housing. The Housing SEPP has planning mechanisms to facilitate delivery of affordable housing.  </w:t>
      </w:r>
    </w:p>
    <w:p w14:paraId="5AFC9C76" w14:textId="285516F7" w:rsidR="00313EA3" w:rsidRDefault="00313EA3" w:rsidP="00BF7563">
      <w:pPr>
        <w:pStyle w:val="BodyText"/>
        <w:numPr>
          <w:ilvl w:val="0"/>
          <w:numId w:val="26"/>
        </w:numPr>
      </w:pPr>
      <w:r>
        <w:t xml:space="preserve">Affordable Housing Contribution Schemes which enable the imposition of developer contributions for affordable housing where the council has adopted a scheme. The NSW Government encourages and supports councils to prepare such schemes </w:t>
      </w:r>
      <w:proofErr w:type="gramStart"/>
      <w:r>
        <w:t>in order</w:t>
      </w:r>
      <w:r w:rsidR="0082331D">
        <w:t xml:space="preserve"> </w:t>
      </w:r>
      <w:r>
        <w:t>to</w:t>
      </w:r>
      <w:proofErr w:type="gramEnd"/>
      <w:r>
        <w:t xml:space="preserve"> capture value associated with development uplift. </w:t>
      </w:r>
    </w:p>
    <w:p w14:paraId="74EE5571" w14:textId="3BB0AC62" w:rsidR="000F50A2" w:rsidRDefault="00313EA3" w:rsidP="000F50A2">
      <w:pPr>
        <w:pStyle w:val="BodyText"/>
        <w:numPr>
          <w:ilvl w:val="0"/>
          <w:numId w:val="26"/>
        </w:numPr>
      </w:pPr>
      <w:r>
        <w:t>Infill Affordable Housing Incentives (height and floor space bonuses) which are available to developments that provide a minimum amount of affordable housing for 15 years.</w:t>
      </w:r>
    </w:p>
    <w:p w14:paraId="345AFF74" w14:textId="77777777" w:rsidR="00026EE7" w:rsidRDefault="00026EE7">
      <w:r>
        <w:rPr>
          <w:bCs/>
        </w:rPr>
        <w:br w:type="page"/>
      </w:r>
    </w:p>
    <w:p w14:paraId="4D68AD2A" w14:textId="11CE59E2" w:rsidR="00126078" w:rsidRDefault="00126078" w:rsidP="003165B0">
      <w:pPr>
        <w:pStyle w:val="Heading1"/>
        <w:spacing w:after="240"/>
      </w:pPr>
      <w:bookmarkStart w:id="21" w:name="_Toc162522595"/>
      <w:r>
        <w:t>Measure 10</w:t>
      </w:r>
      <w:bookmarkEnd w:id="21"/>
      <w:r>
        <w:t xml:space="preserve"> </w:t>
      </w:r>
    </w:p>
    <w:p w14:paraId="4BDB0D82" w14:textId="2DA220A6" w:rsidR="000C6F45" w:rsidRDefault="000C6F45" w:rsidP="003165B0">
      <w:pPr>
        <w:pStyle w:val="CalloutHeading2"/>
        <w:spacing w:after="240"/>
      </w:pPr>
      <w:r w:rsidRPr="00306516">
        <w:t>All levels of government will ensure the efficient use of government land, including the identification of surplus land suitable for housing and the delivery of best practice projects to support housing supply, diversity and affordability.</w:t>
      </w:r>
    </w:p>
    <w:p w14:paraId="78F31653" w14:textId="325BF0E3" w:rsidR="003165B0" w:rsidRPr="00652F3D" w:rsidRDefault="003165B0" w:rsidP="00652F3D">
      <w:pPr>
        <w:pStyle w:val="Heading3"/>
      </w:pPr>
      <w:bookmarkStart w:id="22" w:name="_Toc162522596"/>
      <w:r w:rsidRPr="00652F3D">
        <w:t>Well located government land suitable for housing</w:t>
      </w:r>
      <w:bookmarkEnd w:id="22"/>
    </w:p>
    <w:p w14:paraId="10CAB98D" w14:textId="4EF6C0CE" w:rsidR="003165B0" w:rsidRDefault="006416FC" w:rsidP="003165B0">
      <w:bookmarkStart w:id="23" w:name="_Hlk173950455"/>
      <w:r w:rsidRPr="3D6F59F8">
        <w:t xml:space="preserve">The NSW Government will deliver up to </w:t>
      </w:r>
      <w:r w:rsidR="00BF1D1D" w:rsidRPr="00BF1D1D">
        <w:t>30,000 well-located homes, close to infrastructure and transport, with amenities and work opportunities, with surplus land to be made available for housing over the next four years.</w:t>
      </w:r>
    </w:p>
    <w:bookmarkEnd w:id="23"/>
    <w:p w14:paraId="4C3D19A8" w14:textId="382CD84E" w:rsidR="003165B0" w:rsidRDefault="00235EEA" w:rsidP="003165B0">
      <w:r>
        <w:t>An example of a b</w:t>
      </w:r>
      <w:r w:rsidR="003165B0">
        <w:t xml:space="preserve">est practice project to activate and redevelop government land for housing in NSW </w:t>
      </w:r>
      <w:r>
        <w:t xml:space="preserve">is </w:t>
      </w:r>
      <w:r w:rsidR="003165B0">
        <w:t xml:space="preserve">described below. </w:t>
      </w:r>
    </w:p>
    <w:p w14:paraId="5F0E2E27" w14:textId="3C03D1E8" w:rsidR="003165B0" w:rsidRPr="00652F3D" w:rsidRDefault="003165B0" w:rsidP="00652F3D">
      <w:pPr>
        <w:pStyle w:val="Heading3"/>
      </w:pPr>
      <w:bookmarkStart w:id="24" w:name="_Toc162522597"/>
      <w:r w:rsidRPr="00652F3D">
        <w:t>Best practice example of developing government land</w:t>
      </w:r>
      <w:bookmarkEnd w:id="24"/>
    </w:p>
    <w:p w14:paraId="6AD74AD5" w14:textId="77777777" w:rsidR="00A41C3A" w:rsidRPr="00D74C4E" w:rsidRDefault="00A41C3A" w:rsidP="00D74C4E">
      <w:pPr>
        <w:pStyle w:val="CalloutHeading2"/>
        <w:rPr>
          <w:color w:val="auto"/>
        </w:rPr>
      </w:pPr>
      <w:bookmarkStart w:id="25" w:name="_Toc160803709"/>
      <w:r w:rsidRPr="00D74C4E">
        <w:rPr>
          <w:color w:val="auto"/>
        </w:rPr>
        <w:t xml:space="preserve">Case Study 1 - Former Bulli Hospital  </w:t>
      </w:r>
    </w:p>
    <w:bookmarkEnd w:id="25"/>
    <w:p w14:paraId="605EB3F4" w14:textId="77777777" w:rsidR="00A41C3A" w:rsidRDefault="00A41C3A" w:rsidP="00D74C4E">
      <w:pPr>
        <w:pStyle w:val="CalloutHeading2"/>
        <w:rPr>
          <w:b/>
          <w:bCs/>
          <w:sz w:val="20"/>
        </w:rPr>
      </w:pPr>
      <w:proofErr w:type="spellStart"/>
      <w:r w:rsidRPr="00402518">
        <w:rPr>
          <w:bCs/>
          <w:sz w:val="20"/>
        </w:rPr>
        <w:t>Landcom</w:t>
      </w:r>
      <w:proofErr w:type="spellEnd"/>
      <w:r w:rsidRPr="00402518">
        <w:rPr>
          <w:bCs/>
          <w:sz w:val="20"/>
        </w:rPr>
        <w:t xml:space="preserve">, the NSW Government's development agency, acquired the former hospital site from NSW Health in May 2022. The buildings were not heritage listed and many had fallen into disrepair and vandalised. The buildings and grounds were also contaminated by asbestos, lead paint and other chemicals commonly used in medical facilities. </w:t>
      </w:r>
    </w:p>
    <w:p w14:paraId="2C2A8B1B" w14:textId="601ECC11" w:rsidR="00A41C3A" w:rsidRPr="00402518" w:rsidRDefault="00A41C3A" w:rsidP="00D74C4E">
      <w:pPr>
        <w:pStyle w:val="CalloutHeading2"/>
        <w:rPr>
          <w:b/>
          <w:bCs/>
          <w:sz w:val="20"/>
        </w:rPr>
      </w:pPr>
      <w:r w:rsidRPr="00402518">
        <w:rPr>
          <w:bCs/>
          <w:sz w:val="20"/>
        </w:rPr>
        <w:t xml:space="preserve">In November 2023, </w:t>
      </w:r>
      <w:proofErr w:type="spellStart"/>
      <w:r w:rsidRPr="00402518">
        <w:rPr>
          <w:bCs/>
          <w:sz w:val="20"/>
        </w:rPr>
        <w:t>Landcom</w:t>
      </w:r>
      <w:proofErr w:type="spellEnd"/>
      <w:r w:rsidRPr="00402518">
        <w:rPr>
          <w:bCs/>
          <w:sz w:val="20"/>
        </w:rPr>
        <w:t xml:space="preserve"> lodged a development application with Wollongong City Council that will allow for 50 new homes, with civil works expected to commence in early </w:t>
      </w:r>
      <w:r w:rsidR="002F73B5">
        <w:rPr>
          <w:bCs/>
          <w:sz w:val="20"/>
        </w:rPr>
        <w:t>2025</w:t>
      </w:r>
      <w:r w:rsidRPr="00402518">
        <w:rPr>
          <w:bCs/>
          <w:sz w:val="20"/>
        </w:rPr>
        <w:t xml:space="preserve">. </w:t>
      </w:r>
    </w:p>
    <w:p w14:paraId="7727611F" w14:textId="77777777" w:rsidR="00A41C3A" w:rsidRPr="00402518" w:rsidRDefault="00A41C3A" w:rsidP="00D74C4E">
      <w:pPr>
        <w:pStyle w:val="CalloutHeading2"/>
        <w:rPr>
          <w:b/>
          <w:bCs/>
          <w:sz w:val="20"/>
        </w:rPr>
      </w:pPr>
      <w:r w:rsidRPr="00402518">
        <w:rPr>
          <w:bCs/>
          <w:sz w:val="20"/>
        </w:rPr>
        <w:t xml:space="preserve">The project is an example of diverse and well-located housing growth, in a region with a growing and changing population. Bulli is facing increasing demand for smaller and more affordable units for one and two-person households. The Bulli project will suit a variety of households and incomes, with 10% of homes to be set aside as Affordable Rental Housing for low- and moderate-income workers. The hospital site is located close to Bulli railway station and has easy access to local schools, shops and community facilities.  </w:t>
      </w:r>
    </w:p>
    <w:p w14:paraId="161A8704" w14:textId="08445C63" w:rsidR="00D67009" w:rsidRPr="00AB6E25" w:rsidRDefault="00A41C3A" w:rsidP="00AB6E25">
      <w:pPr>
        <w:pStyle w:val="CalloutHeading2"/>
        <w:rPr>
          <w:bCs/>
          <w:sz w:val="20"/>
        </w:rPr>
      </w:pPr>
      <w:r w:rsidRPr="00402518">
        <w:rPr>
          <w:bCs/>
          <w:sz w:val="20"/>
        </w:rPr>
        <w:t>The project will also reflect best practice principles for energy, water and waste management, celebrate and respond to the site’s landscape and topography, and recognise its history through landscape and urban design.</w:t>
      </w:r>
    </w:p>
    <w:p w14:paraId="3261D062" w14:textId="3322C1B2" w:rsidR="00D67009" w:rsidRPr="00D67009" w:rsidRDefault="00D67009" w:rsidP="00CB0F02">
      <w:pPr>
        <w:tabs>
          <w:tab w:val="left" w:pos="6080"/>
        </w:tabs>
      </w:pPr>
      <w:r>
        <w:tab/>
      </w:r>
    </w:p>
    <w:sectPr w:rsidR="00D67009" w:rsidRPr="00D67009" w:rsidSect="00705475">
      <w:headerReference w:type="even" r:id="rId62"/>
      <w:headerReference w:type="default" r:id="rId63"/>
      <w:footerReference w:type="even" r:id="rId64"/>
      <w:footerReference w:type="default" r:id="rId65"/>
      <w:headerReference w:type="first" r:id="rId66"/>
      <w:footerReference w:type="first" r:id="rId67"/>
      <w:pgSz w:w="11900" w:h="16840" w:code="9"/>
      <w:pgMar w:top="1134" w:right="1134" w:bottom="1134" w:left="1134"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18392" w14:textId="77777777" w:rsidR="00795D4F" w:rsidRDefault="00795D4F" w:rsidP="00D41211">
      <w:r>
        <w:separator/>
      </w:r>
    </w:p>
    <w:p w14:paraId="27B163B6" w14:textId="77777777" w:rsidR="00795D4F" w:rsidRDefault="00795D4F"/>
    <w:p w14:paraId="5B4B17A1" w14:textId="77777777" w:rsidR="00795D4F" w:rsidRDefault="00795D4F"/>
    <w:p w14:paraId="6AD66582" w14:textId="77777777" w:rsidR="00795D4F" w:rsidRDefault="00795D4F"/>
  </w:endnote>
  <w:endnote w:type="continuationSeparator" w:id="0">
    <w:p w14:paraId="4E31E85C" w14:textId="77777777" w:rsidR="00795D4F" w:rsidRDefault="00795D4F" w:rsidP="00D41211">
      <w:r>
        <w:continuationSeparator/>
      </w:r>
    </w:p>
    <w:p w14:paraId="6BABF1C7" w14:textId="77777777" w:rsidR="00795D4F" w:rsidRDefault="00795D4F"/>
    <w:p w14:paraId="3E674FC3" w14:textId="77777777" w:rsidR="00795D4F" w:rsidRDefault="00795D4F"/>
    <w:p w14:paraId="1C6BB80B" w14:textId="77777777" w:rsidR="00795D4F" w:rsidRDefault="00795D4F"/>
  </w:endnote>
  <w:endnote w:type="continuationNotice" w:id="1">
    <w:p w14:paraId="3426F064" w14:textId="77777777" w:rsidR="00795D4F" w:rsidRDefault="00795D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ublic Sans Light">
    <w:altName w:val="Calibri"/>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w:altName w:val="Calibri"/>
    <w:panose1 w:val="00000000000000000000"/>
    <w:charset w:val="00"/>
    <w:family w:val="modern"/>
    <w:notTrueType/>
    <w:pitch w:val="variable"/>
    <w:sig w:usb0="A00000FF" w:usb1="4000205B" w:usb2="00000000" w:usb3="00000000" w:csb0="00000193" w:csb1="00000000"/>
  </w:font>
  <w:font w:name="ArialMT">
    <w:altName w:val="Arial"/>
    <w:charset w:val="4D"/>
    <w:family w:val="swiss"/>
    <w:pitch w:val="default"/>
    <w:sig w:usb0="00000003" w:usb1="00000000" w:usb2="00000000" w:usb3="00000000" w:csb0="00000001" w:csb1="00000000"/>
  </w:font>
  <w:font w:name="Public Sans Medium">
    <w:altName w:val="Calibri"/>
    <w:panose1 w:val="00000000000000000000"/>
    <w:charset w:val="00"/>
    <w:family w:val="modern"/>
    <w:notTrueType/>
    <w:pitch w:val="variable"/>
    <w:sig w:usb0="A00000FF" w:usb1="4000205B" w:usb2="00000000" w:usb3="00000000" w:csb0="00000193" w:csb1="00000000"/>
  </w:font>
  <w:font w:name="Public Sans SemiBold">
    <w:altName w:val="Calibri"/>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5A44" w14:textId="4BC07CDC" w:rsidR="00D64507" w:rsidRDefault="00D64507">
    <w:pPr>
      <w:pStyle w:val="Footer"/>
    </w:pPr>
    <w:r>
      <w:rPr>
        <w:noProof/>
      </w:rPr>
      <mc:AlternateContent>
        <mc:Choice Requires="wps">
          <w:drawing>
            <wp:anchor distT="0" distB="0" distL="0" distR="0" simplePos="0" relativeHeight="251709440" behindDoc="0" locked="0" layoutInCell="1" allowOverlap="1" wp14:anchorId="3282E6D4" wp14:editId="5FF50A95">
              <wp:simplePos x="635" y="635"/>
              <wp:positionH relativeFrom="page">
                <wp:align>center</wp:align>
              </wp:positionH>
              <wp:positionV relativeFrom="page">
                <wp:align>bottom</wp:align>
              </wp:positionV>
              <wp:extent cx="459740" cy="452755"/>
              <wp:effectExtent l="0" t="0" r="16510" b="0"/>
              <wp:wrapNone/>
              <wp:docPr id="70991537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0AC6D0F2" w14:textId="084A9BA0"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82E6D4" id="_x0000_t202" coordsize="21600,21600" o:spt="202" path="m,l,21600r21600,l21600,xe">
              <v:stroke joinstyle="miter"/>
              <v:path gradientshapeok="t" o:connecttype="rect"/>
            </v:shapetype>
            <v:shape id="Text Box 14" o:spid="_x0000_s1028" type="#_x0000_t202" alt="OFFICIAL" style="position:absolute;margin-left:0;margin-top:0;width:36.2pt;height:35.6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NYDgIAABwEAAAOAAAAZHJzL2Uyb0RvYy54bWysU8Fu2zAMvQ/YPwi6L3aCZF2N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" filled="f" stroked="f">
              <v:textbox style="mso-fit-shape-to-text:t" inset="0,0,0,15pt">
                <w:txbxContent>
                  <w:p w14:paraId="0AC6D0F2" w14:textId="084A9BA0"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7017" w14:textId="621130C9" w:rsidR="00D64507" w:rsidRDefault="00D64507">
    <w:pPr>
      <w:pStyle w:val="Footer"/>
    </w:pPr>
    <w:r>
      <w:rPr>
        <w:noProof/>
      </w:rPr>
      <mc:AlternateContent>
        <mc:Choice Requires="wps">
          <w:drawing>
            <wp:anchor distT="0" distB="0" distL="0" distR="0" simplePos="0" relativeHeight="251718656" behindDoc="0" locked="0" layoutInCell="1" allowOverlap="1" wp14:anchorId="488977D8" wp14:editId="014FA473">
              <wp:simplePos x="635" y="635"/>
              <wp:positionH relativeFrom="page">
                <wp:align>center</wp:align>
              </wp:positionH>
              <wp:positionV relativeFrom="page">
                <wp:align>bottom</wp:align>
              </wp:positionV>
              <wp:extent cx="459740" cy="452755"/>
              <wp:effectExtent l="0" t="0" r="16510" b="0"/>
              <wp:wrapNone/>
              <wp:docPr id="645250535"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6BBAD073" w14:textId="78DBB01A"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8977D8" id="_x0000_t202" coordsize="21600,21600" o:spt="202" path="m,l,21600r21600,l21600,xe">
              <v:stroke joinstyle="miter"/>
              <v:path gradientshapeok="t" o:connecttype="rect"/>
            </v:shapetype>
            <v:shape id="Text Box 23" o:spid="_x0000_s1046" type="#_x0000_t202" alt="OFFICIAL" style="position:absolute;margin-left:0;margin-top:0;width:36.2pt;height:35.65pt;z-index:2517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" filled="f" stroked="f">
              <v:textbox style="mso-fit-shape-to-text:t" inset="0,0,0,15pt">
                <w:txbxContent>
                  <w:p w14:paraId="6BBAD073" w14:textId="78DBB01A"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A5C6" w14:textId="2B2AA0E5" w:rsidR="00D64507" w:rsidRDefault="00D64507">
    <w:pPr>
      <w:pStyle w:val="Footer"/>
    </w:pPr>
    <w:r>
      <w:rPr>
        <w:noProof/>
      </w:rPr>
      <mc:AlternateContent>
        <mc:Choice Requires="wps">
          <w:drawing>
            <wp:anchor distT="0" distB="0" distL="0" distR="0" simplePos="0" relativeHeight="251719680" behindDoc="0" locked="0" layoutInCell="1" allowOverlap="1" wp14:anchorId="1D6B4484" wp14:editId="382A6996">
              <wp:simplePos x="635" y="635"/>
              <wp:positionH relativeFrom="page">
                <wp:align>center</wp:align>
              </wp:positionH>
              <wp:positionV relativeFrom="page">
                <wp:align>bottom</wp:align>
              </wp:positionV>
              <wp:extent cx="459740" cy="452755"/>
              <wp:effectExtent l="0" t="0" r="16510" b="0"/>
              <wp:wrapNone/>
              <wp:docPr id="521333051"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548CB11D" w14:textId="34739721"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B4484" id="_x0000_t202" coordsize="21600,21600" o:spt="202" path="m,l,21600r21600,l21600,xe">
              <v:stroke joinstyle="miter"/>
              <v:path gradientshapeok="t" o:connecttype="rect"/>
            </v:shapetype>
            <v:shape id="Text Box 24" o:spid="_x0000_s1047" type="#_x0000_t202" alt="OFFICIAL" style="position:absolute;margin-left:0;margin-top:0;width:36.2pt;height:35.6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M+DgIAAB0EAAAOAAAAZHJzL2Uyb0RvYy54bWysU8Fu2zAMvQ/YPwi6L3aCZF2N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" filled="f" stroked="f">
              <v:textbox style="mso-fit-shape-to-text:t" inset="0,0,0,15pt">
                <w:txbxContent>
                  <w:p w14:paraId="548CB11D" w14:textId="34739721"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49D4" w14:textId="43A982B1" w:rsidR="00D64507" w:rsidRDefault="00D64507">
    <w:pPr>
      <w:pStyle w:val="Footer"/>
    </w:pPr>
    <w:r>
      <w:rPr>
        <w:noProof/>
      </w:rPr>
      <mc:AlternateContent>
        <mc:Choice Requires="wps">
          <w:drawing>
            <wp:anchor distT="0" distB="0" distL="0" distR="0" simplePos="0" relativeHeight="251717632" behindDoc="0" locked="0" layoutInCell="1" allowOverlap="1" wp14:anchorId="5907AAEC" wp14:editId="29D1AD4D">
              <wp:simplePos x="635" y="635"/>
              <wp:positionH relativeFrom="page">
                <wp:align>center</wp:align>
              </wp:positionH>
              <wp:positionV relativeFrom="page">
                <wp:align>bottom</wp:align>
              </wp:positionV>
              <wp:extent cx="459740" cy="452755"/>
              <wp:effectExtent l="0" t="0" r="16510" b="0"/>
              <wp:wrapNone/>
              <wp:docPr id="5035780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22318BBA" w14:textId="61CA14BE"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07AAEC" id="_x0000_t202" coordsize="21600,21600" o:spt="202" path="m,l,21600r21600,l21600,xe">
              <v:stroke joinstyle="miter"/>
              <v:path gradientshapeok="t" o:connecttype="rect"/>
            </v:shapetype>
            <v:shape id="Text Box 22" o:spid="_x0000_s1049" type="#_x0000_t202" alt="OFFICIAL" style="position:absolute;margin-left:0;margin-top:0;width:36.2pt;height:35.65pt;z-index:2517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" filled="f" stroked="f">
              <v:textbox style="mso-fit-shape-to-text:t" inset="0,0,0,15pt">
                <w:txbxContent>
                  <w:p w14:paraId="22318BBA" w14:textId="61CA14BE"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5"/>
      <w:gridCol w:w="3395"/>
      <w:gridCol w:w="3395"/>
    </w:tblGrid>
    <w:tr w:rsidR="1D807697" w14:paraId="6B0F0F71" w14:textId="77777777" w:rsidTr="1D807697">
      <w:trPr>
        <w:trHeight w:val="300"/>
      </w:trPr>
      <w:tc>
        <w:tcPr>
          <w:tcW w:w="3395" w:type="dxa"/>
        </w:tcPr>
        <w:p w14:paraId="104ED728" w14:textId="6A30F7EE" w:rsidR="1D807697" w:rsidRDefault="00D64507" w:rsidP="1D807697">
          <w:pPr>
            <w:pStyle w:val="Header"/>
            <w:ind w:left="-115"/>
          </w:pPr>
          <w:r>
            <mc:AlternateContent>
              <mc:Choice Requires="wps">
                <w:drawing>
                  <wp:anchor distT="0" distB="0" distL="0" distR="0" simplePos="0" relativeHeight="251710464" behindDoc="0" locked="0" layoutInCell="1" allowOverlap="1" wp14:anchorId="73A4503B" wp14:editId="799F8397">
                    <wp:simplePos x="635" y="635"/>
                    <wp:positionH relativeFrom="page">
                      <wp:align>center</wp:align>
                    </wp:positionH>
                    <wp:positionV relativeFrom="page">
                      <wp:align>bottom</wp:align>
                    </wp:positionV>
                    <wp:extent cx="459740" cy="452755"/>
                    <wp:effectExtent l="0" t="0" r="16510" b="0"/>
                    <wp:wrapNone/>
                    <wp:docPr id="127092708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1BAC6DEF" w14:textId="4102247E"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4503B" id="_x0000_t202" coordsize="21600,21600" o:spt="202" path="m,l,21600r21600,l21600,xe">
                    <v:stroke joinstyle="miter"/>
                    <v:path gradientshapeok="t" o:connecttype="rect"/>
                  </v:shapetype>
                  <v:shape id="Text Box 15" o:spid="_x0000_s1029" type="#_x0000_t202" alt="OFFICIAL" style="position:absolute;left:0;text-align:left;margin-left:0;margin-top:0;width:36.2pt;height:35.65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" filled="f" stroked="f">
                    <v:textbox style="mso-fit-shape-to-text:t" inset="0,0,0,15pt">
                      <w:txbxContent>
                        <w:p w14:paraId="1BAC6DEF" w14:textId="4102247E"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tc>
      <w:tc>
        <w:tcPr>
          <w:tcW w:w="3395" w:type="dxa"/>
        </w:tcPr>
        <w:p w14:paraId="1F8564A4" w14:textId="20F1F4B1" w:rsidR="1D807697" w:rsidRDefault="1D807697" w:rsidP="1D807697">
          <w:pPr>
            <w:pStyle w:val="Header"/>
            <w:jc w:val="center"/>
          </w:pPr>
        </w:p>
      </w:tc>
      <w:tc>
        <w:tcPr>
          <w:tcW w:w="3395" w:type="dxa"/>
        </w:tcPr>
        <w:p w14:paraId="2801B177" w14:textId="51C0FE94" w:rsidR="1D807697" w:rsidRDefault="1D807697" w:rsidP="1D807697">
          <w:pPr>
            <w:pStyle w:val="Header"/>
            <w:ind w:right="-115"/>
            <w:jc w:val="right"/>
          </w:pPr>
        </w:p>
      </w:tc>
    </w:tr>
  </w:tbl>
  <w:p w14:paraId="73FD04D4" w14:textId="0002A2FF" w:rsidR="00BE6C12" w:rsidRDefault="00BE6C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F566" w14:textId="15D9D219" w:rsidR="00D64507" w:rsidRDefault="00D64507">
    <w:pPr>
      <w:pStyle w:val="Footer"/>
    </w:pPr>
    <w:r>
      <w:rPr>
        <w:noProof/>
      </w:rPr>
      <mc:AlternateContent>
        <mc:Choice Requires="wps">
          <w:drawing>
            <wp:anchor distT="0" distB="0" distL="0" distR="0" simplePos="0" relativeHeight="251708416" behindDoc="0" locked="0" layoutInCell="1" allowOverlap="1" wp14:anchorId="605DC9E5" wp14:editId="4CAD4195">
              <wp:simplePos x="635" y="635"/>
              <wp:positionH relativeFrom="page">
                <wp:align>center</wp:align>
              </wp:positionH>
              <wp:positionV relativeFrom="page">
                <wp:align>bottom</wp:align>
              </wp:positionV>
              <wp:extent cx="459740" cy="452755"/>
              <wp:effectExtent l="0" t="0" r="16510" b="0"/>
              <wp:wrapNone/>
              <wp:docPr id="68783791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5C3E667C" w14:textId="60EE8820"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5DC9E5" id="_x0000_t202" coordsize="21600,21600" o:spt="202" path="m,l,21600r21600,l21600,xe">
              <v:stroke joinstyle="miter"/>
              <v:path gradientshapeok="t" o:connecttype="rect"/>
            </v:shapetype>
            <v:shape id="Text Box 13" o:spid="_x0000_s1031" type="#_x0000_t202" alt="OFFICIAL" style="position:absolute;margin-left:0;margin-top:0;width:36.2pt;height:35.6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" filled="f" stroked="f">
              <v:textbox style="mso-fit-shape-to-text:t" inset="0,0,0,15pt">
                <w:txbxContent>
                  <w:p w14:paraId="5C3E667C" w14:textId="60EE8820"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A150" w14:textId="43147667" w:rsidR="00D64507" w:rsidRDefault="00D64507">
    <w:pPr>
      <w:pStyle w:val="Footer"/>
    </w:pPr>
    <w:r>
      <w:rPr>
        <w:noProof/>
      </w:rPr>
      <mc:AlternateContent>
        <mc:Choice Requires="wps">
          <w:drawing>
            <wp:anchor distT="0" distB="0" distL="0" distR="0" simplePos="0" relativeHeight="251712512" behindDoc="0" locked="0" layoutInCell="1" allowOverlap="1" wp14:anchorId="030F3725" wp14:editId="018D472D">
              <wp:simplePos x="635" y="635"/>
              <wp:positionH relativeFrom="page">
                <wp:align>center</wp:align>
              </wp:positionH>
              <wp:positionV relativeFrom="page">
                <wp:align>bottom</wp:align>
              </wp:positionV>
              <wp:extent cx="459740" cy="452755"/>
              <wp:effectExtent l="0" t="0" r="16510" b="0"/>
              <wp:wrapNone/>
              <wp:docPr id="1496751348"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6ABD11E0" w14:textId="7263BC1A"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0F3725" id="_x0000_t202" coordsize="21600,21600" o:spt="202" path="m,l,21600r21600,l21600,xe">
              <v:stroke joinstyle="miter"/>
              <v:path gradientshapeok="t" o:connecttype="rect"/>
            </v:shapetype>
            <v:shape id="Text Box 17" o:spid="_x0000_s1034" type="#_x0000_t202" alt="OFFICIAL" style="position:absolute;margin-left:0;margin-top:0;width:36.2pt;height:35.6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" filled="f" stroked="f">
              <v:textbox style="mso-fit-shape-to-text:t" inset="0,0,0,15pt">
                <w:txbxContent>
                  <w:p w14:paraId="6ABD11E0" w14:textId="7263BC1A"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C59D" w14:textId="5487E33C" w:rsidR="00666E17" w:rsidRDefault="00D64507">
    <w:r>
      <w:rPr>
        <w:noProof/>
      </w:rPr>
      <mc:AlternateContent>
        <mc:Choice Requires="wps">
          <w:drawing>
            <wp:anchor distT="0" distB="0" distL="0" distR="0" simplePos="0" relativeHeight="251713536" behindDoc="0" locked="0" layoutInCell="1" allowOverlap="1" wp14:anchorId="7C255FD4" wp14:editId="11D991A4">
              <wp:simplePos x="635" y="635"/>
              <wp:positionH relativeFrom="page">
                <wp:align>center</wp:align>
              </wp:positionH>
              <wp:positionV relativeFrom="page">
                <wp:align>bottom</wp:align>
              </wp:positionV>
              <wp:extent cx="459740" cy="452755"/>
              <wp:effectExtent l="0" t="0" r="16510" b="0"/>
              <wp:wrapNone/>
              <wp:docPr id="710776266"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48C2F801" w14:textId="7AB125D6"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255FD4" id="_x0000_t202" coordsize="21600,21600" o:spt="202" path="m,l,21600r21600,l21600,xe">
              <v:stroke joinstyle="miter"/>
              <v:path gradientshapeok="t" o:connecttype="rect"/>
            </v:shapetype>
            <v:shape id="Text Box 18" o:spid="_x0000_s1035" type="#_x0000_t202" alt="OFFICIAL" style="position:absolute;margin-left:0;margin-top:0;width:36.2pt;height:35.65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" filled="f" stroked="f">
              <v:textbox style="mso-fit-shape-to-text:t" inset="0,0,0,15pt">
                <w:txbxContent>
                  <w:p w14:paraId="48C2F801" w14:textId="7AB125D6"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5671" w14:textId="2C4DA6E1" w:rsidR="00D64507" w:rsidRDefault="00D64507">
    <w:pPr>
      <w:pStyle w:val="Footer"/>
    </w:pPr>
    <w:r>
      <w:rPr>
        <w:noProof/>
      </w:rPr>
      <mc:AlternateContent>
        <mc:Choice Requires="wps">
          <w:drawing>
            <wp:anchor distT="0" distB="0" distL="0" distR="0" simplePos="0" relativeHeight="251711488" behindDoc="0" locked="0" layoutInCell="1" allowOverlap="1" wp14:anchorId="3A07DED4" wp14:editId="49591272">
              <wp:simplePos x="635" y="635"/>
              <wp:positionH relativeFrom="page">
                <wp:align>center</wp:align>
              </wp:positionH>
              <wp:positionV relativeFrom="page">
                <wp:align>bottom</wp:align>
              </wp:positionV>
              <wp:extent cx="459740" cy="452755"/>
              <wp:effectExtent l="0" t="0" r="16510" b="0"/>
              <wp:wrapNone/>
              <wp:docPr id="1423946253"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543825BE" w14:textId="090CDB05"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07DED4" id="_x0000_t202" coordsize="21600,21600" o:spt="202" path="m,l,21600r21600,l21600,xe">
              <v:stroke joinstyle="miter"/>
              <v:path gradientshapeok="t" o:connecttype="rect"/>
            </v:shapetype>
            <v:shape id="Text Box 16" o:spid="_x0000_s1037" type="#_x0000_t202" alt="OFFICIAL" style="position:absolute;margin-left:0;margin-top:0;width:36.2pt;height:35.6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rDgIAAB0EAAAOAAAAZHJzL2Uyb0RvYy54bWysU8Fu2zAMvQ/YPwi6L3aCZF2N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" filled="f" stroked="f">
              <v:textbox style="mso-fit-shape-to-text:t" inset="0,0,0,15pt">
                <w:txbxContent>
                  <w:p w14:paraId="543825BE" w14:textId="090CDB05"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DA9B" w14:textId="14BC955D" w:rsidR="00D64507" w:rsidRDefault="00D64507">
    <w:pPr>
      <w:pStyle w:val="Footer"/>
    </w:pPr>
    <w:r>
      <w:rPr>
        <w:noProof/>
      </w:rPr>
      <mc:AlternateContent>
        <mc:Choice Requires="wps">
          <w:drawing>
            <wp:anchor distT="0" distB="0" distL="0" distR="0" simplePos="0" relativeHeight="251715584" behindDoc="0" locked="0" layoutInCell="1" allowOverlap="1" wp14:anchorId="21BABABF" wp14:editId="7EEB8B33">
              <wp:simplePos x="635" y="635"/>
              <wp:positionH relativeFrom="page">
                <wp:align>center</wp:align>
              </wp:positionH>
              <wp:positionV relativeFrom="page">
                <wp:align>bottom</wp:align>
              </wp:positionV>
              <wp:extent cx="459740" cy="452755"/>
              <wp:effectExtent l="0" t="0" r="16510" b="0"/>
              <wp:wrapNone/>
              <wp:docPr id="20419882"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2C849F29" w14:textId="76DAA688"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BABABF" id="_x0000_t202" coordsize="21600,21600" o:spt="202" path="m,l,21600r21600,l21600,xe">
              <v:stroke joinstyle="miter"/>
              <v:path gradientshapeok="t" o:connecttype="rect"/>
            </v:shapetype>
            <v:shape id="Text Box 20" o:spid="_x0000_s1040" type="#_x0000_t202" alt="OFFICIAL" style="position:absolute;margin-left:0;margin-top:0;width:36.2pt;height:35.65pt;z-index:2517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igDgIAAB0EAAAOAAAAZHJzL2Uyb0RvYy54bWysU8Fu2zAMvQ/YPwi6L3aCZF2N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" filled="f" stroked="f">
              <v:textbox style="mso-fit-shape-to-text:t" inset="0,0,0,15pt">
                <w:txbxContent>
                  <w:p w14:paraId="2C849F29" w14:textId="76DAA688"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7BD6" w14:textId="43505187" w:rsidR="006F420F" w:rsidRDefault="00D64507" w:rsidP="005A3926">
    <w:pPr>
      <w:pStyle w:val="Footer"/>
    </w:pPr>
    <w:r>
      <w:rPr>
        <w:noProof/>
      </w:rPr>
      <mc:AlternateContent>
        <mc:Choice Requires="wps">
          <w:drawing>
            <wp:anchor distT="0" distB="0" distL="0" distR="0" simplePos="0" relativeHeight="251716608" behindDoc="0" locked="0" layoutInCell="1" allowOverlap="1" wp14:anchorId="7B546FF9" wp14:editId="2C0B77FA">
              <wp:simplePos x="635" y="635"/>
              <wp:positionH relativeFrom="page">
                <wp:align>center</wp:align>
              </wp:positionH>
              <wp:positionV relativeFrom="page">
                <wp:align>bottom</wp:align>
              </wp:positionV>
              <wp:extent cx="459740" cy="452755"/>
              <wp:effectExtent l="0" t="0" r="16510" b="0"/>
              <wp:wrapNone/>
              <wp:docPr id="524494529"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5556547F" w14:textId="6BF47ED9"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546FF9" id="_x0000_t202" coordsize="21600,21600" o:spt="202" path="m,l,21600r21600,l21600,xe">
              <v:stroke joinstyle="miter"/>
              <v:path gradientshapeok="t" o:connecttype="rect"/>
            </v:shapetype>
            <v:shape id="Text Box 21" o:spid="_x0000_s1041" type="#_x0000_t202" alt="OFFICIAL" style="position:absolute;margin-left:0;margin-top:0;width:36.2pt;height:35.6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" filled="f" stroked="f">
              <v:textbox style="mso-fit-shape-to-text:t" inset="0,0,0,15pt">
                <w:txbxContent>
                  <w:p w14:paraId="5556547F" w14:textId="6BF47ED9"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r w:rsidR="005A3926">
      <w:tab/>
    </w:r>
    <w:r w:rsidR="416CEC05">
      <w:t xml:space="preserve"> </w:t>
    </w:r>
    <w:r w:rsidR="00D710BB">
      <w:t xml:space="preserve">National Planning Reform Blueprint </w:t>
    </w:r>
    <w:r w:rsidR="002C11F5">
      <w:t xml:space="preserve">| New South Wales progress report </w:t>
    </w:r>
    <w:r w:rsidR="00D710BB">
      <w:t xml:space="preserve">| </w:t>
    </w:r>
    <w:r w:rsidR="006F420F">
      <w:fldChar w:fldCharType="begin"/>
    </w:r>
    <w:r w:rsidR="006F420F">
      <w:instrText xml:space="preserve"> PAGE   \* MERGEFORMAT </w:instrText>
    </w:r>
    <w:r w:rsidR="006F420F">
      <w:fldChar w:fldCharType="separate"/>
    </w:r>
    <w:r w:rsidR="006F420F">
      <w:t>3</w:t>
    </w:r>
    <w:r w:rsidR="006F420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C7F3D" w14:textId="7DB08834" w:rsidR="00D64507" w:rsidRDefault="00D64507">
    <w:pPr>
      <w:pStyle w:val="Footer"/>
    </w:pPr>
    <w:r>
      <w:rPr>
        <w:noProof/>
      </w:rPr>
      <mc:AlternateContent>
        <mc:Choice Requires="wps">
          <w:drawing>
            <wp:anchor distT="0" distB="0" distL="0" distR="0" simplePos="0" relativeHeight="251714560" behindDoc="0" locked="0" layoutInCell="1" allowOverlap="1" wp14:anchorId="78662467" wp14:editId="02B50C69">
              <wp:simplePos x="635" y="635"/>
              <wp:positionH relativeFrom="page">
                <wp:align>center</wp:align>
              </wp:positionH>
              <wp:positionV relativeFrom="page">
                <wp:align>bottom</wp:align>
              </wp:positionV>
              <wp:extent cx="459740" cy="452755"/>
              <wp:effectExtent l="0" t="0" r="16510" b="0"/>
              <wp:wrapNone/>
              <wp:docPr id="91951758"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2CBADD17" w14:textId="17C08E9B"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662467" id="_x0000_t202" coordsize="21600,21600" o:spt="202" path="m,l,21600r21600,l21600,xe">
              <v:stroke joinstyle="miter"/>
              <v:path gradientshapeok="t" o:connecttype="rect"/>
            </v:shapetype>
            <v:shape id="Text Box 19" o:spid="_x0000_s1043" type="#_x0000_t202" alt="OFFICIAL" style="position:absolute;margin-left:0;margin-top:0;width:36.2pt;height:35.65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" filled="f" stroked="f">
              <v:textbox style="mso-fit-shape-to-text:t" inset="0,0,0,15pt">
                <w:txbxContent>
                  <w:p w14:paraId="2CBADD17" w14:textId="17C08E9B"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614D3" w14:textId="77777777" w:rsidR="00795D4F" w:rsidRPr="00214F16" w:rsidRDefault="00795D4F" w:rsidP="00214F16">
      <w:pPr>
        <w:pStyle w:val="FootnoteText"/>
      </w:pPr>
      <w:r>
        <w:separator/>
      </w:r>
    </w:p>
    <w:p w14:paraId="3CA9E2C8" w14:textId="77777777" w:rsidR="00795D4F" w:rsidRDefault="00795D4F"/>
  </w:footnote>
  <w:footnote w:type="continuationSeparator" w:id="0">
    <w:p w14:paraId="7DD7AFAC" w14:textId="77777777" w:rsidR="00795D4F" w:rsidRPr="00214F16" w:rsidRDefault="00795D4F" w:rsidP="00214F16">
      <w:pPr>
        <w:pStyle w:val="FootnoteText"/>
      </w:pPr>
      <w:r>
        <w:continuationSeparator/>
      </w:r>
    </w:p>
    <w:p w14:paraId="567B4574" w14:textId="77777777" w:rsidR="00795D4F" w:rsidRDefault="00795D4F"/>
  </w:footnote>
  <w:footnote w:type="continuationNotice" w:id="1">
    <w:p w14:paraId="59F41974" w14:textId="77777777" w:rsidR="00795D4F" w:rsidRDefault="00795D4F" w:rsidP="00214F16">
      <w:pPr>
        <w:pStyle w:val="FootnoteText"/>
      </w:pPr>
    </w:p>
    <w:p w14:paraId="04814F2F" w14:textId="77777777" w:rsidR="00795D4F" w:rsidRDefault="00795D4F"/>
  </w:footnote>
  <w:footnote w:id="2">
    <w:p w14:paraId="3FD6CC66" w14:textId="0B292170" w:rsidR="00CE430E" w:rsidRDefault="00CE430E" w:rsidP="00CE430E">
      <w:pPr>
        <w:pStyle w:val="FootnoteText"/>
      </w:pPr>
      <w:r>
        <w:rPr>
          <w:rStyle w:val="FootnoteReference"/>
        </w:rPr>
        <w:footnoteRef/>
      </w:r>
      <w:r>
        <w:t xml:space="preserve"> </w:t>
      </w:r>
      <w:r w:rsidRPr="00300DB4">
        <w:t xml:space="preserve">For the purpose of this </w:t>
      </w:r>
      <w:r w:rsidR="001920B0" w:rsidRPr="00300DB4">
        <w:t>report,</w:t>
      </w:r>
      <w:r w:rsidRPr="00300DB4">
        <w:t xml:space="preserve"> it is assumed that development </w:t>
      </w:r>
      <w:r w:rsidRPr="00BD50E8">
        <w:t>ready means land with infrastructure that is ready to sell and/or construct</w:t>
      </w:r>
    </w:p>
  </w:footnote>
  <w:footnote w:id="3">
    <w:p w14:paraId="51DAAAF3" w14:textId="3A200B0C" w:rsidR="00313EA3" w:rsidRDefault="00313EA3" w:rsidP="00313EA3">
      <w:pPr>
        <w:pStyle w:val="FootnoteText"/>
      </w:pPr>
      <w:r>
        <w:rPr>
          <w:rStyle w:val="FootnoteReference"/>
        </w:rPr>
        <w:footnoteRef/>
      </w:r>
      <w:r>
        <w:t xml:space="preserve"> W</w:t>
      </w:r>
      <w:r w:rsidRPr="000854ED">
        <w:t>here appropriate and where such zoning and planning does not add to construction costs e.g. through the use of incentives such as density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6631" w14:textId="4EFB4421" w:rsidR="00D64507" w:rsidRDefault="00D64507">
    <w:pPr>
      <w:pStyle w:val="Header"/>
    </w:pPr>
    <w:r>
      <mc:AlternateContent>
        <mc:Choice Requires="wps">
          <w:drawing>
            <wp:anchor distT="0" distB="0" distL="0" distR="0" simplePos="0" relativeHeight="251697152" behindDoc="0" locked="0" layoutInCell="1" allowOverlap="1" wp14:anchorId="187180CE" wp14:editId="527D888B">
              <wp:simplePos x="635" y="635"/>
              <wp:positionH relativeFrom="page">
                <wp:align>center</wp:align>
              </wp:positionH>
              <wp:positionV relativeFrom="page">
                <wp:align>top</wp:align>
              </wp:positionV>
              <wp:extent cx="459740" cy="452755"/>
              <wp:effectExtent l="0" t="0" r="16510" b="4445"/>
              <wp:wrapNone/>
              <wp:docPr id="20437383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72DE6D60" w14:textId="5A16E6A6"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7180CE" id="_x0000_t202" coordsize="21600,21600" o:spt="202" path="m,l,21600r21600,l21600,xe">
              <v:stroke joinstyle="miter"/>
              <v:path gradientshapeok="t" o:connecttype="rect"/>
            </v:shapetype>
            <v:shape id="Text Box 2" o:spid="_x0000_s1026" type="#_x0000_t202" alt="OFFICIAL" style="position:absolute;margin-left:0;margin-top:0;width:36.2pt;height:35.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PjCQIAABUEAAAOAAAAZHJzL2Uyb0RvYy54bWysU8Fu2zAMvQ/YPwi6L3aCZF2N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" filled="f" stroked="f">
              <v:textbox style="mso-fit-shape-to-text:t" inset="0,15pt,0,0">
                <w:txbxContent>
                  <w:p w14:paraId="72DE6D60" w14:textId="5A16E6A6"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3FF4" w14:textId="7887F4E6" w:rsidR="00D64507" w:rsidRDefault="00D64507">
    <w:pPr>
      <w:pStyle w:val="Header"/>
    </w:pPr>
    <w:r>
      <mc:AlternateContent>
        <mc:Choice Requires="wps">
          <w:drawing>
            <wp:anchor distT="0" distB="0" distL="0" distR="0" simplePos="0" relativeHeight="251706368" behindDoc="0" locked="0" layoutInCell="1" allowOverlap="1" wp14:anchorId="12CB16D1" wp14:editId="1FE64A4C">
              <wp:simplePos x="635" y="635"/>
              <wp:positionH relativeFrom="page">
                <wp:align>center</wp:align>
              </wp:positionH>
              <wp:positionV relativeFrom="page">
                <wp:align>top</wp:align>
              </wp:positionV>
              <wp:extent cx="459740" cy="452755"/>
              <wp:effectExtent l="0" t="0" r="16510" b="4445"/>
              <wp:wrapNone/>
              <wp:docPr id="121683214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6F5412E5" w14:textId="0765CFEF"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CB16D1" id="_x0000_t202" coordsize="21600,21600" o:spt="202" path="m,l,21600r21600,l21600,xe">
              <v:stroke joinstyle="miter"/>
              <v:path gradientshapeok="t" o:connecttype="rect"/>
            </v:shapetype>
            <v:shape id="Text Box 11" o:spid="_x0000_s1044" type="#_x0000_t202" alt="OFFICIAL" style="position:absolute;margin-left:0;margin-top:0;width:36.2pt;height:35.6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" filled="f" stroked="f">
              <v:textbox style="mso-fit-shape-to-text:t" inset="0,15pt,0,0">
                <w:txbxContent>
                  <w:p w14:paraId="6F5412E5" w14:textId="0765CFEF"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3A3D" w14:textId="4C5EF628" w:rsidR="009B0C40" w:rsidRPr="0082175E" w:rsidRDefault="00D64507" w:rsidP="0082175E">
    <w:pPr>
      <w:pStyle w:val="BodyText"/>
    </w:pPr>
    <w:r>
      <w:rPr>
        <w:noProof/>
      </w:rPr>
      <mc:AlternateContent>
        <mc:Choice Requires="wps">
          <w:drawing>
            <wp:anchor distT="0" distB="0" distL="0" distR="0" simplePos="0" relativeHeight="251707392" behindDoc="0" locked="0" layoutInCell="1" allowOverlap="1" wp14:anchorId="72163219" wp14:editId="036165EC">
              <wp:simplePos x="635" y="635"/>
              <wp:positionH relativeFrom="page">
                <wp:align>center</wp:align>
              </wp:positionH>
              <wp:positionV relativeFrom="page">
                <wp:align>top</wp:align>
              </wp:positionV>
              <wp:extent cx="459740" cy="452755"/>
              <wp:effectExtent l="0" t="0" r="16510" b="4445"/>
              <wp:wrapNone/>
              <wp:docPr id="17106878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736887C4" w14:textId="0C2D611E"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63219" id="_x0000_t202" coordsize="21600,21600" o:spt="202" path="m,l,21600r21600,l21600,xe">
              <v:stroke joinstyle="miter"/>
              <v:path gradientshapeok="t" o:connecttype="rect"/>
            </v:shapetype>
            <v:shape id="Text Box 12" o:spid="_x0000_s1045" type="#_x0000_t202" alt="OFFICIAL" style="position:absolute;margin-left:0;margin-top:0;width:36.2pt;height:35.65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" filled="f" stroked="f">
              <v:textbox style="mso-fit-shape-to-text:t" inset="0,15pt,0,0">
                <w:txbxContent>
                  <w:p w14:paraId="736887C4" w14:textId="0C2D611E"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5DCE" w14:textId="71102CCB" w:rsidR="00D64507" w:rsidRDefault="00D64507">
    <w:pPr>
      <w:pStyle w:val="Header"/>
    </w:pPr>
    <w:r>
      <mc:AlternateContent>
        <mc:Choice Requires="wps">
          <w:drawing>
            <wp:anchor distT="0" distB="0" distL="0" distR="0" simplePos="0" relativeHeight="251705344" behindDoc="0" locked="0" layoutInCell="1" allowOverlap="1" wp14:anchorId="149367E0" wp14:editId="635107AA">
              <wp:simplePos x="635" y="635"/>
              <wp:positionH relativeFrom="page">
                <wp:align>center</wp:align>
              </wp:positionH>
              <wp:positionV relativeFrom="page">
                <wp:align>top</wp:align>
              </wp:positionV>
              <wp:extent cx="459740" cy="452755"/>
              <wp:effectExtent l="0" t="0" r="16510" b="4445"/>
              <wp:wrapNone/>
              <wp:docPr id="204607917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50CD9F13" w14:textId="7B5C79DC"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367E0" id="_x0000_t202" coordsize="21600,21600" o:spt="202" path="m,l,21600r21600,l21600,xe">
              <v:stroke joinstyle="miter"/>
              <v:path gradientshapeok="t" o:connecttype="rect"/>
            </v:shapetype>
            <v:shape id="Text Box 10" o:spid="_x0000_s1048" type="#_x0000_t202" alt="OFFICIAL" style="position:absolute;margin-left:0;margin-top:0;width:36.2pt;height:35.6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" filled="f" stroked="f">
              <v:textbox style="mso-fit-shape-to-text:t" inset="0,15pt,0,0">
                <w:txbxContent>
                  <w:p w14:paraId="50CD9F13" w14:textId="7B5C79DC"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9B54" w14:textId="620D3CCC" w:rsidR="00DD68C3" w:rsidRPr="00DD68C3" w:rsidRDefault="00D64507" w:rsidP="00F81317">
    <w:pPr>
      <w:pStyle w:val="CoverDescriptorBlackText"/>
      <w:tabs>
        <w:tab w:val="clear" w:pos="10198"/>
        <w:tab w:val="left" w:pos="9293"/>
      </w:tabs>
    </w:pPr>
    <w:r>
      <mc:AlternateContent>
        <mc:Choice Requires="wps">
          <w:drawing>
            <wp:anchor distT="0" distB="0" distL="0" distR="0" simplePos="0" relativeHeight="251698176" behindDoc="0" locked="0" layoutInCell="1" allowOverlap="1" wp14:anchorId="30E24FB4" wp14:editId="2A54F5C0">
              <wp:simplePos x="635" y="635"/>
              <wp:positionH relativeFrom="page">
                <wp:align>center</wp:align>
              </wp:positionH>
              <wp:positionV relativeFrom="page">
                <wp:align>top</wp:align>
              </wp:positionV>
              <wp:extent cx="459740" cy="452755"/>
              <wp:effectExtent l="0" t="0" r="16510" b="4445"/>
              <wp:wrapNone/>
              <wp:docPr id="102942757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1D167BC7" w14:textId="029730CD"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E24FB4" id="_x0000_t202" coordsize="21600,21600" o:spt="202" path="m,l,21600r21600,l21600,xe">
              <v:stroke joinstyle="miter"/>
              <v:path gradientshapeok="t" o:connecttype="rect"/>
            </v:shapetype>
            <v:shape id="Text Box 3" o:spid="_x0000_s1027" type="#_x0000_t202" alt="OFFICIAL" style="position:absolute;margin-left:0;margin-top:0;width:36.2pt;height:35.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WqDAIAABwEAAAOAAAAZHJzL2Uyb0RvYy54bWysU8Fu2zAMvQ/YPwi6L3aCZF2N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" filled="f" stroked="f">
              <v:textbox style="mso-fit-shape-to-text:t" inset="0,15pt,0,0">
                <w:txbxContent>
                  <w:p w14:paraId="1D167BC7" w14:textId="029730CD"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r w:rsidR="00F81317" w:rsidRPr="007A363E">
      <w:drawing>
        <wp:anchor distT="0" distB="0" distL="114300" distR="114300" simplePos="0" relativeHeight="251695104" behindDoc="1" locked="1" layoutInCell="1" allowOverlap="1" wp14:anchorId="6F9E3F23" wp14:editId="24E914F5">
          <wp:simplePos x="0" y="0"/>
          <wp:positionH relativeFrom="page">
            <wp:posOffset>540385</wp:posOffset>
          </wp:positionH>
          <wp:positionV relativeFrom="page">
            <wp:posOffset>899795</wp:posOffset>
          </wp:positionV>
          <wp:extent cx="828000" cy="900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000" cy="900000"/>
                  </a:xfrm>
                  <a:prstGeom prst="rect">
                    <a:avLst/>
                  </a:prstGeom>
                </pic:spPr>
              </pic:pic>
            </a:graphicData>
          </a:graphic>
          <wp14:sizeRelH relativeFrom="page">
            <wp14:pctWidth>0</wp14:pctWidth>
          </wp14:sizeRelH>
          <wp14:sizeRelV relativeFrom="page">
            <wp14:pctHeight>0</wp14:pctHeight>
          </wp14:sizeRelV>
        </wp:anchor>
      </w:drawing>
    </w:r>
    <w:r w:rsidR="00F8131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FD8E" w14:textId="39EC7EFE" w:rsidR="00A220AA" w:rsidRPr="00B35381" w:rsidRDefault="00D64507" w:rsidP="00A220AA">
    <w:pPr>
      <w:pStyle w:val="BodyText"/>
      <w:rPr>
        <w:b/>
        <w:bCs/>
        <w:sz w:val="24"/>
      </w:rPr>
    </w:pPr>
    <w:r>
      <w:rPr>
        <w:b/>
        <w:bCs/>
        <w:noProof/>
        <w:sz w:val="24"/>
      </w:rPr>
      <mc:AlternateContent>
        <mc:Choice Requires="wps">
          <w:drawing>
            <wp:anchor distT="0" distB="0" distL="0" distR="0" simplePos="0" relativeHeight="251696128" behindDoc="0" locked="0" layoutInCell="1" allowOverlap="1" wp14:anchorId="40D0A207" wp14:editId="192B5F51">
              <wp:simplePos x="635" y="635"/>
              <wp:positionH relativeFrom="page">
                <wp:align>center</wp:align>
              </wp:positionH>
              <wp:positionV relativeFrom="page">
                <wp:align>top</wp:align>
              </wp:positionV>
              <wp:extent cx="459740" cy="452755"/>
              <wp:effectExtent l="0" t="0" r="16510" b="4445"/>
              <wp:wrapNone/>
              <wp:docPr id="127700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3BB36E0C" w14:textId="6D919800"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D0A207" id="_x0000_t202" coordsize="21600,21600" o:spt="202" path="m,l,21600r21600,l21600,xe">
              <v:stroke joinstyle="miter"/>
              <v:path gradientshapeok="t" o:connecttype="rect"/>
            </v:shapetype>
            <v:shape id="Text Box 1" o:spid="_x0000_s1030" type="#_x0000_t202" alt="OFFICIAL" style="position:absolute;margin-left:0;margin-top:0;width:36.2pt;height:35.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" filled="f" stroked="f">
              <v:textbox style="mso-fit-shape-to-text:t" inset="0,15pt,0,0">
                <w:txbxContent>
                  <w:p w14:paraId="3BB36E0C" w14:textId="6D919800"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r w:rsidR="00A220AA" w:rsidRPr="00B35381">
      <w:rPr>
        <w:b/>
        <w:bCs/>
        <w:sz w:val="24"/>
      </w:rPr>
      <w:t>Department of Planning</w:t>
    </w:r>
    <w:r w:rsidR="00B502CE">
      <w:rPr>
        <w:b/>
        <w:bCs/>
        <w:sz w:val="24"/>
      </w:rPr>
      <w:t>, Housing</w:t>
    </w:r>
    <w:r w:rsidR="00A220AA" w:rsidRPr="00B35381">
      <w:rPr>
        <w:b/>
        <w:bCs/>
        <w:sz w:val="24"/>
      </w:rPr>
      <w:t xml:space="preserve"> and </w:t>
    </w:r>
    <w:r w:rsidR="00B502CE">
      <w:rPr>
        <w:b/>
        <w:bCs/>
        <w:sz w:val="24"/>
      </w:rPr>
      <w:t>Infrastructure</w:t>
    </w:r>
  </w:p>
  <w:p w14:paraId="148AD66D" w14:textId="77777777" w:rsidR="00B35381" w:rsidRPr="00B35381" w:rsidRDefault="00B35381" w:rsidP="00A220AA">
    <w:pPr>
      <w:pStyle w:val="BodyText"/>
      <w:rPr>
        <w:b/>
        <w:bCs/>
      </w:rPr>
    </w:pPr>
    <w:r w:rsidRPr="00B35381">
      <w:rPr>
        <w:b/>
        <w:bCs/>
      </w:rPr>
      <w:t>dp</w:t>
    </w:r>
    <w:r w:rsidR="00B502CE">
      <w:rPr>
        <w:b/>
        <w:bCs/>
      </w:rPr>
      <w:t>h</w:t>
    </w:r>
    <w:r w:rsidRPr="00B35381">
      <w:rPr>
        <w:b/>
        <w:bCs/>
      </w:rPr>
      <w:t>i.nsw.gov.au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4371" w14:textId="48D3344F" w:rsidR="00D64507" w:rsidRDefault="00D64507">
    <w:pPr>
      <w:pStyle w:val="Header"/>
    </w:pPr>
    <w:r>
      <mc:AlternateContent>
        <mc:Choice Requires="wps">
          <w:drawing>
            <wp:anchor distT="0" distB="0" distL="0" distR="0" simplePos="0" relativeHeight="251700224" behindDoc="0" locked="0" layoutInCell="1" allowOverlap="1" wp14:anchorId="698A8720" wp14:editId="3A6468E8">
              <wp:simplePos x="635" y="635"/>
              <wp:positionH relativeFrom="page">
                <wp:align>center</wp:align>
              </wp:positionH>
              <wp:positionV relativeFrom="page">
                <wp:align>top</wp:align>
              </wp:positionV>
              <wp:extent cx="459740" cy="452755"/>
              <wp:effectExtent l="0" t="0" r="16510" b="4445"/>
              <wp:wrapNone/>
              <wp:docPr id="163526585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414FDE01" w14:textId="30049951"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8A8720" id="_x0000_t202" coordsize="21600,21600" o:spt="202" path="m,l,21600r21600,l21600,xe">
              <v:stroke joinstyle="miter"/>
              <v:path gradientshapeok="t" o:connecttype="rect"/>
            </v:shapetype>
            <v:shape id="Text Box 5" o:spid="_x0000_s1032" type="#_x0000_t202" alt="OFFICIAL" style="position:absolute;margin-left:0;margin-top:0;width:36.2pt;height:35.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" filled="f" stroked="f">
              <v:textbox style="mso-fit-shape-to-text:t" inset="0,15pt,0,0">
                <w:txbxContent>
                  <w:p w14:paraId="414FDE01" w14:textId="30049951"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D29B" w14:textId="1F6999AF" w:rsidR="00BB56E2" w:rsidRPr="00E5079E" w:rsidRDefault="00D64507" w:rsidP="00E5079E">
    <w:pPr>
      <w:pStyle w:val="BodyText"/>
    </w:pPr>
    <w:r>
      <w:rPr>
        <w:noProof/>
      </w:rPr>
      <mc:AlternateContent>
        <mc:Choice Requires="wps">
          <w:drawing>
            <wp:anchor distT="0" distB="0" distL="0" distR="0" simplePos="0" relativeHeight="251701248" behindDoc="0" locked="0" layoutInCell="1" allowOverlap="1" wp14:anchorId="31399AB4" wp14:editId="02761C59">
              <wp:simplePos x="635" y="635"/>
              <wp:positionH relativeFrom="page">
                <wp:align>center</wp:align>
              </wp:positionH>
              <wp:positionV relativeFrom="page">
                <wp:align>top</wp:align>
              </wp:positionV>
              <wp:extent cx="459740" cy="452755"/>
              <wp:effectExtent l="0" t="0" r="16510" b="4445"/>
              <wp:wrapNone/>
              <wp:docPr id="153214736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43B10090" w14:textId="786F7EC8"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399AB4" id="_x0000_t202" coordsize="21600,21600" o:spt="202" path="m,l,21600r21600,l21600,xe">
              <v:stroke joinstyle="miter"/>
              <v:path gradientshapeok="t" o:connecttype="rect"/>
            </v:shapetype>
            <v:shape id="Text Box 6" o:spid="_x0000_s1033" type="#_x0000_t202" alt="OFFICIAL" style="position:absolute;margin-left:0;margin-top:0;width:36.2pt;height:35.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" filled="f" stroked="f">
              <v:textbox style="mso-fit-shape-to-text:t" inset="0,15pt,0,0">
                <w:txbxContent>
                  <w:p w14:paraId="43B10090" w14:textId="786F7EC8"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1837" w14:textId="4CF18DA1" w:rsidR="00D64507" w:rsidRDefault="00D64507">
    <w:pPr>
      <w:pStyle w:val="Header"/>
    </w:pPr>
    <w:r>
      <mc:AlternateContent>
        <mc:Choice Requires="wps">
          <w:drawing>
            <wp:anchor distT="0" distB="0" distL="0" distR="0" simplePos="0" relativeHeight="251699200" behindDoc="0" locked="0" layoutInCell="1" allowOverlap="1" wp14:anchorId="69D326BD" wp14:editId="40D937ED">
              <wp:simplePos x="635" y="635"/>
              <wp:positionH relativeFrom="page">
                <wp:align>center</wp:align>
              </wp:positionH>
              <wp:positionV relativeFrom="page">
                <wp:align>top</wp:align>
              </wp:positionV>
              <wp:extent cx="459740" cy="452755"/>
              <wp:effectExtent l="0" t="0" r="16510" b="4445"/>
              <wp:wrapNone/>
              <wp:docPr id="182970699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7B8E3A2C" w14:textId="1A5AAC4A"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D326BD" id="_x0000_t202" coordsize="21600,21600" o:spt="202" path="m,l,21600r21600,l21600,xe">
              <v:stroke joinstyle="miter"/>
              <v:path gradientshapeok="t" o:connecttype="rect"/>
            </v:shapetype>
            <v:shape id="Text Box 4" o:spid="_x0000_s1036" type="#_x0000_t202" alt="OFFICIAL" style="position:absolute;margin-left:0;margin-top:0;width:36.2pt;height:35.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" filled="f" stroked="f">
              <v:textbox style="mso-fit-shape-to-text:t" inset="0,15pt,0,0">
                <w:txbxContent>
                  <w:p w14:paraId="7B8E3A2C" w14:textId="1A5AAC4A"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7230" w14:textId="4790A192" w:rsidR="00D64507" w:rsidRDefault="00D64507">
    <w:pPr>
      <w:pStyle w:val="Header"/>
    </w:pPr>
    <w:r>
      <mc:AlternateContent>
        <mc:Choice Requires="wps">
          <w:drawing>
            <wp:anchor distT="0" distB="0" distL="0" distR="0" simplePos="0" relativeHeight="251703296" behindDoc="0" locked="0" layoutInCell="1" allowOverlap="1" wp14:anchorId="129339E7" wp14:editId="60122C49">
              <wp:simplePos x="635" y="635"/>
              <wp:positionH relativeFrom="page">
                <wp:align>center</wp:align>
              </wp:positionH>
              <wp:positionV relativeFrom="page">
                <wp:align>top</wp:align>
              </wp:positionV>
              <wp:extent cx="459740" cy="452755"/>
              <wp:effectExtent l="0" t="0" r="16510" b="4445"/>
              <wp:wrapNone/>
              <wp:docPr id="110769008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2A349079" w14:textId="3D972B5A"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9339E7" id="_x0000_t202" coordsize="21600,21600" o:spt="202" path="m,l,21600r21600,l21600,xe">
              <v:stroke joinstyle="miter"/>
              <v:path gradientshapeok="t" o:connecttype="rect"/>
            </v:shapetype>
            <v:shape id="Text Box 8" o:spid="_x0000_s1038" type="#_x0000_t202" alt="OFFICIAL" style="position:absolute;margin-left:0;margin-top:0;width:36.2pt;height:35.6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" filled="f" stroked="f">
              <v:textbox style="mso-fit-shape-to-text:t" inset="0,15pt,0,0">
                <w:txbxContent>
                  <w:p w14:paraId="2A349079" w14:textId="3D972B5A"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3326" w14:textId="2AF0E143" w:rsidR="00066210" w:rsidRPr="00BB56E2" w:rsidRDefault="00D64507" w:rsidP="0082175E">
    <w:pPr>
      <w:pStyle w:val="BodyText"/>
    </w:pPr>
    <w:r>
      <w:rPr>
        <w:noProof/>
        <w:sz w:val="2"/>
        <w:szCs w:val="2"/>
      </w:rPr>
      <mc:AlternateContent>
        <mc:Choice Requires="wps">
          <w:drawing>
            <wp:anchor distT="0" distB="0" distL="0" distR="0" simplePos="0" relativeHeight="251704320" behindDoc="0" locked="0" layoutInCell="1" allowOverlap="1" wp14:anchorId="75FE9D6E" wp14:editId="19075B32">
              <wp:simplePos x="635" y="635"/>
              <wp:positionH relativeFrom="page">
                <wp:align>center</wp:align>
              </wp:positionH>
              <wp:positionV relativeFrom="page">
                <wp:align>top</wp:align>
              </wp:positionV>
              <wp:extent cx="459740" cy="452755"/>
              <wp:effectExtent l="0" t="0" r="16510" b="4445"/>
              <wp:wrapNone/>
              <wp:docPr id="64145607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6E14A75C" w14:textId="296556CE"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E9D6E" id="_x0000_t202" coordsize="21600,21600" o:spt="202" path="m,l,21600r21600,l21600,xe">
              <v:stroke joinstyle="miter"/>
              <v:path gradientshapeok="t" o:connecttype="rect"/>
            </v:shapetype>
            <v:shape id="Text Box 9" o:spid="_x0000_s1039" type="#_x0000_t202" alt="OFFICIAL" style="position:absolute;margin-left:0;margin-top:0;width:36.2pt;height:35.6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" filled="f" stroked="f">
              <v:textbox style="mso-fit-shape-to-text:t" inset="0,15pt,0,0">
                <w:txbxContent>
                  <w:p w14:paraId="6E14A75C" w14:textId="296556CE"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r w:rsidR="006D3EB2">
      <w:rPr>
        <w:noProof/>
        <w:sz w:val="2"/>
        <w:szCs w:val="2"/>
      </w:rPr>
      <mc:AlternateContent>
        <mc:Choice Requires="wps">
          <w:drawing>
            <wp:anchor distT="0" distB="0" distL="114300" distR="114300" simplePos="0" relativeHeight="251659776" behindDoc="1" locked="1" layoutInCell="1" allowOverlap="1" wp14:anchorId="6C784123" wp14:editId="53598C34">
              <wp:simplePos x="0" y="0"/>
              <wp:positionH relativeFrom="page">
                <wp:posOffset>-9525</wp:posOffset>
              </wp:positionH>
              <wp:positionV relativeFrom="page">
                <wp:posOffset>-104140</wp:posOffset>
              </wp:positionV>
              <wp:extent cx="7562850" cy="10972800"/>
              <wp:effectExtent l="57150" t="19050" r="57150" b="7620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1097280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F17A20" id="Rectangle 16" o:spid="_x0000_s1026" alt="&quot;&quot;" style="position:absolute;margin-left:-.75pt;margin-top:-8.2pt;width:595.5pt;height:12in;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" fillcolor="#cbedfd [3205]" stroked="f">
              <v:shadow on="t" color="black" opacity="22937f" origin=",.5" offset="0,.63889mm"/>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3A12" w14:textId="5207C97B" w:rsidR="00D64507" w:rsidRDefault="00D64507">
    <w:pPr>
      <w:pStyle w:val="Header"/>
    </w:pPr>
    <w:r>
      <mc:AlternateContent>
        <mc:Choice Requires="wps">
          <w:drawing>
            <wp:anchor distT="0" distB="0" distL="0" distR="0" simplePos="0" relativeHeight="251702272" behindDoc="0" locked="0" layoutInCell="1" allowOverlap="1" wp14:anchorId="0FC953AC" wp14:editId="4ACCCB4D">
              <wp:simplePos x="635" y="635"/>
              <wp:positionH relativeFrom="page">
                <wp:align>center</wp:align>
              </wp:positionH>
              <wp:positionV relativeFrom="page">
                <wp:align>top</wp:align>
              </wp:positionV>
              <wp:extent cx="459740" cy="452755"/>
              <wp:effectExtent l="0" t="0" r="16510" b="4445"/>
              <wp:wrapNone/>
              <wp:docPr id="122925141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52755"/>
                      </a:xfrm>
                      <a:prstGeom prst="rect">
                        <a:avLst/>
                      </a:prstGeom>
                      <a:noFill/>
                      <a:ln>
                        <a:noFill/>
                      </a:ln>
                    </wps:spPr>
                    <wps:txbx>
                      <w:txbxContent>
                        <w:p w14:paraId="25901FD9" w14:textId="25227F5B"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C953AC" id="_x0000_t202" coordsize="21600,21600" o:spt="202" path="m,l,21600r21600,l21600,xe">
              <v:stroke joinstyle="miter"/>
              <v:path gradientshapeok="t" o:connecttype="rect"/>
            </v:shapetype>
            <v:shape id="Text Box 7" o:spid="_x0000_s1042" type="#_x0000_t202" alt="OFFICIAL" style="position:absolute;margin-left:0;margin-top:0;width:36.2pt;height:35.6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" filled="f" stroked="f">
              <v:textbox style="mso-fit-shape-to-text:t" inset="0,15pt,0,0">
                <w:txbxContent>
                  <w:p w14:paraId="25901FD9" w14:textId="25227F5B" w:rsidR="00D64507" w:rsidRPr="00D64507" w:rsidRDefault="00D64507" w:rsidP="00D64507">
                    <w:pPr>
                      <w:spacing w:after="0"/>
                      <w:rPr>
                        <w:rFonts w:ascii="Calibri" w:eastAsia="Calibri" w:hAnsi="Calibri" w:cs="Calibri"/>
                        <w:noProof/>
                        <w:color w:val="FF0000"/>
                        <w:sz w:val="20"/>
                        <w:szCs w:val="20"/>
                      </w:rPr>
                    </w:pPr>
                    <w:r w:rsidRPr="00D64507">
                      <w:rPr>
                        <w:rFonts w:ascii="Calibri" w:eastAsia="Calibri" w:hAnsi="Calibri" w:cs="Calibri"/>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714CEA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5BA61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967D2"/>
    <w:multiLevelType w:val="multilevel"/>
    <w:tmpl w:val="6B58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0FE90635"/>
    <w:multiLevelType w:val="hybridMultilevel"/>
    <w:tmpl w:val="DC4A9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B51D9C"/>
    <w:multiLevelType w:val="hybridMultilevel"/>
    <w:tmpl w:val="3A2AE880"/>
    <w:lvl w:ilvl="0" w:tplc="4E743896">
      <w:start w:val="1"/>
      <w:numFmt w:val="upperLetter"/>
      <w:pStyle w:val="List4"/>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 w15:restartNumberingAfterBreak="0">
    <w:nsid w:val="16237300"/>
    <w:multiLevelType w:val="hybridMultilevel"/>
    <w:tmpl w:val="5EA2D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BB69D2"/>
    <w:multiLevelType w:val="multilevel"/>
    <w:tmpl w:val="2078FE9C"/>
    <w:styleLink w:val="DPENumHeads"/>
    <w:lvl w:ilvl="0">
      <w:start w:val="1"/>
      <w:numFmt w:val="decimal"/>
      <w:pStyle w:val="HeadNum1"/>
      <w:lvlText w:val="%1"/>
      <w:lvlJc w:val="left"/>
      <w:pPr>
        <w:tabs>
          <w:tab w:val="num" w:pos="851"/>
        </w:tabs>
        <w:ind w:left="851" w:hanging="851"/>
      </w:pPr>
      <w:rPr>
        <w:rFonts w:hint="default"/>
      </w:rPr>
    </w:lvl>
    <w:lvl w:ilvl="1">
      <w:start w:val="1"/>
      <w:numFmt w:val="decimal"/>
      <w:pStyle w:val="HeadNum2"/>
      <w:lvlText w:val="%1.%2"/>
      <w:lvlJc w:val="left"/>
      <w:pPr>
        <w:tabs>
          <w:tab w:val="num" w:pos="851"/>
        </w:tabs>
        <w:ind w:left="851" w:hanging="851"/>
      </w:pPr>
      <w:rPr>
        <w:rFonts w:hint="default"/>
      </w:rPr>
    </w:lvl>
    <w:lvl w:ilvl="2">
      <w:start w:val="1"/>
      <w:numFmt w:val="decimal"/>
      <w:pStyle w:val="HeadNum3"/>
      <w:lvlText w:val="%1.%2.%3"/>
      <w:lvlJc w:val="left"/>
      <w:pPr>
        <w:tabs>
          <w:tab w:val="num" w:pos="851"/>
        </w:tabs>
        <w:ind w:left="851" w:hanging="851"/>
      </w:pPr>
      <w:rPr>
        <w:rFonts w:hint="default"/>
      </w:rPr>
    </w:lvl>
    <w:lvl w:ilvl="3">
      <w:start w:val="1"/>
      <w:numFmt w:val="none"/>
      <w:lvlText w:val=""/>
      <w:lvlJc w:val="left"/>
      <w:pPr>
        <w:tabs>
          <w:tab w:val="num" w:pos="851"/>
        </w:tabs>
        <w:ind w:left="851" w:hanging="851"/>
      </w:pPr>
      <w:rPr>
        <w:rFonts w:hint="default"/>
      </w:rPr>
    </w:lvl>
    <w:lvl w:ilvl="4">
      <w:start w:val="1"/>
      <w:numFmt w:val="none"/>
      <w:lvlText w:val=""/>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8"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75459CE"/>
    <w:multiLevelType w:val="hybridMultilevel"/>
    <w:tmpl w:val="962CA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531EBF"/>
    <w:multiLevelType w:val="hybridMultilevel"/>
    <w:tmpl w:val="A58C9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2272B"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17465E"/>
    <w:multiLevelType w:val="multilevel"/>
    <w:tmpl w:val="2360A5E8"/>
    <w:styleLink w:val="DPEBullets"/>
    <w:lvl w:ilvl="0">
      <w:start w:val="1"/>
      <w:numFmt w:val="bullet"/>
      <w:pStyle w:val="ListBullet"/>
      <w:lvlText w:val=""/>
      <w:lvlJc w:val="left"/>
      <w:pPr>
        <w:tabs>
          <w:tab w:val="num" w:pos="624"/>
        </w:tabs>
        <w:ind w:left="624" w:hanging="340"/>
      </w:pPr>
      <w:rPr>
        <w:rFonts w:ascii="Symbol" w:hAnsi="Symbol" w:hint="default"/>
      </w:rPr>
    </w:lvl>
    <w:lvl w:ilvl="1">
      <w:start w:val="1"/>
      <w:numFmt w:val="bullet"/>
      <w:pStyle w:val="ListBullet2"/>
      <w:lvlText w:val=""/>
      <w:lvlJc w:val="left"/>
      <w:pPr>
        <w:tabs>
          <w:tab w:val="num" w:pos="907"/>
        </w:tabs>
        <w:ind w:left="908" w:hanging="340"/>
      </w:pPr>
      <w:rPr>
        <w:rFonts w:ascii="Symbol" w:hAnsi="Symbol" w:hint="default"/>
      </w:rPr>
    </w:lvl>
    <w:lvl w:ilvl="2">
      <w:start w:val="1"/>
      <w:numFmt w:val="bullet"/>
      <w:pStyle w:val="ListBullet3"/>
      <w:lvlText w:val="o"/>
      <w:lvlJc w:val="left"/>
      <w:pPr>
        <w:tabs>
          <w:tab w:val="num" w:pos="1191"/>
        </w:tabs>
        <w:ind w:left="1192" w:hanging="340"/>
      </w:pPr>
      <w:rPr>
        <w:rFonts w:ascii="Courier New" w:hAnsi="Courier New" w:hint="default"/>
      </w:rPr>
    </w:lvl>
    <w:lvl w:ilvl="3">
      <w:start w:val="1"/>
      <w:numFmt w:val="bullet"/>
      <w:pStyle w:val="ListBullet4"/>
      <w:lvlText w:val=""/>
      <w:lvlJc w:val="left"/>
      <w:pPr>
        <w:tabs>
          <w:tab w:val="num" w:pos="1474"/>
        </w:tabs>
        <w:ind w:left="1476" w:hanging="340"/>
      </w:pPr>
      <w:rPr>
        <w:rFonts w:ascii="Symbol" w:hAnsi="Symbol" w:hint="default"/>
        <w:color w:val="auto"/>
      </w:rPr>
    </w:lvl>
    <w:lvl w:ilvl="4">
      <w:start w:val="1"/>
      <w:numFmt w:val="bullet"/>
      <w:pStyle w:val="ListBullet5"/>
      <w:lvlText w:val=""/>
      <w:lvlJc w:val="left"/>
      <w:pPr>
        <w:tabs>
          <w:tab w:val="num" w:pos="1758"/>
        </w:tabs>
        <w:ind w:left="1760" w:hanging="340"/>
      </w:pPr>
      <w:rPr>
        <w:rFonts w:ascii="Symbol" w:hAnsi="Symbol" w:hint="default"/>
      </w:rPr>
    </w:lvl>
    <w:lvl w:ilvl="5">
      <w:start w:val="1"/>
      <w:numFmt w:val="none"/>
      <w:lvlText w:val=""/>
      <w:lvlJc w:val="left"/>
      <w:pPr>
        <w:ind w:left="2044" w:hanging="340"/>
      </w:pPr>
      <w:rPr>
        <w:rFonts w:hint="default"/>
      </w:rPr>
    </w:lvl>
    <w:lvl w:ilvl="6">
      <w:start w:val="1"/>
      <w:numFmt w:val="none"/>
      <w:lvlText w:val="%7"/>
      <w:lvlJc w:val="left"/>
      <w:pPr>
        <w:ind w:left="2328" w:hanging="340"/>
      </w:pPr>
      <w:rPr>
        <w:rFonts w:hint="default"/>
      </w:rPr>
    </w:lvl>
    <w:lvl w:ilvl="7">
      <w:start w:val="1"/>
      <w:numFmt w:val="none"/>
      <w:lvlText w:val="%8"/>
      <w:lvlJc w:val="left"/>
      <w:pPr>
        <w:ind w:left="2612" w:hanging="340"/>
      </w:pPr>
      <w:rPr>
        <w:rFonts w:hint="default"/>
      </w:rPr>
    </w:lvl>
    <w:lvl w:ilvl="8">
      <w:start w:val="1"/>
      <w:numFmt w:val="none"/>
      <w:lvlText w:val="%9"/>
      <w:lvlJc w:val="left"/>
      <w:pPr>
        <w:ind w:left="2896" w:hanging="340"/>
      </w:pPr>
      <w:rPr>
        <w:rFonts w:hint="default"/>
      </w:rPr>
    </w:lvl>
  </w:abstractNum>
  <w:abstractNum w:abstractNumId="15" w15:restartNumberingAfterBreak="0">
    <w:nsid w:val="466C5346"/>
    <w:multiLevelType w:val="hybridMultilevel"/>
    <w:tmpl w:val="36DE4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810856"/>
    <w:multiLevelType w:val="hybridMultilevel"/>
    <w:tmpl w:val="608A2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F574EA"/>
    <w:multiLevelType w:val="multilevel"/>
    <w:tmpl w:val="48E62B54"/>
    <w:styleLink w:val="DPELists"/>
    <w:lvl w:ilvl="0">
      <w:start w:val="1"/>
      <w:numFmt w:val="none"/>
      <w:lvlText w:val=""/>
      <w:lvlJc w:val="left"/>
      <w:pPr>
        <w:ind w:left="0" w:firstLine="0"/>
      </w:pPr>
      <w:rPr>
        <w:rFonts w:hint="default"/>
      </w:rPr>
    </w:lvl>
    <w:lvl w:ilvl="1">
      <w:start w:val="1"/>
      <w:numFmt w:val="decimal"/>
      <w:pStyle w:val="ListNumber"/>
      <w:lvlText w:val="%2."/>
      <w:lvlJc w:val="left"/>
      <w:pPr>
        <w:tabs>
          <w:tab w:val="num" w:pos="624"/>
        </w:tabs>
        <w:ind w:left="624" w:hanging="340"/>
      </w:pPr>
      <w:rPr>
        <w:rFonts w:hint="default"/>
      </w:rPr>
    </w:lvl>
    <w:lvl w:ilvl="2">
      <w:start w:val="1"/>
      <w:numFmt w:val="lowerLetter"/>
      <w:pStyle w:val="ListNumber2"/>
      <w:lvlText w:val="%3."/>
      <w:lvlJc w:val="left"/>
      <w:pPr>
        <w:tabs>
          <w:tab w:val="num" w:pos="907"/>
        </w:tabs>
        <w:ind w:left="907" w:hanging="340"/>
      </w:pPr>
      <w:rPr>
        <w:rFonts w:hint="default"/>
      </w:rPr>
    </w:lvl>
    <w:lvl w:ilvl="3">
      <w:start w:val="1"/>
      <w:numFmt w:val="lowerRoman"/>
      <w:pStyle w:val="ListNumber3"/>
      <w:lvlText w:val="%4."/>
      <w:lvlJc w:val="left"/>
      <w:pPr>
        <w:tabs>
          <w:tab w:val="num" w:pos="1191"/>
        </w:tabs>
        <w:ind w:left="1191" w:hanging="340"/>
      </w:pPr>
      <w:rPr>
        <w:rFonts w:hint="default"/>
      </w:rPr>
    </w:lvl>
    <w:lvl w:ilvl="4">
      <w:start w:val="1"/>
      <w:numFmt w:val="upperLetter"/>
      <w:pStyle w:val="ListNumber4"/>
      <w:lvlText w:val="%5."/>
      <w:lvlJc w:val="left"/>
      <w:pPr>
        <w:tabs>
          <w:tab w:val="num" w:pos="1474"/>
        </w:tabs>
        <w:ind w:left="1474" w:hanging="340"/>
      </w:pPr>
      <w:rPr>
        <w:rFonts w:hint="default"/>
      </w:rPr>
    </w:lvl>
    <w:lvl w:ilvl="5">
      <w:start w:val="1"/>
      <w:numFmt w:val="upperRoman"/>
      <w:pStyle w:val="ListNumber5"/>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18" w15:restartNumberingAfterBreak="0">
    <w:nsid w:val="48743DA5"/>
    <w:multiLevelType w:val="hybridMultilevel"/>
    <w:tmpl w:val="297C0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ECD3B1D"/>
    <w:multiLevelType w:val="multilevel"/>
    <w:tmpl w:val="2078FE9C"/>
    <w:numStyleLink w:val="DPENumHeads"/>
  </w:abstractNum>
  <w:abstractNum w:abstractNumId="21" w15:restartNumberingAfterBreak="0">
    <w:nsid w:val="691937B3"/>
    <w:multiLevelType w:val="hybridMultilevel"/>
    <w:tmpl w:val="64CC5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674F23"/>
    <w:multiLevelType w:val="hybridMultilevel"/>
    <w:tmpl w:val="88FEF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58782C"/>
    <w:multiLevelType w:val="multilevel"/>
    <w:tmpl w:val="DEDC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6B5224"/>
    <w:multiLevelType w:val="multilevel"/>
    <w:tmpl w:val="2952972C"/>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815027436">
    <w:abstractNumId w:val="13"/>
  </w:num>
  <w:num w:numId="2" w16cid:durableId="275411311">
    <w:abstractNumId w:val="8"/>
  </w:num>
  <w:num w:numId="3" w16cid:durableId="451050561">
    <w:abstractNumId w:val="3"/>
  </w:num>
  <w:num w:numId="4" w16cid:durableId="1598443171">
    <w:abstractNumId w:val="14"/>
  </w:num>
  <w:num w:numId="5" w16cid:durableId="1301956113">
    <w:abstractNumId w:val="17"/>
  </w:num>
  <w:num w:numId="6" w16cid:durableId="1140998238">
    <w:abstractNumId w:val="7"/>
  </w:num>
  <w:num w:numId="7" w16cid:durableId="101606845">
    <w:abstractNumId w:val="20"/>
  </w:num>
  <w:num w:numId="8" w16cid:durableId="1960718610">
    <w:abstractNumId w:val="5"/>
  </w:num>
  <w:num w:numId="9" w16cid:durableId="1930308062">
    <w:abstractNumId w:val="14"/>
  </w:num>
  <w:num w:numId="10" w16cid:durableId="1123693415">
    <w:abstractNumId w:val="17"/>
  </w:num>
  <w:num w:numId="11" w16cid:durableId="1589465882">
    <w:abstractNumId w:val="14"/>
  </w:num>
  <w:num w:numId="12" w16cid:durableId="1209144919">
    <w:abstractNumId w:val="17"/>
  </w:num>
  <w:num w:numId="13" w16cid:durableId="1736394773">
    <w:abstractNumId w:val="1"/>
  </w:num>
  <w:num w:numId="14" w16cid:durableId="1732003171">
    <w:abstractNumId w:val="0"/>
  </w:num>
  <w:num w:numId="15" w16cid:durableId="1980916014">
    <w:abstractNumId w:val="10"/>
  </w:num>
  <w:num w:numId="16" w16cid:durableId="1668898456">
    <w:abstractNumId w:val="24"/>
  </w:num>
  <w:num w:numId="17" w16cid:durableId="1906992295">
    <w:abstractNumId w:val="11"/>
  </w:num>
  <w:num w:numId="18" w16cid:durableId="212275893">
    <w:abstractNumId w:val="22"/>
  </w:num>
  <w:num w:numId="19" w16cid:durableId="182981923">
    <w:abstractNumId w:val="6"/>
  </w:num>
  <w:num w:numId="20" w16cid:durableId="837421947">
    <w:abstractNumId w:val="19"/>
  </w:num>
  <w:num w:numId="21" w16cid:durableId="1830443289">
    <w:abstractNumId w:val="21"/>
  </w:num>
  <w:num w:numId="22" w16cid:durableId="82652584">
    <w:abstractNumId w:val="15"/>
  </w:num>
  <w:num w:numId="23" w16cid:durableId="1071973876">
    <w:abstractNumId w:val="9"/>
  </w:num>
  <w:num w:numId="24" w16cid:durableId="641347678">
    <w:abstractNumId w:val="16"/>
  </w:num>
  <w:num w:numId="25" w16cid:durableId="1596595765">
    <w:abstractNumId w:val="4"/>
  </w:num>
  <w:num w:numId="26" w16cid:durableId="1611741565">
    <w:abstractNumId w:val="12"/>
  </w:num>
  <w:num w:numId="27" w16cid:durableId="2002077010">
    <w:abstractNumId w:val="2"/>
  </w:num>
  <w:num w:numId="28" w16cid:durableId="2139759422">
    <w:abstractNumId w:val="23"/>
  </w:num>
  <w:num w:numId="29" w16cid:durableId="118667400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yNjM3MzIyt7SwNDBQ0lEKTi0uzszPAykwrwUAS0JWdywAAAA="/>
  </w:docVars>
  <w:rsids>
    <w:rsidRoot w:val="00B24BAA"/>
    <w:rsid w:val="00001BC6"/>
    <w:rsid w:val="0000290F"/>
    <w:rsid w:val="00005057"/>
    <w:rsid w:val="0000528B"/>
    <w:rsid w:val="000062D2"/>
    <w:rsid w:val="00006D13"/>
    <w:rsid w:val="00006FD7"/>
    <w:rsid w:val="00010A95"/>
    <w:rsid w:val="00012666"/>
    <w:rsid w:val="0001422F"/>
    <w:rsid w:val="00016DF7"/>
    <w:rsid w:val="00016ECC"/>
    <w:rsid w:val="0002128C"/>
    <w:rsid w:val="00021798"/>
    <w:rsid w:val="000227FF"/>
    <w:rsid w:val="00026558"/>
    <w:rsid w:val="00026EE7"/>
    <w:rsid w:val="000279EA"/>
    <w:rsid w:val="00032007"/>
    <w:rsid w:val="000333D2"/>
    <w:rsid w:val="00033643"/>
    <w:rsid w:val="00033C00"/>
    <w:rsid w:val="000347E4"/>
    <w:rsid w:val="00036C88"/>
    <w:rsid w:val="0003732E"/>
    <w:rsid w:val="000408AA"/>
    <w:rsid w:val="00042E87"/>
    <w:rsid w:val="00043D69"/>
    <w:rsid w:val="000449BF"/>
    <w:rsid w:val="00045277"/>
    <w:rsid w:val="0005076B"/>
    <w:rsid w:val="00050AC4"/>
    <w:rsid w:val="0005223E"/>
    <w:rsid w:val="0005339D"/>
    <w:rsid w:val="00055B55"/>
    <w:rsid w:val="000576C6"/>
    <w:rsid w:val="0006244F"/>
    <w:rsid w:val="000632C4"/>
    <w:rsid w:val="00063EDD"/>
    <w:rsid w:val="00066210"/>
    <w:rsid w:val="00067600"/>
    <w:rsid w:val="00072694"/>
    <w:rsid w:val="00073041"/>
    <w:rsid w:val="00075D14"/>
    <w:rsid w:val="00076EFD"/>
    <w:rsid w:val="0008087F"/>
    <w:rsid w:val="000826D2"/>
    <w:rsid w:val="00084032"/>
    <w:rsid w:val="0008475A"/>
    <w:rsid w:val="00084D0B"/>
    <w:rsid w:val="00086EB0"/>
    <w:rsid w:val="000905A8"/>
    <w:rsid w:val="00090FA5"/>
    <w:rsid w:val="000926AE"/>
    <w:rsid w:val="00092B0E"/>
    <w:rsid w:val="000949FB"/>
    <w:rsid w:val="00094A44"/>
    <w:rsid w:val="0009529C"/>
    <w:rsid w:val="0009682E"/>
    <w:rsid w:val="00097821"/>
    <w:rsid w:val="000A5046"/>
    <w:rsid w:val="000A5258"/>
    <w:rsid w:val="000A59B7"/>
    <w:rsid w:val="000A69B9"/>
    <w:rsid w:val="000A7F5A"/>
    <w:rsid w:val="000B2BDB"/>
    <w:rsid w:val="000B4DBD"/>
    <w:rsid w:val="000B6B1C"/>
    <w:rsid w:val="000B78C3"/>
    <w:rsid w:val="000B7E55"/>
    <w:rsid w:val="000C045E"/>
    <w:rsid w:val="000C1B06"/>
    <w:rsid w:val="000C531F"/>
    <w:rsid w:val="000C5836"/>
    <w:rsid w:val="000C63D8"/>
    <w:rsid w:val="000C6F45"/>
    <w:rsid w:val="000C73CD"/>
    <w:rsid w:val="000C79A7"/>
    <w:rsid w:val="000D29A1"/>
    <w:rsid w:val="000D4AF2"/>
    <w:rsid w:val="000D4FC9"/>
    <w:rsid w:val="000D7720"/>
    <w:rsid w:val="000D7913"/>
    <w:rsid w:val="000D7E42"/>
    <w:rsid w:val="000E13C8"/>
    <w:rsid w:val="000E1639"/>
    <w:rsid w:val="000E5300"/>
    <w:rsid w:val="000E66F2"/>
    <w:rsid w:val="000F0412"/>
    <w:rsid w:val="000F3B49"/>
    <w:rsid w:val="000F50A2"/>
    <w:rsid w:val="000F639D"/>
    <w:rsid w:val="000F6BF4"/>
    <w:rsid w:val="000F78E3"/>
    <w:rsid w:val="001004E9"/>
    <w:rsid w:val="00100D74"/>
    <w:rsid w:val="0010445F"/>
    <w:rsid w:val="001066C5"/>
    <w:rsid w:val="001102F6"/>
    <w:rsid w:val="0011076B"/>
    <w:rsid w:val="0011511F"/>
    <w:rsid w:val="00115D56"/>
    <w:rsid w:val="00121E85"/>
    <w:rsid w:val="00124478"/>
    <w:rsid w:val="00125086"/>
    <w:rsid w:val="00126078"/>
    <w:rsid w:val="001269D5"/>
    <w:rsid w:val="00126A11"/>
    <w:rsid w:val="00127199"/>
    <w:rsid w:val="00127E96"/>
    <w:rsid w:val="001335B9"/>
    <w:rsid w:val="00134909"/>
    <w:rsid w:val="001372CB"/>
    <w:rsid w:val="00144421"/>
    <w:rsid w:val="00145B2F"/>
    <w:rsid w:val="0015283C"/>
    <w:rsid w:val="00152B39"/>
    <w:rsid w:val="00153CB2"/>
    <w:rsid w:val="00153CE3"/>
    <w:rsid w:val="00155AA8"/>
    <w:rsid w:val="0015670D"/>
    <w:rsid w:val="00156FC1"/>
    <w:rsid w:val="00157673"/>
    <w:rsid w:val="0016310F"/>
    <w:rsid w:val="00167101"/>
    <w:rsid w:val="00167828"/>
    <w:rsid w:val="00172DA4"/>
    <w:rsid w:val="0017420C"/>
    <w:rsid w:val="0017770E"/>
    <w:rsid w:val="00180256"/>
    <w:rsid w:val="00180BDA"/>
    <w:rsid w:val="001817B7"/>
    <w:rsid w:val="00181D05"/>
    <w:rsid w:val="0018433C"/>
    <w:rsid w:val="00185C31"/>
    <w:rsid w:val="00186517"/>
    <w:rsid w:val="00186BD4"/>
    <w:rsid w:val="00190AD1"/>
    <w:rsid w:val="001920B0"/>
    <w:rsid w:val="0019218A"/>
    <w:rsid w:val="0019319D"/>
    <w:rsid w:val="00193A3E"/>
    <w:rsid w:val="001946FF"/>
    <w:rsid w:val="00196BC0"/>
    <w:rsid w:val="00197431"/>
    <w:rsid w:val="001A4659"/>
    <w:rsid w:val="001A7734"/>
    <w:rsid w:val="001A7D16"/>
    <w:rsid w:val="001B1364"/>
    <w:rsid w:val="001B237A"/>
    <w:rsid w:val="001B328F"/>
    <w:rsid w:val="001B33AC"/>
    <w:rsid w:val="001B36A5"/>
    <w:rsid w:val="001B416D"/>
    <w:rsid w:val="001B432F"/>
    <w:rsid w:val="001B4493"/>
    <w:rsid w:val="001B45F3"/>
    <w:rsid w:val="001B4C4E"/>
    <w:rsid w:val="001B4EF6"/>
    <w:rsid w:val="001C0E41"/>
    <w:rsid w:val="001C2CEF"/>
    <w:rsid w:val="001C37A5"/>
    <w:rsid w:val="001C55C0"/>
    <w:rsid w:val="001C7FAF"/>
    <w:rsid w:val="001D19D1"/>
    <w:rsid w:val="001D3EA4"/>
    <w:rsid w:val="001D6380"/>
    <w:rsid w:val="001D6464"/>
    <w:rsid w:val="001D6EFB"/>
    <w:rsid w:val="001D7C84"/>
    <w:rsid w:val="001E540E"/>
    <w:rsid w:val="001E66DB"/>
    <w:rsid w:val="001F1C33"/>
    <w:rsid w:val="001F2BE7"/>
    <w:rsid w:val="001F375B"/>
    <w:rsid w:val="001F3810"/>
    <w:rsid w:val="001F4C47"/>
    <w:rsid w:val="001F59F2"/>
    <w:rsid w:val="001F6213"/>
    <w:rsid w:val="002011D8"/>
    <w:rsid w:val="002012E2"/>
    <w:rsid w:val="002034C6"/>
    <w:rsid w:val="00203DEC"/>
    <w:rsid w:val="00204563"/>
    <w:rsid w:val="0020481B"/>
    <w:rsid w:val="00207A9A"/>
    <w:rsid w:val="00211F77"/>
    <w:rsid w:val="00214F16"/>
    <w:rsid w:val="002172B0"/>
    <w:rsid w:val="00217FF2"/>
    <w:rsid w:val="0022033E"/>
    <w:rsid w:val="002207A4"/>
    <w:rsid w:val="002216DA"/>
    <w:rsid w:val="0022471F"/>
    <w:rsid w:val="00225882"/>
    <w:rsid w:val="00226DB2"/>
    <w:rsid w:val="0022707A"/>
    <w:rsid w:val="00230B71"/>
    <w:rsid w:val="0023266C"/>
    <w:rsid w:val="00233368"/>
    <w:rsid w:val="00233435"/>
    <w:rsid w:val="0023466A"/>
    <w:rsid w:val="00235EEA"/>
    <w:rsid w:val="00237337"/>
    <w:rsid w:val="00240A7C"/>
    <w:rsid w:val="00242821"/>
    <w:rsid w:val="00247A28"/>
    <w:rsid w:val="0025047F"/>
    <w:rsid w:val="00250A3D"/>
    <w:rsid w:val="0025243F"/>
    <w:rsid w:val="00252A44"/>
    <w:rsid w:val="00254264"/>
    <w:rsid w:val="00254CFE"/>
    <w:rsid w:val="00254E0C"/>
    <w:rsid w:val="00254FF1"/>
    <w:rsid w:val="002557F9"/>
    <w:rsid w:val="00256047"/>
    <w:rsid w:val="00256FBD"/>
    <w:rsid w:val="00257950"/>
    <w:rsid w:val="00257DFF"/>
    <w:rsid w:val="0026091C"/>
    <w:rsid w:val="00261FC2"/>
    <w:rsid w:val="00262138"/>
    <w:rsid w:val="002637B3"/>
    <w:rsid w:val="00265791"/>
    <w:rsid w:val="00266722"/>
    <w:rsid w:val="00266B95"/>
    <w:rsid w:val="00270352"/>
    <w:rsid w:val="00271DF2"/>
    <w:rsid w:val="002721E6"/>
    <w:rsid w:val="00274F97"/>
    <w:rsid w:val="00276877"/>
    <w:rsid w:val="0028301C"/>
    <w:rsid w:val="002831F6"/>
    <w:rsid w:val="002933CF"/>
    <w:rsid w:val="002A0B34"/>
    <w:rsid w:val="002A0D7A"/>
    <w:rsid w:val="002A14A8"/>
    <w:rsid w:val="002A18B1"/>
    <w:rsid w:val="002A2015"/>
    <w:rsid w:val="002A26A6"/>
    <w:rsid w:val="002A445C"/>
    <w:rsid w:val="002A4DF2"/>
    <w:rsid w:val="002A547E"/>
    <w:rsid w:val="002A5A95"/>
    <w:rsid w:val="002A6F66"/>
    <w:rsid w:val="002A7AAC"/>
    <w:rsid w:val="002B14D9"/>
    <w:rsid w:val="002B1A63"/>
    <w:rsid w:val="002B3793"/>
    <w:rsid w:val="002B393D"/>
    <w:rsid w:val="002B7703"/>
    <w:rsid w:val="002B7C40"/>
    <w:rsid w:val="002B7F08"/>
    <w:rsid w:val="002C11F5"/>
    <w:rsid w:val="002C3288"/>
    <w:rsid w:val="002C42A5"/>
    <w:rsid w:val="002C6FAE"/>
    <w:rsid w:val="002D1A21"/>
    <w:rsid w:val="002D26AF"/>
    <w:rsid w:val="002D32CB"/>
    <w:rsid w:val="002D37D8"/>
    <w:rsid w:val="002D3D5D"/>
    <w:rsid w:val="002D75C7"/>
    <w:rsid w:val="002E0E29"/>
    <w:rsid w:val="002E1263"/>
    <w:rsid w:val="002E345F"/>
    <w:rsid w:val="002E49DD"/>
    <w:rsid w:val="002E55E8"/>
    <w:rsid w:val="002E7188"/>
    <w:rsid w:val="002F03C0"/>
    <w:rsid w:val="002F5CE6"/>
    <w:rsid w:val="002F735C"/>
    <w:rsid w:val="002F73B5"/>
    <w:rsid w:val="002F7458"/>
    <w:rsid w:val="002F75D6"/>
    <w:rsid w:val="002F771B"/>
    <w:rsid w:val="0030247E"/>
    <w:rsid w:val="003034FE"/>
    <w:rsid w:val="003074F4"/>
    <w:rsid w:val="00310AE5"/>
    <w:rsid w:val="00313EA3"/>
    <w:rsid w:val="00313FFB"/>
    <w:rsid w:val="003143F8"/>
    <w:rsid w:val="003165B0"/>
    <w:rsid w:val="00316746"/>
    <w:rsid w:val="00320FCD"/>
    <w:rsid w:val="00321477"/>
    <w:rsid w:val="00322381"/>
    <w:rsid w:val="00323AA5"/>
    <w:rsid w:val="00325A46"/>
    <w:rsid w:val="0032727C"/>
    <w:rsid w:val="0033317B"/>
    <w:rsid w:val="003363A4"/>
    <w:rsid w:val="003401D4"/>
    <w:rsid w:val="003449FB"/>
    <w:rsid w:val="00346AED"/>
    <w:rsid w:val="00350710"/>
    <w:rsid w:val="00352305"/>
    <w:rsid w:val="00353B45"/>
    <w:rsid w:val="003547E1"/>
    <w:rsid w:val="00354BE3"/>
    <w:rsid w:val="00355C73"/>
    <w:rsid w:val="003570B8"/>
    <w:rsid w:val="00362599"/>
    <w:rsid w:val="00364A2E"/>
    <w:rsid w:val="00364D4C"/>
    <w:rsid w:val="003670C5"/>
    <w:rsid w:val="00367FD9"/>
    <w:rsid w:val="00374CCA"/>
    <w:rsid w:val="003762C0"/>
    <w:rsid w:val="003775E4"/>
    <w:rsid w:val="00385166"/>
    <w:rsid w:val="00386A46"/>
    <w:rsid w:val="00387280"/>
    <w:rsid w:val="003A067A"/>
    <w:rsid w:val="003A1523"/>
    <w:rsid w:val="003A2D50"/>
    <w:rsid w:val="003A533A"/>
    <w:rsid w:val="003A7A1A"/>
    <w:rsid w:val="003B156F"/>
    <w:rsid w:val="003B41FF"/>
    <w:rsid w:val="003B5158"/>
    <w:rsid w:val="003B7566"/>
    <w:rsid w:val="003C031F"/>
    <w:rsid w:val="003C5D7A"/>
    <w:rsid w:val="003D159A"/>
    <w:rsid w:val="003D36DB"/>
    <w:rsid w:val="003D4C83"/>
    <w:rsid w:val="003D4E37"/>
    <w:rsid w:val="003E066D"/>
    <w:rsid w:val="003E1923"/>
    <w:rsid w:val="003E1D08"/>
    <w:rsid w:val="003E1F87"/>
    <w:rsid w:val="003E2700"/>
    <w:rsid w:val="003E3EF2"/>
    <w:rsid w:val="003E688A"/>
    <w:rsid w:val="003F0640"/>
    <w:rsid w:val="003F1FB1"/>
    <w:rsid w:val="003F43CA"/>
    <w:rsid w:val="003F508D"/>
    <w:rsid w:val="003F5AA2"/>
    <w:rsid w:val="004035A9"/>
    <w:rsid w:val="00405369"/>
    <w:rsid w:val="004064B9"/>
    <w:rsid w:val="0041092E"/>
    <w:rsid w:val="00416B7F"/>
    <w:rsid w:val="0041732F"/>
    <w:rsid w:val="004211D3"/>
    <w:rsid w:val="00421FAD"/>
    <w:rsid w:val="004220B8"/>
    <w:rsid w:val="004245C1"/>
    <w:rsid w:val="00425403"/>
    <w:rsid w:val="00426153"/>
    <w:rsid w:val="00431044"/>
    <w:rsid w:val="004324F7"/>
    <w:rsid w:val="0043492A"/>
    <w:rsid w:val="00434AD8"/>
    <w:rsid w:val="00434D6B"/>
    <w:rsid w:val="00435D1A"/>
    <w:rsid w:val="00436599"/>
    <w:rsid w:val="004419B4"/>
    <w:rsid w:val="00441CE4"/>
    <w:rsid w:val="004444F3"/>
    <w:rsid w:val="00444C3E"/>
    <w:rsid w:val="00445764"/>
    <w:rsid w:val="004465BF"/>
    <w:rsid w:val="004468F6"/>
    <w:rsid w:val="00447D2A"/>
    <w:rsid w:val="0045121E"/>
    <w:rsid w:val="00453D18"/>
    <w:rsid w:val="00455200"/>
    <w:rsid w:val="004552CA"/>
    <w:rsid w:val="00456864"/>
    <w:rsid w:val="00456CE8"/>
    <w:rsid w:val="00462AF8"/>
    <w:rsid w:val="00463F4E"/>
    <w:rsid w:val="00464824"/>
    <w:rsid w:val="00467464"/>
    <w:rsid w:val="00467A60"/>
    <w:rsid w:val="00472287"/>
    <w:rsid w:val="00474180"/>
    <w:rsid w:val="00476375"/>
    <w:rsid w:val="00482063"/>
    <w:rsid w:val="00482390"/>
    <w:rsid w:val="0048494C"/>
    <w:rsid w:val="00485E49"/>
    <w:rsid w:val="00491ABC"/>
    <w:rsid w:val="004937C4"/>
    <w:rsid w:val="00493BD9"/>
    <w:rsid w:val="00494C58"/>
    <w:rsid w:val="00494E38"/>
    <w:rsid w:val="0049557C"/>
    <w:rsid w:val="004A0647"/>
    <w:rsid w:val="004A1B9C"/>
    <w:rsid w:val="004B2B3B"/>
    <w:rsid w:val="004B4C36"/>
    <w:rsid w:val="004B78D0"/>
    <w:rsid w:val="004C2A3C"/>
    <w:rsid w:val="004D0F45"/>
    <w:rsid w:val="004D157A"/>
    <w:rsid w:val="004D52AE"/>
    <w:rsid w:val="004D6A42"/>
    <w:rsid w:val="004D7ABB"/>
    <w:rsid w:val="004E5B99"/>
    <w:rsid w:val="004F11A3"/>
    <w:rsid w:val="004F215D"/>
    <w:rsid w:val="004F2364"/>
    <w:rsid w:val="004F2689"/>
    <w:rsid w:val="004F28C9"/>
    <w:rsid w:val="004F4513"/>
    <w:rsid w:val="00500736"/>
    <w:rsid w:val="00500F29"/>
    <w:rsid w:val="00505BA3"/>
    <w:rsid w:val="00510B58"/>
    <w:rsid w:val="00511CBD"/>
    <w:rsid w:val="005154ED"/>
    <w:rsid w:val="005154EE"/>
    <w:rsid w:val="00515D19"/>
    <w:rsid w:val="00520011"/>
    <w:rsid w:val="00521CF0"/>
    <w:rsid w:val="00522331"/>
    <w:rsid w:val="005232A8"/>
    <w:rsid w:val="005250D8"/>
    <w:rsid w:val="005259E9"/>
    <w:rsid w:val="00527931"/>
    <w:rsid w:val="00527BD4"/>
    <w:rsid w:val="00531017"/>
    <w:rsid w:val="00531227"/>
    <w:rsid w:val="005327F4"/>
    <w:rsid w:val="00533A8A"/>
    <w:rsid w:val="005340A6"/>
    <w:rsid w:val="005344EB"/>
    <w:rsid w:val="00534760"/>
    <w:rsid w:val="005354A2"/>
    <w:rsid w:val="005403B6"/>
    <w:rsid w:val="00541042"/>
    <w:rsid w:val="00541D0E"/>
    <w:rsid w:val="00542372"/>
    <w:rsid w:val="00542885"/>
    <w:rsid w:val="005434A8"/>
    <w:rsid w:val="005435EA"/>
    <w:rsid w:val="00543A38"/>
    <w:rsid w:val="005474C8"/>
    <w:rsid w:val="00547850"/>
    <w:rsid w:val="00551939"/>
    <w:rsid w:val="005525A5"/>
    <w:rsid w:val="005546C4"/>
    <w:rsid w:val="005547BE"/>
    <w:rsid w:val="0055561D"/>
    <w:rsid w:val="0055730C"/>
    <w:rsid w:val="0056052F"/>
    <w:rsid w:val="00560788"/>
    <w:rsid w:val="005616C7"/>
    <w:rsid w:val="00561782"/>
    <w:rsid w:val="00564069"/>
    <w:rsid w:val="00565EF8"/>
    <w:rsid w:val="005670FE"/>
    <w:rsid w:val="0057062B"/>
    <w:rsid w:val="00571F3A"/>
    <w:rsid w:val="00577A3E"/>
    <w:rsid w:val="00577D47"/>
    <w:rsid w:val="0058040A"/>
    <w:rsid w:val="00591FEA"/>
    <w:rsid w:val="0059258A"/>
    <w:rsid w:val="00593457"/>
    <w:rsid w:val="005937EA"/>
    <w:rsid w:val="0059409B"/>
    <w:rsid w:val="0059490F"/>
    <w:rsid w:val="005969E5"/>
    <w:rsid w:val="00596B83"/>
    <w:rsid w:val="00597EEA"/>
    <w:rsid w:val="005A1023"/>
    <w:rsid w:val="005A2AC3"/>
    <w:rsid w:val="005A3041"/>
    <w:rsid w:val="005A3926"/>
    <w:rsid w:val="005A3BBE"/>
    <w:rsid w:val="005A5253"/>
    <w:rsid w:val="005B3ADC"/>
    <w:rsid w:val="005B6F9E"/>
    <w:rsid w:val="005B7045"/>
    <w:rsid w:val="005C2CCC"/>
    <w:rsid w:val="005C6B92"/>
    <w:rsid w:val="005C6F0C"/>
    <w:rsid w:val="005C77A2"/>
    <w:rsid w:val="005D0C07"/>
    <w:rsid w:val="005D291A"/>
    <w:rsid w:val="005D2BD4"/>
    <w:rsid w:val="005D65D3"/>
    <w:rsid w:val="005E01F2"/>
    <w:rsid w:val="005E0E0C"/>
    <w:rsid w:val="005F03B9"/>
    <w:rsid w:val="005F1475"/>
    <w:rsid w:val="005F17A6"/>
    <w:rsid w:val="005F1CB2"/>
    <w:rsid w:val="005F1F07"/>
    <w:rsid w:val="005F2F8D"/>
    <w:rsid w:val="005F46C1"/>
    <w:rsid w:val="00602567"/>
    <w:rsid w:val="00602C92"/>
    <w:rsid w:val="00603F39"/>
    <w:rsid w:val="00606088"/>
    <w:rsid w:val="00606901"/>
    <w:rsid w:val="006126DC"/>
    <w:rsid w:val="00612F7B"/>
    <w:rsid w:val="00613CA6"/>
    <w:rsid w:val="00616A82"/>
    <w:rsid w:val="00620E34"/>
    <w:rsid w:val="00623A68"/>
    <w:rsid w:val="00623B2F"/>
    <w:rsid w:val="00625262"/>
    <w:rsid w:val="00625DC3"/>
    <w:rsid w:val="0062679F"/>
    <w:rsid w:val="00631A8E"/>
    <w:rsid w:val="00632490"/>
    <w:rsid w:val="006367E5"/>
    <w:rsid w:val="00636970"/>
    <w:rsid w:val="00640AD6"/>
    <w:rsid w:val="00641613"/>
    <w:rsid w:val="006416FC"/>
    <w:rsid w:val="00642D70"/>
    <w:rsid w:val="00642F98"/>
    <w:rsid w:val="0064619D"/>
    <w:rsid w:val="0064684D"/>
    <w:rsid w:val="00646D66"/>
    <w:rsid w:val="00647045"/>
    <w:rsid w:val="00651133"/>
    <w:rsid w:val="0065167F"/>
    <w:rsid w:val="00651A58"/>
    <w:rsid w:val="00652F3D"/>
    <w:rsid w:val="00653107"/>
    <w:rsid w:val="00653672"/>
    <w:rsid w:val="00656D0C"/>
    <w:rsid w:val="00657B88"/>
    <w:rsid w:val="006600C3"/>
    <w:rsid w:val="006609DC"/>
    <w:rsid w:val="00664623"/>
    <w:rsid w:val="00664DFD"/>
    <w:rsid w:val="00665341"/>
    <w:rsid w:val="00666E17"/>
    <w:rsid w:val="006709A3"/>
    <w:rsid w:val="006709D8"/>
    <w:rsid w:val="00671285"/>
    <w:rsid w:val="00673B72"/>
    <w:rsid w:val="00675483"/>
    <w:rsid w:val="006755B1"/>
    <w:rsid w:val="00675E8A"/>
    <w:rsid w:val="00680703"/>
    <w:rsid w:val="006808BC"/>
    <w:rsid w:val="00680FC0"/>
    <w:rsid w:val="00682560"/>
    <w:rsid w:val="00682A42"/>
    <w:rsid w:val="00684B5B"/>
    <w:rsid w:val="006852B0"/>
    <w:rsid w:val="00685D90"/>
    <w:rsid w:val="00685E1B"/>
    <w:rsid w:val="00693782"/>
    <w:rsid w:val="006942F5"/>
    <w:rsid w:val="00694E02"/>
    <w:rsid w:val="006977B8"/>
    <w:rsid w:val="006A203C"/>
    <w:rsid w:val="006A5B26"/>
    <w:rsid w:val="006B1B12"/>
    <w:rsid w:val="006B500F"/>
    <w:rsid w:val="006B551F"/>
    <w:rsid w:val="006B726A"/>
    <w:rsid w:val="006C009D"/>
    <w:rsid w:val="006C06DC"/>
    <w:rsid w:val="006C25E6"/>
    <w:rsid w:val="006C3489"/>
    <w:rsid w:val="006C4836"/>
    <w:rsid w:val="006D0EF2"/>
    <w:rsid w:val="006D131B"/>
    <w:rsid w:val="006D3EB2"/>
    <w:rsid w:val="006D5A96"/>
    <w:rsid w:val="006D7624"/>
    <w:rsid w:val="006E1A91"/>
    <w:rsid w:val="006E4CA5"/>
    <w:rsid w:val="006E4D11"/>
    <w:rsid w:val="006E4F07"/>
    <w:rsid w:val="006F0FBA"/>
    <w:rsid w:val="006F126A"/>
    <w:rsid w:val="006F1B33"/>
    <w:rsid w:val="006F2BCA"/>
    <w:rsid w:val="006F314E"/>
    <w:rsid w:val="006F3727"/>
    <w:rsid w:val="006F38C7"/>
    <w:rsid w:val="006F420F"/>
    <w:rsid w:val="006F4C74"/>
    <w:rsid w:val="006F4EC7"/>
    <w:rsid w:val="006F6F6A"/>
    <w:rsid w:val="00700147"/>
    <w:rsid w:val="0070073A"/>
    <w:rsid w:val="00700F00"/>
    <w:rsid w:val="00703066"/>
    <w:rsid w:val="00705190"/>
    <w:rsid w:val="00705475"/>
    <w:rsid w:val="00706D52"/>
    <w:rsid w:val="00706DEA"/>
    <w:rsid w:val="00707756"/>
    <w:rsid w:val="007077E9"/>
    <w:rsid w:val="0071168D"/>
    <w:rsid w:val="00711EA1"/>
    <w:rsid w:val="007123A4"/>
    <w:rsid w:val="00712D9F"/>
    <w:rsid w:val="00713F90"/>
    <w:rsid w:val="00721509"/>
    <w:rsid w:val="00721C42"/>
    <w:rsid w:val="00725177"/>
    <w:rsid w:val="007256E3"/>
    <w:rsid w:val="00737075"/>
    <w:rsid w:val="00737DC2"/>
    <w:rsid w:val="007426C5"/>
    <w:rsid w:val="00744E5B"/>
    <w:rsid w:val="00746B38"/>
    <w:rsid w:val="00746E47"/>
    <w:rsid w:val="00750971"/>
    <w:rsid w:val="00750AAD"/>
    <w:rsid w:val="00751B1B"/>
    <w:rsid w:val="00752C28"/>
    <w:rsid w:val="007539E0"/>
    <w:rsid w:val="0075585B"/>
    <w:rsid w:val="0075587D"/>
    <w:rsid w:val="007576CF"/>
    <w:rsid w:val="00757A67"/>
    <w:rsid w:val="007623A4"/>
    <w:rsid w:val="00764AB5"/>
    <w:rsid w:val="0076531E"/>
    <w:rsid w:val="007661FE"/>
    <w:rsid w:val="00773457"/>
    <w:rsid w:val="007748AA"/>
    <w:rsid w:val="007755BA"/>
    <w:rsid w:val="00776A7E"/>
    <w:rsid w:val="00777358"/>
    <w:rsid w:val="00777839"/>
    <w:rsid w:val="007808DE"/>
    <w:rsid w:val="00781855"/>
    <w:rsid w:val="00782E53"/>
    <w:rsid w:val="00785FA7"/>
    <w:rsid w:val="00787D17"/>
    <w:rsid w:val="007906C8"/>
    <w:rsid w:val="007906FD"/>
    <w:rsid w:val="00791163"/>
    <w:rsid w:val="00791D24"/>
    <w:rsid w:val="00791E44"/>
    <w:rsid w:val="00792ADB"/>
    <w:rsid w:val="00795242"/>
    <w:rsid w:val="00795D4F"/>
    <w:rsid w:val="00795DEB"/>
    <w:rsid w:val="007962E9"/>
    <w:rsid w:val="0079693A"/>
    <w:rsid w:val="00796DC1"/>
    <w:rsid w:val="00797A87"/>
    <w:rsid w:val="00797D01"/>
    <w:rsid w:val="007A1661"/>
    <w:rsid w:val="007A271C"/>
    <w:rsid w:val="007A363E"/>
    <w:rsid w:val="007A6476"/>
    <w:rsid w:val="007A6773"/>
    <w:rsid w:val="007A7943"/>
    <w:rsid w:val="007A7C95"/>
    <w:rsid w:val="007B3D4F"/>
    <w:rsid w:val="007B3ED1"/>
    <w:rsid w:val="007B47E4"/>
    <w:rsid w:val="007B5E0D"/>
    <w:rsid w:val="007C0526"/>
    <w:rsid w:val="007C06D2"/>
    <w:rsid w:val="007C0F35"/>
    <w:rsid w:val="007D1D94"/>
    <w:rsid w:val="007D707F"/>
    <w:rsid w:val="007D7C11"/>
    <w:rsid w:val="007E36D8"/>
    <w:rsid w:val="007E4717"/>
    <w:rsid w:val="007E7383"/>
    <w:rsid w:val="007E7527"/>
    <w:rsid w:val="007F0137"/>
    <w:rsid w:val="007F11DC"/>
    <w:rsid w:val="007F352B"/>
    <w:rsid w:val="007F636B"/>
    <w:rsid w:val="00800906"/>
    <w:rsid w:val="00802336"/>
    <w:rsid w:val="008034D4"/>
    <w:rsid w:val="00804446"/>
    <w:rsid w:val="00805A97"/>
    <w:rsid w:val="00806071"/>
    <w:rsid w:val="008075AB"/>
    <w:rsid w:val="00814453"/>
    <w:rsid w:val="00814D66"/>
    <w:rsid w:val="00817AE3"/>
    <w:rsid w:val="00817E49"/>
    <w:rsid w:val="00821636"/>
    <w:rsid w:val="0082175E"/>
    <w:rsid w:val="00822F4F"/>
    <w:rsid w:val="0082302D"/>
    <w:rsid w:val="008232DE"/>
    <w:rsid w:val="0082331D"/>
    <w:rsid w:val="00823A6D"/>
    <w:rsid w:val="00824677"/>
    <w:rsid w:val="00825F01"/>
    <w:rsid w:val="00826942"/>
    <w:rsid w:val="00831B9F"/>
    <w:rsid w:val="008330B7"/>
    <w:rsid w:val="008338ED"/>
    <w:rsid w:val="0083591F"/>
    <w:rsid w:val="00840577"/>
    <w:rsid w:val="00840A87"/>
    <w:rsid w:val="00840B0C"/>
    <w:rsid w:val="00843475"/>
    <w:rsid w:val="008458B2"/>
    <w:rsid w:val="0084623F"/>
    <w:rsid w:val="0084700A"/>
    <w:rsid w:val="00847C21"/>
    <w:rsid w:val="00850937"/>
    <w:rsid w:val="00852532"/>
    <w:rsid w:val="00852E36"/>
    <w:rsid w:val="008538CE"/>
    <w:rsid w:val="00855CB8"/>
    <w:rsid w:val="00860BC3"/>
    <w:rsid w:val="00861931"/>
    <w:rsid w:val="00862D37"/>
    <w:rsid w:val="00862FE3"/>
    <w:rsid w:val="00864758"/>
    <w:rsid w:val="008738EF"/>
    <w:rsid w:val="0087584E"/>
    <w:rsid w:val="00875C9C"/>
    <w:rsid w:val="0087725B"/>
    <w:rsid w:val="008775A4"/>
    <w:rsid w:val="00880E43"/>
    <w:rsid w:val="00881275"/>
    <w:rsid w:val="0088581D"/>
    <w:rsid w:val="00891A11"/>
    <w:rsid w:val="00891E39"/>
    <w:rsid w:val="008928D4"/>
    <w:rsid w:val="00893739"/>
    <w:rsid w:val="00894B76"/>
    <w:rsid w:val="008959C4"/>
    <w:rsid w:val="00896A43"/>
    <w:rsid w:val="008A334A"/>
    <w:rsid w:val="008A48D4"/>
    <w:rsid w:val="008A4C1A"/>
    <w:rsid w:val="008A5D26"/>
    <w:rsid w:val="008A5F1A"/>
    <w:rsid w:val="008B1CA4"/>
    <w:rsid w:val="008B2B62"/>
    <w:rsid w:val="008B615A"/>
    <w:rsid w:val="008C1245"/>
    <w:rsid w:val="008C64FB"/>
    <w:rsid w:val="008C6E96"/>
    <w:rsid w:val="008C7094"/>
    <w:rsid w:val="008D1E0D"/>
    <w:rsid w:val="008D2060"/>
    <w:rsid w:val="008D46E1"/>
    <w:rsid w:val="008D5B5B"/>
    <w:rsid w:val="008D6310"/>
    <w:rsid w:val="008D6F87"/>
    <w:rsid w:val="008D7228"/>
    <w:rsid w:val="008E04FB"/>
    <w:rsid w:val="008E3AFD"/>
    <w:rsid w:val="008E4732"/>
    <w:rsid w:val="008E4B3F"/>
    <w:rsid w:val="008E73EA"/>
    <w:rsid w:val="008F0531"/>
    <w:rsid w:val="008F0787"/>
    <w:rsid w:val="008F1A77"/>
    <w:rsid w:val="008F2092"/>
    <w:rsid w:val="008F2C96"/>
    <w:rsid w:val="008F47B7"/>
    <w:rsid w:val="008F54A4"/>
    <w:rsid w:val="008F5BDC"/>
    <w:rsid w:val="008F65AF"/>
    <w:rsid w:val="0090154A"/>
    <w:rsid w:val="0090449B"/>
    <w:rsid w:val="0090458C"/>
    <w:rsid w:val="00905435"/>
    <w:rsid w:val="00905887"/>
    <w:rsid w:val="009070D9"/>
    <w:rsid w:val="0091062F"/>
    <w:rsid w:val="00910B6B"/>
    <w:rsid w:val="00912149"/>
    <w:rsid w:val="0091234C"/>
    <w:rsid w:val="0091443F"/>
    <w:rsid w:val="0091607E"/>
    <w:rsid w:val="009240B0"/>
    <w:rsid w:val="00927AFD"/>
    <w:rsid w:val="00930B0F"/>
    <w:rsid w:val="009314F4"/>
    <w:rsid w:val="009316A8"/>
    <w:rsid w:val="00931ED8"/>
    <w:rsid w:val="00934E36"/>
    <w:rsid w:val="00936B8D"/>
    <w:rsid w:val="009407A3"/>
    <w:rsid w:val="00943D01"/>
    <w:rsid w:val="00945B4A"/>
    <w:rsid w:val="0094672B"/>
    <w:rsid w:val="00947C19"/>
    <w:rsid w:val="00950C37"/>
    <w:rsid w:val="009545F3"/>
    <w:rsid w:val="00957E62"/>
    <w:rsid w:val="00964FD2"/>
    <w:rsid w:val="00965498"/>
    <w:rsid w:val="00965CAD"/>
    <w:rsid w:val="00967FFB"/>
    <w:rsid w:val="00971284"/>
    <w:rsid w:val="00973E66"/>
    <w:rsid w:val="009747EF"/>
    <w:rsid w:val="00975F87"/>
    <w:rsid w:val="009771A6"/>
    <w:rsid w:val="00977BE8"/>
    <w:rsid w:val="0098092B"/>
    <w:rsid w:val="00981362"/>
    <w:rsid w:val="0098217E"/>
    <w:rsid w:val="00982769"/>
    <w:rsid w:val="009835AE"/>
    <w:rsid w:val="00985F77"/>
    <w:rsid w:val="00986559"/>
    <w:rsid w:val="00987BFF"/>
    <w:rsid w:val="009909D5"/>
    <w:rsid w:val="00991A0C"/>
    <w:rsid w:val="009974FC"/>
    <w:rsid w:val="009978E0"/>
    <w:rsid w:val="00997FE7"/>
    <w:rsid w:val="009A010E"/>
    <w:rsid w:val="009A018D"/>
    <w:rsid w:val="009A1E9E"/>
    <w:rsid w:val="009A5006"/>
    <w:rsid w:val="009A73A0"/>
    <w:rsid w:val="009A7E4E"/>
    <w:rsid w:val="009B0783"/>
    <w:rsid w:val="009B0C40"/>
    <w:rsid w:val="009B0E9A"/>
    <w:rsid w:val="009B243F"/>
    <w:rsid w:val="009B37A4"/>
    <w:rsid w:val="009B38CE"/>
    <w:rsid w:val="009B4A4B"/>
    <w:rsid w:val="009B4E24"/>
    <w:rsid w:val="009B5FB4"/>
    <w:rsid w:val="009B6B00"/>
    <w:rsid w:val="009C201A"/>
    <w:rsid w:val="009C2876"/>
    <w:rsid w:val="009C4E41"/>
    <w:rsid w:val="009C67A1"/>
    <w:rsid w:val="009D008E"/>
    <w:rsid w:val="009D2C65"/>
    <w:rsid w:val="009D3287"/>
    <w:rsid w:val="009D3636"/>
    <w:rsid w:val="009D5554"/>
    <w:rsid w:val="009D6244"/>
    <w:rsid w:val="009D6536"/>
    <w:rsid w:val="009D6B7E"/>
    <w:rsid w:val="009D6C1E"/>
    <w:rsid w:val="009E2CAE"/>
    <w:rsid w:val="009F106E"/>
    <w:rsid w:val="009F26B0"/>
    <w:rsid w:val="009F2B7D"/>
    <w:rsid w:val="009F2CFC"/>
    <w:rsid w:val="009F3587"/>
    <w:rsid w:val="00A01BC5"/>
    <w:rsid w:val="00A04612"/>
    <w:rsid w:val="00A064D3"/>
    <w:rsid w:val="00A077A5"/>
    <w:rsid w:val="00A12ED2"/>
    <w:rsid w:val="00A1374C"/>
    <w:rsid w:val="00A17683"/>
    <w:rsid w:val="00A20008"/>
    <w:rsid w:val="00A2193D"/>
    <w:rsid w:val="00A220AA"/>
    <w:rsid w:val="00A2259C"/>
    <w:rsid w:val="00A22627"/>
    <w:rsid w:val="00A2657F"/>
    <w:rsid w:val="00A27C7F"/>
    <w:rsid w:val="00A313A6"/>
    <w:rsid w:val="00A31976"/>
    <w:rsid w:val="00A320A6"/>
    <w:rsid w:val="00A34511"/>
    <w:rsid w:val="00A3654C"/>
    <w:rsid w:val="00A3741D"/>
    <w:rsid w:val="00A37CCB"/>
    <w:rsid w:val="00A41552"/>
    <w:rsid w:val="00A41C3A"/>
    <w:rsid w:val="00A426EF"/>
    <w:rsid w:val="00A47B37"/>
    <w:rsid w:val="00A5150A"/>
    <w:rsid w:val="00A5268F"/>
    <w:rsid w:val="00A528D4"/>
    <w:rsid w:val="00A536C3"/>
    <w:rsid w:val="00A5431F"/>
    <w:rsid w:val="00A577D9"/>
    <w:rsid w:val="00A6218F"/>
    <w:rsid w:val="00A628C2"/>
    <w:rsid w:val="00A64547"/>
    <w:rsid w:val="00A67A26"/>
    <w:rsid w:val="00A67B1A"/>
    <w:rsid w:val="00A70EFD"/>
    <w:rsid w:val="00A71C6A"/>
    <w:rsid w:val="00A739A4"/>
    <w:rsid w:val="00A7563B"/>
    <w:rsid w:val="00A756F7"/>
    <w:rsid w:val="00A75DA1"/>
    <w:rsid w:val="00A81D95"/>
    <w:rsid w:val="00A90DB5"/>
    <w:rsid w:val="00A920E2"/>
    <w:rsid w:val="00A9215D"/>
    <w:rsid w:val="00A94C6D"/>
    <w:rsid w:val="00A9685E"/>
    <w:rsid w:val="00A96DC8"/>
    <w:rsid w:val="00A96E7C"/>
    <w:rsid w:val="00AA186D"/>
    <w:rsid w:val="00AA4CF9"/>
    <w:rsid w:val="00AA4EA9"/>
    <w:rsid w:val="00AA675E"/>
    <w:rsid w:val="00AA6B97"/>
    <w:rsid w:val="00AB51FB"/>
    <w:rsid w:val="00AB5AA8"/>
    <w:rsid w:val="00AB6E25"/>
    <w:rsid w:val="00AB7961"/>
    <w:rsid w:val="00AC5155"/>
    <w:rsid w:val="00AC713F"/>
    <w:rsid w:val="00AC7B4C"/>
    <w:rsid w:val="00AC7EEE"/>
    <w:rsid w:val="00AD2A3D"/>
    <w:rsid w:val="00AD347D"/>
    <w:rsid w:val="00AD56B3"/>
    <w:rsid w:val="00AD5DBE"/>
    <w:rsid w:val="00AD5FB7"/>
    <w:rsid w:val="00AD76B6"/>
    <w:rsid w:val="00AE1A2F"/>
    <w:rsid w:val="00AE3E66"/>
    <w:rsid w:val="00AE6F18"/>
    <w:rsid w:val="00AE717D"/>
    <w:rsid w:val="00AF2D0F"/>
    <w:rsid w:val="00B00570"/>
    <w:rsid w:val="00B011F3"/>
    <w:rsid w:val="00B03A42"/>
    <w:rsid w:val="00B04061"/>
    <w:rsid w:val="00B04D90"/>
    <w:rsid w:val="00B054F6"/>
    <w:rsid w:val="00B100B4"/>
    <w:rsid w:val="00B11895"/>
    <w:rsid w:val="00B12F5C"/>
    <w:rsid w:val="00B13807"/>
    <w:rsid w:val="00B155AF"/>
    <w:rsid w:val="00B158C0"/>
    <w:rsid w:val="00B17AE8"/>
    <w:rsid w:val="00B24534"/>
    <w:rsid w:val="00B24BAA"/>
    <w:rsid w:val="00B24EFF"/>
    <w:rsid w:val="00B255C4"/>
    <w:rsid w:val="00B25B7C"/>
    <w:rsid w:val="00B2732B"/>
    <w:rsid w:val="00B27641"/>
    <w:rsid w:val="00B31F61"/>
    <w:rsid w:val="00B3290D"/>
    <w:rsid w:val="00B33C25"/>
    <w:rsid w:val="00B35381"/>
    <w:rsid w:val="00B36241"/>
    <w:rsid w:val="00B40095"/>
    <w:rsid w:val="00B4050E"/>
    <w:rsid w:val="00B41455"/>
    <w:rsid w:val="00B41C42"/>
    <w:rsid w:val="00B47C02"/>
    <w:rsid w:val="00B502CE"/>
    <w:rsid w:val="00B51F11"/>
    <w:rsid w:val="00B52A48"/>
    <w:rsid w:val="00B5316D"/>
    <w:rsid w:val="00B548EE"/>
    <w:rsid w:val="00B55794"/>
    <w:rsid w:val="00B56177"/>
    <w:rsid w:val="00B56987"/>
    <w:rsid w:val="00B575E5"/>
    <w:rsid w:val="00B6130B"/>
    <w:rsid w:val="00B6237D"/>
    <w:rsid w:val="00B627B0"/>
    <w:rsid w:val="00B67A7D"/>
    <w:rsid w:val="00B70B90"/>
    <w:rsid w:val="00B70DA5"/>
    <w:rsid w:val="00B70E6C"/>
    <w:rsid w:val="00B72D29"/>
    <w:rsid w:val="00B72D3C"/>
    <w:rsid w:val="00B733A8"/>
    <w:rsid w:val="00B74979"/>
    <w:rsid w:val="00B74EE2"/>
    <w:rsid w:val="00B75636"/>
    <w:rsid w:val="00B77B0A"/>
    <w:rsid w:val="00B80148"/>
    <w:rsid w:val="00B80493"/>
    <w:rsid w:val="00B82856"/>
    <w:rsid w:val="00B8317F"/>
    <w:rsid w:val="00B84FA2"/>
    <w:rsid w:val="00B853AD"/>
    <w:rsid w:val="00B85E58"/>
    <w:rsid w:val="00B90EBF"/>
    <w:rsid w:val="00B938CB"/>
    <w:rsid w:val="00B952CB"/>
    <w:rsid w:val="00B96E79"/>
    <w:rsid w:val="00B96F67"/>
    <w:rsid w:val="00BA1E43"/>
    <w:rsid w:val="00BA433B"/>
    <w:rsid w:val="00BA533F"/>
    <w:rsid w:val="00BA5875"/>
    <w:rsid w:val="00BA687C"/>
    <w:rsid w:val="00BA7C94"/>
    <w:rsid w:val="00BB126C"/>
    <w:rsid w:val="00BB1C4F"/>
    <w:rsid w:val="00BB2A61"/>
    <w:rsid w:val="00BB4FB2"/>
    <w:rsid w:val="00BB56E2"/>
    <w:rsid w:val="00BB589D"/>
    <w:rsid w:val="00BB5C40"/>
    <w:rsid w:val="00BB5F41"/>
    <w:rsid w:val="00BB6B5C"/>
    <w:rsid w:val="00BC09AC"/>
    <w:rsid w:val="00BC219B"/>
    <w:rsid w:val="00BC4D40"/>
    <w:rsid w:val="00BC755F"/>
    <w:rsid w:val="00BC7883"/>
    <w:rsid w:val="00BD0B28"/>
    <w:rsid w:val="00BD12FC"/>
    <w:rsid w:val="00BD1319"/>
    <w:rsid w:val="00BD50E8"/>
    <w:rsid w:val="00BD5F6E"/>
    <w:rsid w:val="00BD68A2"/>
    <w:rsid w:val="00BD78B6"/>
    <w:rsid w:val="00BE62A1"/>
    <w:rsid w:val="00BE661E"/>
    <w:rsid w:val="00BE6724"/>
    <w:rsid w:val="00BE694D"/>
    <w:rsid w:val="00BE6C12"/>
    <w:rsid w:val="00BE6E20"/>
    <w:rsid w:val="00BE7803"/>
    <w:rsid w:val="00BF09E3"/>
    <w:rsid w:val="00BF0A4E"/>
    <w:rsid w:val="00BF0B26"/>
    <w:rsid w:val="00BF0F7F"/>
    <w:rsid w:val="00BF1D1D"/>
    <w:rsid w:val="00BF5880"/>
    <w:rsid w:val="00BF7563"/>
    <w:rsid w:val="00C01D53"/>
    <w:rsid w:val="00C0281B"/>
    <w:rsid w:val="00C02C1F"/>
    <w:rsid w:val="00C02E16"/>
    <w:rsid w:val="00C03024"/>
    <w:rsid w:val="00C0506E"/>
    <w:rsid w:val="00C1068C"/>
    <w:rsid w:val="00C14522"/>
    <w:rsid w:val="00C14B8E"/>
    <w:rsid w:val="00C1562F"/>
    <w:rsid w:val="00C15A81"/>
    <w:rsid w:val="00C163D0"/>
    <w:rsid w:val="00C17307"/>
    <w:rsid w:val="00C17E05"/>
    <w:rsid w:val="00C20A60"/>
    <w:rsid w:val="00C23B0C"/>
    <w:rsid w:val="00C31980"/>
    <w:rsid w:val="00C319F3"/>
    <w:rsid w:val="00C3420C"/>
    <w:rsid w:val="00C362C2"/>
    <w:rsid w:val="00C364D6"/>
    <w:rsid w:val="00C4098D"/>
    <w:rsid w:val="00C43D86"/>
    <w:rsid w:val="00C458BD"/>
    <w:rsid w:val="00C46093"/>
    <w:rsid w:val="00C468E9"/>
    <w:rsid w:val="00C54016"/>
    <w:rsid w:val="00C552D0"/>
    <w:rsid w:val="00C5556E"/>
    <w:rsid w:val="00C55E91"/>
    <w:rsid w:val="00C61E5B"/>
    <w:rsid w:val="00C628CD"/>
    <w:rsid w:val="00C64EC4"/>
    <w:rsid w:val="00C71FDF"/>
    <w:rsid w:val="00C71FE3"/>
    <w:rsid w:val="00C7342D"/>
    <w:rsid w:val="00C73CA5"/>
    <w:rsid w:val="00C74B02"/>
    <w:rsid w:val="00C75B71"/>
    <w:rsid w:val="00C75D72"/>
    <w:rsid w:val="00C76699"/>
    <w:rsid w:val="00C855AC"/>
    <w:rsid w:val="00C8595C"/>
    <w:rsid w:val="00C91528"/>
    <w:rsid w:val="00C9177E"/>
    <w:rsid w:val="00C91DA2"/>
    <w:rsid w:val="00C91E62"/>
    <w:rsid w:val="00C927C1"/>
    <w:rsid w:val="00C934E5"/>
    <w:rsid w:val="00C93D9B"/>
    <w:rsid w:val="00C94F7A"/>
    <w:rsid w:val="00C9545E"/>
    <w:rsid w:val="00C977E6"/>
    <w:rsid w:val="00CA4829"/>
    <w:rsid w:val="00CA619C"/>
    <w:rsid w:val="00CA69F2"/>
    <w:rsid w:val="00CA7954"/>
    <w:rsid w:val="00CA799F"/>
    <w:rsid w:val="00CB0126"/>
    <w:rsid w:val="00CB0228"/>
    <w:rsid w:val="00CB0F02"/>
    <w:rsid w:val="00CB1375"/>
    <w:rsid w:val="00CB2645"/>
    <w:rsid w:val="00CB30F6"/>
    <w:rsid w:val="00CB340C"/>
    <w:rsid w:val="00CB4CA9"/>
    <w:rsid w:val="00CB4DEA"/>
    <w:rsid w:val="00CC0243"/>
    <w:rsid w:val="00CC0273"/>
    <w:rsid w:val="00CC3635"/>
    <w:rsid w:val="00CC7AD5"/>
    <w:rsid w:val="00CD0330"/>
    <w:rsid w:val="00CD593F"/>
    <w:rsid w:val="00CD5AB3"/>
    <w:rsid w:val="00CD5BFA"/>
    <w:rsid w:val="00CD6DB3"/>
    <w:rsid w:val="00CD73DA"/>
    <w:rsid w:val="00CE2BB0"/>
    <w:rsid w:val="00CE2C14"/>
    <w:rsid w:val="00CE2E83"/>
    <w:rsid w:val="00CE35FF"/>
    <w:rsid w:val="00CE401F"/>
    <w:rsid w:val="00CE430E"/>
    <w:rsid w:val="00CE4CBA"/>
    <w:rsid w:val="00CF5099"/>
    <w:rsid w:val="00CF5547"/>
    <w:rsid w:val="00CF5C2E"/>
    <w:rsid w:val="00CF7350"/>
    <w:rsid w:val="00D00FD3"/>
    <w:rsid w:val="00D01225"/>
    <w:rsid w:val="00D0133C"/>
    <w:rsid w:val="00D06641"/>
    <w:rsid w:val="00D07ACC"/>
    <w:rsid w:val="00D07B9B"/>
    <w:rsid w:val="00D121B7"/>
    <w:rsid w:val="00D123CE"/>
    <w:rsid w:val="00D142F3"/>
    <w:rsid w:val="00D14994"/>
    <w:rsid w:val="00D158C4"/>
    <w:rsid w:val="00D20295"/>
    <w:rsid w:val="00D20F69"/>
    <w:rsid w:val="00D230D5"/>
    <w:rsid w:val="00D262EC"/>
    <w:rsid w:val="00D265A6"/>
    <w:rsid w:val="00D2677A"/>
    <w:rsid w:val="00D267A7"/>
    <w:rsid w:val="00D32202"/>
    <w:rsid w:val="00D351ED"/>
    <w:rsid w:val="00D368B4"/>
    <w:rsid w:val="00D41211"/>
    <w:rsid w:val="00D459D4"/>
    <w:rsid w:val="00D4781C"/>
    <w:rsid w:val="00D47E85"/>
    <w:rsid w:val="00D5009F"/>
    <w:rsid w:val="00D507EA"/>
    <w:rsid w:val="00D51027"/>
    <w:rsid w:val="00D5672C"/>
    <w:rsid w:val="00D60180"/>
    <w:rsid w:val="00D64507"/>
    <w:rsid w:val="00D67009"/>
    <w:rsid w:val="00D710BB"/>
    <w:rsid w:val="00D714D7"/>
    <w:rsid w:val="00D73321"/>
    <w:rsid w:val="00D74C4E"/>
    <w:rsid w:val="00D76826"/>
    <w:rsid w:val="00D81556"/>
    <w:rsid w:val="00D83374"/>
    <w:rsid w:val="00D839C9"/>
    <w:rsid w:val="00D841A9"/>
    <w:rsid w:val="00D855B3"/>
    <w:rsid w:val="00D8607F"/>
    <w:rsid w:val="00D8630B"/>
    <w:rsid w:val="00D86E87"/>
    <w:rsid w:val="00D86ECC"/>
    <w:rsid w:val="00D873DA"/>
    <w:rsid w:val="00D91068"/>
    <w:rsid w:val="00D9374F"/>
    <w:rsid w:val="00D943B2"/>
    <w:rsid w:val="00D952A1"/>
    <w:rsid w:val="00DA0BA5"/>
    <w:rsid w:val="00DA2BEB"/>
    <w:rsid w:val="00DA3448"/>
    <w:rsid w:val="00DA40FF"/>
    <w:rsid w:val="00DA5521"/>
    <w:rsid w:val="00DB2F66"/>
    <w:rsid w:val="00DB2F71"/>
    <w:rsid w:val="00DB7C40"/>
    <w:rsid w:val="00DC0261"/>
    <w:rsid w:val="00DC0A04"/>
    <w:rsid w:val="00DC224F"/>
    <w:rsid w:val="00DC2DEE"/>
    <w:rsid w:val="00DC4402"/>
    <w:rsid w:val="00DC7FF0"/>
    <w:rsid w:val="00DD0EE9"/>
    <w:rsid w:val="00DD2C40"/>
    <w:rsid w:val="00DD3795"/>
    <w:rsid w:val="00DD44E7"/>
    <w:rsid w:val="00DD5258"/>
    <w:rsid w:val="00DD5496"/>
    <w:rsid w:val="00DD68C3"/>
    <w:rsid w:val="00DD6C0D"/>
    <w:rsid w:val="00DD7193"/>
    <w:rsid w:val="00DE109F"/>
    <w:rsid w:val="00DE2196"/>
    <w:rsid w:val="00DE5BAD"/>
    <w:rsid w:val="00DE5E08"/>
    <w:rsid w:val="00DF175D"/>
    <w:rsid w:val="00DF39BF"/>
    <w:rsid w:val="00DF6BA3"/>
    <w:rsid w:val="00E005A4"/>
    <w:rsid w:val="00E017EC"/>
    <w:rsid w:val="00E01F9D"/>
    <w:rsid w:val="00E030CF"/>
    <w:rsid w:val="00E0381A"/>
    <w:rsid w:val="00E064C7"/>
    <w:rsid w:val="00E0654C"/>
    <w:rsid w:val="00E12B80"/>
    <w:rsid w:val="00E1476B"/>
    <w:rsid w:val="00E17724"/>
    <w:rsid w:val="00E17D44"/>
    <w:rsid w:val="00E205BB"/>
    <w:rsid w:val="00E20A55"/>
    <w:rsid w:val="00E212F6"/>
    <w:rsid w:val="00E227A4"/>
    <w:rsid w:val="00E22940"/>
    <w:rsid w:val="00E242F0"/>
    <w:rsid w:val="00E311A8"/>
    <w:rsid w:val="00E316C2"/>
    <w:rsid w:val="00E35D50"/>
    <w:rsid w:val="00E36AF8"/>
    <w:rsid w:val="00E370FF"/>
    <w:rsid w:val="00E37265"/>
    <w:rsid w:val="00E372E4"/>
    <w:rsid w:val="00E37A7D"/>
    <w:rsid w:val="00E427F2"/>
    <w:rsid w:val="00E45A06"/>
    <w:rsid w:val="00E463B0"/>
    <w:rsid w:val="00E476FD"/>
    <w:rsid w:val="00E5079E"/>
    <w:rsid w:val="00E51C81"/>
    <w:rsid w:val="00E51DC9"/>
    <w:rsid w:val="00E5442D"/>
    <w:rsid w:val="00E54CE2"/>
    <w:rsid w:val="00E570B8"/>
    <w:rsid w:val="00E579E5"/>
    <w:rsid w:val="00E62B29"/>
    <w:rsid w:val="00E6436B"/>
    <w:rsid w:val="00E66232"/>
    <w:rsid w:val="00E67909"/>
    <w:rsid w:val="00E7153A"/>
    <w:rsid w:val="00E72C98"/>
    <w:rsid w:val="00E737AF"/>
    <w:rsid w:val="00E73FD4"/>
    <w:rsid w:val="00E77233"/>
    <w:rsid w:val="00E800ED"/>
    <w:rsid w:val="00E80F7A"/>
    <w:rsid w:val="00E811D3"/>
    <w:rsid w:val="00E813AF"/>
    <w:rsid w:val="00E82125"/>
    <w:rsid w:val="00E92448"/>
    <w:rsid w:val="00E92825"/>
    <w:rsid w:val="00E95523"/>
    <w:rsid w:val="00EA37CC"/>
    <w:rsid w:val="00EA3AD0"/>
    <w:rsid w:val="00EA70DB"/>
    <w:rsid w:val="00EA7D0C"/>
    <w:rsid w:val="00EB1EB3"/>
    <w:rsid w:val="00EB275C"/>
    <w:rsid w:val="00EB27CF"/>
    <w:rsid w:val="00EB5B8E"/>
    <w:rsid w:val="00EB5CC8"/>
    <w:rsid w:val="00EB6CB6"/>
    <w:rsid w:val="00EB6E82"/>
    <w:rsid w:val="00EB7EA1"/>
    <w:rsid w:val="00EC0E31"/>
    <w:rsid w:val="00EC104B"/>
    <w:rsid w:val="00EC1B39"/>
    <w:rsid w:val="00EC22A4"/>
    <w:rsid w:val="00EC5A52"/>
    <w:rsid w:val="00EC6623"/>
    <w:rsid w:val="00ED3F04"/>
    <w:rsid w:val="00ED3FAC"/>
    <w:rsid w:val="00ED4BFD"/>
    <w:rsid w:val="00ED7438"/>
    <w:rsid w:val="00EE0495"/>
    <w:rsid w:val="00EE0BDC"/>
    <w:rsid w:val="00EE6312"/>
    <w:rsid w:val="00EF158C"/>
    <w:rsid w:val="00EF1918"/>
    <w:rsid w:val="00EF239F"/>
    <w:rsid w:val="00EF24E6"/>
    <w:rsid w:val="00F00AF2"/>
    <w:rsid w:val="00F03A84"/>
    <w:rsid w:val="00F07397"/>
    <w:rsid w:val="00F1159E"/>
    <w:rsid w:val="00F117EE"/>
    <w:rsid w:val="00F13CAE"/>
    <w:rsid w:val="00F14701"/>
    <w:rsid w:val="00F157D9"/>
    <w:rsid w:val="00F172A3"/>
    <w:rsid w:val="00F232E6"/>
    <w:rsid w:val="00F26472"/>
    <w:rsid w:val="00F26BDA"/>
    <w:rsid w:val="00F26D61"/>
    <w:rsid w:val="00F26E82"/>
    <w:rsid w:val="00F32588"/>
    <w:rsid w:val="00F32E0C"/>
    <w:rsid w:val="00F32F4E"/>
    <w:rsid w:val="00F34C75"/>
    <w:rsid w:val="00F36398"/>
    <w:rsid w:val="00F36F4B"/>
    <w:rsid w:val="00F36F92"/>
    <w:rsid w:val="00F41E11"/>
    <w:rsid w:val="00F42C79"/>
    <w:rsid w:val="00F43E79"/>
    <w:rsid w:val="00F4440C"/>
    <w:rsid w:val="00F47E1D"/>
    <w:rsid w:val="00F507D1"/>
    <w:rsid w:val="00F519CD"/>
    <w:rsid w:val="00F53364"/>
    <w:rsid w:val="00F536BA"/>
    <w:rsid w:val="00F53964"/>
    <w:rsid w:val="00F5438E"/>
    <w:rsid w:val="00F54F5C"/>
    <w:rsid w:val="00F550E5"/>
    <w:rsid w:val="00F57791"/>
    <w:rsid w:val="00F61374"/>
    <w:rsid w:val="00F6306C"/>
    <w:rsid w:val="00F6395C"/>
    <w:rsid w:val="00F640FF"/>
    <w:rsid w:val="00F64CCC"/>
    <w:rsid w:val="00F656B9"/>
    <w:rsid w:val="00F6606E"/>
    <w:rsid w:val="00F660CD"/>
    <w:rsid w:val="00F66853"/>
    <w:rsid w:val="00F67015"/>
    <w:rsid w:val="00F67FE8"/>
    <w:rsid w:val="00F7007B"/>
    <w:rsid w:val="00F7029C"/>
    <w:rsid w:val="00F76A4B"/>
    <w:rsid w:val="00F80473"/>
    <w:rsid w:val="00F80E51"/>
    <w:rsid w:val="00F81317"/>
    <w:rsid w:val="00F81366"/>
    <w:rsid w:val="00F8370E"/>
    <w:rsid w:val="00F91892"/>
    <w:rsid w:val="00F91940"/>
    <w:rsid w:val="00F926DE"/>
    <w:rsid w:val="00FA2565"/>
    <w:rsid w:val="00FA5A48"/>
    <w:rsid w:val="00FB05DE"/>
    <w:rsid w:val="00FB1BED"/>
    <w:rsid w:val="00FB2FB5"/>
    <w:rsid w:val="00FB42E8"/>
    <w:rsid w:val="00FB537D"/>
    <w:rsid w:val="00FB61EF"/>
    <w:rsid w:val="00FB656B"/>
    <w:rsid w:val="00FB6CC3"/>
    <w:rsid w:val="00FC0403"/>
    <w:rsid w:val="00FC1B93"/>
    <w:rsid w:val="00FC2172"/>
    <w:rsid w:val="00FC5EC6"/>
    <w:rsid w:val="00FC7F7F"/>
    <w:rsid w:val="00FD19C1"/>
    <w:rsid w:val="00FD26E8"/>
    <w:rsid w:val="00FD3D94"/>
    <w:rsid w:val="00FD40CB"/>
    <w:rsid w:val="00FD42F6"/>
    <w:rsid w:val="00FD5641"/>
    <w:rsid w:val="00FD70DB"/>
    <w:rsid w:val="00FE163C"/>
    <w:rsid w:val="00FE3D8F"/>
    <w:rsid w:val="00FE48F1"/>
    <w:rsid w:val="00FE61FB"/>
    <w:rsid w:val="00FE649B"/>
    <w:rsid w:val="00FF0D95"/>
    <w:rsid w:val="00FF1988"/>
    <w:rsid w:val="00FF5085"/>
    <w:rsid w:val="00FF69D0"/>
    <w:rsid w:val="0B83CB1B"/>
    <w:rsid w:val="19080F0F"/>
    <w:rsid w:val="1B259B7A"/>
    <w:rsid w:val="1D807697"/>
    <w:rsid w:val="20289AD0"/>
    <w:rsid w:val="27A15360"/>
    <w:rsid w:val="416CEC05"/>
    <w:rsid w:val="437AB0D7"/>
    <w:rsid w:val="4ABCD356"/>
    <w:rsid w:val="77D38572"/>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0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 Sans Light" w:eastAsia="Arial" w:hAnsi="Public Sans Light" w:cs="Times New Roman"/>
        <w:sz w:val="22"/>
        <w:szCs w:val="22"/>
        <w:lang w:val="en-AU" w:eastAsia="en-US" w:bidi="ar-SA"/>
      </w:rPr>
    </w:rPrDefault>
    <w:pPrDefault>
      <w:pPr>
        <w:spacing w:before="120" w:after="120" w:line="288"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2"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qFormat="1"/>
    <w:lsdException w:name="List 2" w:semiHidden="1"/>
    <w:lsdException w:name="List 3" w:semiHidden="1"/>
    <w:lsdException w:name="List 5" w:semiHidden="1"/>
    <w:lsdException w:name="List Bullet 2" w:qFormat="1"/>
    <w:lsdException w:name="List Bullet 3"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D3D5D"/>
  </w:style>
  <w:style w:type="paragraph" w:styleId="Heading1">
    <w:name w:val="heading 1"/>
    <w:basedOn w:val="Normal"/>
    <w:next w:val="BodyText"/>
    <w:link w:val="Heading1Char"/>
    <w:uiPriority w:val="1"/>
    <w:qFormat/>
    <w:rsid w:val="00C0506E"/>
    <w:pPr>
      <w:keepNext/>
      <w:keepLines/>
      <w:spacing w:after="960" w:line="216" w:lineRule="auto"/>
      <w:outlineLvl w:val="0"/>
    </w:pPr>
    <w:rPr>
      <w:rFonts w:asciiTheme="majorHAnsi" w:hAnsiTheme="majorHAnsi"/>
      <w:bCs/>
      <w:color w:val="22272B" w:themeColor="text1"/>
      <w:sz w:val="56"/>
      <w:szCs w:val="72"/>
    </w:rPr>
  </w:style>
  <w:style w:type="paragraph" w:styleId="Heading2">
    <w:name w:val="heading 2"/>
    <w:basedOn w:val="Normal"/>
    <w:next w:val="BodyText"/>
    <w:link w:val="Heading2Char"/>
    <w:uiPriority w:val="1"/>
    <w:qFormat/>
    <w:rsid w:val="00C0506E"/>
    <w:pPr>
      <w:keepNext/>
      <w:keepLines/>
      <w:pBdr>
        <w:top w:val="single" w:sz="4" w:space="6" w:color="002664" w:themeColor="background2"/>
      </w:pBdr>
      <w:spacing w:before="480" w:after="240" w:line="192" w:lineRule="auto"/>
      <w:outlineLvl w:val="1"/>
    </w:pPr>
    <w:rPr>
      <w:rFonts w:asciiTheme="majorHAnsi" w:hAnsiTheme="majorHAnsi" w:cs="ArialMT"/>
      <w:bCs/>
      <w:color w:val="002664" w:themeColor="accent1"/>
      <w:sz w:val="36"/>
      <w:szCs w:val="36"/>
      <w:lang w:val="en-GB"/>
    </w:rPr>
  </w:style>
  <w:style w:type="paragraph" w:styleId="Heading3">
    <w:name w:val="heading 3"/>
    <w:basedOn w:val="Normal"/>
    <w:next w:val="BodyText"/>
    <w:link w:val="Heading3Char"/>
    <w:uiPriority w:val="1"/>
    <w:qFormat/>
    <w:rsid w:val="00C0506E"/>
    <w:pPr>
      <w:keepNext/>
      <w:keepLines/>
      <w:spacing w:before="360" w:after="160" w:line="240" w:lineRule="auto"/>
      <w:outlineLvl w:val="2"/>
    </w:pPr>
    <w:rPr>
      <w:rFonts w:ascii="Public Sans Medium" w:eastAsia="Times New Roman" w:hAnsi="Public Sans Medium"/>
      <w:color w:val="002664" w:themeColor="accent1"/>
      <w:sz w:val="28"/>
      <w:szCs w:val="28"/>
    </w:rPr>
  </w:style>
  <w:style w:type="paragraph" w:styleId="Heading4">
    <w:name w:val="heading 4"/>
    <w:basedOn w:val="Normal"/>
    <w:next w:val="BodyText"/>
    <w:link w:val="Heading4Char"/>
    <w:uiPriority w:val="1"/>
    <w:qFormat/>
    <w:rsid w:val="00C0506E"/>
    <w:pPr>
      <w:keepNext/>
      <w:keepLines/>
      <w:spacing w:before="240" w:line="240" w:lineRule="auto"/>
      <w:outlineLvl w:val="3"/>
    </w:pPr>
    <w:rPr>
      <w:rFonts w:ascii="Public Sans SemiBold" w:eastAsiaTheme="majorEastAsia" w:hAnsi="Public Sans SemiBold" w:cstheme="majorBidi"/>
      <w:color w:val="002664" w:themeColor="accent1"/>
      <w:sz w:val="25"/>
      <w:szCs w:val="25"/>
    </w:rPr>
  </w:style>
  <w:style w:type="paragraph" w:styleId="Heading5">
    <w:name w:val="heading 5"/>
    <w:basedOn w:val="Normal"/>
    <w:next w:val="BodyText"/>
    <w:link w:val="Heading5Char"/>
    <w:uiPriority w:val="1"/>
    <w:qFormat/>
    <w:rsid w:val="00C0506E"/>
    <w:pPr>
      <w:keepNext/>
      <w:keepLines/>
      <w:spacing w:before="240" w:line="240" w:lineRule="auto"/>
      <w:outlineLvl w:val="4"/>
    </w:pPr>
    <w:rPr>
      <w:rFonts w:ascii="Public Sans SemiBold" w:eastAsiaTheme="majorEastAsia" w:hAnsi="Public Sans SemiBold" w:cstheme="majorBidi"/>
      <w:bCs/>
      <w:color w:val="002664" w:themeColor="accent1"/>
    </w:rPr>
  </w:style>
  <w:style w:type="paragraph" w:styleId="Heading6">
    <w:name w:val="heading 6"/>
    <w:basedOn w:val="Normal"/>
    <w:next w:val="Normal"/>
    <w:link w:val="Heading6Char"/>
    <w:uiPriority w:val="1"/>
    <w:semiHidden/>
    <w:rsid w:val="00C0506E"/>
    <w:pPr>
      <w:keepNext/>
      <w:keepLines/>
      <w:spacing w:before="40" w:after="0"/>
      <w:outlineLvl w:val="5"/>
    </w:pPr>
    <w:rPr>
      <w:rFonts w:asciiTheme="majorHAnsi" w:eastAsiaTheme="majorEastAsia" w:hAnsiTheme="majorHAnsi" w:cstheme="majorBidi"/>
      <w:color w:val="001231" w:themeColor="accent1" w:themeShade="7F"/>
    </w:rPr>
  </w:style>
  <w:style w:type="paragraph" w:styleId="Heading7">
    <w:name w:val="heading 7"/>
    <w:basedOn w:val="Normal"/>
    <w:next w:val="Normal"/>
    <w:link w:val="Heading7Char"/>
    <w:uiPriority w:val="1"/>
    <w:semiHidden/>
    <w:rsid w:val="00C0506E"/>
    <w:pPr>
      <w:keepNext/>
      <w:keepLines/>
      <w:spacing w:before="40" w:after="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1"/>
    <w:semiHidden/>
    <w:rsid w:val="00C0506E"/>
    <w:pPr>
      <w:keepNext/>
      <w:keepLines/>
      <w:spacing w:before="40" w:after="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1"/>
    <w:semiHidden/>
    <w:rsid w:val="00C0506E"/>
    <w:pPr>
      <w:keepNext/>
      <w:keepLines/>
      <w:spacing w:before="40" w:after="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0506E"/>
    <w:rPr>
      <w:rFonts w:asciiTheme="majorHAnsi" w:hAnsiTheme="majorHAnsi"/>
      <w:bCs/>
      <w:color w:val="22272B" w:themeColor="text1"/>
      <w:sz w:val="56"/>
      <w:szCs w:val="72"/>
    </w:rPr>
  </w:style>
  <w:style w:type="character" w:customStyle="1" w:styleId="Heading2Char">
    <w:name w:val="Heading 2 Char"/>
    <w:basedOn w:val="DefaultParagraphFont"/>
    <w:link w:val="Heading2"/>
    <w:uiPriority w:val="1"/>
    <w:rsid w:val="00C0506E"/>
    <w:rPr>
      <w:rFonts w:asciiTheme="majorHAnsi" w:hAnsiTheme="majorHAnsi" w:cs="ArialMT"/>
      <w:bCs/>
      <w:color w:val="002664" w:themeColor="accent1"/>
      <w:sz w:val="36"/>
      <w:szCs w:val="36"/>
      <w:lang w:val="en-GB"/>
    </w:rPr>
  </w:style>
  <w:style w:type="table" w:styleId="TableGrid">
    <w:name w:val="Table Grid"/>
    <w:basedOn w:val="TableNormal"/>
    <w:uiPriority w:val="59"/>
    <w:rsid w:val="00C0506E"/>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next w:val="BodyText"/>
    <w:link w:val="HeaderChar"/>
    <w:uiPriority w:val="99"/>
    <w:unhideWhenUsed/>
    <w:rsid w:val="00C0506E"/>
    <w:pPr>
      <w:pBdr>
        <w:bottom w:val="single" w:sz="4" w:space="1" w:color="auto"/>
      </w:pBdr>
      <w:spacing w:after="240"/>
    </w:pPr>
    <w:rPr>
      <w:rFonts w:cs="Arial-Black"/>
      <w:noProof/>
      <w:spacing w:val="-5"/>
      <w:sz w:val="16"/>
      <w:szCs w:val="16"/>
    </w:rPr>
  </w:style>
  <w:style w:type="character" w:customStyle="1" w:styleId="HeaderChar">
    <w:name w:val="Header Char"/>
    <w:basedOn w:val="DefaultParagraphFont"/>
    <w:link w:val="Header"/>
    <w:uiPriority w:val="99"/>
    <w:rsid w:val="00C0506E"/>
    <w:rPr>
      <w:rFonts w:cs="Arial-Black"/>
      <w:noProof/>
      <w:spacing w:val="-5"/>
      <w:sz w:val="16"/>
      <w:szCs w:val="16"/>
    </w:rPr>
  </w:style>
  <w:style w:type="paragraph" w:styleId="Footer">
    <w:name w:val="footer"/>
    <w:basedOn w:val="Normal"/>
    <w:link w:val="FooterChar"/>
    <w:uiPriority w:val="99"/>
    <w:unhideWhenUsed/>
    <w:rsid w:val="00C0506E"/>
    <w:pPr>
      <w:pBdr>
        <w:top w:val="single" w:sz="4" w:space="4" w:color="22272B" w:themeColor="text1"/>
      </w:pBdr>
      <w:tabs>
        <w:tab w:val="right" w:pos="10198"/>
      </w:tabs>
    </w:pPr>
    <w:rPr>
      <w:sz w:val="16"/>
      <w:szCs w:val="16"/>
    </w:rPr>
  </w:style>
  <w:style w:type="character" w:customStyle="1" w:styleId="FooterChar">
    <w:name w:val="Footer Char"/>
    <w:basedOn w:val="DefaultParagraphFont"/>
    <w:link w:val="Footer"/>
    <w:uiPriority w:val="99"/>
    <w:rsid w:val="00C0506E"/>
    <w:rPr>
      <w:sz w:val="16"/>
      <w:szCs w:val="16"/>
    </w:rPr>
  </w:style>
  <w:style w:type="paragraph" w:styleId="NoSpacing">
    <w:name w:val="No Spacing"/>
    <w:basedOn w:val="Normal"/>
    <w:next w:val="BodyText"/>
    <w:rsid w:val="00C0506E"/>
    <w:pPr>
      <w:spacing w:before="0" w:after="0"/>
    </w:pPr>
  </w:style>
  <w:style w:type="paragraph" w:styleId="BodyText">
    <w:name w:val="Body Text"/>
    <w:basedOn w:val="Normal"/>
    <w:link w:val="BodyTextChar"/>
    <w:qFormat/>
    <w:rsid w:val="00CC3635"/>
  </w:style>
  <w:style w:type="character" w:customStyle="1" w:styleId="BodyTextChar">
    <w:name w:val="Body Text Char"/>
    <w:basedOn w:val="DefaultParagraphFont"/>
    <w:link w:val="BodyText"/>
    <w:rsid w:val="001F2BE7"/>
  </w:style>
  <w:style w:type="paragraph" w:styleId="ListContinue">
    <w:name w:val="List Continue"/>
    <w:aliases w:val="List Continue 1"/>
    <w:basedOn w:val="Normal"/>
    <w:uiPriority w:val="3"/>
    <w:rsid w:val="00C0506E"/>
    <w:pPr>
      <w:spacing w:before="60" w:after="60"/>
      <w:ind w:left="624"/>
    </w:pPr>
  </w:style>
  <w:style w:type="character" w:customStyle="1" w:styleId="Heading3Char">
    <w:name w:val="Heading 3 Char"/>
    <w:basedOn w:val="DefaultParagraphFont"/>
    <w:link w:val="Heading3"/>
    <w:uiPriority w:val="1"/>
    <w:rsid w:val="00C0506E"/>
    <w:rPr>
      <w:rFonts w:ascii="Public Sans Medium" w:eastAsia="Times New Roman" w:hAnsi="Public Sans Medium"/>
      <w:color w:val="002664" w:themeColor="accent1"/>
      <w:sz w:val="28"/>
      <w:szCs w:val="28"/>
    </w:rPr>
  </w:style>
  <w:style w:type="character" w:styleId="PlaceholderText">
    <w:name w:val="Placeholder Text"/>
    <w:basedOn w:val="DefaultParagraphFont"/>
    <w:semiHidden/>
    <w:rsid w:val="00C0506E"/>
    <w:rPr>
      <w:color w:val="808080"/>
    </w:rPr>
  </w:style>
  <w:style w:type="paragraph" w:customStyle="1" w:styleId="BodySmall">
    <w:name w:val="Body Small"/>
    <w:basedOn w:val="BodyText"/>
    <w:link w:val="BodySmallChar"/>
    <w:uiPriority w:val="5"/>
    <w:qFormat/>
    <w:rsid w:val="00C0506E"/>
    <w:rPr>
      <w:sz w:val="20"/>
    </w:rPr>
  </w:style>
  <w:style w:type="paragraph" w:styleId="List4">
    <w:name w:val="List 4"/>
    <w:basedOn w:val="Normal"/>
    <w:uiPriority w:val="3"/>
    <w:semiHidden/>
    <w:rsid w:val="00C0506E"/>
    <w:pPr>
      <w:numPr>
        <w:numId w:val="8"/>
      </w:numPr>
      <w:spacing w:before="60" w:after="60"/>
      <w:contextualSpacing/>
    </w:pPr>
  </w:style>
  <w:style w:type="paragraph" w:styleId="Salutation">
    <w:name w:val="Salutation"/>
    <w:basedOn w:val="Normal"/>
    <w:next w:val="Normal"/>
    <w:link w:val="SalutationChar"/>
    <w:semiHidden/>
    <w:rsid w:val="00C0506E"/>
  </w:style>
  <w:style w:type="character" w:customStyle="1" w:styleId="SalutationChar">
    <w:name w:val="Salutation Char"/>
    <w:basedOn w:val="DefaultParagraphFont"/>
    <w:link w:val="Salutation"/>
    <w:semiHidden/>
    <w:rsid w:val="00C0506E"/>
  </w:style>
  <w:style w:type="paragraph" w:customStyle="1" w:styleId="RearCoverText">
    <w:name w:val="Rear Cover Text"/>
    <w:basedOn w:val="BodyText"/>
    <w:link w:val="RearCoverTextChar"/>
    <w:rsid w:val="00C0506E"/>
    <w:pPr>
      <w:spacing w:after="227"/>
      <w:ind w:left="284"/>
    </w:pPr>
    <w:rPr>
      <w:rFonts w:asciiTheme="majorHAnsi" w:hAnsiTheme="majorHAnsi"/>
      <w:color w:val="FFFFFF" w:themeColor="background1"/>
    </w:rPr>
  </w:style>
  <w:style w:type="paragraph" w:styleId="TOC1">
    <w:name w:val="toc 1"/>
    <w:basedOn w:val="BodyText"/>
    <w:uiPriority w:val="39"/>
    <w:rsid w:val="00C0506E"/>
    <w:pPr>
      <w:tabs>
        <w:tab w:val="right" w:leader="dot" w:pos="10188"/>
      </w:tabs>
      <w:spacing w:after="60" w:line="240" w:lineRule="auto"/>
    </w:pPr>
    <w:rPr>
      <w:rFonts w:asciiTheme="majorHAnsi" w:hAnsiTheme="majorHAnsi"/>
      <w:b/>
      <w:bCs/>
      <w:noProof/>
      <w:color w:val="22272B" w:themeColor="text1"/>
    </w:rPr>
  </w:style>
  <w:style w:type="paragraph" w:styleId="TOC2">
    <w:name w:val="toc 2"/>
    <w:basedOn w:val="BodyText"/>
    <w:uiPriority w:val="39"/>
    <w:semiHidden/>
    <w:rsid w:val="00C0506E"/>
    <w:pPr>
      <w:tabs>
        <w:tab w:val="right" w:leader="dot" w:pos="10188"/>
      </w:tabs>
      <w:spacing w:before="60" w:after="60" w:line="240" w:lineRule="auto"/>
      <w:ind w:left="57"/>
    </w:pPr>
    <w:rPr>
      <w:noProof/>
      <w:color w:val="22272B" w:themeColor="text1"/>
    </w:rPr>
  </w:style>
  <w:style w:type="character" w:styleId="Hyperlink">
    <w:name w:val="Hyperlink"/>
    <w:uiPriority w:val="99"/>
    <w:unhideWhenUsed/>
    <w:rsid w:val="00C0506E"/>
    <w:rPr>
      <w:color w:val="22272B" w:themeColor="hyperlink"/>
      <w:u w:val="single"/>
    </w:rPr>
  </w:style>
  <w:style w:type="paragraph" w:styleId="TOCHeading">
    <w:name w:val="TOC Heading"/>
    <w:basedOn w:val="Heading1"/>
    <w:next w:val="BodyText"/>
    <w:uiPriority w:val="39"/>
    <w:semiHidden/>
    <w:qFormat/>
    <w:rsid w:val="00C0506E"/>
    <w:pPr>
      <w:spacing w:before="0" w:after="1701"/>
      <w:outlineLvl w:val="9"/>
    </w:pPr>
    <w:rPr>
      <w:rFonts w:eastAsiaTheme="majorEastAsia" w:cstheme="majorBidi"/>
      <w:bCs w:val="0"/>
    </w:rPr>
  </w:style>
  <w:style w:type="paragraph" w:styleId="TOC3">
    <w:name w:val="toc 3"/>
    <w:basedOn w:val="BodyText"/>
    <w:uiPriority w:val="39"/>
    <w:rsid w:val="00CD5AB3"/>
    <w:pPr>
      <w:tabs>
        <w:tab w:val="right" w:leader="dot" w:pos="10188"/>
      </w:tabs>
      <w:spacing w:before="60" w:after="60" w:line="240" w:lineRule="auto"/>
      <w:ind w:left="113"/>
    </w:pPr>
    <w:rPr>
      <w:noProof/>
      <w:color w:val="22272B" w:themeColor="text1"/>
    </w:rPr>
  </w:style>
  <w:style w:type="character" w:customStyle="1" w:styleId="Heading4Char">
    <w:name w:val="Heading 4 Char"/>
    <w:basedOn w:val="DefaultParagraphFont"/>
    <w:link w:val="Heading4"/>
    <w:uiPriority w:val="1"/>
    <w:rsid w:val="00C0506E"/>
    <w:rPr>
      <w:rFonts w:ascii="Public Sans SemiBold" w:eastAsiaTheme="majorEastAsia" w:hAnsi="Public Sans SemiBold" w:cstheme="majorBidi"/>
      <w:color w:val="002664" w:themeColor="accent1"/>
      <w:sz w:val="25"/>
      <w:szCs w:val="25"/>
    </w:rPr>
  </w:style>
  <w:style w:type="character" w:customStyle="1" w:styleId="Heading5Char">
    <w:name w:val="Heading 5 Char"/>
    <w:basedOn w:val="DefaultParagraphFont"/>
    <w:link w:val="Heading5"/>
    <w:uiPriority w:val="1"/>
    <w:rsid w:val="00C0506E"/>
    <w:rPr>
      <w:rFonts w:ascii="Public Sans SemiBold" w:eastAsiaTheme="majorEastAsia" w:hAnsi="Public Sans SemiBold" w:cstheme="majorBidi"/>
      <w:bCs/>
      <w:color w:val="002664" w:themeColor="accent1"/>
    </w:rPr>
  </w:style>
  <w:style w:type="character" w:styleId="SubtleReference">
    <w:name w:val="Subtle Reference"/>
    <w:basedOn w:val="DefaultParagraphFont"/>
    <w:uiPriority w:val="31"/>
    <w:rsid w:val="00C0506E"/>
    <w:rPr>
      <w:smallCaps/>
      <w:color w:val="657480" w:themeColor="text1" w:themeTint="A5"/>
    </w:rPr>
  </w:style>
  <w:style w:type="table" w:styleId="TableGridLight">
    <w:name w:val="Grid Table Light"/>
    <w:basedOn w:val="TableNormal"/>
    <w:uiPriority w:val="40"/>
    <w:rsid w:val="00C050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DPEFinancialTable">
    <w:name w:val="3 DPE Financial Table"/>
    <w:basedOn w:val="TableNormal"/>
    <w:uiPriority w:val="99"/>
    <w:rsid w:val="00C0506E"/>
    <w:rPr>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002664" w:themeColor="background2"/>
      </w:rPr>
      <w:tblPr/>
      <w:trPr>
        <w:tblHeader/>
      </w:trPr>
      <w:tcPr>
        <w:tcBorders>
          <w:top w:val="single" w:sz="4" w:space="0" w:color="22272B" w:themeColor="text1"/>
        </w:tcBorders>
        <w:vAlign w:val="bottom"/>
      </w:tcPr>
    </w:tblStylePr>
    <w:tblStylePr w:type="firstCol">
      <w:rPr>
        <w:b/>
      </w:rPr>
    </w:tblStylePr>
  </w:style>
  <w:style w:type="paragraph" w:styleId="FootnoteText">
    <w:name w:val="footnote text"/>
    <w:basedOn w:val="Normal"/>
    <w:link w:val="FootnoteTextChar"/>
    <w:uiPriority w:val="99"/>
    <w:rsid w:val="00C0506E"/>
    <w:pPr>
      <w:spacing w:before="60" w:after="60" w:line="180" w:lineRule="atLeast"/>
    </w:pPr>
    <w:rPr>
      <w:sz w:val="16"/>
      <w:szCs w:val="14"/>
      <w:lang w:val="en-US"/>
    </w:rPr>
  </w:style>
  <w:style w:type="character" w:customStyle="1" w:styleId="FootnoteTextChar">
    <w:name w:val="Footnote Text Char"/>
    <w:basedOn w:val="DefaultParagraphFont"/>
    <w:link w:val="FootnoteText"/>
    <w:uiPriority w:val="99"/>
    <w:rsid w:val="00C0506E"/>
    <w:rPr>
      <w:sz w:val="16"/>
      <w:szCs w:val="14"/>
      <w:lang w:val="en-US"/>
    </w:rPr>
  </w:style>
  <w:style w:type="character" w:styleId="FootnoteReference">
    <w:name w:val="footnote reference"/>
    <w:basedOn w:val="DefaultParagraphFont"/>
    <w:uiPriority w:val="99"/>
    <w:unhideWhenUsed/>
    <w:rsid w:val="00C0506E"/>
    <w:rPr>
      <w:vertAlign w:val="superscript"/>
    </w:rPr>
  </w:style>
  <w:style w:type="table" w:styleId="ListTable4-Accent3">
    <w:name w:val="List Table 4 Accent 3"/>
    <w:aliases w:val="NSWG Standard Table"/>
    <w:basedOn w:val="TableNormal"/>
    <w:uiPriority w:val="49"/>
    <w:rsid w:val="00C0506E"/>
    <w:rPr>
      <w:sz w:val="20"/>
    </w:rPr>
    <w:tblPr>
      <w:tblStyleRowBandSize w:val="1"/>
      <w:tblStyleColBandSize w:val="1"/>
      <w:tblBorders>
        <w:bottom w:val="single" w:sz="4" w:space="0" w:color="22272B" w:themeColor="text1"/>
      </w:tblBorders>
    </w:tblPr>
    <w:tblStylePr w:type="firstRow">
      <w:rPr>
        <w:rFonts w:asciiTheme="majorHAnsi" w:hAnsiTheme="majorHAnsi"/>
        <w:b/>
        <w:bCs/>
        <w:color w:val="002664" w:themeColor="background2"/>
        <w:sz w:val="20"/>
      </w:rPr>
      <w:tblPr/>
      <w:tcPr>
        <w:tcBorders>
          <w:bottom w:val="single" w:sz="4" w:space="0" w:color="22272B" w:themeColor="text1"/>
        </w:tcBorders>
      </w:tcPr>
    </w:tblStylePr>
    <w:tblStylePr w:type="lastRow">
      <w:rPr>
        <w:b/>
        <w:bCs/>
      </w:rPr>
      <w:tblPr/>
      <w:tcPr>
        <w:tcBorders>
          <w:top w:val="double" w:sz="4" w:space="0" w:color="71A6FD" w:themeColor="accent3" w:themeTint="99"/>
        </w:tcBorders>
      </w:tcPr>
    </w:tblStylePr>
    <w:tblStylePr w:type="firstCol">
      <w:rPr>
        <w:b/>
        <w:bCs/>
      </w:rPr>
    </w:tblStylePr>
    <w:tblStylePr w:type="lastCol">
      <w:rPr>
        <w:b/>
        <w:bCs/>
      </w:rPr>
    </w:tblStylePr>
    <w:tblStylePr w:type="band1Vert">
      <w:tblPr/>
      <w:tcPr>
        <w:shd w:val="clear" w:color="auto" w:fill="8CE0FF" w:themeFill="accent4"/>
      </w:tcPr>
    </w:tblStylePr>
    <w:tblStylePr w:type="band1Horz">
      <w:tblPr/>
      <w:tcPr>
        <w:shd w:val="clear" w:color="auto" w:fill="8CE0FF" w:themeFill="accent4"/>
      </w:tcPr>
    </w:tblStylePr>
  </w:style>
  <w:style w:type="table" w:styleId="ListTable4-Accent4">
    <w:name w:val="List Table 4 Accent 4"/>
    <w:basedOn w:val="TableNormal"/>
    <w:uiPriority w:val="49"/>
    <w:rsid w:val="00C0506E"/>
    <w:tblPr>
      <w:tblStyleRowBandSize w:val="1"/>
      <w:tblStyleColBandSize w:val="1"/>
      <w:tblBorders>
        <w:top w:val="single" w:sz="4" w:space="0" w:color="BAECFF" w:themeColor="accent4" w:themeTint="99"/>
        <w:left w:val="single" w:sz="4" w:space="0" w:color="BAECFF" w:themeColor="accent4" w:themeTint="99"/>
        <w:bottom w:val="single" w:sz="4" w:space="0" w:color="BAECFF" w:themeColor="accent4" w:themeTint="99"/>
        <w:right w:val="single" w:sz="4" w:space="0" w:color="BAECFF" w:themeColor="accent4" w:themeTint="99"/>
        <w:insideH w:val="single" w:sz="4" w:space="0" w:color="BAECFF"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8CE0FF" w:themeColor="accent4"/>
          <w:left w:val="single" w:sz="4" w:space="0" w:color="8CE0FF" w:themeColor="accent4"/>
          <w:bottom w:val="single" w:sz="4" w:space="0" w:color="8CE0FF" w:themeColor="accent4"/>
          <w:right w:val="single" w:sz="4" w:space="0" w:color="8CE0FF" w:themeColor="accent4"/>
          <w:insideH w:val="nil"/>
        </w:tcBorders>
        <w:shd w:val="clear" w:color="auto" w:fill="8CE0FF" w:themeFill="accent4"/>
      </w:tcPr>
    </w:tblStylePr>
    <w:tblStylePr w:type="lastRow">
      <w:rPr>
        <w:b/>
        <w:bCs/>
      </w:rPr>
      <w:tblPr/>
      <w:tcPr>
        <w:tcBorders>
          <w:top w:val="double" w:sz="4" w:space="0" w:color="BAECFF" w:themeColor="accent4" w:themeTint="99"/>
        </w:tcBorders>
      </w:tcPr>
    </w:tblStylePr>
    <w:tblStylePr w:type="firstCol">
      <w:rPr>
        <w:b/>
        <w:bCs/>
      </w:rPr>
    </w:tblStylePr>
    <w:tblStylePr w:type="lastCol">
      <w:rPr>
        <w:b/>
        <w:bCs/>
      </w:rPr>
    </w:tblStylePr>
    <w:tblStylePr w:type="band1Vert">
      <w:tblPr/>
      <w:tcPr>
        <w:shd w:val="clear" w:color="auto" w:fill="E8F8FF" w:themeFill="accent4" w:themeFillTint="33"/>
      </w:tcPr>
    </w:tblStylePr>
    <w:tblStylePr w:type="band1Horz">
      <w:tblPr/>
      <w:tcPr>
        <w:shd w:val="clear" w:color="auto" w:fill="E8F8FF" w:themeFill="accent4" w:themeFillTint="33"/>
      </w:tcPr>
    </w:tblStylePr>
  </w:style>
  <w:style w:type="table" w:customStyle="1" w:styleId="2DPEPlain">
    <w:name w:val="2 DPE Plain"/>
    <w:basedOn w:val="TableNormal"/>
    <w:uiPriority w:val="99"/>
    <w:rsid w:val="00C0506E"/>
    <w:rPr>
      <w:sz w:val="20"/>
    </w:rPr>
    <w:tblPr>
      <w:tblStyleRowBandSize w:val="1"/>
      <w:tblBorders>
        <w:bottom w:val="single" w:sz="4" w:space="0" w:color="808080" w:themeColor="background1" w:themeShade="80"/>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ajorHAnsi" w:hAnsiTheme="majorHAnsi"/>
        <w:b/>
        <w:color w:val="002664" w:themeColor="background2"/>
        <w:sz w:val="20"/>
      </w:rPr>
      <w:tblPr/>
      <w:trPr>
        <w:tblHeader/>
      </w:trPr>
      <w:tcPr>
        <w:tcBorders>
          <w:bottom w:val="single" w:sz="4" w:space="0" w:color="auto"/>
        </w:tcBorders>
      </w:tcPr>
    </w:tblStylePr>
    <w:tblStylePr w:type="firstCol">
      <w:rPr>
        <w:b/>
      </w:rPr>
    </w:tblStylePr>
    <w:tblStylePr w:type="band2Horz">
      <w:tblPr/>
      <w:tcPr>
        <w:shd w:val="clear" w:color="auto" w:fill="C0C6C9"/>
      </w:tcPr>
    </w:tblStylePr>
  </w:style>
  <w:style w:type="character" w:customStyle="1" w:styleId="RearCoverTextChar">
    <w:name w:val="Rear Cover Text Char"/>
    <w:basedOn w:val="BodyTextChar"/>
    <w:link w:val="RearCoverText"/>
    <w:rsid w:val="00C0506E"/>
    <w:rPr>
      <w:rFonts w:asciiTheme="majorHAnsi" w:hAnsiTheme="majorHAnsi"/>
      <w:color w:val="FFFFFF" w:themeColor="background1"/>
    </w:rPr>
  </w:style>
  <w:style w:type="table" w:styleId="GridTable5Dark-Accent5">
    <w:name w:val="Grid Table 5 Dark Accent 5"/>
    <w:basedOn w:val="TableNormal"/>
    <w:uiPriority w:val="50"/>
    <w:rsid w:val="00C050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CD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505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505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505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5054" w:themeFill="accent5"/>
      </w:tcPr>
    </w:tblStylePr>
    <w:tblStylePr w:type="band1Vert">
      <w:tblPr/>
      <w:tcPr>
        <w:shd w:val="clear" w:color="auto" w:fill="B3B9BD" w:themeFill="accent5" w:themeFillTint="66"/>
      </w:tcPr>
    </w:tblStylePr>
    <w:tblStylePr w:type="band1Horz">
      <w:tblPr/>
      <w:tcPr>
        <w:shd w:val="clear" w:color="auto" w:fill="B3B9BD" w:themeFill="accent5" w:themeFillTint="66"/>
      </w:tcPr>
    </w:tblStylePr>
  </w:style>
  <w:style w:type="paragraph" w:styleId="ListParagraph">
    <w:name w:val="List Paragraph"/>
    <w:basedOn w:val="Normal"/>
    <w:semiHidden/>
    <w:rsid w:val="00C0506E"/>
    <w:pPr>
      <w:spacing w:before="60" w:after="60"/>
      <w:ind w:left="284"/>
    </w:pPr>
  </w:style>
  <w:style w:type="paragraph" w:styleId="List">
    <w:name w:val="List"/>
    <w:basedOn w:val="Normal"/>
    <w:semiHidden/>
    <w:rsid w:val="00C0506E"/>
    <w:pPr>
      <w:spacing w:before="60" w:after="60"/>
      <w:contextualSpacing/>
    </w:pPr>
  </w:style>
  <w:style w:type="character" w:styleId="SubtleEmphasis">
    <w:name w:val="Subtle Emphasis"/>
    <w:basedOn w:val="DefaultParagraphFont"/>
    <w:uiPriority w:val="19"/>
    <w:rsid w:val="00C0506E"/>
    <w:rPr>
      <w:i/>
      <w:iCs/>
      <w:color w:val="525D67" w:themeColor="text1" w:themeTint="BF"/>
    </w:rPr>
  </w:style>
  <w:style w:type="paragraph" w:styleId="IntenseQuote">
    <w:name w:val="Intense Quote"/>
    <w:basedOn w:val="Normal"/>
    <w:link w:val="IntenseQuoteChar"/>
    <w:rsid w:val="00C0506E"/>
    <w:pPr>
      <w:pBdr>
        <w:top w:val="single" w:sz="4" w:space="10" w:color="002664" w:themeColor="accent1"/>
        <w:bottom w:val="single" w:sz="4" w:space="10" w:color="002664" w:themeColor="accent1"/>
      </w:pBdr>
      <w:spacing w:before="360" w:after="360"/>
      <w:ind w:left="567" w:right="567"/>
    </w:pPr>
    <w:rPr>
      <w:rFonts w:ascii="Public Sans ExtraLight" w:hAnsi="Public Sans ExtraLight"/>
      <w:iCs/>
      <w:color w:val="002664" w:themeColor="accent1"/>
      <w:sz w:val="28"/>
    </w:rPr>
  </w:style>
  <w:style w:type="character" w:customStyle="1" w:styleId="IntenseQuoteChar">
    <w:name w:val="Intense Quote Char"/>
    <w:basedOn w:val="DefaultParagraphFont"/>
    <w:link w:val="IntenseQuote"/>
    <w:rsid w:val="00C0506E"/>
    <w:rPr>
      <w:rFonts w:ascii="Public Sans ExtraLight" w:hAnsi="Public Sans ExtraLight"/>
      <w:iCs/>
      <w:color w:val="002664" w:themeColor="accent1"/>
      <w:sz w:val="28"/>
    </w:rPr>
  </w:style>
  <w:style w:type="paragraph" w:customStyle="1" w:styleId="IntroParagraph">
    <w:name w:val="Intro Paragraph"/>
    <w:basedOn w:val="Normal"/>
    <w:next w:val="BodyText"/>
    <w:uiPriority w:val="5"/>
    <w:qFormat/>
    <w:rsid w:val="00C0506E"/>
    <w:pPr>
      <w:keepLines/>
      <w:pBdr>
        <w:top w:val="single" w:sz="4" w:space="1" w:color="ADCBFF" w:themeColor="accent1" w:themeTint="33"/>
        <w:bottom w:val="single" w:sz="4" w:space="1" w:color="ADCBFF" w:themeColor="accent1" w:themeTint="33"/>
      </w:pBdr>
      <w:spacing w:before="240" w:after="480"/>
    </w:pPr>
    <w:rPr>
      <w:rFonts w:ascii="Public Sans ExtraLight" w:hAnsi="Public Sans ExtraLight"/>
      <w:color w:val="002664" w:themeColor="accent1"/>
      <w:sz w:val="32"/>
      <w:szCs w:val="32"/>
    </w:rPr>
  </w:style>
  <w:style w:type="paragraph" w:styleId="Quote">
    <w:name w:val="Quote"/>
    <w:basedOn w:val="Normal"/>
    <w:link w:val="QuoteChar"/>
    <w:uiPriority w:val="29"/>
    <w:qFormat/>
    <w:rsid w:val="00C0506E"/>
    <w:pPr>
      <w:spacing w:before="240" w:after="240"/>
      <w:ind w:left="454" w:right="454"/>
    </w:pPr>
    <w:rPr>
      <w:rFonts w:ascii="Public Sans ExtraLight" w:hAnsi="Public Sans ExtraLight"/>
      <w:color w:val="002664" w:themeColor="accent1"/>
      <w:sz w:val="28"/>
      <w:szCs w:val="28"/>
      <w:lang w:val="en-GB"/>
    </w:rPr>
  </w:style>
  <w:style w:type="character" w:customStyle="1" w:styleId="QuoteChar">
    <w:name w:val="Quote Char"/>
    <w:basedOn w:val="DefaultParagraphFont"/>
    <w:link w:val="Quote"/>
    <w:uiPriority w:val="29"/>
    <w:rsid w:val="00C0506E"/>
    <w:rPr>
      <w:rFonts w:ascii="Public Sans ExtraLight" w:hAnsi="Public Sans ExtraLight"/>
      <w:color w:val="002664" w:themeColor="accent1"/>
      <w:sz w:val="28"/>
      <w:szCs w:val="28"/>
      <w:lang w:val="en-GB"/>
    </w:rPr>
  </w:style>
  <w:style w:type="paragraph" w:customStyle="1" w:styleId="Quoteattribution">
    <w:name w:val="Quote attribution"/>
    <w:basedOn w:val="Normal"/>
    <w:next w:val="BodyText"/>
    <w:uiPriority w:val="4"/>
    <w:qFormat/>
    <w:rsid w:val="00C0506E"/>
    <w:pPr>
      <w:ind w:left="454" w:right="454"/>
    </w:pPr>
    <w:rPr>
      <w:rFonts w:ascii="Public Sans Medium" w:hAnsi="Public Sans Medium"/>
      <w:bCs/>
      <w:color w:val="002664" w:themeColor="accent1"/>
    </w:rPr>
  </w:style>
  <w:style w:type="paragraph" w:customStyle="1" w:styleId="TableCondensedText">
    <w:name w:val="Table Condensed Text"/>
    <w:basedOn w:val="Normal"/>
    <w:rsid w:val="00C0506E"/>
    <w:pPr>
      <w:spacing w:before="60" w:after="60"/>
    </w:pPr>
    <w:rPr>
      <w:sz w:val="20"/>
    </w:rPr>
  </w:style>
  <w:style w:type="paragraph" w:styleId="Subtitle">
    <w:name w:val="Subtitle"/>
    <w:basedOn w:val="Normal"/>
    <w:next w:val="BodyText"/>
    <w:link w:val="SubtitleChar"/>
    <w:rsid w:val="00C0506E"/>
    <w:pPr>
      <w:numPr>
        <w:ilvl w:val="1"/>
      </w:numPr>
      <w:spacing w:after="160"/>
    </w:pPr>
    <w:rPr>
      <w:rFonts w:eastAsiaTheme="minorEastAsia" w:cstheme="minorBidi"/>
      <w:color w:val="002664" w:themeColor="accent1"/>
      <w:sz w:val="36"/>
      <w:szCs w:val="36"/>
      <w:lang w:val="en-US"/>
    </w:rPr>
  </w:style>
  <w:style w:type="character" w:customStyle="1" w:styleId="SubtitleChar">
    <w:name w:val="Subtitle Char"/>
    <w:basedOn w:val="DefaultParagraphFont"/>
    <w:link w:val="Subtitle"/>
    <w:rsid w:val="00C0506E"/>
    <w:rPr>
      <w:rFonts w:eastAsiaTheme="minorEastAsia" w:cstheme="minorBidi"/>
      <w:color w:val="002664" w:themeColor="accent1"/>
      <w:sz w:val="36"/>
      <w:szCs w:val="36"/>
      <w:lang w:val="en-US"/>
    </w:rPr>
  </w:style>
  <w:style w:type="paragraph" w:styleId="Caption">
    <w:name w:val="caption"/>
    <w:basedOn w:val="Normal"/>
    <w:next w:val="BodyText"/>
    <w:uiPriority w:val="19"/>
    <w:rsid w:val="00C0506E"/>
    <w:pPr>
      <w:spacing w:before="60" w:after="60" w:line="240" w:lineRule="auto"/>
    </w:pPr>
    <w:rPr>
      <w:rFonts w:asciiTheme="majorHAnsi" w:hAnsiTheme="majorHAnsi"/>
      <w:iCs/>
      <w:color w:val="002664" w:themeColor="accent1"/>
      <w:sz w:val="18"/>
      <w:szCs w:val="18"/>
    </w:rPr>
  </w:style>
  <w:style w:type="paragraph" w:customStyle="1" w:styleId="Disclaimer">
    <w:name w:val="Disclaimer"/>
    <w:basedOn w:val="Normal"/>
    <w:link w:val="DisclaimerChar"/>
    <w:uiPriority w:val="49"/>
    <w:rsid w:val="00C0506E"/>
    <w:pPr>
      <w:pBdr>
        <w:top w:val="single" w:sz="4" w:space="1" w:color="auto"/>
      </w:pBdr>
      <w:spacing w:before="360" w:after="80"/>
    </w:pPr>
    <w:rPr>
      <w:rFonts w:eastAsiaTheme="minorHAnsi" w:cs="Myriad Pro"/>
      <w:color w:val="6B0A1C" w:themeColor="text2" w:themeShade="80"/>
      <w:sz w:val="16"/>
    </w:rPr>
  </w:style>
  <w:style w:type="paragraph" w:customStyle="1" w:styleId="PhotoCredit">
    <w:name w:val="Photo Credit"/>
    <w:basedOn w:val="Normal"/>
    <w:next w:val="BodyText"/>
    <w:link w:val="PhotoCreditChar"/>
    <w:uiPriority w:val="49"/>
    <w:qFormat/>
    <w:rsid w:val="00C0506E"/>
    <w:pPr>
      <w:spacing w:before="0" w:line="240" w:lineRule="auto"/>
    </w:pPr>
    <w:rPr>
      <w:rFonts w:eastAsiaTheme="minorHAnsi" w:cstheme="minorBidi"/>
      <w:i/>
      <w:sz w:val="18"/>
      <w:szCs w:val="18"/>
    </w:rPr>
  </w:style>
  <w:style w:type="character" w:customStyle="1" w:styleId="PhotoCreditChar">
    <w:name w:val="Photo Credit Char"/>
    <w:basedOn w:val="DefaultParagraphFont"/>
    <w:link w:val="PhotoCredit"/>
    <w:uiPriority w:val="49"/>
    <w:rsid w:val="00C0506E"/>
    <w:rPr>
      <w:rFonts w:eastAsiaTheme="minorHAnsi" w:cstheme="minorBidi"/>
      <w:i/>
      <w:sz w:val="18"/>
      <w:szCs w:val="18"/>
    </w:rPr>
  </w:style>
  <w:style w:type="character" w:customStyle="1" w:styleId="DisclaimerChar">
    <w:name w:val="Disclaimer Char"/>
    <w:basedOn w:val="DefaultParagraphFont"/>
    <w:link w:val="Disclaimer"/>
    <w:uiPriority w:val="49"/>
    <w:rsid w:val="00C0506E"/>
    <w:rPr>
      <w:rFonts w:eastAsiaTheme="minorHAnsi" w:cs="Myriad Pro"/>
      <w:color w:val="6B0A1C" w:themeColor="text2" w:themeShade="80"/>
      <w:sz w:val="16"/>
    </w:rPr>
  </w:style>
  <w:style w:type="character" w:styleId="UnresolvedMention">
    <w:name w:val="Unresolved Mention"/>
    <w:basedOn w:val="DefaultParagraphFont"/>
    <w:uiPriority w:val="99"/>
    <w:semiHidden/>
    <w:unhideWhenUsed/>
    <w:rsid w:val="00C0506E"/>
    <w:rPr>
      <w:color w:val="605E5C"/>
      <w:shd w:val="clear" w:color="auto" w:fill="E1DFDD"/>
    </w:rPr>
  </w:style>
  <w:style w:type="table" w:customStyle="1" w:styleId="1DPEDefault">
    <w:name w:val="1 DPE Default"/>
    <w:basedOn w:val="TableNormal"/>
    <w:uiPriority w:val="99"/>
    <w:rsid w:val="00C0506E"/>
    <w:rPr>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002664" w:themeFill="accent1"/>
      </w:tcPr>
    </w:tblStylePr>
    <w:tblStylePr w:type="firstCol">
      <w:rPr>
        <w:b/>
      </w:rPr>
    </w:tblStylePr>
    <w:tblStylePr w:type="band2Horz">
      <w:tblPr/>
      <w:tcPr>
        <w:shd w:val="clear" w:color="auto" w:fill="CBEDFD" w:themeFill="accent2"/>
      </w:tcPr>
    </w:tblStylePr>
  </w:style>
  <w:style w:type="paragraph" w:styleId="ListBullet">
    <w:name w:val="List Bullet"/>
    <w:aliases w:val="Bullet 1"/>
    <w:basedOn w:val="ListNumber2"/>
    <w:uiPriority w:val="3"/>
    <w:qFormat/>
    <w:rsid w:val="00C0506E"/>
    <w:pPr>
      <w:numPr>
        <w:ilvl w:val="0"/>
        <w:numId w:val="11"/>
      </w:numPr>
    </w:pPr>
  </w:style>
  <w:style w:type="paragraph" w:styleId="ListBullet2">
    <w:name w:val="List Bullet 2"/>
    <w:aliases w:val="Bullet 2"/>
    <w:basedOn w:val="Normal"/>
    <w:uiPriority w:val="3"/>
    <w:qFormat/>
    <w:rsid w:val="00C0506E"/>
    <w:pPr>
      <w:numPr>
        <w:ilvl w:val="1"/>
        <w:numId w:val="11"/>
      </w:numPr>
      <w:spacing w:before="60" w:after="60"/>
    </w:pPr>
  </w:style>
  <w:style w:type="paragraph" w:styleId="ListBullet3">
    <w:name w:val="List Bullet 3"/>
    <w:aliases w:val="Bullet 3"/>
    <w:basedOn w:val="ListBullet4"/>
    <w:uiPriority w:val="3"/>
    <w:qFormat/>
    <w:rsid w:val="00C0506E"/>
    <w:pPr>
      <w:numPr>
        <w:ilvl w:val="2"/>
      </w:numPr>
    </w:pPr>
  </w:style>
  <w:style w:type="numbering" w:customStyle="1" w:styleId="DPEBullets">
    <w:name w:val="DPE Bullets"/>
    <w:uiPriority w:val="99"/>
    <w:rsid w:val="00C0506E"/>
    <w:pPr>
      <w:numPr>
        <w:numId w:val="4"/>
      </w:numPr>
    </w:pPr>
  </w:style>
  <w:style w:type="paragraph" w:styleId="ListBullet4">
    <w:name w:val="List Bullet 4"/>
    <w:aliases w:val="Bullet 4"/>
    <w:basedOn w:val="ListBullet5"/>
    <w:uiPriority w:val="3"/>
    <w:unhideWhenUsed/>
    <w:rsid w:val="00C0506E"/>
    <w:pPr>
      <w:numPr>
        <w:ilvl w:val="3"/>
      </w:numPr>
    </w:pPr>
  </w:style>
  <w:style w:type="paragraph" w:styleId="ListBullet5">
    <w:name w:val="List Bullet 5"/>
    <w:aliases w:val="Bullet 5"/>
    <w:basedOn w:val="ListBullet"/>
    <w:uiPriority w:val="3"/>
    <w:unhideWhenUsed/>
    <w:rsid w:val="00C0506E"/>
    <w:pPr>
      <w:numPr>
        <w:ilvl w:val="4"/>
      </w:numPr>
    </w:pPr>
  </w:style>
  <w:style w:type="character" w:customStyle="1" w:styleId="Heading6Char">
    <w:name w:val="Heading 6 Char"/>
    <w:basedOn w:val="DefaultParagraphFont"/>
    <w:link w:val="Heading6"/>
    <w:uiPriority w:val="1"/>
    <w:semiHidden/>
    <w:rsid w:val="001F2BE7"/>
    <w:rPr>
      <w:rFonts w:asciiTheme="majorHAnsi" w:eastAsiaTheme="majorEastAsia" w:hAnsiTheme="majorHAnsi" w:cstheme="majorBidi"/>
      <w:color w:val="001231" w:themeColor="accent1" w:themeShade="7F"/>
    </w:rPr>
  </w:style>
  <w:style w:type="paragraph" w:customStyle="1" w:styleId="Divider">
    <w:name w:val="Divider #"/>
    <w:basedOn w:val="BodyText"/>
    <w:next w:val="DividerTitle"/>
    <w:semiHidden/>
    <w:rsid w:val="00C0506E"/>
    <w:pPr>
      <w:widowControl w:val="0"/>
    </w:pPr>
    <w:rPr>
      <w:bCs/>
      <w:color w:val="002664" w:themeColor="accent1"/>
      <w:sz w:val="642"/>
      <w:szCs w:val="642"/>
    </w:rPr>
  </w:style>
  <w:style w:type="paragraph" w:customStyle="1" w:styleId="DividerTitle">
    <w:name w:val="Divider Title"/>
    <w:basedOn w:val="Normal"/>
    <w:next w:val="BodyText"/>
    <w:semiHidden/>
    <w:rsid w:val="00C0506E"/>
    <w:pPr>
      <w:widowControl w:val="0"/>
      <w:spacing w:line="240" w:lineRule="auto"/>
      <w:outlineLvl w:val="0"/>
    </w:pPr>
    <w:rPr>
      <w:color w:val="002664" w:themeColor="accent1"/>
      <w:sz w:val="96"/>
      <w:szCs w:val="96"/>
      <w:lang w:val="en-US"/>
    </w:rPr>
  </w:style>
  <w:style w:type="character" w:styleId="FollowedHyperlink">
    <w:name w:val="FollowedHyperlink"/>
    <w:basedOn w:val="DefaultParagraphFont"/>
    <w:semiHidden/>
    <w:unhideWhenUsed/>
    <w:rsid w:val="00C0506E"/>
    <w:rPr>
      <w:color w:val="6B0A1C" w:themeColor="text2" w:themeShade="80"/>
      <w:u w:val="single"/>
    </w:rPr>
  </w:style>
  <w:style w:type="paragraph" w:styleId="TOAHeading">
    <w:name w:val="toa heading"/>
    <w:basedOn w:val="Normal"/>
    <w:next w:val="BodyText"/>
    <w:semiHidden/>
    <w:rsid w:val="00C0506E"/>
    <w:rPr>
      <w:rFonts w:asciiTheme="majorHAnsi" w:eastAsiaTheme="majorEastAsia" w:hAnsiTheme="majorHAnsi" w:cstheme="majorBidi"/>
      <w:b/>
      <w:bCs/>
      <w:sz w:val="24"/>
      <w:szCs w:val="24"/>
    </w:rPr>
  </w:style>
  <w:style w:type="paragraph" w:styleId="TableofFigures">
    <w:name w:val="table of figures"/>
    <w:basedOn w:val="Normal"/>
    <w:next w:val="Normal"/>
    <w:uiPriority w:val="99"/>
    <w:semiHidden/>
    <w:rsid w:val="007426C5"/>
    <w:pPr>
      <w:spacing w:before="60" w:after="60"/>
    </w:pPr>
    <w:rPr>
      <w:color w:val="22272B" w:themeColor="text1"/>
    </w:rPr>
  </w:style>
  <w:style w:type="paragraph" w:styleId="TableofAuthorities">
    <w:name w:val="table of authorities"/>
    <w:basedOn w:val="Normal"/>
    <w:next w:val="Normal"/>
    <w:semiHidden/>
    <w:rsid w:val="007426C5"/>
    <w:pPr>
      <w:spacing w:before="60" w:after="60"/>
      <w:ind w:left="221" w:hanging="221"/>
    </w:pPr>
    <w:rPr>
      <w:color w:val="22272B" w:themeColor="text1"/>
    </w:rPr>
  </w:style>
  <w:style w:type="character" w:customStyle="1" w:styleId="Heading7Char">
    <w:name w:val="Heading 7 Char"/>
    <w:basedOn w:val="DefaultParagraphFont"/>
    <w:link w:val="Heading7"/>
    <w:uiPriority w:val="1"/>
    <w:semiHidden/>
    <w:rsid w:val="001F2BE7"/>
    <w:rPr>
      <w:rFonts w:asciiTheme="majorHAnsi" w:eastAsiaTheme="majorEastAsia" w:hAnsiTheme="majorHAnsi" w:cstheme="majorBidi"/>
      <w:i/>
      <w:iCs/>
      <w:color w:val="001231" w:themeColor="accent1" w:themeShade="7F"/>
    </w:rPr>
  </w:style>
  <w:style w:type="paragraph" w:styleId="ListNumber">
    <w:name w:val="List Number"/>
    <w:aliases w:val="List L1"/>
    <w:basedOn w:val="ListBullet2"/>
    <w:uiPriority w:val="4"/>
    <w:qFormat/>
    <w:rsid w:val="00C0506E"/>
    <w:pPr>
      <w:numPr>
        <w:numId w:val="12"/>
      </w:numPr>
    </w:pPr>
  </w:style>
  <w:style w:type="paragraph" w:styleId="ListNumber2">
    <w:name w:val="List Number 2"/>
    <w:aliases w:val="List L2"/>
    <w:basedOn w:val="ListNumber3"/>
    <w:uiPriority w:val="4"/>
    <w:qFormat/>
    <w:rsid w:val="00C0506E"/>
    <w:pPr>
      <w:numPr>
        <w:ilvl w:val="2"/>
      </w:numPr>
    </w:pPr>
  </w:style>
  <w:style w:type="paragraph" w:styleId="ListNumber3">
    <w:name w:val="List Number 3"/>
    <w:aliases w:val="List L3"/>
    <w:basedOn w:val="ListNumber4"/>
    <w:uiPriority w:val="4"/>
    <w:qFormat/>
    <w:rsid w:val="00C0506E"/>
    <w:pPr>
      <w:numPr>
        <w:ilvl w:val="3"/>
      </w:numPr>
    </w:pPr>
  </w:style>
  <w:style w:type="paragraph" w:styleId="ListNumber4">
    <w:name w:val="List Number 4"/>
    <w:aliases w:val="List L4"/>
    <w:basedOn w:val="ListNumber5"/>
    <w:uiPriority w:val="4"/>
    <w:rsid w:val="00C0506E"/>
    <w:pPr>
      <w:numPr>
        <w:ilvl w:val="4"/>
      </w:numPr>
    </w:pPr>
  </w:style>
  <w:style w:type="paragraph" w:styleId="ListNumber5">
    <w:name w:val="List Number 5"/>
    <w:aliases w:val="List L5"/>
    <w:basedOn w:val="ListNumber"/>
    <w:uiPriority w:val="4"/>
    <w:rsid w:val="00C0506E"/>
    <w:pPr>
      <w:numPr>
        <w:ilvl w:val="5"/>
      </w:numPr>
    </w:pPr>
  </w:style>
  <w:style w:type="character" w:customStyle="1" w:styleId="Heading8Char">
    <w:name w:val="Heading 8 Char"/>
    <w:basedOn w:val="DefaultParagraphFont"/>
    <w:link w:val="Heading8"/>
    <w:uiPriority w:val="1"/>
    <w:semiHidden/>
    <w:rsid w:val="001F2BE7"/>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1"/>
    <w:semiHidden/>
    <w:rsid w:val="001F2BE7"/>
    <w:rPr>
      <w:rFonts w:asciiTheme="majorHAnsi" w:eastAsiaTheme="majorEastAsia" w:hAnsiTheme="majorHAnsi" w:cstheme="majorBidi"/>
      <w:i/>
      <w:iCs/>
      <w:color w:val="3F484F" w:themeColor="text1" w:themeTint="D8"/>
      <w:sz w:val="21"/>
      <w:szCs w:val="21"/>
    </w:rPr>
  </w:style>
  <w:style w:type="paragraph" w:customStyle="1" w:styleId="IntenseQuoteattribution">
    <w:name w:val="Intense Quote attribution"/>
    <w:basedOn w:val="IntenseQuote"/>
    <w:next w:val="BodyText"/>
    <w:link w:val="IntenseQuoteattributionChar"/>
    <w:rsid w:val="00C0506E"/>
    <w:rPr>
      <w:rFonts w:ascii="Public Sans Medium" w:hAnsi="Public Sans Medium"/>
    </w:rPr>
  </w:style>
  <w:style w:type="character" w:customStyle="1" w:styleId="IntenseQuoteattributionChar">
    <w:name w:val="Intense Quote attribution Char"/>
    <w:basedOn w:val="IntenseQuoteChar"/>
    <w:link w:val="IntenseQuoteattribution"/>
    <w:rsid w:val="00C0506E"/>
    <w:rPr>
      <w:rFonts w:ascii="Public Sans Medium" w:hAnsi="Public Sans Medium"/>
      <w:iCs/>
      <w:color w:val="002664" w:themeColor="accent1"/>
      <w:sz w:val="28"/>
    </w:rPr>
  </w:style>
  <w:style w:type="paragraph" w:customStyle="1" w:styleId="H1NoTOC">
    <w:name w:val="H1 No TOC"/>
    <w:basedOn w:val="Heading1"/>
    <w:link w:val="H1NoTOCChar"/>
    <w:rsid w:val="00C0506E"/>
    <w:rPr>
      <w:noProof/>
    </w:rPr>
  </w:style>
  <w:style w:type="character" w:customStyle="1" w:styleId="H1NoTOCChar">
    <w:name w:val="H1 No TOC Char"/>
    <w:basedOn w:val="Heading1Char"/>
    <w:link w:val="H1NoTOC"/>
    <w:rsid w:val="00C0506E"/>
    <w:rPr>
      <w:rFonts w:asciiTheme="majorHAnsi" w:hAnsiTheme="majorHAnsi"/>
      <w:bCs/>
      <w:noProof/>
      <w:color w:val="22272B" w:themeColor="text1"/>
      <w:sz w:val="56"/>
      <w:szCs w:val="72"/>
    </w:rPr>
  </w:style>
  <w:style w:type="paragraph" w:customStyle="1" w:styleId="PublishedBy">
    <w:name w:val="Published By"/>
    <w:basedOn w:val="BodySmall"/>
    <w:link w:val="PublishedByChar"/>
    <w:rsid w:val="00C0506E"/>
    <w:pPr>
      <w:pBdr>
        <w:top w:val="single" w:sz="4" w:space="30" w:color="auto"/>
      </w:pBdr>
      <w:suppressAutoHyphens/>
      <w:autoSpaceDE w:val="0"/>
      <w:autoSpaceDN w:val="0"/>
      <w:adjustRightInd w:val="0"/>
      <w:textAlignment w:val="center"/>
    </w:pPr>
  </w:style>
  <w:style w:type="character" w:customStyle="1" w:styleId="BodySmallChar">
    <w:name w:val="Body Small Char"/>
    <w:basedOn w:val="BodyTextChar"/>
    <w:link w:val="BodySmall"/>
    <w:uiPriority w:val="5"/>
    <w:rsid w:val="00C0506E"/>
    <w:rPr>
      <w:sz w:val="20"/>
    </w:rPr>
  </w:style>
  <w:style w:type="character" w:customStyle="1" w:styleId="PublishedByChar">
    <w:name w:val="Published By Char"/>
    <w:basedOn w:val="BodySmallChar"/>
    <w:link w:val="PublishedBy"/>
    <w:rsid w:val="00C0506E"/>
    <w:rPr>
      <w:sz w:val="20"/>
    </w:rPr>
  </w:style>
  <w:style w:type="paragraph" w:customStyle="1" w:styleId="FooterPubPage">
    <w:name w:val="FooterPubPage"/>
    <w:basedOn w:val="Footer"/>
    <w:link w:val="FooterPubPageChar"/>
    <w:semiHidden/>
    <w:rsid w:val="00C0506E"/>
    <w:pPr>
      <w:ind w:left="-2552"/>
      <w:jc w:val="right"/>
    </w:pPr>
    <w:rPr>
      <w:rFonts w:asciiTheme="minorHAnsi" w:hAnsiTheme="minorHAnsi"/>
      <w:color w:val="22272B" w:themeColor="text1"/>
    </w:rPr>
  </w:style>
  <w:style w:type="character" w:customStyle="1" w:styleId="FooterPubPageChar">
    <w:name w:val="FooterPubPage Char"/>
    <w:basedOn w:val="FooterChar"/>
    <w:link w:val="FooterPubPage"/>
    <w:semiHidden/>
    <w:rsid w:val="001F2BE7"/>
    <w:rPr>
      <w:rFonts w:asciiTheme="minorHAnsi" w:hAnsiTheme="minorHAnsi"/>
      <w:color w:val="22272B" w:themeColor="text1"/>
      <w:sz w:val="16"/>
      <w:szCs w:val="16"/>
    </w:rPr>
  </w:style>
  <w:style w:type="paragraph" w:customStyle="1" w:styleId="CalloutBody">
    <w:name w:val="Callout Body"/>
    <w:basedOn w:val="BodyText"/>
    <w:uiPriority w:val="22"/>
    <w:qFormat/>
    <w:rsid w:val="00C0506E"/>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suppressAutoHyphens/>
      <w:autoSpaceDE w:val="0"/>
      <w:autoSpaceDN w:val="0"/>
      <w:adjustRightInd w:val="0"/>
      <w:ind w:left="232" w:right="232"/>
      <w:textAlignment w:val="center"/>
    </w:pPr>
    <w:rPr>
      <w:rFonts w:asciiTheme="minorHAnsi" w:hAnsiTheme="minorHAnsi" w:cs="Arial"/>
      <w:szCs w:val="20"/>
    </w:rPr>
  </w:style>
  <w:style w:type="paragraph" w:customStyle="1" w:styleId="CalloutList1">
    <w:name w:val="Callout List 1"/>
    <w:basedOn w:val="CalloutBody"/>
    <w:uiPriority w:val="22"/>
    <w:qFormat/>
    <w:rsid w:val="00C0506E"/>
    <w:pPr>
      <w:numPr>
        <w:numId w:val="3"/>
      </w:numPr>
    </w:pPr>
  </w:style>
  <w:style w:type="paragraph" w:customStyle="1" w:styleId="CalloutBullet1">
    <w:name w:val="Callout Bullet 1"/>
    <w:basedOn w:val="CalloutList1"/>
    <w:uiPriority w:val="22"/>
    <w:qFormat/>
    <w:rsid w:val="00C0506E"/>
    <w:pPr>
      <w:numPr>
        <w:numId w:val="1"/>
      </w:numPr>
      <w:spacing w:before="60" w:after="60"/>
    </w:pPr>
  </w:style>
  <w:style w:type="paragraph" w:customStyle="1" w:styleId="CalloutBullet2">
    <w:name w:val="Callout Bullet 2"/>
    <w:basedOn w:val="CalloutBullet1"/>
    <w:uiPriority w:val="22"/>
    <w:qFormat/>
    <w:rsid w:val="00C0506E"/>
    <w:pPr>
      <w:numPr>
        <w:ilvl w:val="1"/>
      </w:numPr>
    </w:pPr>
  </w:style>
  <w:style w:type="paragraph" w:customStyle="1" w:styleId="CalloutBullet3">
    <w:name w:val="Callout Bullet 3"/>
    <w:basedOn w:val="CalloutBullet2"/>
    <w:uiPriority w:val="22"/>
    <w:qFormat/>
    <w:rsid w:val="00C0506E"/>
    <w:pPr>
      <w:numPr>
        <w:ilvl w:val="2"/>
      </w:numPr>
    </w:pPr>
  </w:style>
  <w:style w:type="numbering" w:customStyle="1" w:styleId="CalloutBullets">
    <w:name w:val="Callout Bullets"/>
    <w:uiPriority w:val="99"/>
    <w:rsid w:val="00C0506E"/>
    <w:pPr>
      <w:numPr>
        <w:numId w:val="2"/>
      </w:numPr>
    </w:pPr>
  </w:style>
  <w:style w:type="paragraph" w:customStyle="1" w:styleId="CalloutHeading">
    <w:name w:val="Callout Heading"/>
    <w:basedOn w:val="Normal"/>
    <w:uiPriority w:val="22"/>
    <w:qFormat/>
    <w:rsid w:val="00C0506E"/>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spacing w:before="0" w:line="240" w:lineRule="auto"/>
      <w:ind w:left="232" w:right="232"/>
    </w:pPr>
    <w:rPr>
      <w:rFonts w:asciiTheme="majorHAnsi" w:eastAsiaTheme="minorHAnsi" w:hAnsiTheme="majorHAnsi" w:cstheme="minorBidi"/>
      <w:color w:val="002664" w:themeColor="accent1"/>
      <w:sz w:val="26"/>
    </w:rPr>
  </w:style>
  <w:style w:type="paragraph" w:customStyle="1" w:styleId="CalloutHeading2">
    <w:name w:val="Callout Heading 2"/>
    <w:basedOn w:val="CalloutHeading"/>
    <w:next w:val="CalloutBody"/>
    <w:uiPriority w:val="22"/>
    <w:qFormat/>
    <w:rsid w:val="00C0506E"/>
    <w:rPr>
      <w:sz w:val="22"/>
    </w:rPr>
  </w:style>
  <w:style w:type="paragraph" w:customStyle="1" w:styleId="CalloutList2">
    <w:name w:val="Callout List 2"/>
    <w:basedOn w:val="CalloutList1"/>
    <w:uiPriority w:val="22"/>
    <w:qFormat/>
    <w:rsid w:val="00C0506E"/>
    <w:pPr>
      <w:numPr>
        <w:ilvl w:val="1"/>
      </w:numPr>
    </w:pPr>
  </w:style>
  <w:style w:type="paragraph" w:customStyle="1" w:styleId="CalloutList3">
    <w:name w:val="Callout List 3"/>
    <w:basedOn w:val="CalloutList2"/>
    <w:uiPriority w:val="22"/>
    <w:qFormat/>
    <w:rsid w:val="00C0506E"/>
    <w:pPr>
      <w:numPr>
        <w:ilvl w:val="2"/>
      </w:numPr>
    </w:pPr>
  </w:style>
  <w:style w:type="paragraph" w:customStyle="1" w:styleId="TemplateReference">
    <w:name w:val="Template Reference"/>
    <w:basedOn w:val="BodySmall"/>
    <w:link w:val="TemplateReferenceChar"/>
    <w:rsid w:val="00C0506E"/>
    <w:pPr>
      <w:suppressAutoHyphens/>
      <w:autoSpaceDE w:val="0"/>
      <w:autoSpaceDN w:val="0"/>
      <w:adjustRightInd w:val="0"/>
      <w:textAlignment w:val="center"/>
    </w:pPr>
    <w:rPr>
      <w:rFonts w:cs="Arial"/>
      <w:sz w:val="14"/>
      <w:szCs w:val="14"/>
    </w:rPr>
  </w:style>
  <w:style w:type="numbering" w:customStyle="1" w:styleId="DPENumHeads">
    <w:name w:val="DPE Num Heads"/>
    <w:uiPriority w:val="99"/>
    <w:rsid w:val="00C0506E"/>
    <w:pPr>
      <w:numPr>
        <w:numId w:val="6"/>
      </w:numPr>
    </w:pPr>
  </w:style>
  <w:style w:type="character" w:customStyle="1" w:styleId="TemplateReferenceChar">
    <w:name w:val="Template Reference Char"/>
    <w:basedOn w:val="BodySmallChar"/>
    <w:link w:val="TemplateReference"/>
    <w:rsid w:val="00C0506E"/>
    <w:rPr>
      <w:rFonts w:cs="Arial"/>
      <w:sz w:val="14"/>
      <w:szCs w:val="14"/>
    </w:rPr>
  </w:style>
  <w:style w:type="paragraph" w:customStyle="1" w:styleId="H2NoTOC">
    <w:name w:val="H2 No TOC"/>
    <w:basedOn w:val="Heading2"/>
    <w:link w:val="H2NoTOCChar"/>
    <w:rsid w:val="00C0506E"/>
  </w:style>
  <w:style w:type="character" w:customStyle="1" w:styleId="H2NoTOCChar">
    <w:name w:val="H2 No TOC Char"/>
    <w:basedOn w:val="Heading2Char"/>
    <w:link w:val="H2NoTOC"/>
    <w:rsid w:val="00C0506E"/>
    <w:rPr>
      <w:rFonts w:asciiTheme="majorHAnsi" w:hAnsiTheme="majorHAnsi" w:cs="ArialMT"/>
      <w:bCs/>
      <w:color w:val="002664" w:themeColor="accent1"/>
      <w:sz w:val="36"/>
      <w:szCs w:val="36"/>
      <w:lang w:val="en-GB"/>
    </w:rPr>
  </w:style>
  <w:style w:type="paragraph" w:customStyle="1" w:styleId="HeadNum1">
    <w:name w:val="Head Num 1"/>
    <w:basedOn w:val="Heading1"/>
    <w:link w:val="HeadNum1Char"/>
    <w:uiPriority w:val="2"/>
    <w:qFormat/>
    <w:rsid w:val="00C0506E"/>
    <w:pPr>
      <w:numPr>
        <w:numId w:val="7"/>
      </w:numPr>
    </w:pPr>
  </w:style>
  <w:style w:type="character" w:customStyle="1" w:styleId="HeadNum1Char">
    <w:name w:val="Head Num 1 Char"/>
    <w:basedOn w:val="Heading1Char"/>
    <w:link w:val="HeadNum1"/>
    <w:uiPriority w:val="2"/>
    <w:rsid w:val="00C0506E"/>
    <w:rPr>
      <w:rFonts w:asciiTheme="majorHAnsi" w:hAnsiTheme="majorHAnsi"/>
      <w:bCs/>
      <w:color w:val="22272B" w:themeColor="text1"/>
      <w:sz w:val="56"/>
      <w:szCs w:val="72"/>
    </w:rPr>
  </w:style>
  <w:style w:type="paragraph" w:customStyle="1" w:styleId="HeadNum2">
    <w:name w:val="Head Num 2"/>
    <w:basedOn w:val="Heading2"/>
    <w:link w:val="HeadNum2Char"/>
    <w:uiPriority w:val="2"/>
    <w:qFormat/>
    <w:rsid w:val="00C0506E"/>
    <w:pPr>
      <w:numPr>
        <w:ilvl w:val="1"/>
        <w:numId w:val="7"/>
      </w:numPr>
    </w:pPr>
  </w:style>
  <w:style w:type="character" w:customStyle="1" w:styleId="HeadNum2Char">
    <w:name w:val="Head Num 2 Char"/>
    <w:basedOn w:val="Heading2Char"/>
    <w:link w:val="HeadNum2"/>
    <w:uiPriority w:val="2"/>
    <w:rsid w:val="00C0506E"/>
    <w:rPr>
      <w:rFonts w:asciiTheme="majorHAnsi" w:hAnsiTheme="majorHAnsi" w:cs="ArialMT"/>
      <w:bCs/>
      <w:color w:val="002664" w:themeColor="accent1"/>
      <w:sz w:val="36"/>
      <w:szCs w:val="36"/>
      <w:lang w:val="en-GB"/>
    </w:rPr>
  </w:style>
  <w:style w:type="paragraph" w:customStyle="1" w:styleId="HeadNum3">
    <w:name w:val="Head Num 3"/>
    <w:basedOn w:val="Heading3"/>
    <w:link w:val="HeadNum3Char"/>
    <w:uiPriority w:val="2"/>
    <w:qFormat/>
    <w:rsid w:val="00C0506E"/>
    <w:pPr>
      <w:numPr>
        <w:ilvl w:val="2"/>
        <w:numId w:val="7"/>
      </w:numPr>
    </w:pPr>
  </w:style>
  <w:style w:type="character" w:customStyle="1" w:styleId="HeadNum3Char">
    <w:name w:val="Head Num 3 Char"/>
    <w:basedOn w:val="Heading3Char"/>
    <w:link w:val="HeadNum3"/>
    <w:uiPriority w:val="2"/>
    <w:rsid w:val="00C0506E"/>
    <w:rPr>
      <w:rFonts w:ascii="Public Sans Medium" w:eastAsia="Times New Roman" w:hAnsi="Public Sans Medium"/>
      <w:color w:val="002664" w:themeColor="accent1"/>
      <w:sz w:val="28"/>
      <w:szCs w:val="28"/>
    </w:rPr>
  </w:style>
  <w:style w:type="paragraph" w:customStyle="1" w:styleId="CoverDescriptorBlackText">
    <w:name w:val="Cover Descriptor Black Text"/>
    <w:basedOn w:val="Normal"/>
    <w:uiPriority w:val="49"/>
    <w:rsid w:val="00C0506E"/>
    <w:pPr>
      <w:tabs>
        <w:tab w:val="right" w:pos="10198"/>
      </w:tabs>
    </w:pPr>
    <w:rPr>
      <w:rFonts w:ascii="Public Sans SemiBold" w:hAnsi="Public Sans SemiBold"/>
      <w:noProof/>
      <w:sz w:val="28"/>
      <w:szCs w:val="28"/>
      <w:lang w:val="en-US"/>
    </w:rPr>
  </w:style>
  <w:style w:type="paragraph" w:customStyle="1" w:styleId="CoverDescriptorDarkText">
    <w:name w:val="Cover Descriptor Dark Text"/>
    <w:basedOn w:val="Normal"/>
    <w:uiPriority w:val="49"/>
    <w:semiHidden/>
    <w:rsid w:val="00C0506E"/>
    <w:pPr>
      <w:tabs>
        <w:tab w:val="right" w:pos="10198"/>
      </w:tabs>
    </w:pPr>
    <w:rPr>
      <w:rFonts w:ascii="Public Sans SemiBold" w:hAnsi="Public Sans SemiBold"/>
      <w:noProof/>
      <w:color w:val="002664" w:themeColor="accent1"/>
      <w:sz w:val="28"/>
      <w:szCs w:val="28"/>
      <w:lang w:val="en-US"/>
    </w:rPr>
  </w:style>
  <w:style w:type="paragraph" w:customStyle="1" w:styleId="CoverDescriptorLightText">
    <w:name w:val="Cover Descriptor Light Text"/>
    <w:basedOn w:val="Normal"/>
    <w:uiPriority w:val="49"/>
    <w:semiHidden/>
    <w:rsid w:val="00C0506E"/>
    <w:pPr>
      <w:tabs>
        <w:tab w:val="right" w:pos="10198"/>
      </w:tabs>
    </w:pPr>
    <w:rPr>
      <w:rFonts w:ascii="Public Sans SemiBold" w:hAnsi="Public Sans SemiBold"/>
      <w:noProof/>
      <w:color w:val="CBEDFD" w:themeColor="accent2"/>
      <w:sz w:val="28"/>
      <w:szCs w:val="28"/>
      <w:lang w:val="en-US"/>
    </w:rPr>
  </w:style>
  <w:style w:type="paragraph" w:customStyle="1" w:styleId="CoverDescriptorWhiteText">
    <w:name w:val="Cover Descriptor White Text"/>
    <w:basedOn w:val="Normal"/>
    <w:uiPriority w:val="49"/>
    <w:semiHidden/>
    <w:rsid w:val="001F2BE7"/>
    <w:pPr>
      <w:tabs>
        <w:tab w:val="right" w:pos="10198"/>
      </w:tabs>
    </w:pPr>
    <w:rPr>
      <w:rFonts w:ascii="Public Sans SemiBold" w:hAnsi="Public Sans SemiBold"/>
      <w:noProof/>
      <w:color w:val="FFFFFF" w:themeColor="background1"/>
      <w:sz w:val="28"/>
      <w:szCs w:val="28"/>
      <w:lang w:val="en-US"/>
    </w:rPr>
  </w:style>
  <w:style w:type="paragraph" w:customStyle="1" w:styleId="CoverDateBlackText">
    <w:name w:val="Cover Date Black Text"/>
    <w:basedOn w:val="Normal"/>
    <w:next w:val="BodyText"/>
    <w:uiPriority w:val="49"/>
    <w:rsid w:val="00C0506E"/>
    <w:rPr>
      <w:color w:val="22272B" w:themeColor="text1"/>
    </w:rPr>
  </w:style>
  <w:style w:type="paragraph" w:customStyle="1" w:styleId="CoverDateDarkText">
    <w:name w:val="Cover Date Dark Text"/>
    <w:basedOn w:val="Normal"/>
    <w:next w:val="BodyText"/>
    <w:link w:val="CoverDateDarkTextChar"/>
    <w:uiPriority w:val="49"/>
    <w:semiHidden/>
    <w:rsid w:val="00C0506E"/>
    <w:rPr>
      <w:color w:val="002664" w:themeColor="accent1"/>
    </w:rPr>
  </w:style>
  <w:style w:type="character" w:customStyle="1" w:styleId="CoverDateDarkTextChar">
    <w:name w:val="Cover Date Dark Text Char"/>
    <w:basedOn w:val="DefaultParagraphFont"/>
    <w:link w:val="CoverDateDarkText"/>
    <w:uiPriority w:val="49"/>
    <w:semiHidden/>
    <w:rsid w:val="001F2BE7"/>
    <w:rPr>
      <w:color w:val="002664" w:themeColor="accent1"/>
    </w:rPr>
  </w:style>
  <w:style w:type="paragraph" w:customStyle="1" w:styleId="CoverDateLightText">
    <w:name w:val="Cover Date Light Text"/>
    <w:basedOn w:val="Normal"/>
    <w:next w:val="BodyText"/>
    <w:link w:val="CoverDateLightTextChar"/>
    <w:uiPriority w:val="49"/>
    <w:semiHidden/>
    <w:rsid w:val="00C0506E"/>
    <w:rPr>
      <w:color w:val="CBEDFD" w:themeColor="accent2"/>
    </w:rPr>
  </w:style>
  <w:style w:type="character" w:customStyle="1" w:styleId="CoverDateLightTextChar">
    <w:name w:val="Cover Date Light Text Char"/>
    <w:basedOn w:val="DefaultParagraphFont"/>
    <w:link w:val="CoverDateLightText"/>
    <w:uiPriority w:val="49"/>
    <w:semiHidden/>
    <w:rsid w:val="001F2BE7"/>
    <w:rPr>
      <w:color w:val="CBEDFD" w:themeColor="accent2"/>
    </w:rPr>
  </w:style>
  <w:style w:type="paragraph" w:customStyle="1" w:styleId="CoverDateWhiteText">
    <w:name w:val="Cover Date White Text"/>
    <w:basedOn w:val="Normal"/>
    <w:link w:val="CoverDateWhiteTextChar"/>
    <w:uiPriority w:val="49"/>
    <w:semiHidden/>
    <w:rsid w:val="00C0506E"/>
    <w:rPr>
      <w:color w:val="FFFFFF" w:themeColor="background1"/>
    </w:rPr>
  </w:style>
  <w:style w:type="character" w:customStyle="1" w:styleId="CoverDateWhiteTextChar">
    <w:name w:val="Cover Date White Text Char"/>
    <w:basedOn w:val="DefaultParagraphFont"/>
    <w:link w:val="CoverDateWhiteText"/>
    <w:uiPriority w:val="49"/>
    <w:semiHidden/>
    <w:rsid w:val="001F2BE7"/>
    <w:rPr>
      <w:color w:val="FFFFFF" w:themeColor="background1"/>
    </w:rPr>
  </w:style>
  <w:style w:type="paragraph" w:customStyle="1" w:styleId="CoverImage">
    <w:name w:val="Cover Image"/>
    <w:basedOn w:val="Normal"/>
    <w:next w:val="BodyText"/>
    <w:link w:val="CoverImageChar"/>
    <w:uiPriority w:val="49"/>
    <w:rsid w:val="00C0506E"/>
    <w:pPr>
      <w:spacing w:before="480" w:line="240" w:lineRule="auto"/>
    </w:pPr>
  </w:style>
  <w:style w:type="character" w:customStyle="1" w:styleId="CoverImageChar">
    <w:name w:val="Cover Image Char"/>
    <w:basedOn w:val="DefaultParagraphFont"/>
    <w:link w:val="CoverImage"/>
    <w:uiPriority w:val="49"/>
    <w:rsid w:val="00C0506E"/>
  </w:style>
  <w:style w:type="paragraph" w:customStyle="1" w:styleId="CoverSubtitleBlackText">
    <w:name w:val="Cover Subtitle Black Text"/>
    <w:basedOn w:val="Subtitle"/>
    <w:uiPriority w:val="49"/>
    <w:rsid w:val="00C0506E"/>
    <w:pPr>
      <w:ind w:right="-8"/>
    </w:pPr>
    <w:rPr>
      <w:rFonts w:asciiTheme="majorHAnsi" w:hAnsiTheme="majorHAnsi"/>
      <w:color w:val="22272B" w:themeColor="text1"/>
      <w:sz w:val="24"/>
    </w:rPr>
  </w:style>
  <w:style w:type="paragraph" w:customStyle="1" w:styleId="CoverSubtitleDarkText">
    <w:name w:val="Cover Subtitle Dark Text"/>
    <w:basedOn w:val="Subtitle"/>
    <w:link w:val="CoverSubtitleDarkTextChar"/>
    <w:uiPriority w:val="49"/>
    <w:semiHidden/>
    <w:rsid w:val="00C0506E"/>
    <w:pPr>
      <w:ind w:right="-8"/>
    </w:pPr>
    <w:rPr>
      <w:rFonts w:asciiTheme="majorHAnsi" w:hAnsiTheme="majorHAnsi"/>
      <w:sz w:val="24"/>
    </w:rPr>
  </w:style>
  <w:style w:type="character" w:customStyle="1" w:styleId="CoverSubtitleDarkTextChar">
    <w:name w:val="Cover Subtitle Dark Text Char"/>
    <w:basedOn w:val="SubtitleChar"/>
    <w:link w:val="CoverSubtitleDarkText"/>
    <w:uiPriority w:val="49"/>
    <w:semiHidden/>
    <w:rsid w:val="001F2BE7"/>
    <w:rPr>
      <w:rFonts w:asciiTheme="majorHAnsi" w:eastAsiaTheme="minorEastAsia" w:hAnsiTheme="majorHAnsi" w:cstheme="minorBidi"/>
      <w:color w:val="002664" w:themeColor="accent1"/>
      <w:sz w:val="24"/>
      <w:szCs w:val="36"/>
      <w:lang w:val="en-US"/>
    </w:rPr>
  </w:style>
  <w:style w:type="paragraph" w:customStyle="1" w:styleId="CoverSubtitleLightText">
    <w:name w:val="Cover Subtitle Light Text"/>
    <w:basedOn w:val="Subtitle"/>
    <w:link w:val="CoverSubtitleLightTextChar"/>
    <w:uiPriority w:val="49"/>
    <w:semiHidden/>
    <w:rsid w:val="00C0506E"/>
    <w:pPr>
      <w:ind w:right="-8"/>
    </w:pPr>
    <w:rPr>
      <w:rFonts w:asciiTheme="majorHAnsi" w:hAnsiTheme="majorHAnsi"/>
      <w:color w:val="CBEDFD" w:themeColor="accent2"/>
      <w:sz w:val="24"/>
    </w:rPr>
  </w:style>
  <w:style w:type="character" w:customStyle="1" w:styleId="CoverSubtitleLightTextChar">
    <w:name w:val="Cover Subtitle Light Text Char"/>
    <w:basedOn w:val="SubtitleChar"/>
    <w:link w:val="CoverSubtitleLightText"/>
    <w:uiPriority w:val="49"/>
    <w:semiHidden/>
    <w:rsid w:val="001F2BE7"/>
    <w:rPr>
      <w:rFonts w:asciiTheme="majorHAnsi" w:eastAsiaTheme="minorEastAsia" w:hAnsiTheme="majorHAnsi" w:cstheme="minorBidi"/>
      <w:color w:val="CBEDFD" w:themeColor="accent2"/>
      <w:sz w:val="24"/>
      <w:szCs w:val="36"/>
      <w:lang w:val="en-US"/>
    </w:rPr>
  </w:style>
  <w:style w:type="paragraph" w:customStyle="1" w:styleId="CoverSubtitleWhiteText">
    <w:name w:val="Cover Subtitle White Text"/>
    <w:basedOn w:val="Normal"/>
    <w:link w:val="CoverSubtitleWhiteTextChar"/>
    <w:uiPriority w:val="49"/>
    <w:semiHidden/>
    <w:rsid w:val="00C0506E"/>
    <w:pPr>
      <w:numPr>
        <w:ilvl w:val="1"/>
      </w:numPr>
      <w:spacing w:after="160"/>
      <w:ind w:right="-8"/>
    </w:pPr>
    <w:rPr>
      <w:rFonts w:asciiTheme="majorHAnsi" w:eastAsiaTheme="minorEastAsia" w:hAnsiTheme="majorHAnsi" w:cstheme="minorBidi"/>
      <w:color w:val="FFFFFF" w:themeColor="background1"/>
      <w:sz w:val="24"/>
      <w:szCs w:val="36"/>
      <w:lang w:val="en-US"/>
    </w:rPr>
  </w:style>
  <w:style w:type="character" w:customStyle="1" w:styleId="CoverSubtitleWhiteTextChar">
    <w:name w:val="Cover Subtitle White Text Char"/>
    <w:basedOn w:val="DefaultParagraphFont"/>
    <w:link w:val="CoverSubtitleWhiteText"/>
    <w:uiPriority w:val="49"/>
    <w:semiHidden/>
    <w:rsid w:val="001F2BE7"/>
    <w:rPr>
      <w:rFonts w:asciiTheme="majorHAnsi" w:eastAsiaTheme="minorEastAsia" w:hAnsiTheme="majorHAnsi" w:cstheme="minorBidi"/>
      <w:color w:val="FFFFFF" w:themeColor="background1"/>
      <w:sz w:val="24"/>
      <w:szCs w:val="36"/>
      <w:lang w:val="en-US"/>
    </w:rPr>
  </w:style>
  <w:style w:type="paragraph" w:customStyle="1" w:styleId="CoverTitleBlackText">
    <w:name w:val="Cover Title Black Text"/>
    <w:basedOn w:val="Normal"/>
    <w:uiPriority w:val="49"/>
    <w:rsid w:val="00C0506E"/>
    <w:pPr>
      <w:spacing w:before="0" w:line="216" w:lineRule="auto"/>
      <w:ind w:right="-8"/>
      <w:contextualSpacing/>
    </w:pPr>
    <w:rPr>
      <w:rFonts w:asciiTheme="majorHAnsi" w:eastAsiaTheme="majorEastAsia" w:hAnsiTheme="majorHAnsi" w:cstheme="majorBidi"/>
      <w:color w:val="22272B" w:themeColor="text1"/>
      <w:spacing w:val="-10"/>
      <w:kern w:val="28"/>
      <w:sz w:val="56"/>
      <w:szCs w:val="80"/>
    </w:rPr>
  </w:style>
  <w:style w:type="paragraph" w:customStyle="1" w:styleId="CoverTitleDarkText">
    <w:name w:val="Cover Title Dark Text"/>
    <w:basedOn w:val="Normal"/>
    <w:link w:val="CoverTitleDarkTextChar"/>
    <w:uiPriority w:val="49"/>
    <w:semiHidden/>
    <w:rsid w:val="00C0506E"/>
    <w:pPr>
      <w:spacing w:before="0" w:line="216" w:lineRule="auto"/>
      <w:ind w:right="-8"/>
      <w:contextualSpacing/>
    </w:pPr>
    <w:rPr>
      <w:rFonts w:eastAsiaTheme="majorEastAsia" w:cstheme="majorBidi"/>
      <w:color w:val="002664" w:themeColor="accent1"/>
      <w:spacing w:val="-10"/>
      <w:kern w:val="28"/>
      <w:sz w:val="56"/>
      <w:szCs w:val="80"/>
    </w:rPr>
  </w:style>
  <w:style w:type="character" w:customStyle="1" w:styleId="CoverTitleDarkTextChar">
    <w:name w:val="Cover Title Dark Text Char"/>
    <w:basedOn w:val="DefaultParagraphFont"/>
    <w:link w:val="CoverTitleDarkText"/>
    <w:uiPriority w:val="49"/>
    <w:semiHidden/>
    <w:rsid w:val="001F2BE7"/>
    <w:rPr>
      <w:rFonts w:eastAsiaTheme="majorEastAsia" w:cstheme="majorBidi"/>
      <w:color w:val="002664" w:themeColor="accent1"/>
      <w:spacing w:val="-10"/>
      <w:kern w:val="28"/>
      <w:sz w:val="56"/>
      <w:szCs w:val="80"/>
    </w:rPr>
  </w:style>
  <w:style w:type="paragraph" w:customStyle="1" w:styleId="CoverTitleLightText">
    <w:name w:val="Cover Title Light Text"/>
    <w:basedOn w:val="Normal"/>
    <w:link w:val="CoverTitleLightTextChar"/>
    <w:uiPriority w:val="49"/>
    <w:semiHidden/>
    <w:rsid w:val="00C0506E"/>
    <w:pPr>
      <w:spacing w:before="0" w:line="216" w:lineRule="auto"/>
      <w:ind w:right="-8"/>
      <w:contextualSpacing/>
    </w:pPr>
    <w:rPr>
      <w:rFonts w:eastAsiaTheme="majorEastAsia" w:cstheme="majorBidi"/>
      <w:color w:val="CBEDFD" w:themeColor="accent2"/>
      <w:spacing w:val="-10"/>
      <w:kern w:val="28"/>
      <w:sz w:val="56"/>
      <w:szCs w:val="80"/>
    </w:rPr>
  </w:style>
  <w:style w:type="character" w:customStyle="1" w:styleId="CoverTitleLightTextChar">
    <w:name w:val="Cover Title Light Text Char"/>
    <w:basedOn w:val="DefaultParagraphFont"/>
    <w:link w:val="CoverTitleLightText"/>
    <w:uiPriority w:val="49"/>
    <w:semiHidden/>
    <w:rsid w:val="001F2BE7"/>
    <w:rPr>
      <w:rFonts w:eastAsiaTheme="majorEastAsia" w:cstheme="majorBidi"/>
      <w:color w:val="CBEDFD" w:themeColor="accent2"/>
      <w:spacing w:val="-10"/>
      <w:kern w:val="28"/>
      <w:sz w:val="56"/>
      <w:szCs w:val="80"/>
    </w:rPr>
  </w:style>
  <w:style w:type="paragraph" w:customStyle="1" w:styleId="CoverTitleWhiteText">
    <w:name w:val="Cover Title White Text"/>
    <w:basedOn w:val="Normal"/>
    <w:link w:val="CoverTitleWhiteTextChar"/>
    <w:uiPriority w:val="49"/>
    <w:semiHidden/>
    <w:rsid w:val="00C0506E"/>
    <w:pPr>
      <w:spacing w:before="0" w:line="216" w:lineRule="auto"/>
      <w:ind w:right="-8"/>
      <w:contextualSpacing/>
    </w:pPr>
    <w:rPr>
      <w:rFonts w:asciiTheme="majorHAnsi" w:eastAsiaTheme="majorEastAsia" w:hAnsiTheme="majorHAnsi" w:cstheme="majorBidi"/>
      <w:color w:val="FFFFFF" w:themeColor="background1"/>
      <w:spacing w:val="-10"/>
      <w:kern w:val="28"/>
      <w:sz w:val="56"/>
      <w:szCs w:val="80"/>
    </w:rPr>
  </w:style>
  <w:style w:type="character" w:customStyle="1" w:styleId="CoverTitleWhiteTextChar">
    <w:name w:val="Cover Title White Text Char"/>
    <w:basedOn w:val="DefaultParagraphFont"/>
    <w:link w:val="CoverTitleWhiteText"/>
    <w:uiPriority w:val="49"/>
    <w:semiHidden/>
    <w:rsid w:val="001F2BE7"/>
    <w:rPr>
      <w:rFonts w:asciiTheme="majorHAnsi" w:eastAsiaTheme="majorEastAsia" w:hAnsiTheme="majorHAnsi" w:cstheme="majorBidi"/>
      <w:color w:val="FFFFFF" w:themeColor="background1"/>
      <w:spacing w:val="-10"/>
      <w:kern w:val="28"/>
      <w:sz w:val="56"/>
      <w:szCs w:val="80"/>
    </w:rPr>
  </w:style>
  <w:style w:type="paragraph" w:customStyle="1" w:styleId="CoverURLDarkText">
    <w:name w:val="Cover URL Dark Text"/>
    <w:basedOn w:val="BodyText"/>
    <w:link w:val="CoverURLDarkTextChar"/>
    <w:semiHidden/>
    <w:rsid w:val="00C0506E"/>
    <w:rPr>
      <w:noProof/>
      <w:color w:val="002664" w:themeColor="accent1"/>
    </w:rPr>
  </w:style>
  <w:style w:type="character" w:customStyle="1" w:styleId="CoverURLDarkTextChar">
    <w:name w:val="Cover URL Dark Text Char"/>
    <w:basedOn w:val="BodyTextChar"/>
    <w:link w:val="CoverURLDarkText"/>
    <w:semiHidden/>
    <w:rsid w:val="001F2BE7"/>
    <w:rPr>
      <w:noProof/>
      <w:color w:val="002664" w:themeColor="accent1"/>
    </w:rPr>
  </w:style>
  <w:style w:type="paragraph" w:customStyle="1" w:styleId="CoverURLLightText">
    <w:name w:val="Cover URL Light Text"/>
    <w:basedOn w:val="BodyText"/>
    <w:link w:val="CoverURLLightTextChar"/>
    <w:semiHidden/>
    <w:rsid w:val="00C0506E"/>
    <w:rPr>
      <w:noProof/>
      <w:color w:val="CBEDFD" w:themeColor="accent2"/>
    </w:rPr>
  </w:style>
  <w:style w:type="character" w:customStyle="1" w:styleId="CoverURLLightTextChar">
    <w:name w:val="Cover URL Light Text Char"/>
    <w:basedOn w:val="BodyTextChar"/>
    <w:link w:val="CoverURLLightText"/>
    <w:semiHidden/>
    <w:rsid w:val="001F2BE7"/>
    <w:rPr>
      <w:noProof/>
      <w:color w:val="CBEDFD" w:themeColor="accent2"/>
    </w:rPr>
  </w:style>
  <w:style w:type="paragraph" w:customStyle="1" w:styleId="CoverURLWhiteText">
    <w:name w:val="Cover URL White Text"/>
    <w:basedOn w:val="BodyText"/>
    <w:link w:val="CoverURLWhiteTextChar"/>
    <w:semiHidden/>
    <w:rsid w:val="00C0506E"/>
    <w:rPr>
      <w:noProof/>
      <w:color w:val="FFFFFF" w:themeColor="background1"/>
    </w:rPr>
  </w:style>
  <w:style w:type="character" w:customStyle="1" w:styleId="CoverURLWhiteTextChar">
    <w:name w:val="Cover URL White Text Char"/>
    <w:basedOn w:val="BodyTextChar"/>
    <w:link w:val="CoverURLWhiteText"/>
    <w:semiHidden/>
    <w:rsid w:val="001F2BE7"/>
    <w:rPr>
      <w:noProof/>
      <w:color w:val="FFFFFF" w:themeColor="background1"/>
    </w:rPr>
  </w:style>
  <w:style w:type="numbering" w:customStyle="1" w:styleId="DPELists">
    <w:name w:val="DPE Lists"/>
    <w:uiPriority w:val="99"/>
    <w:rsid w:val="00C0506E"/>
    <w:pPr>
      <w:numPr>
        <w:numId w:val="5"/>
      </w:numPr>
    </w:pPr>
  </w:style>
  <w:style w:type="paragraph" w:customStyle="1" w:styleId="H3NoTOC">
    <w:name w:val="H3 No TOC"/>
    <w:basedOn w:val="Heading3"/>
    <w:link w:val="H3NoTOCChar"/>
    <w:rsid w:val="00C0506E"/>
  </w:style>
  <w:style w:type="character" w:customStyle="1" w:styleId="H3NoTOCChar">
    <w:name w:val="H3 No TOC Char"/>
    <w:basedOn w:val="Heading3Char"/>
    <w:link w:val="H3NoTOC"/>
    <w:rsid w:val="00C0506E"/>
    <w:rPr>
      <w:rFonts w:ascii="Public Sans Medium" w:eastAsia="Times New Roman" w:hAnsi="Public Sans Medium"/>
      <w:color w:val="002664" w:themeColor="accent1"/>
      <w:sz w:val="28"/>
      <w:szCs w:val="28"/>
    </w:rPr>
  </w:style>
  <w:style w:type="paragraph" w:styleId="ListContinue2">
    <w:name w:val="List Continue 2"/>
    <w:basedOn w:val="Normal"/>
    <w:uiPriority w:val="3"/>
    <w:rsid w:val="00C0506E"/>
    <w:pPr>
      <w:spacing w:before="60" w:after="60"/>
      <w:ind w:left="907"/>
    </w:pPr>
  </w:style>
  <w:style w:type="paragraph" w:styleId="ListContinue3">
    <w:name w:val="List Continue 3"/>
    <w:basedOn w:val="Normal"/>
    <w:uiPriority w:val="3"/>
    <w:rsid w:val="00C0506E"/>
    <w:pPr>
      <w:spacing w:before="60" w:after="60"/>
      <w:ind w:left="1191"/>
    </w:pPr>
  </w:style>
  <w:style w:type="paragraph" w:styleId="ListContinue4">
    <w:name w:val="List Continue 4"/>
    <w:basedOn w:val="Normal"/>
    <w:uiPriority w:val="3"/>
    <w:rsid w:val="00C0506E"/>
    <w:pPr>
      <w:spacing w:before="60" w:after="60"/>
      <w:ind w:left="1474"/>
    </w:pPr>
  </w:style>
  <w:style w:type="paragraph" w:styleId="ListContinue5">
    <w:name w:val="List Continue 5"/>
    <w:basedOn w:val="Normal"/>
    <w:uiPriority w:val="3"/>
    <w:rsid w:val="00C0506E"/>
    <w:pPr>
      <w:spacing w:before="60" w:after="60"/>
      <w:ind w:left="1758"/>
    </w:pPr>
  </w:style>
  <w:style w:type="paragraph" w:customStyle="1" w:styleId="CoverURLBlackText">
    <w:name w:val="Cover URL Black Text"/>
    <w:basedOn w:val="BodyText"/>
    <w:link w:val="CoverURLBlackTextChar"/>
    <w:rsid w:val="00C0506E"/>
    <w:rPr>
      <w:noProof/>
      <w:color w:val="22272B" w:themeColor="text1"/>
    </w:rPr>
  </w:style>
  <w:style w:type="character" w:customStyle="1" w:styleId="CoverURLBlackTextChar">
    <w:name w:val="Cover URL Black Text Char"/>
    <w:basedOn w:val="BodyTextChar"/>
    <w:link w:val="CoverURLBlackText"/>
    <w:rsid w:val="00C0506E"/>
    <w:rPr>
      <w:noProof/>
      <w:color w:val="22272B" w:themeColor="text1"/>
    </w:rPr>
  </w:style>
  <w:style w:type="paragraph" w:customStyle="1" w:styleId="TableBullet">
    <w:name w:val="Table Bullet"/>
    <w:basedOn w:val="ListBullet"/>
    <w:link w:val="TableBulletChar"/>
    <w:uiPriority w:val="3"/>
    <w:qFormat/>
    <w:rsid w:val="00AE717D"/>
    <w:pPr>
      <w:ind w:left="227" w:hanging="227"/>
    </w:pPr>
    <w:rPr>
      <w:sz w:val="20"/>
    </w:rPr>
  </w:style>
  <w:style w:type="character" w:customStyle="1" w:styleId="TableBulletChar">
    <w:name w:val="Table Bullet Char"/>
    <w:basedOn w:val="DefaultParagraphFont"/>
    <w:link w:val="TableBullet"/>
    <w:uiPriority w:val="3"/>
    <w:rsid w:val="00AE717D"/>
    <w:rPr>
      <w:sz w:val="20"/>
    </w:rPr>
  </w:style>
  <w:style w:type="paragraph" w:customStyle="1" w:styleId="zzdummystyledonotuse">
    <w:name w:val="zz_dummy style_do not use"/>
    <w:basedOn w:val="BodyText"/>
    <w:link w:val="zzdummystyledonotuseChar"/>
    <w:uiPriority w:val="99"/>
    <w:rsid w:val="00AE717D"/>
  </w:style>
  <w:style w:type="character" w:customStyle="1" w:styleId="zzdummystyledonotuseChar">
    <w:name w:val="zz_dummy style_do not use Char"/>
    <w:basedOn w:val="BodyTextChar"/>
    <w:link w:val="zzdummystyledonotuse"/>
    <w:uiPriority w:val="99"/>
    <w:rsid w:val="00AE717D"/>
  </w:style>
  <w:style w:type="paragraph" w:customStyle="1" w:styleId="AckHeading">
    <w:name w:val="Ack Heading"/>
    <w:basedOn w:val="H1NoTOC"/>
    <w:link w:val="AckHeadingChar"/>
    <w:rsid w:val="00571F3A"/>
    <w:pPr>
      <w:spacing w:after="480"/>
    </w:pPr>
    <w:rPr>
      <w:sz w:val="52"/>
    </w:rPr>
  </w:style>
  <w:style w:type="character" w:customStyle="1" w:styleId="AckHeadingChar">
    <w:name w:val="Ack Heading Char"/>
    <w:basedOn w:val="H1NoTOCChar"/>
    <w:link w:val="AckHeading"/>
    <w:rsid w:val="00571F3A"/>
    <w:rPr>
      <w:rFonts w:asciiTheme="majorHAnsi" w:hAnsiTheme="majorHAnsi"/>
      <w:bCs/>
      <w:noProof/>
      <w:color w:val="22272B" w:themeColor="text1"/>
      <w:sz w:val="52"/>
      <w:szCs w:val="72"/>
    </w:rPr>
  </w:style>
  <w:style w:type="numbering" w:customStyle="1" w:styleId="OneLevelList">
    <w:name w:val="OneLevelList"/>
    <w:uiPriority w:val="99"/>
    <w:rsid w:val="00B24BAA"/>
    <w:pPr>
      <w:numPr>
        <w:numId w:val="15"/>
      </w:numPr>
    </w:pPr>
  </w:style>
  <w:style w:type="paragraph" w:styleId="NormalWeb">
    <w:name w:val="Normal (Web)"/>
    <w:basedOn w:val="Normal"/>
    <w:uiPriority w:val="99"/>
    <w:unhideWhenUsed/>
    <w:rsid w:val="00B24BA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alloutstyles">
    <w:name w:val="callout styles"/>
    <w:basedOn w:val="Heading2"/>
    <w:link w:val="calloutstylesChar"/>
    <w:qFormat/>
    <w:rsid w:val="00721C42"/>
  </w:style>
  <w:style w:type="character" w:customStyle="1" w:styleId="DashChar">
    <w:name w:val="Dash Char"/>
    <w:basedOn w:val="DefaultParagraphFont"/>
    <w:link w:val="Dash"/>
    <w:locked/>
    <w:rsid w:val="00673B72"/>
    <w:rPr>
      <w:rFonts w:eastAsia="Times New Roman"/>
      <w:color w:val="22272B" w:themeColor="text1"/>
      <w:szCs w:val="20"/>
      <w:lang w:eastAsia="en-AU"/>
    </w:rPr>
  </w:style>
  <w:style w:type="character" w:customStyle="1" w:styleId="calloutstylesChar">
    <w:name w:val="callout styles Char"/>
    <w:basedOn w:val="Heading2Char"/>
    <w:link w:val="calloutstyles"/>
    <w:rsid w:val="00721C42"/>
    <w:rPr>
      <w:rFonts w:asciiTheme="majorHAnsi" w:hAnsiTheme="majorHAnsi" w:cs="ArialMT"/>
      <w:bCs/>
      <w:color w:val="002664" w:themeColor="accent1"/>
      <w:sz w:val="36"/>
      <w:szCs w:val="36"/>
      <w:lang w:val="en-GB"/>
    </w:rPr>
  </w:style>
  <w:style w:type="character" w:customStyle="1" w:styleId="BulletChar">
    <w:name w:val="Bullet Char"/>
    <w:basedOn w:val="DefaultParagraphFont"/>
    <w:link w:val="Bullet"/>
    <w:locked/>
    <w:rsid w:val="00673B72"/>
    <w:rPr>
      <w:rFonts w:eastAsia="Times New Roman"/>
      <w:color w:val="22272B" w:themeColor="text1"/>
      <w:szCs w:val="20"/>
      <w:lang w:eastAsia="en-AU"/>
    </w:rPr>
  </w:style>
  <w:style w:type="paragraph" w:customStyle="1" w:styleId="Bullet">
    <w:name w:val="Bullet"/>
    <w:basedOn w:val="Normal"/>
    <w:link w:val="BulletChar"/>
    <w:qFormat/>
    <w:rsid w:val="00673B72"/>
    <w:pPr>
      <w:numPr>
        <w:numId w:val="16"/>
      </w:numPr>
      <w:spacing w:after="60" w:line="276" w:lineRule="auto"/>
    </w:pPr>
    <w:rPr>
      <w:rFonts w:eastAsia="Times New Roman"/>
      <w:color w:val="22272B" w:themeColor="text1"/>
      <w:szCs w:val="20"/>
      <w:lang w:eastAsia="en-AU"/>
    </w:rPr>
  </w:style>
  <w:style w:type="paragraph" w:customStyle="1" w:styleId="Dash">
    <w:name w:val="Dash"/>
    <w:basedOn w:val="Normal"/>
    <w:link w:val="DashChar"/>
    <w:qFormat/>
    <w:rsid w:val="00673B72"/>
    <w:pPr>
      <w:numPr>
        <w:ilvl w:val="1"/>
        <w:numId w:val="16"/>
      </w:numPr>
      <w:spacing w:line="240" w:lineRule="auto"/>
    </w:pPr>
    <w:rPr>
      <w:rFonts w:eastAsia="Times New Roman"/>
      <w:color w:val="22272B" w:themeColor="text1"/>
      <w:szCs w:val="20"/>
      <w:lang w:eastAsia="en-AU"/>
    </w:rPr>
  </w:style>
  <w:style w:type="paragraph" w:customStyle="1" w:styleId="DoubleDot">
    <w:name w:val="Double Dot"/>
    <w:basedOn w:val="Normal"/>
    <w:qFormat/>
    <w:rsid w:val="00673B72"/>
    <w:pPr>
      <w:numPr>
        <w:ilvl w:val="2"/>
        <w:numId w:val="16"/>
      </w:numPr>
      <w:spacing w:line="240" w:lineRule="auto"/>
    </w:pPr>
    <w:rPr>
      <w:rFonts w:asciiTheme="minorHAnsi" w:eastAsia="Times New Roman" w:hAnsiTheme="minorHAnsi"/>
      <w:color w:val="22272B" w:themeColor="text1"/>
      <w:szCs w:val="20"/>
      <w:lang w:eastAsia="en-AU"/>
    </w:rPr>
  </w:style>
  <w:style w:type="paragraph" w:customStyle="1" w:styleId="OutlineNumbered1">
    <w:name w:val="Outline Numbered 1"/>
    <w:basedOn w:val="Normal"/>
    <w:rsid w:val="00CE430E"/>
    <w:pPr>
      <w:numPr>
        <w:numId w:val="20"/>
      </w:numPr>
      <w:spacing w:before="0" w:after="240" w:line="240" w:lineRule="auto"/>
    </w:pPr>
    <w:rPr>
      <w:rFonts w:asciiTheme="minorHAnsi" w:eastAsia="Times New Roman" w:hAnsiTheme="minorHAnsi"/>
      <w:color w:val="22272B" w:themeColor="text1"/>
      <w:szCs w:val="20"/>
      <w:lang w:eastAsia="en-AU"/>
    </w:rPr>
  </w:style>
  <w:style w:type="paragraph" w:customStyle="1" w:styleId="OutlineNumbered2">
    <w:name w:val="Outline Numbered 2"/>
    <w:basedOn w:val="Normal"/>
    <w:rsid w:val="00CE430E"/>
    <w:pPr>
      <w:numPr>
        <w:ilvl w:val="1"/>
        <w:numId w:val="20"/>
      </w:numPr>
      <w:spacing w:before="0" w:after="240" w:line="240" w:lineRule="auto"/>
    </w:pPr>
    <w:rPr>
      <w:rFonts w:asciiTheme="minorHAnsi" w:eastAsia="Times New Roman" w:hAnsiTheme="minorHAnsi"/>
      <w:color w:val="22272B" w:themeColor="text1"/>
      <w:szCs w:val="20"/>
      <w:lang w:eastAsia="en-AU"/>
    </w:rPr>
  </w:style>
  <w:style w:type="paragraph" w:customStyle="1" w:styleId="OutlineNumbered3">
    <w:name w:val="Outline Numbered 3"/>
    <w:basedOn w:val="Normal"/>
    <w:rsid w:val="00CE430E"/>
    <w:pPr>
      <w:numPr>
        <w:ilvl w:val="2"/>
        <w:numId w:val="20"/>
      </w:numPr>
      <w:spacing w:before="0" w:after="240" w:line="240" w:lineRule="auto"/>
    </w:pPr>
    <w:rPr>
      <w:rFonts w:asciiTheme="minorHAnsi" w:eastAsia="Times New Roman" w:hAnsiTheme="minorHAnsi"/>
      <w:color w:val="22272B" w:themeColor="text1"/>
      <w:szCs w:val="20"/>
      <w:lang w:eastAsia="en-AU"/>
    </w:rPr>
  </w:style>
  <w:style w:type="numbering" w:customStyle="1" w:styleId="BulletedList">
    <w:name w:val="Bulleted List"/>
    <w:uiPriority w:val="99"/>
    <w:rsid w:val="00971284"/>
    <w:pPr>
      <w:numPr>
        <w:numId w:val="23"/>
      </w:numPr>
    </w:pPr>
  </w:style>
  <w:style w:type="paragraph" w:customStyle="1" w:styleId="BoxText">
    <w:name w:val="Box Text"/>
    <w:basedOn w:val="Normal"/>
    <w:link w:val="BoxTextChar"/>
    <w:rsid w:val="00A41C3A"/>
    <w:pPr>
      <w:spacing w:line="240" w:lineRule="auto"/>
    </w:pPr>
    <w:rPr>
      <w:rFonts w:asciiTheme="minorHAnsi" w:eastAsia="Times New Roman" w:hAnsiTheme="minorHAnsi"/>
      <w:color w:val="22272B" w:themeColor="text1"/>
      <w:sz w:val="20"/>
      <w:szCs w:val="20"/>
      <w:lang w:eastAsia="en-AU"/>
    </w:rPr>
  </w:style>
  <w:style w:type="character" w:customStyle="1" w:styleId="BoxTextChar">
    <w:name w:val="Box Text Char"/>
    <w:basedOn w:val="DefaultParagraphFont"/>
    <w:link w:val="BoxText"/>
    <w:locked/>
    <w:rsid w:val="00A41C3A"/>
    <w:rPr>
      <w:rFonts w:asciiTheme="minorHAnsi" w:eastAsia="Times New Roman" w:hAnsiTheme="minorHAnsi"/>
      <w:color w:val="22272B" w:themeColor="text1"/>
      <w:sz w:val="20"/>
      <w:szCs w:val="20"/>
      <w:lang w:eastAsia="en-AU"/>
    </w:rPr>
  </w:style>
  <w:style w:type="character" w:customStyle="1" w:styleId="ui-provider">
    <w:name w:val="ui-provider"/>
    <w:basedOn w:val="DefaultParagraphFont"/>
    <w:rsid w:val="000D7913"/>
  </w:style>
  <w:style w:type="paragraph" w:styleId="TOC4">
    <w:name w:val="toc 4"/>
    <w:basedOn w:val="Normal"/>
    <w:next w:val="Normal"/>
    <w:autoRedefine/>
    <w:uiPriority w:val="39"/>
    <w:unhideWhenUsed/>
    <w:rsid w:val="001D6EFB"/>
    <w:pPr>
      <w:spacing w:after="100"/>
      <w:ind w:left="660"/>
    </w:pPr>
  </w:style>
  <w:style w:type="character" w:styleId="CommentReference">
    <w:name w:val="annotation reference"/>
    <w:basedOn w:val="DefaultParagraphFont"/>
    <w:semiHidden/>
    <w:unhideWhenUsed/>
    <w:rsid w:val="005F17A6"/>
    <w:rPr>
      <w:sz w:val="16"/>
      <w:szCs w:val="16"/>
    </w:rPr>
  </w:style>
  <w:style w:type="paragraph" w:styleId="CommentText">
    <w:name w:val="annotation text"/>
    <w:basedOn w:val="Normal"/>
    <w:link w:val="CommentTextChar"/>
    <w:unhideWhenUsed/>
    <w:rsid w:val="005F17A6"/>
    <w:pPr>
      <w:spacing w:line="240" w:lineRule="auto"/>
    </w:pPr>
    <w:rPr>
      <w:sz w:val="20"/>
      <w:szCs w:val="20"/>
    </w:rPr>
  </w:style>
  <w:style w:type="character" w:customStyle="1" w:styleId="CommentTextChar">
    <w:name w:val="Comment Text Char"/>
    <w:basedOn w:val="DefaultParagraphFont"/>
    <w:link w:val="CommentText"/>
    <w:rsid w:val="005F17A6"/>
    <w:rPr>
      <w:sz w:val="20"/>
      <w:szCs w:val="20"/>
    </w:rPr>
  </w:style>
  <w:style w:type="paragraph" w:styleId="CommentSubject">
    <w:name w:val="annotation subject"/>
    <w:basedOn w:val="CommentText"/>
    <w:next w:val="CommentText"/>
    <w:link w:val="CommentSubjectChar"/>
    <w:semiHidden/>
    <w:unhideWhenUsed/>
    <w:rsid w:val="005F17A6"/>
    <w:rPr>
      <w:b/>
      <w:bCs/>
    </w:rPr>
  </w:style>
  <w:style w:type="character" w:customStyle="1" w:styleId="CommentSubjectChar">
    <w:name w:val="Comment Subject Char"/>
    <w:basedOn w:val="CommentTextChar"/>
    <w:link w:val="CommentSubject"/>
    <w:semiHidden/>
    <w:rsid w:val="005F17A6"/>
    <w:rPr>
      <w:b/>
      <w:bCs/>
      <w:sz w:val="20"/>
      <w:szCs w:val="20"/>
    </w:rPr>
  </w:style>
  <w:style w:type="paragraph" w:styleId="Revision">
    <w:name w:val="Revision"/>
    <w:hidden/>
    <w:semiHidden/>
    <w:rsid w:val="00010A95"/>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386144114">
      <w:bodyDiv w:val="1"/>
      <w:marLeft w:val="0"/>
      <w:marRight w:val="0"/>
      <w:marTop w:val="0"/>
      <w:marBottom w:val="0"/>
      <w:divBdr>
        <w:top w:val="none" w:sz="0" w:space="0" w:color="auto"/>
        <w:left w:val="none" w:sz="0" w:space="0" w:color="auto"/>
        <w:bottom w:val="none" w:sz="0" w:space="0" w:color="auto"/>
        <w:right w:val="none" w:sz="0" w:space="0" w:color="auto"/>
      </w:divBdr>
      <w:divsChild>
        <w:div w:id="1404334371">
          <w:marLeft w:val="0"/>
          <w:marRight w:val="0"/>
          <w:marTop w:val="0"/>
          <w:marBottom w:val="0"/>
          <w:divBdr>
            <w:top w:val="none" w:sz="0" w:space="0" w:color="auto"/>
            <w:left w:val="none" w:sz="0" w:space="0" w:color="auto"/>
            <w:bottom w:val="none" w:sz="0" w:space="0" w:color="auto"/>
            <w:right w:val="none" w:sz="0" w:space="0" w:color="auto"/>
          </w:divBdr>
          <w:divsChild>
            <w:div w:id="1334183178">
              <w:marLeft w:val="0"/>
              <w:marRight w:val="0"/>
              <w:marTop w:val="0"/>
              <w:marBottom w:val="0"/>
              <w:divBdr>
                <w:top w:val="none" w:sz="0" w:space="0" w:color="auto"/>
                <w:left w:val="none" w:sz="0" w:space="0" w:color="auto"/>
                <w:bottom w:val="none" w:sz="0" w:space="0" w:color="auto"/>
                <w:right w:val="none" w:sz="0" w:space="0" w:color="auto"/>
              </w:divBdr>
              <w:divsChild>
                <w:div w:id="1446537042">
                  <w:marLeft w:val="0"/>
                  <w:marRight w:val="0"/>
                  <w:marTop w:val="0"/>
                  <w:marBottom w:val="0"/>
                  <w:divBdr>
                    <w:top w:val="none" w:sz="0" w:space="0" w:color="auto"/>
                    <w:left w:val="none" w:sz="0" w:space="0" w:color="auto"/>
                    <w:bottom w:val="none" w:sz="0" w:space="0" w:color="auto"/>
                    <w:right w:val="none" w:sz="0" w:space="0" w:color="auto"/>
                  </w:divBdr>
                  <w:divsChild>
                    <w:div w:id="1968121460">
                      <w:marLeft w:val="0"/>
                      <w:marRight w:val="0"/>
                      <w:marTop w:val="0"/>
                      <w:marBottom w:val="0"/>
                      <w:divBdr>
                        <w:top w:val="none" w:sz="0" w:space="0" w:color="auto"/>
                        <w:left w:val="none" w:sz="0" w:space="0" w:color="auto"/>
                        <w:bottom w:val="none" w:sz="0" w:space="0" w:color="auto"/>
                        <w:right w:val="none" w:sz="0" w:space="0" w:color="auto"/>
                      </w:divBdr>
                      <w:divsChild>
                        <w:div w:id="1416785767">
                          <w:marLeft w:val="0"/>
                          <w:marRight w:val="0"/>
                          <w:marTop w:val="0"/>
                          <w:marBottom w:val="0"/>
                          <w:divBdr>
                            <w:top w:val="none" w:sz="0" w:space="0" w:color="auto"/>
                            <w:left w:val="none" w:sz="0" w:space="0" w:color="auto"/>
                            <w:bottom w:val="none" w:sz="0" w:space="0" w:color="auto"/>
                            <w:right w:val="none" w:sz="0" w:space="0" w:color="auto"/>
                          </w:divBdr>
                          <w:divsChild>
                            <w:div w:id="20507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4913">
          <w:marLeft w:val="0"/>
          <w:marRight w:val="0"/>
          <w:marTop w:val="0"/>
          <w:marBottom w:val="0"/>
          <w:divBdr>
            <w:top w:val="none" w:sz="0" w:space="0" w:color="auto"/>
            <w:left w:val="none" w:sz="0" w:space="0" w:color="auto"/>
            <w:bottom w:val="none" w:sz="0" w:space="0" w:color="auto"/>
            <w:right w:val="none" w:sz="0" w:space="0" w:color="auto"/>
          </w:divBdr>
          <w:divsChild>
            <w:div w:id="1022971033">
              <w:marLeft w:val="0"/>
              <w:marRight w:val="0"/>
              <w:marTop w:val="0"/>
              <w:marBottom w:val="0"/>
              <w:divBdr>
                <w:top w:val="none" w:sz="0" w:space="0" w:color="auto"/>
                <w:left w:val="none" w:sz="0" w:space="0" w:color="auto"/>
                <w:bottom w:val="none" w:sz="0" w:space="0" w:color="auto"/>
                <w:right w:val="none" w:sz="0" w:space="0" w:color="auto"/>
              </w:divBdr>
              <w:divsChild>
                <w:div w:id="85463498">
                  <w:marLeft w:val="0"/>
                  <w:marRight w:val="0"/>
                  <w:marTop w:val="0"/>
                  <w:marBottom w:val="0"/>
                  <w:divBdr>
                    <w:top w:val="none" w:sz="0" w:space="0" w:color="auto"/>
                    <w:left w:val="none" w:sz="0" w:space="0" w:color="auto"/>
                    <w:bottom w:val="none" w:sz="0" w:space="0" w:color="auto"/>
                    <w:right w:val="none" w:sz="0" w:space="0" w:color="auto"/>
                  </w:divBdr>
                  <w:divsChild>
                    <w:div w:id="268243636">
                      <w:marLeft w:val="0"/>
                      <w:marRight w:val="0"/>
                      <w:marTop w:val="0"/>
                      <w:marBottom w:val="0"/>
                      <w:divBdr>
                        <w:top w:val="none" w:sz="0" w:space="0" w:color="auto"/>
                        <w:left w:val="none" w:sz="0" w:space="0" w:color="auto"/>
                        <w:bottom w:val="none" w:sz="0" w:space="0" w:color="auto"/>
                        <w:right w:val="none" w:sz="0" w:space="0" w:color="auto"/>
                      </w:divBdr>
                      <w:divsChild>
                        <w:div w:id="1179932799">
                          <w:marLeft w:val="0"/>
                          <w:marRight w:val="0"/>
                          <w:marTop w:val="0"/>
                          <w:marBottom w:val="0"/>
                          <w:divBdr>
                            <w:top w:val="none" w:sz="0" w:space="0" w:color="auto"/>
                            <w:left w:val="none" w:sz="0" w:space="0" w:color="auto"/>
                            <w:bottom w:val="none" w:sz="0" w:space="0" w:color="auto"/>
                            <w:right w:val="none" w:sz="0" w:space="0" w:color="auto"/>
                          </w:divBdr>
                          <w:divsChild>
                            <w:div w:id="374894878">
                              <w:marLeft w:val="0"/>
                              <w:marRight w:val="0"/>
                              <w:marTop w:val="0"/>
                              <w:marBottom w:val="0"/>
                              <w:divBdr>
                                <w:top w:val="none" w:sz="0" w:space="0" w:color="auto"/>
                                <w:left w:val="none" w:sz="0" w:space="0" w:color="auto"/>
                                <w:bottom w:val="none" w:sz="0" w:space="0" w:color="auto"/>
                                <w:right w:val="none" w:sz="0" w:space="0" w:color="auto"/>
                              </w:divBdr>
                              <w:divsChild>
                                <w:div w:id="19379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7769">
                  <w:marLeft w:val="0"/>
                  <w:marRight w:val="0"/>
                  <w:marTop w:val="0"/>
                  <w:marBottom w:val="0"/>
                  <w:divBdr>
                    <w:top w:val="none" w:sz="0" w:space="0" w:color="auto"/>
                    <w:left w:val="none" w:sz="0" w:space="0" w:color="auto"/>
                    <w:bottom w:val="none" w:sz="0" w:space="0" w:color="auto"/>
                    <w:right w:val="none" w:sz="0" w:space="0" w:color="auto"/>
                  </w:divBdr>
                  <w:divsChild>
                    <w:div w:id="876166846">
                      <w:marLeft w:val="0"/>
                      <w:marRight w:val="0"/>
                      <w:marTop w:val="0"/>
                      <w:marBottom w:val="0"/>
                      <w:divBdr>
                        <w:top w:val="none" w:sz="0" w:space="0" w:color="auto"/>
                        <w:left w:val="none" w:sz="0" w:space="0" w:color="auto"/>
                        <w:bottom w:val="none" w:sz="0" w:space="0" w:color="auto"/>
                        <w:right w:val="none" w:sz="0" w:space="0" w:color="auto"/>
                      </w:divBdr>
                      <w:divsChild>
                        <w:div w:id="2121994927">
                          <w:marLeft w:val="0"/>
                          <w:marRight w:val="0"/>
                          <w:marTop w:val="0"/>
                          <w:marBottom w:val="0"/>
                          <w:divBdr>
                            <w:top w:val="none" w:sz="0" w:space="0" w:color="auto"/>
                            <w:left w:val="none" w:sz="0" w:space="0" w:color="auto"/>
                            <w:bottom w:val="none" w:sz="0" w:space="0" w:color="auto"/>
                            <w:right w:val="none" w:sz="0" w:space="0" w:color="auto"/>
                          </w:divBdr>
                          <w:divsChild>
                            <w:div w:id="728653016">
                              <w:marLeft w:val="0"/>
                              <w:marRight w:val="0"/>
                              <w:marTop w:val="0"/>
                              <w:marBottom w:val="0"/>
                              <w:divBdr>
                                <w:top w:val="none" w:sz="0" w:space="0" w:color="auto"/>
                                <w:left w:val="none" w:sz="0" w:space="0" w:color="auto"/>
                                <w:bottom w:val="none" w:sz="0" w:space="0" w:color="auto"/>
                                <w:right w:val="none" w:sz="0" w:space="0" w:color="auto"/>
                              </w:divBdr>
                              <w:divsChild>
                                <w:div w:id="19774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606508">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 w:id="176372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hyperlink" Target="https://www.planning.nsw.gov.au/policy-and-legislation/housing/housing-sepp" TargetMode="External"/><Relationship Id="rId47" Type="http://schemas.openxmlformats.org/officeDocument/2006/relationships/hyperlink" Target="https://www.planning.nsw.gov.au/policy-and-legislation/planning-reforms/standard-conditions-of-consent/standard-conditions-of-development-consent" TargetMode="External"/><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s://treasury.gov.au/housing-policy/accord" TargetMode="External"/><Relationship Id="rId37" Type="http://schemas.openxmlformats.org/officeDocument/2006/relationships/hyperlink" Target="https://www.planning.nsw.gov.au/policy-and-legislation/housing/diverse-and-well-located-homes" TargetMode="External"/><Relationship Id="rId40" Type="http://schemas.openxmlformats.org/officeDocument/2006/relationships/hyperlink" Target="https://www.planning.nsw.gov.au/government-architect-nsw/case-studies/residential-projects" TargetMode="External"/><Relationship Id="rId45" Type="http://schemas.openxmlformats.org/officeDocument/2006/relationships/hyperlink" Target="https://www.landcom.com.au/projects/bomaderry" TargetMode="External"/><Relationship Id="rId53" Type="http://schemas.openxmlformats.org/officeDocument/2006/relationships/hyperlink" Target="https://www.nsw.gov.au/grants-and-funding/strong-start-cadetship-program" TargetMode="External"/><Relationship Id="rId58" Type="http://schemas.openxmlformats.org/officeDocument/2006/relationships/hyperlink" Target="https://www.dpie.nsw.gov.au/housing-and-property/our-business/advisory-and-transactions/land-iq" TargetMode="External"/><Relationship Id="rId66"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hyperlink" Target="https://www.planning.nsw.gov.au/policy-and-legislation/aboriginal-land-use-planning/aboriginal-land-planning-framework" TargetMode="Externa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s://www.planning.nsw.gov.au/policy-and-legislation/housing/transport-oriented-development-program" TargetMode="External"/><Relationship Id="rId43" Type="http://schemas.openxmlformats.org/officeDocument/2006/relationships/hyperlink" Target="https://www.planning.nsw.gov.au/plans-for-your-area/infrastructure-funding/accelerated-infrastructure-fund" TargetMode="External"/><Relationship Id="rId48" Type="http://schemas.openxmlformats.org/officeDocument/2006/relationships/hyperlink" Target="https://www.planning.nsw.gov.au/policy-and-legislation/under-review-and-new-policy-and-legislation/variations-review" TargetMode="External"/><Relationship Id="rId56" Type="http://schemas.openxmlformats.org/officeDocument/2006/relationships/hyperlink" Target="https://www.planning.nsw.gov.au/policy-and-legislation/housing/housing-sepp/in-fill-affordable-housing" TargetMode="External"/><Relationship Id="rId64" Type="http://schemas.openxmlformats.org/officeDocument/2006/relationships/footer" Target="footer10.xm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www.planning.nsw.gov.au/policy-and-legislation/planning-reforms/concurrence-and-referral-reforms"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dphi.nsw.gov.au/" TargetMode="External"/><Relationship Id="rId25" Type="http://schemas.openxmlformats.org/officeDocument/2006/relationships/header" Target="header7.xml"/><Relationship Id="rId33" Type="http://schemas.openxmlformats.org/officeDocument/2006/relationships/hyperlink" Target="https://treasury.gov.au/sites/default/files/2023-11/shap-nsw.pdf" TargetMode="External"/><Relationship Id="rId38" Type="http://schemas.openxmlformats.org/officeDocument/2006/relationships/hyperlink" Target="https://www.planning.nsw.gov.au/plans-for-your-area/rezoning-pathways-program" TargetMode="External"/><Relationship Id="rId46" Type="http://schemas.openxmlformats.org/officeDocument/2006/relationships/hyperlink" Target="https://www.landcom.com.au/about/housing/buildtorent" TargetMode="External"/><Relationship Id="rId59" Type="http://schemas.openxmlformats.org/officeDocument/2006/relationships/hyperlink" Target="https://www.planningportal.nsw.gov.au/eplanningreport" TargetMode="External"/><Relationship Id="rId67" Type="http://schemas.openxmlformats.org/officeDocument/2006/relationships/footer" Target="footer12.xml"/><Relationship Id="rId20" Type="http://schemas.openxmlformats.org/officeDocument/2006/relationships/header" Target="header5.xml"/><Relationship Id="rId41" Type="http://schemas.openxmlformats.org/officeDocument/2006/relationships/hyperlink" Target="https://www.planning.nsw.gov.au/policy-and-legislation/housing/pattern-book-of-housing-design" TargetMode="External"/><Relationship Id="rId54" Type="http://schemas.openxmlformats.org/officeDocument/2006/relationships/hyperlink" Target="https://www.planning.nsw.gov.au/policy-and-legislation/housing/regional-housing/regional-housing-taskforce/temporary-and-seasonal-workers-accommodation-toolkit" TargetMode="External"/><Relationship Id="rId62" Type="http://schemas.openxmlformats.org/officeDocument/2006/relationships/header" Target="header10.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s://www.planning.nsw.gov.au/policy-and-legislation/housing/transport-oriented-development-program" TargetMode="External"/><Relationship Id="rId49" Type="http://schemas.openxmlformats.org/officeDocument/2006/relationships/hyperlink" Target="https://www.planning.nsw.gov.au/plans-for-your-area/local-planning-and-zoning/strategic-planning-toolkit" TargetMode="External"/><Relationship Id="rId57" Type="http://schemas.openxmlformats.org/officeDocument/2006/relationships/hyperlink" Target="https://www.planningportal.nsw.gov.au/online-dashboards" TargetMode="External"/><Relationship Id="rId10" Type="http://schemas.openxmlformats.org/officeDocument/2006/relationships/header" Target="header1.xml"/><Relationship Id="rId31" Type="http://schemas.openxmlformats.org/officeDocument/2006/relationships/hyperlink" Target="https://treasury.gov.au/housing-policy" TargetMode="External"/><Relationship Id="rId44" Type="http://schemas.openxmlformats.org/officeDocument/2006/relationships/hyperlink" Target="https://www.planning.nsw.gov.au/policy-and-legislation/housing/housing-supply-insights/quarterly-insights-monitor-q2/urban-development-programs" TargetMode="External"/><Relationship Id="rId52" Type="http://schemas.openxmlformats.org/officeDocument/2006/relationships/hyperlink" Target="https://www.planning.nsw.gov.au/government-architect-nsw/design-review/nsw-state-design-review-panel" TargetMode="External"/><Relationship Id="rId60" Type="http://schemas.openxmlformats.org/officeDocument/2006/relationships/hyperlink" Target="https://www.treasury.nsw.gov.au/information-public-entities/nsw-common-planning-assumptions" TargetMode="External"/><Relationship Id="rId65"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www.nsw.gov.au/nsw-government/copyright" TargetMode="External"/><Relationship Id="rId39" Type="http://schemas.openxmlformats.org/officeDocument/2006/relationships/hyperlink" Target="https://www.planning.nsw.gov.au/policy-and-legislation/infrastructure/infrastructure-funding/improving-the-infrastructure-contributions-system" TargetMode="External"/><Relationship Id="rId34" Type="http://schemas.openxmlformats.org/officeDocument/2006/relationships/hyperlink" Target="https://treasury.gov.au/sites/default/files/2023-11/shap-nsw.pdf" TargetMode="External"/><Relationship Id="rId50" Type="http://schemas.openxmlformats.org/officeDocument/2006/relationships/hyperlink" Target="https://www.planning.nsw.gov.au/assess-and-regulate/development-assessment/artificial-intelligence-in-nsw-planning" TargetMode="External"/><Relationship Id="rId55" Type="http://schemas.openxmlformats.org/officeDocument/2006/relationships/hyperlink" Target="https://www.planning.nsw.gov.au/policy-and-legislation/buildings/sustainable-buildings-sepp/sustainability-standards-residential-development-basi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4F218F1A224EF18D4F8B0BFC47EEEB"/>
        <w:category>
          <w:name w:val="General"/>
          <w:gallery w:val="placeholder"/>
        </w:category>
        <w:types>
          <w:type w:val="bbPlcHdr"/>
        </w:types>
        <w:behaviors>
          <w:behavior w:val="content"/>
        </w:behaviors>
        <w:guid w:val="{140F41FE-5E6B-4153-8489-1DA45A56A5B6}"/>
      </w:docPartPr>
      <w:docPartBody>
        <w:p w:rsidR="00B170DD" w:rsidRDefault="007D1D94">
          <w:pPr>
            <w:pStyle w:val="F64F218F1A224EF18D4F8B0BFC47EEEB"/>
          </w:pPr>
          <w:r w:rsidRPr="00DD68C3">
            <w:rPr>
              <w:rStyle w:val="PlaceholderText"/>
              <w:szCs w:val="56"/>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ublic Sans Light">
    <w:altName w:val="Calibri"/>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w:altName w:val="Calibri"/>
    <w:panose1 w:val="00000000000000000000"/>
    <w:charset w:val="00"/>
    <w:family w:val="modern"/>
    <w:notTrueType/>
    <w:pitch w:val="variable"/>
    <w:sig w:usb0="A00000FF" w:usb1="4000205B" w:usb2="00000000" w:usb3="00000000" w:csb0="00000193" w:csb1="00000000"/>
  </w:font>
  <w:font w:name="ArialMT">
    <w:altName w:val="Arial"/>
    <w:charset w:val="4D"/>
    <w:family w:val="swiss"/>
    <w:pitch w:val="default"/>
    <w:sig w:usb0="00000003" w:usb1="00000000" w:usb2="00000000" w:usb3="00000000" w:csb0="00000001" w:csb1="00000000"/>
  </w:font>
  <w:font w:name="Public Sans Medium">
    <w:altName w:val="Calibri"/>
    <w:panose1 w:val="00000000000000000000"/>
    <w:charset w:val="00"/>
    <w:family w:val="modern"/>
    <w:notTrueType/>
    <w:pitch w:val="variable"/>
    <w:sig w:usb0="A00000FF" w:usb1="4000205B" w:usb2="00000000" w:usb3="00000000" w:csb0="00000193" w:csb1="00000000"/>
  </w:font>
  <w:font w:name="Public Sans SemiBold">
    <w:altName w:val="Calibri"/>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D94"/>
    <w:rsid w:val="00001F9C"/>
    <w:rsid w:val="000C1588"/>
    <w:rsid w:val="001C09D4"/>
    <w:rsid w:val="00220AA0"/>
    <w:rsid w:val="002F03C0"/>
    <w:rsid w:val="002F6ED7"/>
    <w:rsid w:val="00443A8C"/>
    <w:rsid w:val="004D67F1"/>
    <w:rsid w:val="0051748A"/>
    <w:rsid w:val="00546BE8"/>
    <w:rsid w:val="005A1023"/>
    <w:rsid w:val="006153EE"/>
    <w:rsid w:val="00752835"/>
    <w:rsid w:val="007D1D94"/>
    <w:rsid w:val="0086315D"/>
    <w:rsid w:val="00870EE9"/>
    <w:rsid w:val="008E3473"/>
    <w:rsid w:val="00912892"/>
    <w:rsid w:val="009611D8"/>
    <w:rsid w:val="009A010E"/>
    <w:rsid w:val="009E6F1E"/>
    <w:rsid w:val="00A110CE"/>
    <w:rsid w:val="00A24F65"/>
    <w:rsid w:val="00AA7A70"/>
    <w:rsid w:val="00AC5E68"/>
    <w:rsid w:val="00B170DD"/>
    <w:rsid w:val="00B712D4"/>
    <w:rsid w:val="00B831EA"/>
    <w:rsid w:val="00BC157B"/>
    <w:rsid w:val="00C24C33"/>
    <w:rsid w:val="00C832FA"/>
    <w:rsid w:val="00CA4829"/>
    <w:rsid w:val="00CE2E83"/>
    <w:rsid w:val="00D04CB0"/>
    <w:rsid w:val="00D8607F"/>
    <w:rsid w:val="00DF1365"/>
    <w:rsid w:val="00E74F43"/>
    <w:rsid w:val="00ED3F04"/>
    <w:rsid w:val="00ED4BFD"/>
    <w:rsid w:val="00F318E5"/>
    <w:rsid w:val="00F325C4"/>
    <w:rsid w:val="00FE3FE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555B50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D04CB0"/>
    <w:rPr>
      <w:color w:val="808080"/>
    </w:rPr>
  </w:style>
  <w:style w:type="paragraph" w:customStyle="1" w:styleId="A247BC254C274E0B89D01CB45CB85A0E">
    <w:name w:val="A247BC254C274E0B89D01CB45CB85A0E"/>
  </w:style>
  <w:style w:type="paragraph" w:customStyle="1" w:styleId="F64F218F1A224EF18D4F8B0BFC47EEEB">
    <w:name w:val="F64F218F1A224EF18D4F8B0BFC47EE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 Corporate">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B8C1"/>
      </a:accent6>
      <a:hlink>
        <a:srgbClr val="22272B"/>
      </a:hlink>
      <a:folHlink>
        <a:srgbClr val="22272B"/>
      </a:folHlink>
    </a:clrScheme>
    <a:fontScheme name="NSW Government">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95B64F-0F61-497D-9BB0-0A436E3D0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4338</Words>
  <Characters>28477</Characters>
  <Application>Microsoft Office Word</Application>
  <DocSecurity>0</DocSecurity>
  <Lines>494</Lines>
  <Paragraphs>246</Paragraphs>
  <ScaleCrop>false</ScaleCrop>
  <HeadingPairs>
    <vt:vector size="2" baseType="variant">
      <vt:variant>
        <vt:lpstr>Title</vt:lpstr>
      </vt:variant>
      <vt:variant>
        <vt:i4>1</vt:i4>
      </vt:variant>
    </vt:vector>
  </HeadingPairs>
  <TitlesOfParts>
    <vt:vector size="1" baseType="lpstr">
      <vt:lpstr>National Planning Reform Blueprint – NSW Government progress report – March 2024</vt:lpstr>
    </vt:vector>
  </TitlesOfParts>
  <Company/>
  <LinksUpToDate>false</LinksUpToDate>
  <CharactersWithSpaces>32704</CharactersWithSpaces>
  <SharedDoc>false</SharedDoc>
  <HLinks>
    <vt:vector size="306" baseType="variant">
      <vt:variant>
        <vt:i4>4128826</vt:i4>
      </vt:variant>
      <vt:variant>
        <vt:i4>207</vt:i4>
      </vt:variant>
      <vt:variant>
        <vt:i4>0</vt:i4>
      </vt:variant>
      <vt:variant>
        <vt:i4>5</vt:i4>
      </vt:variant>
      <vt:variant>
        <vt:lpwstr>https://www.planning.nsw.gov.au/policy-and-legislation/aboriginal-land-use-planning/aboriginal-land-planning-framework</vt:lpwstr>
      </vt:variant>
      <vt:variant>
        <vt:lpwstr/>
      </vt:variant>
      <vt:variant>
        <vt:i4>6357114</vt:i4>
      </vt:variant>
      <vt:variant>
        <vt:i4>204</vt:i4>
      </vt:variant>
      <vt:variant>
        <vt:i4>0</vt:i4>
      </vt:variant>
      <vt:variant>
        <vt:i4>5</vt:i4>
      </vt:variant>
      <vt:variant>
        <vt:lpwstr>https://www.treasury.nsw.gov.au/information-public-entities/nsw-common-planning-assumptions</vt:lpwstr>
      </vt:variant>
      <vt:variant>
        <vt:lpwstr/>
      </vt:variant>
      <vt:variant>
        <vt:i4>1310742</vt:i4>
      </vt:variant>
      <vt:variant>
        <vt:i4>201</vt:i4>
      </vt:variant>
      <vt:variant>
        <vt:i4>0</vt:i4>
      </vt:variant>
      <vt:variant>
        <vt:i4>5</vt:i4>
      </vt:variant>
      <vt:variant>
        <vt:lpwstr>https://www.planningportal.nsw.gov.au/eplanningreport</vt:lpwstr>
      </vt:variant>
      <vt:variant>
        <vt:lpwstr/>
      </vt:variant>
      <vt:variant>
        <vt:i4>7274541</vt:i4>
      </vt:variant>
      <vt:variant>
        <vt:i4>198</vt:i4>
      </vt:variant>
      <vt:variant>
        <vt:i4>0</vt:i4>
      </vt:variant>
      <vt:variant>
        <vt:i4>5</vt:i4>
      </vt:variant>
      <vt:variant>
        <vt:lpwstr>https://www.dpie.nsw.gov.au/housing-and-property/our-business/advisory-and-transactions/land-iq</vt:lpwstr>
      </vt:variant>
      <vt:variant>
        <vt:lpwstr/>
      </vt:variant>
      <vt:variant>
        <vt:i4>6750241</vt:i4>
      </vt:variant>
      <vt:variant>
        <vt:i4>195</vt:i4>
      </vt:variant>
      <vt:variant>
        <vt:i4>0</vt:i4>
      </vt:variant>
      <vt:variant>
        <vt:i4>5</vt:i4>
      </vt:variant>
      <vt:variant>
        <vt:lpwstr>https://www.planningportal.nsw.gov.au/online-dashboards</vt:lpwstr>
      </vt:variant>
      <vt:variant>
        <vt:lpwstr/>
      </vt:variant>
      <vt:variant>
        <vt:i4>7995426</vt:i4>
      </vt:variant>
      <vt:variant>
        <vt:i4>192</vt:i4>
      </vt:variant>
      <vt:variant>
        <vt:i4>0</vt:i4>
      </vt:variant>
      <vt:variant>
        <vt:i4>5</vt:i4>
      </vt:variant>
      <vt:variant>
        <vt:lpwstr>https://www.planning.nsw.gov.au/policy-and-legislation/housing/housing-sepp/in-fill-affordable-housing</vt:lpwstr>
      </vt:variant>
      <vt:variant>
        <vt:lpwstr/>
      </vt:variant>
      <vt:variant>
        <vt:i4>3997822</vt:i4>
      </vt:variant>
      <vt:variant>
        <vt:i4>189</vt:i4>
      </vt:variant>
      <vt:variant>
        <vt:i4>0</vt:i4>
      </vt:variant>
      <vt:variant>
        <vt:i4>5</vt:i4>
      </vt:variant>
      <vt:variant>
        <vt:lpwstr>https://www.planning.nsw.gov.au/policy-and-legislation/buildings/sustainable-buildings-sepp/sustainability-standards-residential-development-basix</vt:lpwstr>
      </vt:variant>
      <vt:variant>
        <vt:lpwstr/>
      </vt:variant>
      <vt:variant>
        <vt:i4>2949177</vt:i4>
      </vt:variant>
      <vt:variant>
        <vt:i4>186</vt:i4>
      </vt:variant>
      <vt:variant>
        <vt:i4>0</vt:i4>
      </vt:variant>
      <vt:variant>
        <vt:i4>5</vt:i4>
      </vt:variant>
      <vt:variant>
        <vt:lpwstr>https://www.planning.nsw.gov.au/policy-and-legislation/housing/regional-housing/regional-housing-taskforce/temporary-and-seasonal-workers-accommodation-toolkit</vt:lpwstr>
      </vt:variant>
      <vt:variant>
        <vt:lpwstr/>
      </vt:variant>
      <vt:variant>
        <vt:i4>6357044</vt:i4>
      </vt:variant>
      <vt:variant>
        <vt:i4>183</vt:i4>
      </vt:variant>
      <vt:variant>
        <vt:i4>0</vt:i4>
      </vt:variant>
      <vt:variant>
        <vt:i4>5</vt:i4>
      </vt:variant>
      <vt:variant>
        <vt:lpwstr>https://www.nsw.gov.au/grants-and-funding/strong-start-cadetship-program</vt:lpwstr>
      </vt:variant>
      <vt:variant>
        <vt:lpwstr>toc-key-information</vt:lpwstr>
      </vt:variant>
      <vt:variant>
        <vt:i4>524370</vt:i4>
      </vt:variant>
      <vt:variant>
        <vt:i4>180</vt:i4>
      </vt:variant>
      <vt:variant>
        <vt:i4>0</vt:i4>
      </vt:variant>
      <vt:variant>
        <vt:i4>5</vt:i4>
      </vt:variant>
      <vt:variant>
        <vt:lpwstr>https://www.planning.nsw.gov.au/government-architect-nsw/design-review/nsw-state-design-review-panel</vt:lpwstr>
      </vt:variant>
      <vt:variant>
        <vt:lpwstr/>
      </vt:variant>
      <vt:variant>
        <vt:i4>983043</vt:i4>
      </vt:variant>
      <vt:variant>
        <vt:i4>177</vt:i4>
      </vt:variant>
      <vt:variant>
        <vt:i4>0</vt:i4>
      </vt:variant>
      <vt:variant>
        <vt:i4>5</vt:i4>
      </vt:variant>
      <vt:variant>
        <vt:lpwstr>https://www.planning.nsw.gov.au/policy-and-legislation/planning-reforms/concurrence-and-referral-reforms</vt:lpwstr>
      </vt:variant>
      <vt:variant>
        <vt:lpwstr/>
      </vt:variant>
      <vt:variant>
        <vt:i4>3407997</vt:i4>
      </vt:variant>
      <vt:variant>
        <vt:i4>174</vt:i4>
      </vt:variant>
      <vt:variant>
        <vt:i4>0</vt:i4>
      </vt:variant>
      <vt:variant>
        <vt:i4>5</vt:i4>
      </vt:variant>
      <vt:variant>
        <vt:lpwstr>https://www.planning.nsw.gov.au/assess-and-regulate/development-assessment/artificial-intelligence-in-nsw-planning</vt:lpwstr>
      </vt:variant>
      <vt:variant>
        <vt:lpwstr/>
      </vt:variant>
      <vt:variant>
        <vt:i4>1703944</vt:i4>
      </vt:variant>
      <vt:variant>
        <vt:i4>171</vt:i4>
      </vt:variant>
      <vt:variant>
        <vt:i4>0</vt:i4>
      </vt:variant>
      <vt:variant>
        <vt:i4>5</vt:i4>
      </vt:variant>
      <vt:variant>
        <vt:lpwstr>https://www.planning.nsw.gov.au/plans-for-your-area/local-planning-and-zoning/strategic-planning-toolkit</vt:lpwstr>
      </vt:variant>
      <vt:variant>
        <vt:lpwstr/>
      </vt:variant>
      <vt:variant>
        <vt:i4>1179734</vt:i4>
      </vt:variant>
      <vt:variant>
        <vt:i4>168</vt:i4>
      </vt:variant>
      <vt:variant>
        <vt:i4>0</vt:i4>
      </vt:variant>
      <vt:variant>
        <vt:i4>5</vt:i4>
      </vt:variant>
      <vt:variant>
        <vt:lpwstr>https://www.planning.nsw.gov.au/policy-and-legislation/under-review-and-new-policy-and-legislation/variations-review</vt:lpwstr>
      </vt:variant>
      <vt:variant>
        <vt:lpwstr/>
      </vt:variant>
      <vt:variant>
        <vt:i4>131167</vt:i4>
      </vt:variant>
      <vt:variant>
        <vt:i4>165</vt:i4>
      </vt:variant>
      <vt:variant>
        <vt:i4>0</vt:i4>
      </vt:variant>
      <vt:variant>
        <vt:i4>5</vt:i4>
      </vt:variant>
      <vt:variant>
        <vt:lpwstr>https://www.planning.nsw.gov.au/policy-and-legislation/planning-reforms/standard-conditions-of-consent/standard-conditions-of-development-consent</vt:lpwstr>
      </vt:variant>
      <vt:variant>
        <vt:lpwstr/>
      </vt:variant>
      <vt:variant>
        <vt:i4>4194328</vt:i4>
      </vt:variant>
      <vt:variant>
        <vt:i4>162</vt:i4>
      </vt:variant>
      <vt:variant>
        <vt:i4>0</vt:i4>
      </vt:variant>
      <vt:variant>
        <vt:i4>5</vt:i4>
      </vt:variant>
      <vt:variant>
        <vt:lpwstr>https://www.landcom.com.au/about/housing/buildtorent</vt:lpwstr>
      </vt:variant>
      <vt:variant>
        <vt:lpwstr/>
      </vt:variant>
      <vt:variant>
        <vt:i4>29</vt:i4>
      </vt:variant>
      <vt:variant>
        <vt:i4>159</vt:i4>
      </vt:variant>
      <vt:variant>
        <vt:i4>0</vt:i4>
      </vt:variant>
      <vt:variant>
        <vt:i4>5</vt:i4>
      </vt:variant>
      <vt:variant>
        <vt:lpwstr>https://www.landcom.com.au/projects/bomaderry</vt:lpwstr>
      </vt:variant>
      <vt:variant>
        <vt:lpwstr/>
      </vt:variant>
      <vt:variant>
        <vt:i4>6488164</vt:i4>
      </vt:variant>
      <vt:variant>
        <vt:i4>156</vt:i4>
      </vt:variant>
      <vt:variant>
        <vt:i4>0</vt:i4>
      </vt:variant>
      <vt:variant>
        <vt:i4>5</vt:i4>
      </vt:variant>
      <vt:variant>
        <vt:lpwstr>https://www.planning.nsw.gov.au/policy-and-legislation/housing/housing-supply-insights/quarterly-insights-monitor-q2/urban-development-programs</vt:lpwstr>
      </vt:variant>
      <vt:variant>
        <vt:lpwstr/>
      </vt:variant>
      <vt:variant>
        <vt:i4>6815850</vt:i4>
      </vt:variant>
      <vt:variant>
        <vt:i4>153</vt:i4>
      </vt:variant>
      <vt:variant>
        <vt:i4>0</vt:i4>
      </vt:variant>
      <vt:variant>
        <vt:i4>5</vt:i4>
      </vt:variant>
      <vt:variant>
        <vt:lpwstr>https://www.planning.nsw.gov.au/plans-for-your-area/infrastructure-funding/accelerated-infrastructure-fund</vt:lpwstr>
      </vt:variant>
      <vt:variant>
        <vt:lpwstr/>
      </vt:variant>
      <vt:variant>
        <vt:i4>6619188</vt:i4>
      </vt:variant>
      <vt:variant>
        <vt:i4>150</vt:i4>
      </vt:variant>
      <vt:variant>
        <vt:i4>0</vt:i4>
      </vt:variant>
      <vt:variant>
        <vt:i4>5</vt:i4>
      </vt:variant>
      <vt:variant>
        <vt:lpwstr>https://www.planning.nsw.gov.au/policy-and-legislation/housing/housing-sepp</vt:lpwstr>
      </vt:variant>
      <vt:variant>
        <vt:lpwstr/>
      </vt:variant>
      <vt:variant>
        <vt:i4>6226001</vt:i4>
      </vt:variant>
      <vt:variant>
        <vt:i4>147</vt:i4>
      </vt:variant>
      <vt:variant>
        <vt:i4>0</vt:i4>
      </vt:variant>
      <vt:variant>
        <vt:i4>5</vt:i4>
      </vt:variant>
      <vt:variant>
        <vt:lpwstr>https://www.planning.nsw.gov.au/policy-and-legislation/housing/pattern-book-of-housing-design</vt:lpwstr>
      </vt:variant>
      <vt:variant>
        <vt:lpwstr/>
      </vt:variant>
      <vt:variant>
        <vt:i4>2752575</vt:i4>
      </vt:variant>
      <vt:variant>
        <vt:i4>144</vt:i4>
      </vt:variant>
      <vt:variant>
        <vt:i4>0</vt:i4>
      </vt:variant>
      <vt:variant>
        <vt:i4>5</vt:i4>
      </vt:variant>
      <vt:variant>
        <vt:lpwstr>https://www.planning.nsw.gov.au/government-architect-nsw/case-studies/residential-projects</vt:lpwstr>
      </vt:variant>
      <vt:variant>
        <vt:lpwstr/>
      </vt:variant>
      <vt:variant>
        <vt:i4>4063345</vt:i4>
      </vt:variant>
      <vt:variant>
        <vt:i4>141</vt:i4>
      </vt:variant>
      <vt:variant>
        <vt:i4>0</vt:i4>
      </vt:variant>
      <vt:variant>
        <vt:i4>5</vt:i4>
      </vt:variant>
      <vt:variant>
        <vt:lpwstr>https://www.planning.nsw.gov.au/policy-and-legislation/infrastructure/infrastructure-funding/improving-the-infrastructure-contributions-system</vt:lpwstr>
      </vt:variant>
      <vt:variant>
        <vt:lpwstr>housing-and-productivity-contribution</vt:lpwstr>
      </vt:variant>
      <vt:variant>
        <vt:i4>917505</vt:i4>
      </vt:variant>
      <vt:variant>
        <vt:i4>138</vt:i4>
      </vt:variant>
      <vt:variant>
        <vt:i4>0</vt:i4>
      </vt:variant>
      <vt:variant>
        <vt:i4>5</vt:i4>
      </vt:variant>
      <vt:variant>
        <vt:lpwstr>https://www.planning.nsw.gov.au/plans-for-your-area/rezoning-pathways-program</vt:lpwstr>
      </vt:variant>
      <vt:variant>
        <vt:lpwstr/>
      </vt:variant>
      <vt:variant>
        <vt:i4>983052</vt:i4>
      </vt:variant>
      <vt:variant>
        <vt:i4>135</vt:i4>
      </vt:variant>
      <vt:variant>
        <vt:i4>0</vt:i4>
      </vt:variant>
      <vt:variant>
        <vt:i4>5</vt:i4>
      </vt:variant>
      <vt:variant>
        <vt:lpwstr>https://www.planning.nsw.gov.au/policy-and-legislation/housing/diverse-and-well-located-homes</vt:lpwstr>
      </vt:variant>
      <vt:variant>
        <vt:lpwstr/>
      </vt:variant>
      <vt:variant>
        <vt:i4>1900616</vt:i4>
      </vt:variant>
      <vt:variant>
        <vt:i4>132</vt:i4>
      </vt:variant>
      <vt:variant>
        <vt:i4>0</vt:i4>
      </vt:variant>
      <vt:variant>
        <vt:i4>5</vt:i4>
      </vt:variant>
      <vt:variant>
        <vt:lpwstr>https://www.planning.nsw.gov.au/policy-and-legislation/housing/transport-oriented-development-program</vt:lpwstr>
      </vt:variant>
      <vt:variant>
        <vt:lpwstr/>
      </vt:variant>
      <vt:variant>
        <vt:i4>1900616</vt:i4>
      </vt:variant>
      <vt:variant>
        <vt:i4>129</vt:i4>
      </vt:variant>
      <vt:variant>
        <vt:i4>0</vt:i4>
      </vt:variant>
      <vt:variant>
        <vt:i4>5</vt:i4>
      </vt:variant>
      <vt:variant>
        <vt:lpwstr>https://www.planning.nsw.gov.au/policy-and-legislation/housing/transport-oriented-development-program</vt:lpwstr>
      </vt:variant>
      <vt:variant>
        <vt:lpwstr/>
      </vt:variant>
      <vt:variant>
        <vt:i4>1835102</vt:i4>
      </vt:variant>
      <vt:variant>
        <vt:i4>126</vt:i4>
      </vt:variant>
      <vt:variant>
        <vt:i4>0</vt:i4>
      </vt:variant>
      <vt:variant>
        <vt:i4>5</vt:i4>
      </vt:variant>
      <vt:variant>
        <vt:lpwstr>https://treasury.gov.au/sites/default/files/2023-11/shap-nsw.pdf</vt:lpwstr>
      </vt:variant>
      <vt:variant>
        <vt:lpwstr/>
      </vt:variant>
      <vt:variant>
        <vt:i4>1835102</vt:i4>
      </vt:variant>
      <vt:variant>
        <vt:i4>123</vt:i4>
      </vt:variant>
      <vt:variant>
        <vt:i4>0</vt:i4>
      </vt:variant>
      <vt:variant>
        <vt:i4>5</vt:i4>
      </vt:variant>
      <vt:variant>
        <vt:lpwstr>https://treasury.gov.au/sites/default/files/2023-11/shap-nsw.pdf</vt:lpwstr>
      </vt:variant>
      <vt:variant>
        <vt:lpwstr/>
      </vt:variant>
      <vt:variant>
        <vt:i4>65541</vt:i4>
      </vt:variant>
      <vt:variant>
        <vt:i4>120</vt:i4>
      </vt:variant>
      <vt:variant>
        <vt:i4>0</vt:i4>
      </vt:variant>
      <vt:variant>
        <vt:i4>5</vt:i4>
      </vt:variant>
      <vt:variant>
        <vt:lpwstr>https://treasury.gov.au/housing-policy/accord</vt:lpwstr>
      </vt:variant>
      <vt:variant>
        <vt:lpwstr/>
      </vt:variant>
      <vt:variant>
        <vt:i4>7405606</vt:i4>
      </vt:variant>
      <vt:variant>
        <vt:i4>117</vt:i4>
      </vt:variant>
      <vt:variant>
        <vt:i4>0</vt:i4>
      </vt:variant>
      <vt:variant>
        <vt:i4>5</vt:i4>
      </vt:variant>
      <vt:variant>
        <vt:lpwstr>https://treasury.gov.au/housing-policy</vt:lpwstr>
      </vt:variant>
      <vt:variant>
        <vt:lpwstr/>
      </vt:variant>
      <vt:variant>
        <vt:i4>2031668</vt:i4>
      </vt:variant>
      <vt:variant>
        <vt:i4>110</vt:i4>
      </vt:variant>
      <vt:variant>
        <vt:i4>0</vt:i4>
      </vt:variant>
      <vt:variant>
        <vt:i4>5</vt:i4>
      </vt:variant>
      <vt:variant>
        <vt:lpwstr/>
      </vt:variant>
      <vt:variant>
        <vt:lpwstr>_Toc162522597</vt:lpwstr>
      </vt:variant>
      <vt:variant>
        <vt:i4>2031668</vt:i4>
      </vt:variant>
      <vt:variant>
        <vt:i4>104</vt:i4>
      </vt:variant>
      <vt:variant>
        <vt:i4>0</vt:i4>
      </vt:variant>
      <vt:variant>
        <vt:i4>5</vt:i4>
      </vt:variant>
      <vt:variant>
        <vt:lpwstr/>
      </vt:variant>
      <vt:variant>
        <vt:lpwstr>_Toc162522596</vt:lpwstr>
      </vt:variant>
      <vt:variant>
        <vt:i4>2031668</vt:i4>
      </vt:variant>
      <vt:variant>
        <vt:i4>98</vt:i4>
      </vt:variant>
      <vt:variant>
        <vt:i4>0</vt:i4>
      </vt:variant>
      <vt:variant>
        <vt:i4>5</vt:i4>
      </vt:variant>
      <vt:variant>
        <vt:lpwstr/>
      </vt:variant>
      <vt:variant>
        <vt:lpwstr>_Toc162522595</vt:lpwstr>
      </vt:variant>
      <vt:variant>
        <vt:i4>2031668</vt:i4>
      </vt:variant>
      <vt:variant>
        <vt:i4>92</vt:i4>
      </vt:variant>
      <vt:variant>
        <vt:i4>0</vt:i4>
      </vt:variant>
      <vt:variant>
        <vt:i4>5</vt:i4>
      </vt:variant>
      <vt:variant>
        <vt:lpwstr/>
      </vt:variant>
      <vt:variant>
        <vt:lpwstr>_Toc162522594</vt:lpwstr>
      </vt:variant>
      <vt:variant>
        <vt:i4>2031668</vt:i4>
      </vt:variant>
      <vt:variant>
        <vt:i4>86</vt:i4>
      </vt:variant>
      <vt:variant>
        <vt:i4>0</vt:i4>
      </vt:variant>
      <vt:variant>
        <vt:i4>5</vt:i4>
      </vt:variant>
      <vt:variant>
        <vt:lpwstr/>
      </vt:variant>
      <vt:variant>
        <vt:lpwstr>_Toc162522593</vt:lpwstr>
      </vt:variant>
      <vt:variant>
        <vt:i4>2031668</vt:i4>
      </vt:variant>
      <vt:variant>
        <vt:i4>80</vt:i4>
      </vt:variant>
      <vt:variant>
        <vt:i4>0</vt:i4>
      </vt:variant>
      <vt:variant>
        <vt:i4>5</vt:i4>
      </vt:variant>
      <vt:variant>
        <vt:lpwstr/>
      </vt:variant>
      <vt:variant>
        <vt:lpwstr>_Toc162522592</vt:lpwstr>
      </vt:variant>
      <vt:variant>
        <vt:i4>2031668</vt:i4>
      </vt:variant>
      <vt:variant>
        <vt:i4>74</vt:i4>
      </vt:variant>
      <vt:variant>
        <vt:i4>0</vt:i4>
      </vt:variant>
      <vt:variant>
        <vt:i4>5</vt:i4>
      </vt:variant>
      <vt:variant>
        <vt:lpwstr/>
      </vt:variant>
      <vt:variant>
        <vt:lpwstr>_Toc162522591</vt:lpwstr>
      </vt:variant>
      <vt:variant>
        <vt:i4>2031668</vt:i4>
      </vt:variant>
      <vt:variant>
        <vt:i4>68</vt:i4>
      </vt:variant>
      <vt:variant>
        <vt:i4>0</vt:i4>
      </vt:variant>
      <vt:variant>
        <vt:i4>5</vt:i4>
      </vt:variant>
      <vt:variant>
        <vt:lpwstr/>
      </vt:variant>
      <vt:variant>
        <vt:lpwstr>_Toc162522590</vt:lpwstr>
      </vt:variant>
      <vt:variant>
        <vt:i4>1966132</vt:i4>
      </vt:variant>
      <vt:variant>
        <vt:i4>62</vt:i4>
      </vt:variant>
      <vt:variant>
        <vt:i4>0</vt:i4>
      </vt:variant>
      <vt:variant>
        <vt:i4>5</vt:i4>
      </vt:variant>
      <vt:variant>
        <vt:lpwstr/>
      </vt:variant>
      <vt:variant>
        <vt:lpwstr>_Toc162522589</vt:lpwstr>
      </vt:variant>
      <vt:variant>
        <vt:i4>1966132</vt:i4>
      </vt:variant>
      <vt:variant>
        <vt:i4>56</vt:i4>
      </vt:variant>
      <vt:variant>
        <vt:i4>0</vt:i4>
      </vt:variant>
      <vt:variant>
        <vt:i4>5</vt:i4>
      </vt:variant>
      <vt:variant>
        <vt:lpwstr/>
      </vt:variant>
      <vt:variant>
        <vt:lpwstr>_Toc162522588</vt:lpwstr>
      </vt:variant>
      <vt:variant>
        <vt:i4>1966132</vt:i4>
      </vt:variant>
      <vt:variant>
        <vt:i4>50</vt:i4>
      </vt:variant>
      <vt:variant>
        <vt:i4>0</vt:i4>
      </vt:variant>
      <vt:variant>
        <vt:i4>5</vt:i4>
      </vt:variant>
      <vt:variant>
        <vt:lpwstr/>
      </vt:variant>
      <vt:variant>
        <vt:lpwstr>_Toc162522587</vt:lpwstr>
      </vt:variant>
      <vt:variant>
        <vt:i4>1966132</vt:i4>
      </vt:variant>
      <vt:variant>
        <vt:i4>44</vt:i4>
      </vt:variant>
      <vt:variant>
        <vt:i4>0</vt:i4>
      </vt:variant>
      <vt:variant>
        <vt:i4>5</vt:i4>
      </vt:variant>
      <vt:variant>
        <vt:lpwstr/>
      </vt:variant>
      <vt:variant>
        <vt:lpwstr>_Toc162522586</vt:lpwstr>
      </vt:variant>
      <vt:variant>
        <vt:i4>1966132</vt:i4>
      </vt:variant>
      <vt:variant>
        <vt:i4>38</vt:i4>
      </vt:variant>
      <vt:variant>
        <vt:i4>0</vt:i4>
      </vt:variant>
      <vt:variant>
        <vt:i4>5</vt:i4>
      </vt:variant>
      <vt:variant>
        <vt:lpwstr/>
      </vt:variant>
      <vt:variant>
        <vt:lpwstr>_Toc162522585</vt:lpwstr>
      </vt:variant>
      <vt:variant>
        <vt:i4>1966132</vt:i4>
      </vt:variant>
      <vt:variant>
        <vt:i4>32</vt:i4>
      </vt:variant>
      <vt:variant>
        <vt:i4>0</vt:i4>
      </vt:variant>
      <vt:variant>
        <vt:i4>5</vt:i4>
      </vt:variant>
      <vt:variant>
        <vt:lpwstr/>
      </vt:variant>
      <vt:variant>
        <vt:lpwstr>_Toc162522584</vt:lpwstr>
      </vt:variant>
      <vt:variant>
        <vt:i4>1966132</vt:i4>
      </vt:variant>
      <vt:variant>
        <vt:i4>26</vt:i4>
      </vt:variant>
      <vt:variant>
        <vt:i4>0</vt:i4>
      </vt:variant>
      <vt:variant>
        <vt:i4>5</vt:i4>
      </vt:variant>
      <vt:variant>
        <vt:lpwstr/>
      </vt:variant>
      <vt:variant>
        <vt:lpwstr>_Toc162522583</vt:lpwstr>
      </vt:variant>
      <vt:variant>
        <vt:i4>1966132</vt:i4>
      </vt:variant>
      <vt:variant>
        <vt:i4>20</vt:i4>
      </vt:variant>
      <vt:variant>
        <vt:i4>0</vt:i4>
      </vt:variant>
      <vt:variant>
        <vt:i4>5</vt:i4>
      </vt:variant>
      <vt:variant>
        <vt:lpwstr/>
      </vt:variant>
      <vt:variant>
        <vt:lpwstr>_Toc162522582</vt:lpwstr>
      </vt:variant>
      <vt:variant>
        <vt:i4>1966132</vt:i4>
      </vt:variant>
      <vt:variant>
        <vt:i4>14</vt:i4>
      </vt:variant>
      <vt:variant>
        <vt:i4>0</vt:i4>
      </vt:variant>
      <vt:variant>
        <vt:i4>5</vt:i4>
      </vt:variant>
      <vt:variant>
        <vt:lpwstr/>
      </vt:variant>
      <vt:variant>
        <vt:lpwstr>_Toc162522581</vt:lpwstr>
      </vt:variant>
      <vt:variant>
        <vt:i4>1966132</vt:i4>
      </vt:variant>
      <vt:variant>
        <vt:i4>8</vt:i4>
      </vt:variant>
      <vt:variant>
        <vt:i4>0</vt:i4>
      </vt:variant>
      <vt:variant>
        <vt:i4>5</vt:i4>
      </vt:variant>
      <vt:variant>
        <vt:lpwstr/>
      </vt:variant>
      <vt:variant>
        <vt:lpwstr>_Toc162522580</vt:lpwstr>
      </vt:variant>
      <vt:variant>
        <vt:i4>6291499</vt:i4>
      </vt:variant>
      <vt:variant>
        <vt:i4>3</vt:i4>
      </vt:variant>
      <vt:variant>
        <vt:i4>0</vt:i4>
      </vt:variant>
      <vt:variant>
        <vt:i4>5</vt:i4>
      </vt:variant>
      <vt:variant>
        <vt:lpwstr>https://www.nsw.gov.au/nsw-government/copyright</vt:lpwstr>
      </vt:variant>
      <vt:variant>
        <vt:lpwstr/>
      </vt:variant>
      <vt:variant>
        <vt:i4>1507339</vt:i4>
      </vt:variant>
      <vt:variant>
        <vt:i4>0</vt:i4>
      </vt:variant>
      <vt:variant>
        <vt:i4>0</vt:i4>
      </vt:variant>
      <vt:variant>
        <vt:i4>5</vt:i4>
      </vt:variant>
      <vt:variant>
        <vt:lpwstr>https://www.dphi.nsw.gov.au/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NSW Government progress report – March 2024</dc:title>
  <dc:subject>Australian Government – The Treasury</dc:subject>
  <dc:creator/>
  <cp:keywords/>
  <cp:lastModifiedBy/>
  <cp:revision>1</cp:revision>
  <dcterms:created xsi:type="dcterms:W3CDTF">2024-08-08T06:07:00Z</dcterms:created>
  <dcterms:modified xsi:type="dcterms:W3CDTF">2024-08-08T06:07:00Z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2024-08-08T06:07:50Z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dec5a56b-9674-4a8c-a6af-231b5592db35</vt:lpwstr>
  </property>
  <property fmtid="{D5CDD505-2E9C-101B-9397-08002B2CF9AE}" pid="8" name="MSIP_Label_4f932d64-9ab1-4d9b-81d2-a3a8b82dd47d_ContentBits">
    <vt:lpwstr>0</vt:lpwstr>
  </property>
</Properties>
</file>