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42289537"/>
        <w:docPartObj>
          <w:docPartGallery w:val="Cover Pages"/>
          <w:docPartUnique/>
        </w:docPartObj>
      </w:sdtPr>
      <w:sdtEndPr/>
      <w:sdtContent>
        <w:p w14:paraId="7BB6221A" w14:textId="77777777" w:rsidR="00A97160" w:rsidRPr="006D0240" w:rsidRDefault="00A97160" w:rsidP="006469CC">
          <w:pPr>
            <w:pStyle w:val="ListParagraph"/>
          </w:pPr>
          <w:r>
            <w:rPr>
              <w:noProof/>
            </w:rPr>
            <w:drawing>
              <wp:anchor distT="0" distB="0" distL="114300" distR="114300" simplePos="0" relativeHeight="251658240" behindDoc="1" locked="0" layoutInCell="1" allowOverlap="1" wp14:anchorId="1F9B9D45" wp14:editId="4EEFAA73">
                <wp:simplePos x="0" y="0"/>
                <wp:positionH relativeFrom="margin">
                  <wp:posOffset>-909666</wp:posOffset>
                </wp:positionH>
                <wp:positionV relativeFrom="page">
                  <wp:posOffset>-18473</wp:posOffset>
                </wp:positionV>
                <wp:extent cx="7570798" cy="10704700"/>
                <wp:effectExtent l="0" t="0" r="0" b="190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0798" cy="1070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73D07" w14:textId="77777777" w:rsidR="00A97160" w:rsidRPr="006D0240" w:rsidRDefault="00A97160" w:rsidP="00301755">
          <w:pPr>
            <w:pStyle w:val="Header"/>
            <w:spacing w:after="1200"/>
          </w:pPr>
        </w:p>
        <w:p w14:paraId="61D98E5A" w14:textId="1C22415E" w:rsidR="007666BF" w:rsidRDefault="007666BF" w:rsidP="007666BF">
          <w:pPr>
            <w:pStyle w:val="Title"/>
            <w:spacing w:before="98"/>
            <w:rPr>
              <w:color w:val="204160"/>
              <w:spacing w:val="-5"/>
            </w:rPr>
          </w:pPr>
          <w:r>
            <w:rPr>
              <w:color w:val="204160"/>
            </w:rPr>
            <w:t>An</w:t>
          </w:r>
          <w:r>
            <w:rPr>
              <w:color w:val="204160"/>
              <w:spacing w:val="-24"/>
            </w:rPr>
            <w:t xml:space="preserve"> </w:t>
          </w:r>
          <w:r>
            <w:rPr>
              <w:color w:val="204160"/>
            </w:rPr>
            <w:t>RBA</w:t>
          </w:r>
          <w:r>
            <w:rPr>
              <w:color w:val="204160"/>
              <w:spacing w:val="-24"/>
            </w:rPr>
            <w:t xml:space="preserve"> </w:t>
          </w:r>
          <w:r>
            <w:rPr>
              <w:color w:val="204160"/>
              <w:spacing w:val="-5"/>
            </w:rPr>
            <w:t>fit</w:t>
          </w:r>
        </w:p>
        <w:p w14:paraId="68FCF980" w14:textId="4A3F52F5" w:rsidR="00A97160" w:rsidRPr="005C2A13" w:rsidRDefault="007666BF" w:rsidP="007666BF">
          <w:pPr>
            <w:pStyle w:val="Title"/>
            <w:spacing w:before="98"/>
          </w:pPr>
          <w:r>
            <w:rPr>
              <w:noProof/>
            </w:rPr>
            <mc:AlternateContent>
              <mc:Choice Requires="wps">
                <w:drawing>
                  <wp:anchor distT="0" distB="0" distL="114300" distR="114300" simplePos="0" relativeHeight="251658241" behindDoc="1" locked="0" layoutInCell="1" allowOverlap="1" wp14:anchorId="0C679882" wp14:editId="0B3C2373">
                    <wp:simplePos x="0" y="0"/>
                    <wp:positionH relativeFrom="page">
                      <wp:posOffset>2265680</wp:posOffset>
                    </wp:positionH>
                    <wp:positionV relativeFrom="paragraph">
                      <wp:posOffset>4205605</wp:posOffset>
                    </wp:positionV>
                    <wp:extent cx="42545" cy="42545"/>
                    <wp:effectExtent l="8255" t="3175" r="6350" b="1905"/>
                    <wp:wrapNone/>
                    <wp:docPr id="18" name="Freeform: Shap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3602 3568"/>
                                <a:gd name="T1" fmla="*/ T0 w 67"/>
                                <a:gd name="T2" fmla="+- 0 6623 6623"/>
                                <a:gd name="T3" fmla="*/ 6623 h 67"/>
                                <a:gd name="T4" fmla="+- 0 3589 3568"/>
                                <a:gd name="T5" fmla="*/ T4 w 67"/>
                                <a:gd name="T6" fmla="+- 0 6625 6623"/>
                                <a:gd name="T7" fmla="*/ 6625 h 67"/>
                                <a:gd name="T8" fmla="+- 0 3578 3568"/>
                                <a:gd name="T9" fmla="*/ T8 w 67"/>
                                <a:gd name="T10" fmla="+- 0 6633 6623"/>
                                <a:gd name="T11" fmla="*/ 6633 h 67"/>
                                <a:gd name="T12" fmla="+- 0 3571 3568"/>
                                <a:gd name="T13" fmla="*/ T12 w 67"/>
                                <a:gd name="T14" fmla="+- 0 6643 6623"/>
                                <a:gd name="T15" fmla="*/ 6643 h 67"/>
                                <a:gd name="T16" fmla="+- 0 3568 3568"/>
                                <a:gd name="T17" fmla="*/ T16 w 67"/>
                                <a:gd name="T18" fmla="+- 0 6656 6623"/>
                                <a:gd name="T19" fmla="*/ 6656 h 67"/>
                                <a:gd name="T20" fmla="+- 0 3571 3568"/>
                                <a:gd name="T21" fmla="*/ T20 w 67"/>
                                <a:gd name="T22" fmla="+- 0 6669 6623"/>
                                <a:gd name="T23" fmla="*/ 6669 h 67"/>
                                <a:gd name="T24" fmla="+- 0 3578 3568"/>
                                <a:gd name="T25" fmla="*/ T24 w 67"/>
                                <a:gd name="T26" fmla="+- 0 6679 6623"/>
                                <a:gd name="T27" fmla="*/ 6679 h 67"/>
                                <a:gd name="T28" fmla="+- 0 3589 3568"/>
                                <a:gd name="T29" fmla="*/ T28 w 67"/>
                                <a:gd name="T30" fmla="+- 0 6686 6623"/>
                                <a:gd name="T31" fmla="*/ 6686 h 67"/>
                                <a:gd name="T32" fmla="+- 0 3602 3568"/>
                                <a:gd name="T33" fmla="*/ T32 w 67"/>
                                <a:gd name="T34" fmla="+- 0 6689 6623"/>
                                <a:gd name="T35" fmla="*/ 6689 h 67"/>
                                <a:gd name="T36" fmla="+- 0 3614 3568"/>
                                <a:gd name="T37" fmla="*/ T36 w 67"/>
                                <a:gd name="T38" fmla="+- 0 6686 6623"/>
                                <a:gd name="T39" fmla="*/ 6686 h 67"/>
                                <a:gd name="T40" fmla="+- 0 3625 3568"/>
                                <a:gd name="T41" fmla="*/ T40 w 67"/>
                                <a:gd name="T42" fmla="+- 0 6679 6623"/>
                                <a:gd name="T43" fmla="*/ 6679 h 67"/>
                                <a:gd name="T44" fmla="+- 0 3632 3568"/>
                                <a:gd name="T45" fmla="*/ T44 w 67"/>
                                <a:gd name="T46" fmla="+- 0 6669 6623"/>
                                <a:gd name="T47" fmla="*/ 6669 h 67"/>
                                <a:gd name="T48" fmla="+- 0 3635 3568"/>
                                <a:gd name="T49" fmla="*/ T48 w 67"/>
                                <a:gd name="T50" fmla="+- 0 6656 6623"/>
                                <a:gd name="T51" fmla="*/ 6656 h 67"/>
                                <a:gd name="T52" fmla="+- 0 3632 3568"/>
                                <a:gd name="T53" fmla="*/ T52 w 67"/>
                                <a:gd name="T54" fmla="+- 0 6643 6623"/>
                                <a:gd name="T55" fmla="*/ 6643 h 67"/>
                                <a:gd name="T56" fmla="+- 0 3625 3568"/>
                                <a:gd name="T57" fmla="*/ T56 w 67"/>
                                <a:gd name="T58" fmla="+- 0 6633 6623"/>
                                <a:gd name="T59" fmla="*/ 6633 h 67"/>
                                <a:gd name="T60" fmla="+- 0 3614 3568"/>
                                <a:gd name="T61" fmla="*/ T60 w 67"/>
                                <a:gd name="T62" fmla="+- 0 6625 6623"/>
                                <a:gd name="T63" fmla="*/ 6625 h 67"/>
                                <a:gd name="T64" fmla="+- 0 3602 3568"/>
                                <a:gd name="T65" fmla="*/ T64 w 67"/>
                                <a:gd name="T66" fmla="+- 0 6623 6623"/>
                                <a:gd name="T67" fmla="*/ 662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67">
                                  <a:moveTo>
                                    <a:pt x="34" y="0"/>
                                  </a:moveTo>
                                  <a:lnTo>
                                    <a:pt x="21" y="2"/>
                                  </a:lnTo>
                                  <a:lnTo>
                                    <a:pt x="10" y="10"/>
                                  </a:lnTo>
                                  <a:lnTo>
                                    <a:pt x="3" y="20"/>
                                  </a:lnTo>
                                  <a:lnTo>
                                    <a:pt x="0" y="33"/>
                                  </a:lnTo>
                                  <a:lnTo>
                                    <a:pt x="3" y="46"/>
                                  </a:lnTo>
                                  <a:lnTo>
                                    <a:pt x="10" y="56"/>
                                  </a:lnTo>
                                  <a:lnTo>
                                    <a:pt x="21" y="63"/>
                                  </a:lnTo>
                                  <a:lnTo>
                                    <a:pt x="34" y="66"/>
                                  </a:lnTo>
                                  <a:lnTo>
                                    <a:pt x="46" y="63"/>
                                  </a:lnTo>
                                  <a:lnTo>
                                    <a:pt x="57" y="56"/>
                                  </a:lnTo>
                                  <a:lnTo>
                                    <a:pt x="64" y="46"/>
                                  </a:lnTo>
                                  <a:lnTo>
                                    <a:pt x="67" y="33"/>
                                  </a:lnTo>
                                  <a:lnTo>
                                    <a:pt x="64" y="20"/>
                                  </a:lnTo>
                                  <a:lnTo>
                                    <a:pt x="57" y="10"/>
                                  </a:lnTo>
                                  <a:lnTo>
                                    <a:pt x="46" y="2"/>
                                  </a:lnTo>
                                  <a:lnTo>
                                    <a:pt x="34" y="0"/>
                                  </a:lnTo>
                                  <a:close/>
                                </a:path>
                              </a:pathLst>
                            </a:custGeom>
                            <a:solidFill>
                              <a:srgbClr val="204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1720F" id="Freeform: Shape 18" o:spid="_x0000_s1026" alt="&quot;&quot;" style="position:absolute;margin-left:178.4pt;margin-top:331.15pt;width:3.35pt;height:3.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" path="m34,l21,2,10,10,3,20,,33,3,46r7,10l21,63r13,3l46,63,57,56,64,46,67,33,64,20,57,10,46,2,34,xe" fillcolor="#204160" stroked="f">
                    <v:path arrowok="t" o:connecttype="custom" o:connectlocs="21590,4205605;13335,4206875;6350,4211955;1905,4218305;0,4226560;1905,4234815;6350,4241165;13335,4245610;21590,4247515;29210,4245610;36195,4241165;40640,4234815;42545,4226560;40640,4218305;36195,4211955;29210,4206875;21590,4205605" o:connectangles="0,0,0,0,0,0,0,0,0,0,0,0,0,0,0,0,0"/>
                    <w10:wrap anchorx="page"/>
                  </v:shape>
                </w:pict>
              </mc:Fallback>
            </mc:AlternateContent>
          </w:r>
          <w:r>
            <w:rPr>
              <w:noProof/>
            </w:rPr>
            <mc:AlternateContent>
              <mc:Choice Requires="wps">
                <w:drawing>
                  <wp:anchor distT="0" distB="0" distL="114300" distR="114300" simplePos="0" relativeHeight="251658242" behindDoc="1" locked="0" layoutInCell="1" allowOverlap="1" wp14:anchorId="7D527C0E" wp14:editId="1D28BB63">
                    <wp:simplePos x="0" y="0"/>
                    <wp:positionH relativeFrom="page">
                      <wp:posOffset>2539365</wp:posOffset>
                    </wp:positionH>
                    <wp:positionV relativeFrom="paragraph">
                      <wp:posOffset>4205605</wp:posOffset>
                    </wp:positionV>
                    <wp:extent cx="42545" cy="42545"/>
                    <wp:effectExtent l="5715" t="3175" r="0" b="1905"/>
                    <wp:wrapNone/>
                    <wp:docPr id="17" name="Freeform: Shap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4032 3999"/>
                                <a:gd name="T1" fmla="*/ T0 w 67"/>
                                <a:gd name="T2" fmla="+- 0 6623 6623"/>
                                <a:gd name="T3" fmla="*/ 6623 h 67"/>
                                <a:gd name="T4" fmla="+- 0 4019 3999"/>
                                <a:gd name="T5" fmla="*/ T4 w 67"/>
                                <a:gd name="T6" fmla="+- 0 6625 6623"/>
                                <a:gd name="T7" fmla="*/ 6625 h 67"/>
                                <a:gd name="T8" fmla="+- 0 4008 3999"/>
                                <a:gd name="T9" fmla="*/ T8 w 67"/>
                                <a:gd name="T10" fmla="+- 0 6633 6623"/>
                                <a:gd name="T11" fmla="*/ 6633 h 67"/>
                                <a:gd name="T12" fmla="+- 0 4001 3999"/>
                                <a:gd name="T13" fmla="*/ T12 w 67"/>
                                <a:gd name="T14" fmla="+- 0 6643 6623"/>
                                <a:gd name="T15" fmla="*/ 6643 h 67"/>
                                <a:gd name="T16" fmla="+- 0 3999 3999"/>
                                <a:gd name="T17" fmla="*/ T16 w 67"/>
                                <a:gd name="T18" fmla="+- 0 6656 6623"/>
                                <a:gd name="T19" fmla="*/ 6656 h 67"/>
                                <a:gd name="T20" fmla="+- 0 4001 3999"/>
                                <a:gd name="T21" fmla="*/ T20 w 67"/>
                                <a:gd name="T22" fmla="+- 0 6669 6623"/>
                                <a:gd name="T23" fmla="*/ 6669 h 67"/>
                                <a:gd name="T24" fmla="+- 0 4008 3999"/>
                                <a:gd name="T25" fmla="*/ T24 w 67"/>
                                <a:gd name="T26" fmla="+- 0 6679 6623"/>
                                <a:gd name="T27" fmla="*/ 6679 h 67"/>
                                <a:gd name="T28" fmla="+- 0 4019 3999"/>
                                <a:gd name="T29" fmla="*/ T28 w 67"/>
                                <a:gd name="T30" fmla="+- 0 6686 6623"/>
                                <a:gd name="T31" fmla="*/ 6686 h 67"/>
                                <a:gd name="T32" fmla="+- 0 4032 3999"/>
                                <a:gd name="T33" fmla="*/ T32 w 67"/>
                                <a:gd name="T34" fmla="+- 0 6689 6623"/>
                                <a:gd name="T35" fmla="*/ 6689 h 67"/>
                                <a:gd name="T36" fmla="+- 0 4045 3999"/>
                                <a:gd name="T37" fmla="*/ T36 w 67"/>
                                <a:gd name="T38" fmla="+- 0 6686 6623"/>
                                <a:gd name="T39" fmla="*/ 6686 h 67"/>
                                <a:gd name="T40" fmla="+- 0 4055 3999"/>
                                <a:gd name="T41" fmla="*/ T40 w 67"/>
                                <a:gd name="T42" fmla="+- 0 6679 6623"/>
                                <a:gd name="T43" fmla="*/ 6679 h 67"/>
                                <a:gd name="T44" fmla="+- 0 4062 3999"/>
                                <a:gd name="T45" fmla="*/ T44 w 67"/>
                                <a:gd name="T46" fmla="+- 0 6669 6623"/>
                                <a:gd name="T47" fmla="*/ 6669 h 67"/>
                                <a:gd name="T48" fmla="+- 0 4065 3999"/>
                                <a:gd name="T49" fmla="*/ T48 w 67"/>
                                <a:gd name="T50" fmla="+- 0 6656 6623"/>
                                <a:gd name="T51" fmla="*/ 6656 h 67"/>
                                <a:gd name="T52" fmla="+- 0 4062 3999"/>
                                <a:gd name="T53" fmla="*/ T52 w 67"/>
                                <a:gd name="T54" fmla="+- 0 6643 6623"/>
                                <a:gd name="T55" fmla="*/ 6643 h 67"/>
                                <a:gd name="T56" fmla="+- 0 4055 3999"/>
                                <a:gd name="T57" fmla="*/ T56 w 67"/>
                                <a:gd name="T58" fmla="+- 0 6633 6623"/>
                                <a:gd name="T59" fmla="*/ 6633 h 67"/>
                                <a:gd name="T60" fmla="+- 0 4045 3999"/>
                                <a:gd name="T61" fmla="*/ T60 w 67"/>
                                <a:gd name="T62" fmla="+- 0 6625 6623"/>
                                <a:gd name="T63" fmla="*/ 6625 h 67"/>
                                <a:gd name="T64" fmla="+- 0 4032 3999"/>
                                <a:gd name="T65" fmla="*/ T64 w 67"/>
                                <a:gd name="T66" fmla="+- 0 6623 6623"/>
                                <a:gd name="T67" fmla="*/ 662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67">
                                  <a:moveTo>
                                    <a:pt x="33" y="0"/>
                                  </a:moveTo>
                                  <a:lnTo>
                                    <a:pt x="20" y="2"/>
                                  </a:lnTo>
                                  <a:lnTo>
                                    <a:pt x="9" y="10"/>
                                  </a:lnTo>
                                  <a:lnTo>
                                    <a:pt x="2" y="20"/>
                                  </a:lnTo>
                                  <a:lnTo>
                                    <a:pt x="0" y="33"/>
                                  </a:lnTo>
                                  <a:lnTo>
                                    <a:pt x="2" y="46"/>
                                  </a:lnTo>
                                  <a:lnTo>
                                    <a:pt x="9" y="56"/>
                                  </a:lnTo>
                                  <a:lnTo>
                                    <a:pt x="20" y="63"/>
                                  </a:lnTo>
                                  <a:lnTo>
                                    <a:pt x="33" y="66"/>
                                  </a:lnTo>
                                  <a:lnTo>
                                    <a:pt x="46" y="63"/>
                                  </a:lnTo>
                                  <a:lnTo>
                                    <a:pt x="56" y="56"/>
                                  </a:lnTo>
                                  <a:lnTo>
                                    <a:pt x="63" y="46"/>
                                  </a:lnTo>
                                  <a:lnTo>
                                    <a:pt x="66" y="33"/>
                                  </a:lnTo>
                                  <a:lnTo>
                                    <a:pt x="63" y="20"/>
                                  </a:lnTo>
                                  <a:lnTo>
                                    <a:pt x="56" y="10"/>
                                  </a:lnTo>
                                  <a:lnTo>
                                    <a:pt x="46" y="2"/>
                                  </a:lnTo>
                                  <a:lnTo>
                                    <a:pt x="33" y="0"/>
                                  </a:lnTo>
                                  <a:close/>
                                </a:path>
                              </a:pathLst>
                            </a:custGeom>
                            <a:solidFill>
                              <a:srgbClr val="204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29397" id="Freeform: Shape 17" o:spid="_x0000_s1026" alt="&quot;&quot;" style="position:absolute;margin-left:199.95pt;margin-top:331.15pt;width:3.35pt;height:3.3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" path="m33,l20,2,9,10,2,20,,33,2,46,9,56r11,7l33,66,46,63,56,56,63,46,66,33,63,20,56,10,46,2,33,xe" fillcolor="#204160" stroked="f">
                    <v:path arrowok="t" o:connecttype="custom" o:connectlocs="20955,4205605;12700,4206875;5715,4211955;1270,4218305;0,4226560;1270,4234815;5715,4241165;12700,4245610;20955,4247515;29210,4245610;35560,4241165;40005,4234815;41910,4226560;40005,4218305;35560,4211955;29210,4206875;20955,4205605" o:connectangles="0,0,0,0,0,0,0,0,0,0,0,0,0,0,0,0,0"/>
                    <w10:wrap anchorx="page"/>
                  </v:shape>
                </w:pict>
              </mc:Fallback>
            </mc:AlternateContent>
          </w:r>
          <w:r>
            <w:rPr>
              <w:noProof/>
            </w:rPr>
            <mc:AlternateContent>
              <mc:Choice Requires="wps">
                <w:drawing>
                  <wp:anchor distT="0" distB="0" distL="114300" distR="114300" simplePos="0" relativeHeight="251658243" behindDoc="1" locked="0" layoutInCell="1" allowOverlap="1" wp14:anchorId="606E1434" wp14:editId="3EA978D1">
                    <wp:simplePos x="0" y="0"/>
                    <wp:positionH relativeFrom="page">
                      <wp:posOffset>2812415</wp:posOffset>
                    </wp:positionH>
                    <wp:positionV relativeFrom="paragraph">
                      <wp:posOffset>4205605</wp:posOffset>
                    </wp:positionV>
                    <wp:extent cx="42545" cy="42545"/>
                    <wp:effectExtent l="2540" t="3175" r="2540" b="1905"/>
                    <wp:wrapNone/>
                    <wp:docPr id="16" name="Freeform: Shap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4462 4429"/>
                                <a:gd name="T1" fmla="*/ T0 w 67"/>
                                <a:gd name="T2" fmla="+- 0 6623 6623"/>
                                <a:gd name="T3" fmla="*/ 6623 h 67"/>
                                <a:gd name="T4" fmla="+- 0 4449 4429"/>
                                <a:gd name="T5" fmla="*/ T4 w 67"/>
                                <a:gd name="T6" fmla="+- 0 6625 6623"/>
                                <a:gd name="T7" fmla="*/ 6625 h 67"/>
                                <a:gd name="T8" fmla="+- 0 4439 4429"/>
                                <a:gd name="T9" fmla="*/ T8 w 67"/>
                                <a:gd name="T10" fmla="+- 0 6633 6623"/>
                                <a:gd name="T11" fmla="*/ 6633 h 67"/>
                                <a:gd name="T12" fmla="+- 0 4431 4429"/>
                                <a:gd name="T13" fmla="*/ T12 w 67"/>
                                <a:gd name="T14" fmla="+- 0 6643 6623"/>
                                <a:gd name="T15" fmla="*/ 6643 h 67"/>
                                <a:gd name="T16" fmla="+- 0 4429 4429"/>
                                <a:gd name="T17" fmla="*/ T16 w 67"/>
                                <a:gd name="T18" fmla="+- 0 6656 6623"/>
                                <a:gd name="T19" fmla="*/ 6656 h 67"/>
                                <a:gd name="T20" fmla="+- 0 4431 4429"/>
                                <a:gd name="T21" fmla="*/ T20 w 67"/>
                                <a:gd name="T22" fmla="+- 0 6669 6623"/>
                                <a:gd name="T23" fmla="*/ 6669 h 67"/>
                                <a:gd name="T24" fmla="+- 0 4439 4429"/>
                                <a:gd name="T25" fmla="*/ T24 w 67"/>
                                <a:gd name="T26" fmla="+- 0 6679 6623"/>
                                <a:gd name="T27" fmla="*/ 6679 h 67"/>
                                <a:gd name="T28" fmla="+- 0 4449 4429"/>
                                <a:gd name="T29" fmla="*/ T28 w 67"/>
                                <a:gd name="T30" fmla="+- 0 6686 6623"/>
                                <a:gd name="T31" fmla="*/ 6686 h 67"/>
                                <a:gd name="T32" fmla="+- 0 4462 4429"/>
                                <a:gd name="T33" fmla="*/ T32 w 67"/>
                                <a:gd name="T34" fmla="+- 0 6689 6623"/>
                                <a:gd name="T35" fmla="*/ 6689 h 67"/>
                                <a:gd name="T36" fmla="+- 0 4475 4429"/>
                                <a:gd name="T37" fmla="*/ T36 w 67"/>
                                <a:gd name="T38" fmla="+- 0 6686 6623"/>
                                <a:gd name="T39" fmla="*/ 6686 h 67"/>
                                <a:gd name="T40" fmla="+- 0 4485 4429"/>
                                <a:gd name="T41" fmla="*/ T40 w 67"/>
                                <a:gd name="T42" fmla="+- 0 6679 6623"/>
                                <a:gd name="T43" fmla="*/ 6679 h 67"/>
                                <a:gd name="T44" fmla="+- 0 4492 4429"/>
                                <a:gd name="T45" fmla="*/ T44 w 67"/>
                                <a:gd name="T46" fmla="+- 0 6669 6623"/>
                                <a:gd name="T47" fmla="*/ 6669 h 67"/>
                                <a:gd name="T48" fmla="+- 0 4495 4429"/>
                                <a:gd name="T49" fmla="*/ T48 w 67"/>
                                <a:gd name="T50" fmla="+- 0 6656 6623"/>
                                <a:gd name="T51" fmla="*/ 6656 h 67"/>
                                <a:gd name="T52" fmla="+- 0 4492 4429"/>
                                <a:gd name="T53" fmla="*/ T52 w 67"/>
                                <a:gd name="T54" fmla="+- 0 6643 6623"/>
                                <a:gd name="T55" fmla="*/ 6643 h 67"/>
                                <a:gd name="T56" fmla="+- 0 4485 4429"/>
                                <a:gd name="T57" fmla="*/ T56 w 67"/>
                                <a:gd name="T58" fmla="+- 0 6633 6623"/>
                                <a:gd name="T59" fmla="*/ 6633 h 67"/>
                                <a:gd name="T60" fmla="+- 0 4475 4429"/>
                                <a:gd name="T61" fmla="*/ T60 w 67"/>
                                <a:gd name="T62" fmla="+- 0 6625 6623"/>
                                <a:gd name="T63" fmla="*/ 6625 h 67"/>
                                <a:gd name="T64" fmla="+- 0 4462 4429"/>
                                <a:gd name="T65" fmla="*/ T64 w 67"/>
                                <a:gd name="T66" fmla="+- 0 6623 6623"/>
                                <a:gd name="T67" fmla="*/ 662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67">
                                  <a:moveTo>
                                    <a:pt x="33" y="0"/>
                                  </a:moveTo>
                                  <a:lnTo>
                                    <a:pt x="20" y="2"/>
                                  </a:lnTo>
                                  <a:lnTo>
                                    <a:pt x="10" y="10"/>
                                  </a:lnTo>
                                  <a:lnTo>
                                    <a:pt x="2" y="20"/>
                                  </a:lnTo>
                                  <a:lnTo>
                                    <a:pt x="0" y="33"/>
                                  </a:lnTo>
                                  <a:lnTo>
                                    <a:pt x="2" y="46"/>
                                  </a:lnTo>
                                  <a:lnTo>
                                    <a:pt x="10" y="56"/>
                                  </a:lnTo>
                                  <a:lnTo>
                                    <a:pt x="20" y="63"/>
                                  </a:lnTo>
                                  <a:lnTo>
                                    <a:pt x="33" y="66"/>
                                  </a:lnTo>
                                  <a:lnTo>
                                    <a:pt x="46" y="63"/>
                                  </a:lnTo>
                                  <a:lnTo>
                                    <a:pt x="56" y="56"/>
                                  </a:lnTo>
                                  <a:lnTo>
                                    <a:pt x="63" y="46"/>
                                  </a:lnTo>
                                  <a:lnTo>
                                    <a:pt x="66" y="33"/>
                                  </a:lnTo>
                                  <a:lnTo>
                                    <a:pt x="63" y="20"/>
                                  </a:lnTo>
                                  <a:lnTo>
                                    <a:pt x="56" y="10"/>
                                  </a:lnTo>
                                  <a:lnTo>
                                    <a:pt x="46" y="2"/>
                                  </a:lnTo>
                                  <a:lnTo>
                                    <a:pt x="33" y="0"/>
                                  </a:lnTo>
                                  <a:close/>
                                </a:path>
                              </a:pathLst>
                            </a:custGeom>
                            <a:solidFill>
                              <a:srgbClr val="204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2A646" id="Freeform: Shape 16" o:spid="_x0000_s1026" alt="&quot;&quot;" style="position:absolute;margin-left:221.45pt;margin-top:331.15pt;width:3.35pt;height:3.3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" path="m33,l20,2,10,10,2,20,,33,2,46r8,10l20,63r13,3l46,63,56,56,63,46,66,33,63,20,56,10,46,2,33,xe" fillcolor="#204160" stroked="f">
                    <v:path arrowok="t" o:connecttype="custom" o:connectlocs="20955,4205605;12700,4206875;6350,4211955;1270,4218305;0,4226560;1270,4234815;6350,4241165;12700,4245610;20955,4247515;29210,4245610;35560,4241165;40005,4234815;41910,4226560;40005,4218305;35560,4211955;29210,4206875;20955,4205605" o:connectangles="0,0,0,0,0,0,0,0,0,0,0,0,0,0,0,0,0"/>
                    <w10:wrap anchorx="page"/>
                  </v:shape>
                </w:pict>
              </mc:Fallback>
            </mc:AlternateContent>
          </w:r>
          <w:r>
            <w:rPr>
              <w:noProof/>
            </w:rPr>
            <mc:AlternateContent>
              <mc:Choice Requires="wps">
                <w:drawing>
                  <wp:anchor distT="0" distB="0" distL="114300" distR="114300" simplePos="0" relativeHeight="251658244" behindDoc="1" locked="0" layoutInCell="1" allowOverlap="1" wp14:anchorId="7A09F71D" wp14:editId="068CB814">
                    <wp:simplePos x="0" y="0"/>
                    <wp:positionH relativeFrom="page">
                      <wp:posOffset>3085465</wp:posOffset>
                    </wp:positionH>
                    <wp:positionV relativeFrom="paragraph">
                      <wp:posOffset>4205605</wp:posOffset>
                    </wp:positionV>
                    <wp:extent cx="42545" cy="42545"/>
                    <wp:effectExtent l="8890" t="3175" r="5715" b="1905"/>
                    <wp:wrapNone/>
                    <wp:docPr id="15" name="Freeform: Shap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4892 4859"/>
                                <a:gd name="T1" fmla="*/ T0 w 67"/>
                                <a:gd name="T2" fmla="+- 0 6623 6623"/>
                                <a:gd name="T3" fmla="*/ 6623 h 67"/>
                                <a:gd name="T4" fmla="+- 0 4879 4859"/>
                                <a:gd name="T5" fmla="*/ T4 w 67"/>
                                <a:gd name="T6" fmla="+- 0 6625 6623"/>
                                <a:gd name="T7" fmla="*/ 6625 h 67"/>
                                <a:gd name="T8" fmla="+- 0 4869 4859"/>
                                <a:gd name="T9" fmla="*/ T8 w 67"/>
                                <a:gd name="T10" fmla="+- 0 6633 6623"/>
                                <a:gd name="T11" fmla="*/ 6633 h 67"/>
                                <a:gd name="T12" fmla="+- 0 4862 4859"/>
                                <a:gd name="T13" fmla="*/ T12 w 67"/>
                                <a:gd name="T14" fmla="+- 0 6643 6623"/>
                                <a:gd name="T15" fmla="*/ 6643 h 67"/>
                                <a:gd name="T16" fmla="+- 0 4859 4859"/>
                                <a:gd name="T17" fmla="*/ T16 w 67"/>
                                <a:gd name="T18" fmla="+- 0 6656 6623"/>
                                <a:gd name="T19" fmla="*/ 6656 h 67"/>
                                <a:gd name="T20" fmla="+- 0 4862 4859"/>
                                <a:gd name="T21" fmla="*/ T20 w 67"/>
                                <a:gd name="T22" fmla="+- 0 6669 6623"/>
                                <a:gd name="T23" fmla="*/ 6669 h 67"/>
                                <a:gd name="T24" fmla="+- 0 4869 4859"/>
                                <a:gd name="T25" fmla="*/ T24 w 67"/>
                                <a:gd name="T26" fmla="+- 0 6679 6623"/>
                                <a:gd name="T27" fmla="*/ 6679 h 67"/>
                                <a:gd name="T28" fmla="+- 0 4879 4859"/>
                                <a:gd name="T29" fmla="*/ T28 w 67"/>
                                <a:gd name="T30" fmla="+- 0 6686 6623"/>
                                <a:gd name="T31" fmla="*/ 6686 h 67"/>
                                <a:gd name="T32" fmla="+- 0 4892 4859"/>
                                <a:gd name="T33" fmla="*/ T32 w 67"/>
                                <a:gd name="T34" fmla="+- 0 6689 6623"/>
                                <a:gd name="T35" fmla="*/ 6689 h 67"/>
                                <a:gd name="T36" fmla="+- 0 4905 4859"/>
                                <a:gd name="T37" fmla="*/ T36 w 67"/>
                                <a:gd name="T38" fmla="+- 0 6686 6623"/>
                                <a:gd name="T39" fmla="*/ 6686 h 67"/>
                                <a:gd name="T40" fmla="+- 0 4916 4859"/>
                                <a:gd name="T41" fmla="*/ T40 w 67"/>
                                <a:gd name="T42" fmla="+- 0 6679 6623"/>
                                <a:gd name="T43" fmla="*/ 6679 h 67"/>
                                <a:gd name="T44" fmla="+- 0 4923 4859"/>
                                <a:gd name="T45" fmla="*/ T44 w 67"/>
                                <a:gd name="T46" fmla="+- 0 6669 6623"/>
                                <a:gd name="T47" fmla="*/ 6669 h 67"/>
                                <a:gd name="T48" fmla="+- 0 4925 4859"/>
                                <a:gd name="T49" fmla="*/ T48 w 67"/>
                                <a:gd name="T50" fmla="+- 0 6656 6623"/>
                                <a:gd name="T51" fmla="*/ 6656 h 67"/>
                                <a:gd name="T52" fmla="+- 0 4923 4859"/>
                                <a:gd name="T53" fmla="*/ T52 w 67"/>
                                <a:gd name="T54" fmla="+- 0 6643 6623"/>
                                <a:gd name="T55" fmla="*/ 6643 h 67"/>
                                <a:gd name="T56" fmla="+- 0 4916 4859"/>
                                <a:gd name="T57" fmla="*/ T56 w 67"/>
                                <a:gd name="T58" fmla="+- 0 6633 6623"/>
                                <a:gd name="T59" fmla="*/ 6633 h 67"/>
                                <a:gd name="T60" fmla="+- 0 4905 4859"/>
                                <a:gd name="T61" fmla="*/ T60 w 67"/>
                                <a:gd name="T62" fmla="+- 0 6625 6623"/>
                                <a:gd name="T63" fmla="*/ 6625 h 67"/>
                                <a:gd name="T64" fmla="+- 0 4892 4859"/>
                                <a:gd name="T65" fmla="*/ T64 w 67"/>
                                <a:gd name="T66" fmla="+- 0 6623 6623"/>
                                <a:gd name="T67" fmla="*/ 662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67">
                                  <a:moveTo>
                                    <a:pt x="33" y="0"/>
                                  </a:moveTo>
                                  <a:lnTo>
                                    <a:pt x="20" y="2"/>
                                  </a:lnTo>
                                  <a:lnTo>
                                    <a:pt x="10" y="10"/>
                                  </a:lnTo>
                                  <a:lnTo>
                                    <a:pt x="3" y="20"/>
                                  </a:lnTo>
                                  <a:lnTo>
                                    <a:pt x="0" y="33"/>
                                  </a:lnTo>
                                  <a:lnTo>
                                    <a:pt x="3" y="46"/>
                                  </a:lnTo>
                                  <a:lnTo>
                                    <a:pt x="10" y="56"/>
                                  </a:lnTo>
                                  <a:lnTo>
                                    <a:pt x="20" y="63"/>
                                  </a:lnTo>
                                  <a:lnTo>
                                    <a:pt x="33" y="66"/>
                                  </a:lnTo>
                                  <a:lnTo>
                                    <a:pt x="46" y="63"/>
                                  </a:lnTo>
                                  <a:lnTo>
                                    <a:pt x="57" y="56"/>
                                  </a:lnTo>
                                  <a:lnTo>
                                    <a:pt x="64" y="46"/>
                                  </a:lnTo>
                                  <a:lnTo>
                                    <a:pt x="66" y="33"/>
                                  </a:lnTo>
                                  <a:lnTo>
                                    <a:pt x="64" y="20"/>
                                  </a:lnTo>
                                  <a:lnTo>
                                    <a:pt x="57" y="10"/>
                                  </a:lnTo>
                                  <a:lnTo>
                                    <a:pt x="46" y="2"/>
                                  </a:lnTo>
                                  <a:lnTo>
                                    <a:pt x="33" y="0"/>
                                  </a:lnTo>
                                  <a:close/>
                                </a:path>
                              </a:pathLst>
                            </a:custGeom>
                            <a:solidFill>
                              <a:srgbClr val="204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B7434" id="Freeform: Shape 15" o:spid="_x0000_s1026" alt="&quot;&quot;" style="position:absolute;margin-left:242.95pt;margin-top:331.15pt;width:3.35pt;height:3.3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" path="m33,l20,2,10,10,3,20,,33,3,46r7,10l20,63r13,3l46,63,57,56,64,46,66,33,64,20,57,10,46,2,33,xe" fillcolor="#204160" stroked="f">
                    <v:path arrowok="t" o:connecttype="custom" o:connectlocs="20955,4205605;12700,4206875;6350,4211955;1905,4218305;0,4226560;1905,4234815;6350,4241165;12700,4245610;20955,4247515;29210,4245610;36195,4241165;40640,4234815;41910,4226560;40640,4218305;36195,4211955;29210,4206875;20955,4205605" o:connectangles="0,0,0,0,0,0,0,0,0,0,0,0,0,0,0,0,0"/>
                    <w10:wrap anchorx="page"/>
                  </v:shape>
                </w:pict>
              </mc:Fallback>
            </mc:AlternateContent>
          </w:r>
          <w:r>
            <w:rPr>
              <w:noProof/>
            </w:rPr>
            <mc:AlternateContent>
              <mc:Choice Requires="wps">
                <w:drawing>
                  <wp:anchor distT="0" distB="0" distL="114300" distR="114300" simplePos="0" relativeHeight="251658245" behindDoc="1" locked="0" layoutInCell="1" allowOverlap="1" wp14:anchorId="6B5A06C6" wp14:editId="5F7E9C0C">
                    <wp:simplePos x="0" y="0"/>
                    <wp:positionH relativeFrom="page">
                      <wp:posOffset>3358515</wp:posOffset>
                    </wp:positionH>
                    <wp:positionV relativeFrom="paragraph">
                      <wp:posOffset>4205605</wp:posOffset>
                    </wp:positionV>
                    <wp:extent cx="42545" cy="42545"/>
                    <wp:effectExtent l="5715" t="3175" r="8890" b="1905"/>
                    <wp:wrapNone/>
                    <wp:docPr id="14" name="Freeform: Shap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5322 5289"/>
                                <a:gd name="T1" fmla="*/ T0 w 67"/>
                                <a:gd name="T2" fmla="+- 0 6623 6623"/>
                                <a:gd name="T3" fmla="*/ 6623 h 67"/>
                                <a:gd name="T4" fmla="+- 0 5310 5289"/>
                                <a:gd name="T5" fmla="*/ T4 w 67"/>
                                <a:gd name="T6" fmla="+- 0 6625 6623"/>
                                <a:gd name="T7" fmla="*/ 6625 h 67"/>
                                <a:gd name="T8" fmla="+- 0 5299 5289"/>
                                <a:gd name="T9" fmla="*/ T8 w 67"/>
                                <a:gd name="T10" fmla="+- 0 6633 6623"/>
                                <a:gd name="T11" fmla="*/ 6633 h 67"/>
                                <a:gd name="T12" fmla="+- 0 5292 5289"/>
                                <a:gd name="T13" fmla="*/ T12 w 67"/>
                                <a:gd name="T14" fmla="+- 0 6643 6623"/>
                                <a:gd name="T15" fmla="*/ 6643 h 67"/>
                                <a:gd name="T16" fmla="+- 0 5289 5289"/>
                                <a:gd name="T17" fmla="*/ T16 w 67"/>
                                <a:gd name="T18" fmla="+- 0 6656 6623"/>
                                <a:gd name="T19" fmla="*/ 6656 h 67"/>
                                <a:gd name="T20" fmla="+- 0 5292 5289"/>
                                <a:gd name="T21" fmla="*/ T20 w 67"/>
                                <a:gd name="T22" fmla="+- 0 6669 6623"/>
                                <a:gd name="T23" fmla="*/ 6669 h 67"/>
                                <a:gd name="T24" fmla="+- 0 5299 5289"/>
                                <a:gd name="T25" fmla="*/ T24 w 67"/>
                                <a:gd name="T26" fmla="+- 0 6679 6623"/>
                                <a:gd name="T27" fmla="*/ 6679 h 67"/>
                                <a:gd name="T28" fmla="+- 0 5310 5289"/>
                                <a:gd name="T29" fmla="*/ T28 w 67"/>
                                <a:gd name="T30" fmla="+- 0 6686 6623"/>
                                <a:gd name="T31" fmla="*/ 6686 h 67"/>
                                <a:gd name="T32" fmla="+- 0 5322 5289"/>
                                <a:gd name="T33" fmla="*/ T32 w 67"/>
                                <a:gd name="T34" fmla="+- 0 6689 6623"/>
                                <a:gd name="T35" fmla="*/ 6689 h 67"/>
                                <a:gd name="T36" fmla="+- 0 5335 5289"/>
                                <a:gd name="T37" fmla="*/ T36 w 67"/>
                                <a:gd name="T38" fmla="+- 0 6686 6623"/>
                                <a:gd name="T39" fmla="*/ 6686 h 67"/>
                                <a:gd name="T40" fmla="+- 0 5346 5289"/>
                                <a:gd name="T41" fmla="*/ T40 w 67"/>
                                <a:gd name="T42" fmla="+- 0 6679 6623"/>
                                <a:gd name="T43" fmla="*/ 6679 h 67"/>
                                <a:gd name="T44" fmla="+- 0 5353 5289"/>
                                <a:gd name="T45" fmla="*/ T44 w 67"/>
                                <a:gd name="T46" fmla="+- 0 6669 6623"/>
                                <a:gd name="T47" fmla="*/ 6669 h 67"/>
                                <a:gd name="T48" fmla="+- 0 5356 5289"/>
                                <a:gd name="T49" fmla="*/ T48 w 67"/>
                                <a:gd name="T50" fmla="+- 0 6656 6623"/>
                                <a:gd name="T51" fmla="*/ 6656 h 67"/>
                                <a:gd name="T52" fmla="+- 0 5353 5289"/>
                                <a:gd name="T53" fmla="*/ T52 w 67"/>
                                <a:gd name="T54" fmla="+- 0 6643 6623"/>
                                <a:gd name="T55" fmla="*/ 6643 h 67"/>
                                <a:gd name="T56" fmla="+- 0 5346 5289"/>
                                <a:gd name="T57" fmla="*/ T56 w 67"/>
                                <a:gd name="T58" fmla="+- 0 6633 6623"/>
                                <a:gd name="T59" fmla="*/ 6633 h 67"/>
                                <a:gd name="T60" fmla="+- 0 5335 5289"/>
                                <a:gd name="T61" fmla="*/ T60 w 67"/>
                                <a:gd name="T62" fmla="+- 0 6625 6623"/>
                                <a:gd name="T63" fmla="*/ 6625 h 67"/>
                                <a:gd name="T64" fmla="+- 0 5322 5289"/>
                                <a:gd name="T65" fmla="*/ T64 w 67"/>
                                <a:gd name="T66" fmla="+- 0 6623 6623"/>
                                <a:gd name="T67" fmla="*/ 662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67">
                                  <a:moveTo>
                                    <a:pt x="33" y="0"/>
                                  </a:moveTo>
                                  <a:lnTo>
                                    <a:pt x="21" y="2"/>
                                  </a:lnTo>
                                  <a:lnTo>
                                    <a:pt x="10" y="10"/>
                                  </a:lnTo>
                                  <a:lnTo>
                                    <a:pt x="3" y="20"/>
                                  </a:lnTo>
                                  <a:lnTo>
                                    <a:pt x="0" y="33"/>
                                  </a:lnTo>
                                  <a:lnTo>
                                    <a:pt x="3" y="46"/>
                                  </a:lnTo>
                                  <a:lnTo>
                                    <a:pt x="10" y="56"/>
                                  </a:lnTo>
                                  <a:lnTo>
                                    <a:pt x="21" y="63"/>
                                  </a:lnTo>
                                  <a:lnTo>
                                    <a:pt x="33" y="66"/>
                                  </a:lnTo>
                                  <a:lnTo>
                                    <a:pt x="46" y="63"/>
                                  </a:lnTo>
                                  <a:lnTo>
                                    <a:pt x="57" y="56"/>
                                  </a:lnTo>
                                  <a:lnTo>
                                    <a:pt x="64" y="46"/>
                                  </a:lnTo>
                                  <a:lnTo>
                                    <a:pt x="67" y="33"/>
                                  </a:lnTo>
                                  <a:lnTo>
                                    <a:pt x="64" y="20"/>
                                  </a:lnTo>
                                  <a:lnTo>
                                    <a:pt x="57" y="10"/>
                                  </a:lnTo>
                                  <a:lnTo>
                                    <a:pt x="46" y="2"/>
                                  </a:lnTo>
                                  <a:lnTo>
                                    <a:pt x="33" y="0"/>
                                  </a:lnTo>
                                  <a:close/>
                                </a:path>
                              </a:pathLst>
                            </a:custGeom>
                            <a:solidFill>
                              <a:srgbClr val="204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FF378" id="Freeform: Shape 14" o:spid="_x0000_s1026" alt="&quot;&quot;" style="position:absolute;margin-left:264.45pt;margin-top:331.15pt;width:3.35pt;height:3.3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" path="m33,l21,2,10,10,3,20,,33,3,46r7,10l21,63r12,3l46,63,57,56,64,46,67,33,64,20,57,10,46,2,33,xe" fillcolor="#204160" stroked="f">
                    <v:path arrowok="t" o:connecttype="custom" o:connectlocs="20955,4205605;13335,4206875;6350,4211955;1905,4218305;0,4226560;1905,4234815;6350,4241165;13335,4245610;20955,4247515;29210,4245610;36195,4241165;40640,4234815;42545,4226560;40640,4218305;36195,4211955;29210,4206875;20955,4205605" o:connectangles="0,0,0,0,0,0,0,0,0,0,0,0,0,0,0,0,0"/>
                    <w10:wrap anchorx="page"/>
                  </v:shape>
                </w:pict>
              </mc:Fallback>
            </mc:AlternateContent>
          </w:r>
          <w:r>
            <w:rPr>
              <w:noProof/>
            </w:rPr>
            <mc:AlternateContent>
              <mc:Choice Requires="wps">
                <w:drawing>
                  <wp:anchor distT="0" distB="0" distL="114300" distR="114300" simplePos="0" relativeHeight="251658246" behindDoc="1" locked="0" layoutInCell="1" allowOverlap="1" wp14:anchorId="77C2C1DA" wp14:editId="17356ED3">
                    <wp:simplePos x="0" y="0"/>
                    <wp:positionH relativeFrom="page">
                      <wp:posOffset>3632200</wp:posOffset>
                    </wp:positionH>
                    <wp:positionV relativeFrom="paragraph">
                      <wp:posOffset>4205605</wp:posOffset>
                    </wp:positionV>
                    <wp:extent cx="42545" cy="42545"/>
                    <wp:effectExtent l="3175" t="3175" r="1905" b="1905"/>
                    <wp:wrapNone/>
                    <wp:docPr id="13" name="Freeform: Shap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5753 5720"/>
                                <a:gd name="T1" fmla="*/ T0 w 67"/>
                                <a:gd name="T2" fmla="+- 0 6623 6623"/>
                                <a:gd name="T3" fmla="*/ 6623 h 67"/>
                                <a:gd name="T4" fmla="+- 0 5740 5720"/>
                                <a:gd name="T5" fmla="*/ T4 w 67"/>
                                <a:gd name="T6" fmla="+- 0 6625 6623"/>
                                <a:gd name="T7" fmla="*/ 6625 h 67"/>
                                <a:gd name="T8" fmla="+- 0 5729 5720"/>
                                <a:gd name="T9" fmla="*/ T8 w 67"/>
                                <a:gd name="T10" fmla="+- 0 6633 6623"/>
                                <a:gd name="T11" fmla="*/ 6633 h 67"/>
                                <a:gd name="T12" fmla="+- 0 5722 5720"/>
                                <a:gd name="T13" fmla="*/ T12 w 67"/>
                                <a:gd name="T14" fmla="+- 0 6643 6623"/>
                                <a:gd name="T15" fmla="*/ 6643 h 67"/>
                                <a:gd name="T16" fmla="+- 0 5720 5720"/>
                                <a:gd name="T17" fmla="*/ T16 w 67"/>
                                <a:gd name="T18" fmla="+- 0 6656 6623"/>
                                <a:gd name="T19" fmla="*/ 6656 h 67"/>
                                <a:gd name="T20" fmla="+- 0 5722 5720"/>
                                <a:gd name="T21" fmla="*/ T20 w 67"/>
                                <a:gd name="T22" fmla="+- 0 6669 6623"/>
                                <a:gd name="T23" fmla="*/ 6669 h 67"/>
                                <a:gd name="T24" fmla="+- 0 5729 5720"/>
                                <a:gd name="T25" fmla="*/ T24 w 67"/>
                                <a:gd name="T26" fmla="+- 0 6679 6623"/>
                                <a:gd name="T27" fmla="*/ 6679 h 67"/>
                                <a:gd name="T28" fmla="+- 0 5740 5720"/>
                                <a:gd name="T29" fmla="*/ T28 w 67"/>
                                <a:gd name="T30" fmla="+- 0 6686 6623"/>
                                <a:gd name="T31" fmla="*/ 6686 h 67"/>
                                <a:gd name="T32" fmla="+- 0 5753 5720"/>
                                <a:gd name="T33" fmla="*/ T32 w 67"/>
                                <a:gd name="T34" fmla="+- 0 6689 6623"/>
                                <a:gd name="T35" fmla="*/ 6689 h 67"/>
                                <a:gd name="T36" fmla="+- 0 5766 5720"/>
                                <a:gd name="T37" fmla="*/ T36 w 67"/>
                                <a:gd name="T38" fmla="+- 0 6686 6623"/>
                                <a:gd name="T39" fmla="*/ 6686 h 67"/>
                                <a:gd name="T40" fmla="+- 0 5776 5720"/>
                                <a:gd name="T41" fmla="*/ T40 w 67"/>
                                <a:gd name="T42" fmla="+- 0 6679 6623"/>
                                <a:gd name="T43" fmla="*/ 6679 h 67"/>
                                <a:gd name="T44" fmla="+- 0 5783 5720"/>
                                <a:gd name="T45" fmla="*/ T44 w 67"/>
                                <a:gd name="T46" fmla="+- 0 6669 6623"/>
                                <a:gd name="T47" fmla="*/ 6669 h 67"/>
                                <a:gd name="T48" fmla="+- 0 5786 5720"/>
                                <a:gd name="T49" fmla="*/ T48 w 67"/>
                                <a:gd name="T50" fmla="+- 0 6656 6623"/>
                                <a:gd name="T51" fmla="*/ 6656 h 67"/>
                                <a:gd name="T52" fmla="+- 0 5783 5720"/>
                                <a:gd name="T53" fmla="*/ T52 w 67"/>
                                <a:gd name="T54" fmla="+- 0 6643 6623"/>
                                <a:gd name="T55" fmla="*/ 6643 h 67"/>
                                <a:gd name="T56" fmla="+- 0 5776 5720"/>
                                <a:gd name="T57" fmla="*/ T56 w 67"/>
                                <a:gd name="T58" fmla="+- 0 6633 6623"/>
                                <a:gd name="T59" fmla="*/ 6633 h 67"/>
                                <a:gd name="T60" fmla="+- 0 5766 5720"/>
                                <a:gd name="T61" fmla="*/ T60 w 67"/>
                                <a:gd name="T62" fmla="+- 0 6625 6623"/>
                                <a:gd name="T63" fmla="*/ 6625 h 67"/>
                                <a:gd name="T64" fmla="+- 0 5753 5720"/>
                                <a:gd name="T65" fmla="*/ T64 w 67"/>
                                <a:gd name="T66" fmla="+- 0 6623 6623"/>
                                <a:gd name="T67" fmla="*/ 662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67">
                                  <a:moveTo>
                                    <a:pt x="33" y="0"/>
                                  </a:moveTo>
                                  <a:lnTo>
                                    <a:pt x="20" y="2"/>
                                  </a:lnTo>
                                  <a:lnTo>
                                    <a:pt x="9" y="10"/>
                                  </a:lnTo>
                                  <a:lnTo>
                                    <a:pt x="2" y="20"/>
                                  </a:lnTo>
                                  <a:lnTo>
                                    <a:pt x="0" y="33"/>
                                  </a:lnTo>
                                  <a:lnTo>
                                    <a:pt x="2" y="46"/>
                                  </a:lnTo>
                                  <a:lnTo>
                                    <a:pt x="9" y="56"/>
                                  </a:lnTo>
                                  <a:lnTo>
                                    <a:pt x="20" y="63"/>
                                  </a:lnTo>
                                  <a:lnTo>
                                    <a:pt x="33" y="66"/>
                                  </a:lnTo>
                                  <a:lnTo>
                                    <a:pt x="46" y="63"/>
                                  </a:lnTo>
                                  <a:lnTo>
                                    <a:pt x="56" y="56"/>
                                  </a:lnTo>
                                  <a:lnTo>
                                    <a:pt x="63" y="46"/>
                                  </a:lnTo>
                                  <a:lnTo>
                                    <a:pt x="66" y="33"/>
                                  </a:lnTo>
                                  <a:lnTo>
                                    <a:pt x="63" y="20"/>
                                  </a:lnTo>
                                  <a:lnTo>
                                    <a:pt x="56" y="10"/>
                                  </a:lnTo>
                                  <a:lnTo>
                                    <a:pt x="46" y="2"/>
                                  </a:lnTo>
                                  <a:lnTo>
                                    <a:pt x="33" y="0"/>
                                  </a:lnTo>
                                  <a:close/>
                                </a:path>
                              </a:pathLst>
                            </a:custGeom>
                            <a:solidFill>
                              <a:srgbClr val="204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F4EFC" id="Freeform: Shape 13" o:spid="_x0000_s1026" alt="&quot;&quot;" style="position:absolute;margin-left:286pt;margin-top:331.15pt;width:3.35pt;height:3.3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" path="m33,l20,2,9,10,2,20,,33,2,46,9,56r11,7l33,66,46,63,56,56,63,46,66,33,63,20,56,10,46,2,33,xe" fillcolor="#204160" stroked="f">
                    <v:path arrowok="t" o:connecttype="custom" o:connectlocs="20955,4205605;12700,4206875;5715,4211955;1270,4218305;0,4226560;1270,4234815;5715,4241165;12700,4245610;20955,4247515;29210,4245610;35560,4241165;40005,4234815;41910,4226560;40005,4218305;35560,4211955;29210,4206875;20955,4205605" o:connectangles="0,0,0,0,0,0,0,0,0,0,0,0,0,0,0,0,0"/>
                    <w10:wrap anchorx="page"/>
                  </v:shape>
                </w:pict>
              </mc:Fallback>
            </mc:AlternateContent>
          </w:r>
          <w:r>
            <w:rPr>
              <w:noProof/>
            </w:rPr>
            <mc:AlternateContent>
              <mc:Choice Requires="wps">
                <w:drawing>
                  <wp:anchor distT="0" distB="0" distL="114300" distR="114300" simplePos="0" relativeHeight="251658247" behindDoc="1" locked="0" layoutInCell="1" allowOverlap="1" wp14:anchorId="0593C601" wp14:editId="77E94ECB">
                    <wp:simplePos x="0" y="0"/>
                    <wp:positionH relativeFrom="page">
                      <wp:posOffset>3905250</wp:posOffset>
                    </wp:positionH>
                    <wp:positionV relativeFrom="paragraph">
                      <wp:posOffset>4205605</wp:posOffset>
                    </wp:positionV>
                    <wp:extent cx="42545" cy="42545"/>
                    <wp:effectExtent l="0" t="3175" r="5080" b="1905"/>
                    <wp:wrapNone/>
                    <wp:docPr id="12" name="Freeform: 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2545"/>
                            </a:xfrm>
                            <a:custGeom>
                              <a:avLst/>
                              <a:gdLst>
                                <a:gd name="T0" fmla="+- 0 6183 6150"/>
                                <a:gd name="T1" fmla="*/ T0 w 67"/>
                                <a:gd name="T2" fmla="+- 0 6623 6623"/>
                                <a:gd name="T3" fmla="*/ 6623 h 67"/>
                                <a:gd name="T4" fmla="+- 0 6170 6150"/>
                                <a:gd name="T5" fmla="*/ T4 w 67"/>
                                <a:gd name="T6" fmla="+- 0 6625 6623"/>
                                <a:gd name="T7" fmla="*/ 6625 h 67"/>
                                <a:gd name="T8" fmla="+- 0 6159 6150"/>
                                <a:gd name="T9" fmla="*/ T8 w 67"/>
                                <a:gd name="T10" fmla="+- 0 6633 6623"/>
                                <a:gd name="T11" fmla="*/ 6633 h 67"/>
                                <a:gd name="T12" fmla="+- 0 6152 6150"/>
                                <a:gd name="T13" fmla="*/ T12 w 67"/>
                                <a:gd name="T14" fmla="+- 0 6643 6623"/>
                                <a:gd name="T15" fmla="*/ 6643 h 67"/>
                                <a:gd name="T16" fmla="+- 0 6150 6150"/>
                                <a:gd name="T17" fmla="*/ T16 w 67"/>
                                <a:gd name="T18" fmla="+- 0 6656 6623"/>
                                <a:gd name="T19" fmla="*/ 6656 h 67"/>
                                <a:gd name="T20" fmla="+- 0 6152 6150"/>
                                <a:gd name="T21" fmla="*/ T20 w 67"/>
                                <a:gd name="T22" fmla="+- 0 6669 6623"/>
                                <a:gd name="T23" fmla="*/ 6669 h 67"/>
                                <a:gd name="T24" fmla="+- 0 6159 6150"/>
                                <a:gd name="T25" fmla="*/ T24 w 67"/>
                                <a:gd name="T26" fmla="+- 0 6679 6623"/>
                                <a:gd name="T27" fmla="*/ 6679 h 67"/>
                                <a:gd name="T28" fmla="+- 0 6170 6150"/>
                                <a:gd name="T29" fmla="*/ T28 w 67"/>
                                <a:gd name="T30" fmla="+- 0 6686 6623"/>
                                <a:gd name="T31" fmla="*/ 6686 h 67"/>
                                <a:gd name="T32" fmla="+- 0 6183 6150"/>
                                <a:gd name="T33" fmla="*/ T32 w 67"/>
                                <a:gd name="T34" fmla="+- 0 6689 6623"/>
                                <a:gd name="T35" fmla="*/ 6689 h 67"/>
                                <a:gd name="T36" fmla="+- 0 6196 6150"/>
                                <a:gd name="T37" fmla="*/ T36 w 67"/>
                                <a:gd name="T38" fmla="+- 0 6686 6623"/>
                                <a:gd name="T39" fmla="*/ 6686 h 67"/>
                                <a:gd name="T40" fmla="+- 0 6206 6150"/>
                                <a:gd name="T41" fmla="*/ T40 w 67"/>
                                <a:gd name="T42" fmla="+- 0 6679 6623"/>
                                <a:gd name="T43" fmla="*/ 6679 h 67"/>
                                <a:gd name="T44" fmla="+- 0 6213 6150"/>
                                <a:gd name="T45" fmla="*/ T44 w 67"/>
                                <a:gd name="T46" fmla="+- 0 6669 6623"/>
                                <a:gd name="T47" fmla="*/ 6669 h 67"/>
                                <a:gd name="T48" fmla="+- 0 6216 6150"/>
                                <a:gd name="T49" fmla="*/ T48 w 67"/>
                                <a:gd name="T50" fmla="+- 0 6656 6623"/>
                                <a:gd name="T51" fmla="*/ 6656 h 67"/>
                                <a:gd name="T52" fmla="+- 0 6213 6150"/>
                                <a:gd name="T53" fmla="*/ T52 w 67"/>
                                <a:gd name="T54" fmla="+- 0 6643 6623"/>
                                <a:gd name="T55" fmla="*/ 6643 h 67"/>
                                <a:gd name="T56" fmla="+- 0 6206 6150"/>
                                <a:gd name="T57" fmla="*/ T56 w 67"/>
                                <a:gd name="T58" fmla="+- 0 6633 6623"/>
                                <a:gd name="T59" fmla="*/ 6633 h 67"/>
                                <a:gd name="T60" fmla="+- 0 6196 6150"/>
                                <a:gd name="T61" fmla="*/ T60 w 67"/>
                                <a:gd name="T62" fmla="+- 0 6625 6623"/>
                                <a:gd name="T63" fmla="*/ 6625 h 67"/>
                                <a:gd name="T64" fmla="+- 0 6183 6150"/>
                                <a:gd name="T65" fmla="*/ T64 w 67"/>
                                <a:gd name="T66" fmla="+- 0 6623 6623"/>
                                <a:gd name="T67" fmla="*/ 662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67">
                                  <a:moveTo>
                                    <a:pt x="33" y="0"/>
                                  </a:moveTo>
                                  <a:lnTo>
                                    <a:pt x="20" y="2"/>
                                  </a:lnTo>
                                  <a:lnTo>
                                    <a:pt x="9" y="10"/>
                                  </a:lnTo>
                                  <a:lnTo>
                                    <a:pt x="2" y="20"/>
                                  </a:lnTo>
                                  <a:lnTo>
                                    <a:pt x="0" y="33"/>
                                  </a:lnTo>
                                  <a:lnTo>
                                    <a:pt x="2" y="46"/>
                                  </a:lnTo>
                                  <a:lnTo>
                                    <a:pt x="9" y="56"/>
                                  </a:lnTo>
                                  <a:lnTo>
                                    <a:pt x="20" y="63"/>
                                  </a:lnTo>
                                  <a:lnTo>
                                    <a:pt x="33" y="66"/>
                                  </a:lnTo>
                                  <a:lnTo>
                                    <a:pt x="46" y="63"/>
                                  </a:lnTo>
                                  <a:lnTo>
                                    <a:pt x="56" y="56"/>
                                  </a:lnTo>
                                  <a:lnTo>
                                    <a:pt x="63" y="46"/>
                                  </a:lnTo>
                                  <a:lnTo>
                                    <a:pt x="66" y="33"/>
                                  </a:lnTo>
                                  <a:lnTo>
                                    <a:pt x="63" y="20"/>
                                  </a:lnTo>
                                  <a:lnTo>
                                    <a:pt x="56" y="10"/>
                                  </a:lnTo>
                                  <a:lnTo>
                                    <a:pt x="46" y="2"/>
                                  </a:lnTo>
                                  <a:lnTo>
                                    <a:pt x="33" y="0"/>
                                  </a:lnTo>
                                  <a:close/>
                                </a:path>
                              </a:pathLst>
                            </a:custGeom>
                            <a:solidFill>
                              <a:srgbClr val="2041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57919" id="Freeform: Shape 12" o:spid="_x0000_s1026" alt="&quot;&quot;" style="position:absolute;margin-left:307.5pt;margin-top:331.15pt;width:3.35pt;height:3.3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" path="m33,l20,2,9,10,2,20,,33,2,46,9,56r11,7l33,66,46,63,56,56,63,46,66,33,63,20,56,10,46,2,33,xe" fillcolor="#204160" stroked="f">
                    <v:path arrowok="t" o:connecttype="custom" o:connectlocs="20955,4205605;12700,4206875;5715,4211955;1270,4218305;0,4226560;1270,4234815;5715,4241165;12700,4245610;20955,4247515;29210,4245610;35560,4241165;40005,4234815;41910,4226560;40005,4218305;35560,4211955;29210,4206875;20955,4205605" o:connectangles="0,0,0,0,0,0,0,0,0,0,0,0,0,0,0,0,0"/>
                    <w10:wrap anchorx="page"/>
                  </v:shape>
                </w:pict>
              </mc:Fallback>
            </mc:AlternateContent>
          </w:r>
          <w:r>
            <w:rPr>
              <w:color w:val="204160"/>
              <w:spacing w:val="-6"/>
            </w:rPr>
            <w:t>for</w:t>
          </w:r>
          <w:r>
            <w:rPr>
              <w:color w:val="204160"/>
              <w:spacing w:val="-39"/>
            </w:rPr>
            <w:t xml:space="preserve"> </w:t>
          </w:r>
          <w:r>
            <w:rPr>
              <w:color w:val="204160"/>
              <w:spacing w:val="-6"/>
            </w:rPr>
            <w:t>the</w:t>
          </w:r>
          <w:r>
            <w:rPr>
              <w:color w:val="204160"/>
              <w:spacing w:val="-38"/>
            </w:rPr>
            <w:t xml:space="preserve"> </w:t>
          </w:r>
          <w:r>
            <w:rPr>
              <w:color w:val="204160"/>
              <w:spacing w:val="-6"/>
            </w:rPr>
            <w:t>future</w:t>
          </w:r>
        </w:p>
        <w:p w14:paraId="4BFC9A09" w14:textId="69327156" w:rsidR="00A97160" w:rsidRPr="006923DF" w:rsidRDefault="00A97160" w:rsidP="004C2902">
          <w:pPr>
            <w:pStyle w:val="Subtitle"/>
            <w:spacing w:after="360"/>
          </w:pPr>
        </w:p>
        <w:p w14:paraId="34AE32BF" w14:textId="38EE0014" w:rsidR="00A97160" w:rsidRPr="00586605" w:rsidRDefault="007666BF" w:rsidP="006923DF">
          <w:pPr>
            <w:pStyle w:val="ReportDate"/>
          </w:pPr>
          <w:r>
            <w:rPr>
              <w:rStyle w:val="ReportDateChar"/>
            </w:rPr>
            <w:t>March 2023</w:t>
          </w:r>
        </w:p>
        <w:p w14:paraId="19DD9D4F" w14:textId="77777777" w:rsidR="00A97160" w:rsidRDefault="00A97160">
          <w:pPr>
            <w:spacing w:before="0" w:after="160" w:line="259" w:lineRule="auto"/>
            <w:rPr>
              <w:noProof/>
            </w:rPr>
          </w:pPr>
        </w:p>
        <w:p w14:paraId="65E8A3F5" w14:textId="77777777" w:rsidR="005C2A13" w:rsidRDefault="00A97160">
          <w:pPr>
            <w:spacing w:before="0" w:after="160" w:line="259" w:lineRule="auto"/>
          </w:pPr>
          <w:r>
            <w:br w:type="page"/>
          </w:r>
        </w:p>
      </w:sdtContent>
    </w:sdt>
    <w:p w14:paraId="28E6DA0D" w14:textId="49D2D271" w:rsidR="000E0B74" w:rsidRDefault="000E0B74" w:rsidP="005877AC">
      <w:pPr>
        <w:spacing w:before="0" w:after="160" w:line="259" w:lineRule="auto"/>
      </w:pPr>
      <w:r w:rsidRPr="00661BF0">
        <w:lastRenderedPageBreak/>
        <w:t xml:space="preserve">© Commonwealth of Australia </w:t>
      </w:r>
      <w:r w:rsidR="007666BF">
        <w:t>2023</w:t>
      </w:r>
    </w:p>
    <w:p w14:paraId="3B47FBB7" w14:textId="20815511" w:rsidR="006469CC" w:rsidRDefault="006469CC" w:rsidP="00FC1A9B">
      <w:pPr>
        <w:rPr>
          <w:noProof/>
        </w:rPr>
      </w:pPr>
      <w:r>
        <w:t xml:space="preserve">ISBN: </w:t>
      </w:r>
      <w:r w:rsidR="00FC1A9B">
        <w:t>978-1-925832-69-3</w:t>
      </w:r>
    </w:p>
    <w:p w14:paraId="539070E6" w14:textId="3BD46CF1"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9"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0"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67480417" w14:textId="77777777" w:rsidR="000E0B74" w:rsidRDefault="000E0B74" w:rsidP="000E0B74">
      <w:pPr>
        <w:pStyle w:val="ChartGraphic"/>
        <w:jc w:val="left"/>
      </w:pPr>
      <w:r w:rsidRPr="00E56DFB">
        <w:rPr>
          <w:noProof/>
        </w:rPr>
        <w:drawing>
          <wp:inline distT="0" distB="0" distL="0" distR="0" wp14:anchorId="39DEF5F2" wp14:editId="398E2353">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50D1CCB5" w14:textId="3781FB06" w:rsidR="000E0B74" w:rsidRPr="006627B4" w:rsidRDefault="000E0B74" w:rsidP="000E0B74">
      <w:pPr>
        <w:tabs>
          <w:tab w:val="left" w:pos="1650"/>
        </w:tabs>
        <w:spacing w:before="240"/>
      </w:pPr>
      <w:r w:rsidRPr="006627B4">
        <w:t xml:space="preserve">Use of material </w:t>
      </w:r>
      <w:r w:rsidR="00C97998">
        <w:t xml:space="preserve">from the Review of the Reserve Bank of Australia Report is to be treated as Australian Government material </w:t>
      </w:r>
      <w:r w:rsidRPr="006627B4">
        <w:t>under a</w:t>
      </w:r>
      <w:r w:rsidRPr="00476F09">
        <w:rPr>
          <w:rFonts w:cstheme="minorHAnsi"/>
          <w:sz w:val="24"/>
          <w:szCs w:val="24"/>
        </w:rPr>
        <w:t xml:space="preserve"> </w:t>
      </w:r>
      <w:hyperlink r:id="rId12" w:history="1">
        <w:r w:rsidRPr="002F1BC2">
          <w:rPr>
            <w:rStyle w:val="Hyperlink"/>
          </w:rPr>
          <w:t>Creative Commons Attribution 3.0 Australia</w:t>
        </w:r>
      </w:hyperlink>
      <w:r w:rsidRPr="002F1BC2">
        <w:rPr>
          <w:rStyle w:val="Hyperlink"/>
        </w:rPr>
        <w:t xml:space="preserve"> </w:t>
      </w:r>
      <w:r w:rsidRPr="006627B4">
        <w:t>licence</w:t>
      </w:r>
      <w:r w:rsidR="006E0F1F">
        <w:t>. It</w:t>
      </w:r>
      <w:r w:rsidRPr="006627B4">
        <w:t xml:space="preserve"> requires you to attribute the work (but not in any way that suggests that the </w:t>
      </w:r>
      <w:r w:rsidR="006E0F1F">
        <w:t xml:space="preserve">Review </w:t>
      </w:r>
      <w:r w:rsidRPr="006627B4">
        <w:t>endorse</w:t>
      </w:r>
      <w:r>
        <w:t>s you or your use of the work).</w:t>
      </w:r>
    </w:p>
    <w:p w14:paraId="1BA71A3E" w14:textId="1A17FB3A" w:rsidR="000E0B74" w:rsidRPr="006469CC" w:rsidRDefault="006E0F1F" w:rsidP="006469CC">
      <w:pPr>
        <w:spacing w:before="240"/>
        <w:rPr>
          <w:b/>
        </w:rPr>
      </w:pPr>
      <w:r>
        <w:rPr>
          <w:b/>
        </w:rPr>
        <w:t xml:space="preserve">Review of the Reserve Bank of Australia </w:t>
      </w:r>
      <w:r w:rsidR="000E0B74" w:rsidRPr="006469CC">
        <w:rPr>
          <w:b/>
        </w:rPr>
        <w:t>material used ‘as supplied’.</w:t>
      </w:r>
    </w:p>
    <w:p w14:paraId="74A671DF" w14:textId="31AC66EC" w:rsidR="000E0B74" w:rsidRPr="00476F09" w:rsidRDefault="000E0B74" w:rsidP="000E0B74">
      <w:pPr>
        <w:spacing w:before="240"/>
      </w:pPr>
      <w:r w:rsidRPr="00476F09">
        <w:t xml:space="preserve">Provided you have not modified or transformed </w:t>
      </w:r>
      <w:r w:rsidR="006E0F1F">
        <w:t xml:space="preserve">Review of the Reserve Bank of Australia Report </w:t>
      </w:r>
      <w:r w:rsidRPr="00476F09">
        <w:t>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18B66157" w14:textId="77777777" w:rsidR="001213E9" w:rsidRPr="001213E9" w:rsidRDefault="001213E9" w:rsidP="001213E9">
      <w:r w:rsidRPr="001213E9">
        <w:t>Source: The Australian Government Review of the Reserve Bank of Australia Report.</w:t>
      </w:r>
    </w:p>
    <w:p w14:paraId="2212D438" w14:textId="77777777" w:rsidR="000E0B74" w:rsidRPr="006627B4" w:rsidRDefault="000E0B74" w:rsidP="000E0B74">
      <w:pPr>
        <w:spacing w:before="240"/>
      </w:pPr>
      <w:r w:rsidRPr="00CC63CC">
        <w:rPr>
          <w:b/>
        </w:rPr>
        <w:t>Derivative</w:t>
      </w:r>
      <w:r w:rsidRPr="006627B4">
        <w:t xml:space="preserve"> </w:t>
      </w:r>
      <w:r w:rsidRPr="00CC63CC">
        <w:rPr>
          <w:b/>
        </w:rPr>
        <w:t>material</w:t>
      </w:r>
    </w:p>
    <w:p w14:paraId="4764208A" w14:textId="7256CB1D" w:rsidR="000E0B74" w:rsidRPr="006627B4" w:rsidRDefault="000E0B74" w:rsidP="000E0B74">
      <w:r w:rsidRPr="006627B4">
        <w:t xml:space="preserve">If you have modified or transformed </w:t>
      </w:r>
      <w:r w:rsidR="003A3415">
        <w:t xml:space="preserve">the Report </w:t>
      </w:r>
      <w:r w:rsidRPr="006627B4">
        <w:t xml:space="preserve">material, or derived new material from those of the </w:t>
      </w:r>
      <w:r w:rsidR="003A3415">
        <w:t xml:space="preserve">Report </w:t>
      </w:r>
      <w:r w:rsidRPr="006627B4">
        <w:t>in any way, the following attribution</w:t>
      </w:r>
      <w:r w:rsidR="003A3415">
        <w:t xml:space="preserve"> is preferred</w:t>
      </w:r>
      <w:r w:rsidRPr="006627B4">
        <w:t xml:space="preserve">: </w:t>
      </w:r>
    </w:p>
    <w:p w14:paraId="0D5A2483" w14:textId="77777777" w:rsidR="001006C8" w:rsidRDefault="001006C8" w:rsidP="001006C8">
      <w:r>
        <w:t>Based on</w:t>
      </w:r>
      <w:r>
        <w:rPr>
          <w:spacing w:val="3"/>
        </w:rPr>
        <w:t xml:space="preserve"> </w:t>
      </w:r>
      <w:r>
        <w:t>The</w:t>
      </w:r>
      <w:r>
        <w:rPr>
          <w:spacing w:val="3"/>
        </w:rPr>
        <w:t xml:space="preserve"> </w:t>
      </w:r>
      <w:r>
        <w:t>Australian</w:t>
      </w:r>
      <w:r>
        <w:rPr>
          <w:spacing w:val="3"/>
        </w:rPr>
        <w:t xml:space="preserve"> </w:t>
      </w:r>
      <w:r>
        <w:t>Government</w:t>
      </w:r>
      <w:r>
        <w:rPr>
          <w:spacing w:val="3"/>
        </w:rPr>
        <w:t xml:space="preserve"> </w:t>
      </w:r>
      <w:r>
        <w:t>the</w:t>
      </w:r>
      <w:r>
        <w:rPr>
          <w:spacing w:val="3"/>
        </w:rPr>
        <w:t xml:space="preserve"> </w:t>
      </w:r>
      <w:r>
        <w:t>Review</w:t>
      </w:r>
      <w:r>
        <w:rPr>
          <w:spacing w:val="3"/>
        </w:rPr>
        <w:t xml:space="preserve"> </w:t>
      </w:r>
      <w:r>
        <w:t>of</w:t>
      </w:r>
      <w:r>
        <w:rPr>
          <w:spacing w:val="2"/>
        </w:rPr>
        <w:t xml:space="preserve"> </w:t>
      </w:r>
      <w:r>
        <w:t>the</w:t>
      </w:r>
      <w:r>
        <w:rPr>
          <w:spacing w:val="3"/>
        </w:rPr>
        <w:t xml:space="preserve"> </w:t>
      </w:r>
      <w:r>
        <w:t>Reserve</w:t>
      </w:r>
      <w:r>
        <w:rPr>
          <w:spacing w:val="3"/>
        </w:rPr>
        <w:t xml:space="preserve"> </w:t>
      </w:r>
      <w:r>
        <w:t>Bank</w:t>
      </w:r>
      <w:r>
        <w:rPr>
          <w:spacing w:val="3"/>
        </w:rPr>
        <w:t xml:space="preserve"> </w:t>
      </w:r>
      <w:r>
        <w:t>of</w:t>
      </w:r>
      <w:r>
        <w:rPr>
          <w:spacing w:val="3"/>
        </w:rPr>
        <w:t xml:space="preserve"> </w:t>
      </w:r>
      <w:r>
        <w:t>Australia</w:t>
      </w:r>
      <w:r>
        <w:rPr>
          <w:spacing w:val="3"/>
        </w:rPr>
        <w:t xml:space="preserve"> </w:t>
      </w:r>
      <w:r>
        <w:t>Report</w:t>
      </w:r>
      <w:r>
        <w:rPr>
          <w:spacing w:val="3"/>
        </w:rPr>
        <w:t xml:space="preserve"> </w:t>
      </w:r>
      <w:r>
        <w:rPr>
          <w:spacing w:val="-2"/>
        </w:rPr>
        <w:t>data.</w:t>
      </w:r>
    </w:p>
    <w:p w14:paraId="4AFA7DDE" w14:textId="77777777" w:rsidR="000E0B74" w:rsidRPr="006627B4" w:rsidRDefault="000E0B74" w:rsidP="000E0B74">
      <w:pPr>
        <w:spacing w:before="240"/>
        <w:rPr>
          <w:b/>
        </w:rPr>
      </w:pPr>
      <w:r w:rsidRPr="006627B4">
        <w:rPr>
          <w:b/>
        </w:rPr>
        <w:t>Use of the Coat of Arms</w:t>
      </w:r>
    </w:p>
    <w:p w14:paraId="06BB937B" w14:textId="77777777"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3" w:history="1">
        <w:r w:rsidR="00F669CD">
          <w:rPr>
            <w:rStyle w:val="Hyperlink"/>
          </w:rPr>
          <w:t>http://www.pmc.gov.au/government/commonwealth-coat-arms</w:t>
        </w:r>
      </w:hyperlink>
      <w:r w:rsidRPr="005C503A">
        <w:t>).</w:t>
      </w:r>
    </w:p>
    <w:p w14:paraId="65158363" w14:textId="77777777" w:rsidR="000E0B74" w:rsidRPr="006627B4" w:rsidRDefault="000E0B74" w:rsidP="000E0B74">
      <w:pPr>
        <w:spacing w:before="240"/>
        <w:rPr>
          <w:b/>
        </w:rPr>
      </w:pPr>
      <w:r>
        <w:rPr>
          <w:b/>
        </w:rPr>
        <w:t>Other u</w:t>
      </w:r>
      <w:r w:rsidRPr="006627B4">
        <w:rPr>
          <w:b/>
        </w:rPr>
        <w:t>ses</w:t>
      </w:r>
    </w:p>
    <w:p w14:paraId="055E6587" w14:textId="77777777" w:rsidR="000E0B74" w:rsidRPr="006627B4" w:rsidRDefault="000E0B74" w:rsidP="000E0B74">
      <w:r>
        <w:t>E</w:t>
      </w:r>
      <w:r w:rsidRPr="006627B4">
        <w:t>nquiries regarding this licence and any other use of this document are welcome at:</w:t>
      </w:r>
    </w:p>
    <w:p w14:paraId="1169A97D" w14:textId="77777777" w:rsidR="000E0B74" w:rsidRDefault="000E0B74" w:rsidP="000E0B74">
      <w:pPr>
        <w:ind w:left="720"/>
        <w:rPr>
          <w:rStyle w:val="Hyperlink"/>
        </w:rPr>
      </w:pPr>
      <w:r w:rsidRPr="006627B4">
        <w:t>Manager</w:t>
      </w:r>
      <w:r w:rsidR="00A72960">
        <w:br/>
      </w:r>
      <w:r>
        <w:t>Media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4" w:history="1">
        <w:r w:rsidR="00720821">
          <w:rPr>
            <w:rStyle w:val="Hyperlink"/>
          </w:rPr>
          <w:t>media@treasury.gov.au</w:t>
        </w:r>
      </w:hyperlink>
    </w:p>
    <w:tbl>
      <w:tblPr>
        <w:tblW w:w="0" w:type="auto"/>
        <w:tblInd w:w="165" w:type="dxa"/>
        <w:tblBorders>
          <w:top w:val="single" w:sz="2" w:space="0" w:color="204160"/>
          <w:left w:val="single" w:sz="2" w:space="0" w:color="204160"/>
          <w:bottom w:val="single" w:sz="2" w:space="0" w:color="204160"/>
          <w:right w:val="single" w:sz="2" w:space="0" w:color="204160"/>
          <w:insideH w:val="single" w:sz="2" w:space="0" w:color="204160"/>
          <w:insideV w:val="single" w:sz="2" w:space="0" w:color="204160"/>
        </w:tblBorders>
        <w:tblLayout w:type="fixed"/>
        <w:tblCellMar>
          <w:left w:w="0" w:type="dxa"/>
          <w:right w:w="0" w:type="dxa"/>
        </w:tblCellMar>
        <w:tblLook w:val="01E0" w:firstRow="1" w:lastRow="1" w:firstColumn="1" w:lastColumn="1" w:noHBand="0" w:noVBand="0"/>
      </w:tblPr>
      <w:tblGrid>
        <w:gridCol w:w="8062"/>
      </w:tblGrid>
      <w:tr w:rsidR="00D20A82" w14:paraId="2C797F2B" w14:textId="77777777" w:rsidTr="00F22AE5">
        <w:trPr>
          <w:trHeight w:val="1276"/>
        </w:trPr>
        <w:tc>
          <w:tcPr>
            <w:tcW w:w="8062" w:type="dxa"/>
          </w:tcPr>
          <w:p w14:paraId="06B01746" w14:textId="77777777" w:rsidR="00D20A82" w:rsidRDefault="00D20A82" w:rsidP="00F22AE5">
            <w:pPr>
              <w:pStyle w:val="TableParagraph"/>
              <w:spacing w:before="181" w:line="225" w:lineRule="auto"/>
              <w:ind w:left="340" w:right="199"/>
              <w:rPr>
                <w:rFonts w:ascii="Open Sans"/>
                <w:b/>
                <w:sz w:val="18"/>
              </w:rPr>
            </w:pPr>
            <w:r>
              <w:rPr>
                <w:rFonts w:ascii="Open Sans"/>
                <w:b/>
                <w:sz w:val="18"/>
              </w:rPr>
              <w:t>The Review of the Reserve Bank acknowledges the Traditional Custodians of country throughout Australia and their connections to land, sea and community. We</w:t>
            </w:r>
            <w:r>
              <w:rPr>
                <w:rFonts w:ascii="Open Sans"/>
                <w:b/>
                <w:spacing w:val="-5"/>
                <w:sz w:val="18"/>
              </w:rPr>
              <w:t xml:space="preserve"> </w:t>
            </w:r>
            <w:r>
              <w:rPr>
                <w:rFonts w:ascii="Open Sans"/>
                <w:b/>
                <w:sz w:val="18"/>
              </w:rPr>
              <w:t>pay</w:t>
            </w:r>
            <w:r>
              <w:rPr>
                <w:rFonts w:ascii="Open Sans"/>
                <w:b/>
                <w:spacing w:val="-5"/>
                <w:sz w:val="18"/>
              </w:rPr>
              <w:t xml:space="preserve"> </w:t>
            </w:r>
            <w:r>
              <w:rPr>
                <w:rFonts w:ascii="Open Sans"/>
                <w:b/>
                <w:sz w:val="18"/>
              </w:rPr>
              <w:t>our</w:t>
            </w:r>
            <w:r>
              <w:rPr>
                <w:rFonts w:ascii="Open Sans"/>
                <w:b/>
                <w:spacing w:val="-5"/>
                <w:sz w:val="18"/>
              </w:rPr>
              <w:t xml:space="preserve"> </w:t>
            </w:r>
            <w:r>
              <w:rPr>
                <w:rFonts w:ascii="Open Sans"/>
                <w:b/>
                <w:sz w:val="18"/>
              </w:rPr>
              <w:t>respects</w:t>
            </w:r>
            <w:r>
              <w:rPr>
                <w:rFonts w:ascii="Open Sans"/>
                <w:b/>
                <w:spacing w:val="-5"/>
                <w:sz w:val="18"/>
              </w:rPr>
              <w:t xml:space="preserve"> </w:t>
            </w:r>
            <w:r>
              <w:rPr>
                <w:rFonts w:ascii="Open Sans"/>
                <w:b/>
                <w:sz w:val="18"/>
              </w:rPr>
              <w:t>to</w:t>
            </w:r>
            <w:r>
              <w:rPr>
                <w:rFonts w:ascii="Open Sans"/>
                <w:b/>
                <w:spacing w:val="-5"/>
                <w:sz w:val="18"/>
              </w:rPr>
              <w:t xml:space="preserve"> </w:t>
            </w:r>
            <w:r>
              <w:rPr>
                <w:rFonts w:ascii="Open Sans"/>
                <w:b/>
                <w:sz w:val="18"/>
              </w:rPr>
              <w:t>their</w:t>
            </w:r>
            <w:r>
              <w:rPr>
                <w:rFonts w:ascii="Open Sans"/>
                <w:b/>
                <w:spacing w:val="-5"/>
                <w:sz w:val="18"/>
              </w:rPr>
              <w:t xml:space="preserve"> </w:t>
            </w:r>
            <w:r>
              <w:rPr>
                <w:rFonts w:ascii="Open Sans"/>
                <w:b/>
                <w:sz w:val="18"/>
              </w:rPr>
              <w:t>Elders</w:t>
            </w:r>
            <w:r>
              <w:rPr>
                <w:rFonts w:ascii="Open Sans"/>
                <w:b/>
                <w:spacing w:val="-5"/>
                <w:sz w:val="18"/>
              </w:rPr>
              <w:t xml:space="preserve"> </w:t>
            </w:r>
            <w:r>
              <w:rPr>
                <w:rFonts w:ascii="Open Sans"/>
                <w:b/>
                <w:sz w:val="18"/>
              </w:rPr>
              <w:t>past</w:t>
            </w:r>
            <w:r>
              <w:rPr>
                <w:rFonts w:ascii="Open Sans"/>
                <w:b/>
                <w:spacing w:val="-5"/>
                <w:sz w:val="18"/>
              </w:rPr>
              <w:t xml:space="preserve"> </w:t>
            </w:r>
            <w:r>
              <w:rPr>
                <w:rFonts w:ascii="Open Sans"/>
                <w:b/>
                <w:sz w:val="18"/>
              </w:rPr>
              <w:t>and</w:t>
            </w:r>
            <w:r>
              <w:rPr>
                <w:rFonts w:ascii="Open Sans"/>
                <w:b/>
                <w:spacing w:val="-5"/>
                <w:sz w:val="18"/>
              </w:rPr>
              <w:t xml:space="preserve"> </w:t>
            </w:r>
            <w:r>
              <w:rPr>
                <w:rFonts w:ascii="Open Sans"/>
                <w:b/>
                <w:sz w:val="18"/>
              </w:rPr>
              <w:t>present</w:t>
            </w:r>
            <w:r>
              <w:rPr>
                <w:rFonts w:ascii="Open Sans"/>
                <w:b/>
                <w:spacing w:val="-5"/>
                <w:sz w:val="18"/>
              </w:rPr>
              <w:t xml:space="preserve"> </w:t>
            </w:r>
            <w:r>
              <w:rPr>
                <w:rFonts w:ascii="Open Sans"/>
                <w:b/>
                <w:sz w:val="18"/>
              </w:rPr>
              <w:t>and</w:t>
            </w:r>
            <w:r>
              <w:rPr>
                <w:rFonts w:ascii="Open Sans"/>
                <w:b/>
                <w:spacing w:val="-5"/>
                <w:sz w:val="18"/>
              </w:rPr>
              <w:t xml:space="preserve"> </w:t>
            </w:r>
            <w:r>
              <w:rPr>
                <w:rFonts w:ascii="Open Sans"/>
                <w:b/>
                <w:sz w:val="18"/>
              </w:rPr>
              <w:t>extend</w:t>
            </w:r>
            <w:r>
              <w:rPr>
                <w:rFonts w:ascii="Open Sans"/>
                <w:b/>
                <w:spacing w:val="-5"/>
                <w:sz w:val="18"/>
              </w:rPr>
              <w:t xml:space="preserve"> </w:t>
            </w:r>
            <w:r>
              <w:rPr>
                <w:rFonts w:ascii="Open Sans"/>
                <w:b/>
                <w:sz w:val="18"/>
              </w:rPr>
              <w:t>that</w:t>
            </w:r>
            <w:r>
              <w:rPr>
                <w:rFonts w:ascii="Open Sans"/>
                <w:b/>
                <w:spacing w:val="-5"/>
                <w:sz w:val="18"/>
              </w:rPr>
              <w:t xml:space="preserve"> </w:t>
            </w:r>
            <w:r>
              <w:rPr>
                <w:rFonts w:ascii="Open Sans"/>
                <w:b/>
                <w:sz w:val="18"/>
              </w:rPr>
              <w:t>respect</w:t>
            </w:r>
            <w:r>
              <w:rPr>
                <w:rFonts w:ascii="Open Sans"/>
                <w:b/>
                <w:spacing w:val="-5"/>
                <w:sz w:val="18"/>
              </w:rPr>
              <w:t xml:space="preserve"> </w:t>
            </w:r>
            <w:r>
              <w:rPr>
                <w:rFonts w:ascii="Open Sans"/>
                <w:b/>
                <w:sz w:val="18"/>
              </w:rPr>
              <w:t>to</w:t>
            </w:r>
            <w:r>
              <w:rPr>
                <w:rFonts w:ascii="Open Sans"/>
                <w:b/>
                <w:spacing w:val="-5"/>
                <w:sz w:val="18"/>
              </w:rPr>
              <w:t xml:space="preserve"> </w:t>
            </w:r>
            <w:r>
              <w:rPr>
                <w:rFonts w:ascii="Open Sans"/>
                <w:b/>
                <w:sz w:val="18"/>
              </w:rPr>
              <w:t>all Aboriginal and Torres Strait Islander peoples today.</w:t>
            </w:r>
          </w:p>
        </w:tc>
      </w:tr>
    </w:tbl>
    <w:p w14:paraId="63CB1FCE" w14:textId="77777777" w:rsidR="00F836F9" w:rsidRDefault="00F836F9" w:rsidP="000E0B74">
      <w:pPr>
        <w:pStyle w:val="Heading1"/>
      </w:pPr>
    </w:p>
    <w:p w14:paraId="1D97D1CA" w14:textId="6564B6F1" w:rsidR="00A66229" w:rsidRPr="00A66229" w:rsidRDefault="00A66229" w:rsidP="00A66229">
      <w:pPr>
        <w:sectPr w:rsidR="00A66229" w:rsidRPr="00A66229" w:rsidSect="00B340F5">
          <w:pgSz w:w="11906" w:h="16838" w:code="9"/>
          <w:pgMar w:top="1418" w:right="1418" w:bottom="1418" w:left="1418" w:header="709" w:footer="709" w:gutter="0"/>
          <w:pgNumType w:fmt="lowerRoman" w:start="0"/>
          <w:cols w:space="708"/>
          <w:titlePg/>
          <w:docGrid w:linePitch="360"/>
        </w:sectPr>
      </w:pPr>
    </w:p>
    <w:p w14:paraId="645800C2" w14:textId="77777777" w:rsidR="000E0B74" w:rsidRDefault="000E0B74" w:rsidP="001F1B27">
      <w:pPr>
        <w:pStyle w:val="Heading1"/>
      </w:pPr>
      <w:bookmarkStart w:id="0" w:name="_Toc134220978"/>
      <w:r w:rsidRPr="001F1B27">
        <w:lastRenderedPageBreak/>
        <w:t>Contents</w:t>
      </w:r>
      <w:bookmarkEnd w:id="0"/>
    </w:p>
    <w:bookmarkStart w:id="1" w:name="_Toc432067103"/>
    <w:bookmarkStart w:id="2" w:name="_Toc452635030"/>
    <w:p w14:paraId="4B8E0ABF" w14:textId="3A06C350" w:rsidR="001117BB" w:rsidRDefault="001117BB">
      <w:pPr>
        <w:pStyle w:val="TOC1"/>
        <w:rPr>
          <w:rFonts w:asciiTheme="minorHAnsi" w:eastAsiaTheme="minorEastAsia" w:hAnsiTheme="minorHAnsi" w:cstheme="minorBidi"/>
          <w:b w:val="0"/>
          <w:color w:val="auto"/>
        </w:rPr>
      </w:pPr>
      <w:r>
        <w:rPr>
          <w:b w:val="0"/>
          <w:color w:val="004A7F"/>
        </w:rPr>
        <w:fldChar w:fldCharType="begin"/>
      </w:r>
      <w:r>
        <w:rPr>
          <w:b w:val="0"/>
          <w:color w:val="004A7F"/>
        </w:rPr>
        <w:instrText xml:space="preserve"> TOC \o "1-2" \h \z \u </w:instrText>
      </w:r>
      <w:r>
        <w:rPr>
          <w:b w:val="0"/>
          <w:color w:val="004A7F"/>
        </w:rPr>
        <w:fldChar w:fldCharType="separate"/>
      </w:r>
      <w:hyperlink w:anchor="_Toc134220979" w:history="1">
        <w:r w:rsidRPr="00B47E56">
          <w:rPr>
            <w:rStyle w:val="Hyperlink"/>
          </w:rPr>
          <w:t>Foreword</w:t>
        </w:r>
        <w:r>
          <w:rPr>
            <w:webHidden/>
          </w:rPr>
          <w:tab/>
        </w:r>
        <w:r>
          <w:rPr>
            <w:webHidden/>
          </w:rPr>
          <w:fldChar w:fldCharType="begin"/>
        </w:r>
        <w:r>
          <w:rPr>
            <w:webHidden/>
          </w:rPr>
          <w:instrText xml:space="preserve"> PAGEREF _Toc134220979 \h </w:instrText>
        </w:r>
        <w:r>
          <w:rPr>
            <w:webHidden/>
          </w:rPr>
        </w:r>
        <w:r>
          <w:rPr>
            <w:webHidden/>
          </w:rPr>
          <w:fldChar w:fldCharType="separate"/>
        </w:r>
        <w:r w:rsidR="00523E3C">
          <w:rPr>
            <w:webHidden/>
          </w:rPr>
          <w:t>1</w:t>
        </w:r>
        <w:r>
          <w:rPr>
            <w:webHidden/>
          </w:rPr>
          <w:fldChar w:fldCharType="end"/>
        </w:r>
      </w:hyperlink>
    </w:p>
    <w:p w14:paraId="233F1190" w14:textId="6B682CD8" w:rsidR="001117BB" w:rsidRDefault="001117BB">
      <w:pPr>
        <w:pStyle w:val="TOC2"/>
        <w:rPr>
          <w:rFonts w:asciiTheme="minorHAnsi" w:eastAsiaTheme="minorEastAsia" w:hAnsiTheme="minorHAnsi" w:cstheme="minorBidi"/>
          <w:color w:val="auto"/>
          <w:szCs w:val="22"/>
        </w:rPr>
      </w:pPr>
      <w:hyperlink w:anchor="_Toc134220980" w:history="1">
        <w:r w:rsidRPr="00B47E56">
          <w:rPr>
            <w:rStyle w:val="Hyperlink"/>
          </w:rPr>
          <w:t>A</w:t>
        </w:r>
        <w:r w:rsidRPr="00B47E56">
          <w:rPr>
            <w:rStyle w:val="Hyperlink"/>
            <w:spacing w:val="-14"/>
          </w:rPr>
          <w:t xml:space="preserve"> </w:t>
        </w:r>
        <w:r w:rsidRPr="00B47E56">
          <w:rPr>
            <w:rStyle w:val="Hyperlink"/>
          </w:rPr>
          <w:t>monetary</w:t>
        </w:r>
        <w:r w:rsidRPr="00B47E56">
          <w:rPr>
            <w:rStyle w:val="Hyperlink"/>
            <w:spacing w:val="-12"/>
          </w:rPr>
          <w:t xml:space="preserve"> </w:t>
        </w:r>
        <w:r w:rsidRPr="00B47E56">
          <w:rPr>
            <w:rStyle w:val="Hyperlink"/>
          </w:rPr>
          <w:t>policy</w:t>
        </w:r>
        <w:r w:rsidRPr="00B47E56">
          <w:rPr>
            <w:rStyle w:val="Hyperlink"/>
            <w:spacing w:val="-12"/>
          </w:rPr>
          <w:t xml:space="preserve"> </w:t>
        </w:r>
        <w:r w:rsidRPr="00B47E56">
          <w:rPr>
            <w:rStyle w:val="Hyperlink"/>
          </w:rPr>
          <w:t>framework</w:t>
        </w:r>
        <w:r w:rsidRPr="00B47E56">
          <w:rPr>
            <w:rStyle w:val="Hyperlink"/>
            <w:spacing w:val="-11"/>
          </w:rPr>
          <w:t xml:space="preserve"> </w:t>
        </w:r>
        <w:r w:rsidRPr="00B47E56">
          <w:rPr>
            <w:rStyle w:val="Hyperlink"/>
          </w:rPr>
          <w:t>fit</w:t>
        </w:r>
        <w:r w:rsidRPr="00B47E56">
          <w:rPr>
            <w:rStyle w:val="Hyperlink"/>
            <w:spacing w:val="-12"/>
          </w:rPr>
          <w:t xml:space="preserve"> </w:t>
        </w:r>
        <w:r w:rsidRPr="00B47E56">
          <w:rPr>
            <w:rStyle w:val="Hyperlink"/>
          </w:rPr>
          <w:t>for</w:t>
        </w:r>
        <w:r w:rsidRPr="00B47E56">
          <w:rPr>
            <w:rStyle w:val="Hyperlink"/>
            <w:spacing w:val="-12"/>
          </w:rPr>
          <w:t xml:space="preserve"> </w:t>
        </w:r>
        <w:r w:rsidRPr="00B47E56">
          <w:rPr>
            <w:rStyle w:val="Hyperlink"/>
          </w:rPr>
          <w:t>the</w:t>
        </w:r>
        <w:r w:rsidRPr="00B47E56">
          <w:rPr>
            <w:rStyle w:val="Hyperlink"/>
            <w:spacing w:val="-11"/>
          </w:rPr>
          <w:t xml:space="preserve"> </w:t>
        </w:r>
        <w:r w:rsidRPr="00B47E56">
          <w:rPr>
            <w:rStyle w:val="Hyperlink"/>
          </w:rPr>
          <w:t>future</w:t>
        </w:r>
        <w:r>
          <w:rPr>
            <w:webHidden/>
          </w:rPr>
          <w:tab/>
        </w:r>
        <w:r>
          <w:rPr>
            <w:webHidden/>
          </w:rPr>
          <w:fldChar w:fldCharType="begin"/>
        </w:r>
        <w:r>
          <w:rPr>
            <w:webHidden/>
          </w:rPr>
          <w:instrText xml:space="preserve"> PAGEREF _Toc134220980 \h </w:instrText>
        </w:r>
        <w:r>
          <w:rPr>
            <w:webHidden/>
          </w:rPr>
        </w:r>
        <w:r>
          <w:rPr>
            <w:webHidden/>
          </w:rPr>
          <w:fldChar w:fldCharType="separate"/>
        </w:r>
        <w:r w:rsidR="00523E3C">
          <w:rPr>
            <w:webHidden/>
          </w:rPr>
          <w:t>3</w:t>
        </w:r>
        <w:r>
          <w:rPr>
            <w:webHidden/>
          </w:rPr>
          <w:fldChar w:fldCharType="end"/>
        </w:r>
      </w:hyperlink>
    </w:p>
    <w:p w14:paraId="4591826D" w14:textId="462FFD93" w:rsidR="001117BB" w:rsidRDefault="001117BB">
      <w:pPr>
        <w:pStyle w:val="TOC2"/>
        <w:rPr>
          <w:rFonts w:asciiTheme="minorHAnsi" w:eastAsiaTheme="minorEastAsia" w:hAnsiTheme="minorHAnsi" w:cstheme="minorBidi"/>
          <w:color w:val="auto"/>
          <w:szCs w:val="22"/>
        </w:rPr>
      </w:pPr>
      <w:hyperlink w:anchor="_Toc134220981" w:history="1">
        <w:r w:rsidRPr="00B47E56">
          <w:rPr>
            <w:rStyle w:val="Hyperlink"/>
          </w:rPr>
          <w:t>A</w:t>
        </w:r>
        <w:r w:rsidRPr="00B47E56">
          <w:rPr>
            <w:rStyle w:val="Hyperlink"/>
            <w:spacing w:val="-14"/>
          </w:rPr>
          <w:t xml:space="preserve"> </w:t>
        </w:r>
        <w:r w:rsidRPr="00B47E56">
          <w:rPr>
            <w:rStyle w:val="Hyperlink"/>
          </w:rPr>
          <w:t>high</w:t>
        </w:r>
        <w:r w:rsidRPr="00B47E56">
          <w:rPr>
            <w:rStyle w:val="Hyperlink"/>
            <w:spacing w:val="-14"/>
          </w:rPr>
          <w:t xml:space="preserve"> </w:t>
        </w:r>
        <w:r w:rsidRPr="00B47E56">
          <w:rPr>
            <w:rStyle w:val="Hyperlink"/>
          </w:rPr>
          <w:t>performing</w:t>
        </w:r>
        <w:r w:rsidRPr="00B47E56">
          <w:rPr>
            <w:rStyle w:val="Hyperlink"/>
            <w:spacing w:val="-13"/>
          </w:rPr>
          <w:t xml:space="preserve"> </w:t>
        </w:r>
        <w:r w:rsidRPr="00B47E56">
          <w:rPr>
            <w:rStyle w:val="Hyperlink"/>
          </w:rPr>
          <w:t>institution</w:t>
        </w:r>
        <w:r>
          <w:rPr>
            <w:webHidden/>
          </w:rPr>
          <w:tab/>
        </w:r>
        <w:r>
          <w:rPr>
            <w:webHidden/>
          </w:rPr>
          <w:fldChar w:fldCharType="begin"/>
        </w:r>
        <w:r>
          <w:rPr>
            <w:webHidden/>
          </w:rPr>
          <w:instrText xml:space="preserve"> PAGEREF _Toc134220981 \h </w:instrText>
        </w:r>
        <w:r>
          <w:rPr>
            <w:webHidden/>
          </w:rPr>
        </w:r>
        <w:r>
          <w:rPr>
            <w:webHidden/>
          </w:rPr>
          <w:fldChar w:fldCharType="separate"/>
        </w:r>
        <w:r w:rsidR="00523E3C">
          <w:rPr>
            <w:webHidden/>
          </w:rPr>
          <w:t>4</w:t>
        </w:r>
        <w:r>
          <w:rPr>
            <w:webHidden/>
          </w:rPr>
          <w:fldChar w:fldCharType="end"/>
        </w:r>
      </w:hyperlink>
    </w:p>
    <w:p w14:paraId="7A456384" w14:textId="72AC8687" w:rsidR="001117BB" w:rsidRDefault="001117BB">
      <w:pPr>
        <w:pStyle w:val="TOC1"/>
        <w:rPr>
          <w:rFonts w:asciiTheme="minorHAnsi" w:eastAsiaTheme="minorEastAsia" w:hAnsiTheme="minorHAnsi" w:cstheme="minorBidi"/>
          <w:b w:val="0"/>
          <w:color w:val="auto"/>
        </w:rPr>
      </w:pPr>
      <w:hyperlink w:anchor="_Toc134220982" w:history="1">
        <w:r w:rsidRPr="00B47E56">
          <w:rPr>
            <w:rStyle w:val="Hyperlink"/>
          </w:rPr>
          <w:t>Executive summary: an RBA fit for the future</w:t>
        </w:r>
        <w:r>
          <w:rPr>
            <w:webHidden/>
          </w:rPr>
          <w:tab/>
        </w:r>
        <w:r>
          <w:rPr>
            <w:webHidden/>
          </w:rPr>
          <w:fldChar w:fldCharType="begin"/>
        </w:r>
        <w:r>
          <w:rPr>
            <w:webHidden/>
          </w:rPr>
          <w:instrText xml:space="preserve"> PAGEREF _Toc134220982 \h </w:instrText>
        </w:r>
        <w:r>
          <w:rPr>
            <w:webHidden/>
          </w:rPr>
        </w:r>
        <w:r>
          <w:rPr>
            <w:webHidden/>
          </w:rPr>
          <w:fldChar w:fldCharType="separate"/>
        </w:r>
        <w:r w:rsidR="00523E3C">
          <w:rPr>
            <w:webHidden/>
          </w:rPr>
          <w:t>5</w:t>
        </w:r>
        <w:r>
          <w:rPr>
            <w:webHidden/>
          </w:rPr>
          <w:fldChar w:fldCharType="end"/>
        </w:r>
      </w:hyperlink>
    </w:p>
    <w:p w14:paraId="5307A993" w14:textId="4373F3EB" w:rsidR="001117BB" w:rsidRDefault="001117BB">
      <w:pPr>
        <w:pStyle w:val="TOC2"/>
        <w:rPr>
          <w:rFonts w:asciiTheme="minorHAnsi" w:eastAsiaTheme="minorEastAsia" w:hAnsiTheme="minorHAnsi" w:cstheme="minorBidi"/>
          <w:color w:val="auto"/>
          <w:szCs w:val="22"/>
        </w:rPr>
      </w:pPr>
      <w:hyperlink w:anchor="_Toc134220983" w:history="1">
        <w:r w:rsidRPr="00B47E56">
          <w:rPr>
            <w:rStyle w:val="Hyperlink"/>
          </w:rPr>
          <w:t>1. Monetary policy performance</w:t>
        </w:r>
        <w:r>
          <w:rPr>
            <w:webHidden/>
          </w:rPr>
          <w:tab/>
        </w:r>
        <w:r>
          <w:rPr>
            <w:webHidden/>
          </w:rPr>
          <w:fldChar w:fldCharType="begin"/>
        </w:r>
        <w:r>
          <w:rPr>
            <w:webHidden/>
          </w:rPr>
          <w:instrText xml:space="preserve"> PAGEREF _Toc134220983 \h </w:instrText>
        </w:r>
        <w:r>
          <w:rPr>
            <w:webHidden/>
          </w:rPr>
        </w:r>
        <w:r>
          <w:rPr>
            <w:webHidden/>
          </w:rPr>
          <w:fldChar w:fldCharType="separate"/>
        </w:r>
        <w:r w:rsidR="00523E3C">
          <w:rPr>
            <w:webHidden/>
          </w:rPr>
          <w:t>6</w:t>
        </w:r>
        <w:r>
          <w:rPr>
            <w:webHidden/>
          </w:rPr>
          <w:fldChar w:fldCharType="end"/>
        </w:r>
      </w:hyperlink>
    </w:p>
    <w:p w14:paraId="68015886" w14:textId="7A8D8C47" w:rsidR="001117BB" w:rsidRDefault="001117BB">
      <w:pPr>
        <w:pStyle w:val="TOC2"/>
        <w:rPr>
          <w:rFonts w:asciiTheme="minorHAnsi" w:eastAsiaTheme="minorEastAsia" w:hAnsiTheme="minorHAnsi" w:cstheme="minorBidi"/>
          <w:color w:val="auto"/>
          <w:szCs w:val="22"/>
        </w:rPr>
      </w:pPr>
      <w:hyperlink w:anchor="_Toc134220984" w:history="1">
        <w:r w:rsidRPr="00B47E56">
          <w:rPr>
            <w:rStyle w:val="Hyperlink"/>
          </w:rPr>
          <w:t>2. A</w:t>
        </w:r>
        <w:r w:rsidRPr="00B47E56">
          <w:rPr>
            <w:rStyle w:val="Hyperlink"/>
            <w:spacing w:val="-14"/>
          </w:rPr>
          <w:t xml:space="preserve"> </w:t>
        </w:r>
        <w:r w:rsidRPr="00B47E56">
          <w:rPr>
            <w:rStyle w:val="Hyperlink"/>
          </w:rPr>
          <w:t>clearer</w:t>
        </w:r>
        <w:r w:rsidRPr="00B47E56">
          <w:rPr>
            <w:rStyle w:val="Hyperlink"/>
            <w:spacing w:val="-12"/>
          </w:rPr>
          <w:t xml:space="preserve"> </w:t>
        </w:r>
        <w:r w:rsidRPr="00B47E56">
          <w:rPr>
            <w:rStyle w:val="Hyperlink"/>
          </w:rPr>
          <w:t>monetary</w:t>
        </w:r>
        <w:r w:rsidRPr="00B47E56">
          <w:rPr>
            <w:rStyle w:val="Hyperlink"/>
            <w:spacing w:val="-12"/>
          </w:rPr>
          <w:t xml:space="preserve"> </w:t>
        </w:r>
        <w:r w:rsidRPr="00B47E56">
          <w:rPr>
            <w:rStyle w:val="Hyperlink"/>
          </w:rPr>
          <w:t>policy</w:t>
        </w:r>
        <w:r w:rsidRPr="00B47E56">
          <w:rPr>
            <w:rStyle w:val="Hyperlink"/>
            <w:spacing w:val="-12"/>
          </w:rPr>
          <w:t xml:space="preserve"> </w:t>
        </w:r>
        <w:r w:rsidRPr="00B47E56">
          <w:rPr>
            <w:rStyle w:val="Hyperlink"/>
          </w:rPr>
          <w:t>framework</w:t>
        </w:r>
        <w:r>
          <w:rPr>
            <w:webHidden/>
          </w:rPr>
          <w:tab/>
        </w:r>
        <w:r>
          <w:rPr>
            <w:webHidden/>
          </w:rPr>
          <w:fldChar w:fldCharType="begin"/>
        </w:r>
        <w:r>
          <w:rPr>
            <w:webHidden/>
          </w:rPr>
          <w:instrText xml:space="preserve"> PAGEREF _Toc134220984 \h </w:instrText>
        </w:r>
        <w:r>
          <w:rPr>
            <w:webHidden/>
          </w:rPr>
        </w:r>
        <w:r>
          <w:rPr>
            <w:webHidden/>
          </w:rPr>
          <w:fldChar w:fldCharType="separate"/>
        </w:r>
        <w:r w:rsidR="00523E3C">
          <w:rPr>
            <w:webHidden/>
          </w:rPr>
          <w:t>7</w:t>
        </w:r>
        <w:r>
          <w:rPr>
            <w:webHidden/>
          </w:rPr>
          <w:fldChar w:fldCharType="end"/>
        </w:r>
      </w:hyperlink>
    </w:p>
    <w:p w14:paraId="16ADEAA5" w14:textId="2329836C" w:rsidR="001117BB" w:rsidRDefault="001117BB">
      <w:pPr>
        <w:pStyle w:val="TOC2"/>
        <w:rPr>
          <w:rFonts w:asciiTheme="minorHAnsi" w:eastAsiaTheme="minorEastAsia" w:hAnsiTheme="minorHAnsi" w:cstheme="minorBidi"/>
          <w:color w:val="auto"/>
          <w:szCs w:val="22"/>
        </w:rPr>
      </w:pPr>
      <w:hyperlink w:anchor="_Toc134220985" w:history="1">
        <w:r w:rsidRPr="00B47E56">
          <w:rPr>
            <w:rStyle w:val="Hyperlink"/>
          </w:rPr>
          <w:t>3. Stronger</w:t>
        </w:r>
        <w:r w:rsidRPr="00B47E56">
          <w:rPr>
            <w:rStyle w:val="Hyperlink"/>
            <w:spacing w:val="-20"/>
          </w:rPr>
          <w:t xml:space="preserve"> </w:t>
        </w:r>
        <w:r w:rsidRPr="00B47E56">
          <w:rPr>
            <w:rStyle w:val="Hyperlink"/>
          </w:rPr>
          <w:t>monetary</w:t>
        </w:r>
        <w:r w:rsidRPr="00B47E56">
          <w:rPr>
            <w:rStyle w:val="Hyperlink"/>
            <w:spacing w:val="-18"/>
          </w:rPr>
          <w:t xml:space="preserve"> </w:t>
        </w:r>
        <w:r w:rsidRPr="00B47E56">
          <w:rPr>
            <w:rStyle w:val="Hyperlink"/>
          </w:rPr>
          <w:t>policy</w:t>
        </w:r>
        <w:r w:rsidRPr="00B47E56">
          <w:rPr>
            <w:rStyle w:val="Hyperlink"/>
            <w:spacing w:val="-18"/>
          </w:rPr>
          <w:t xml:space="preserve"> </w:t>
        </w:r>
        <w:r w:rsidRPr="00B47E56">
          <w:rPr>
            <w:rStyle w:val="Hyperlink"/>
          </w:rPr>
          <w:t>decision</w:t>
        </w:r>
        <w:r w:rsidRPr="00B47E56">
          <w:rPr>
            <w:rStyle w:val="Hyperlink"/>
            <w:spacing w:val="-17"/>
          </w:rPr>
          <w:t xml:space="preserve"> </w:t>
        </w:r>
        <w:r w:rsidRPr="00B47E56">
          <w:rPr>
            <w:rStyle w:val="Hyperlink"/>
          </w:rPr>
          <w:t>making and</w:t>
        </w:r>
        <w:r w:rsidRPr="00B47E56">
          <w:rPr>
            <w:rStyle w:val="Hyperlink"/>
            <w:rFonts w:ascii="Open Sans"/>
            <w:spacing w:val="-17"/>
          </w:rPr>
          <w:t xml:space="preserve"> </w:t>
        </w:r>
        <w:r w:rsidRPr="00B47E56">
          <w:rPr>
            <w:rStyle w:val="Hyperlink"/>
            <w:rFonts w:ascii="Open Sans"/>
          </w:rPr>
          <w:t>accountability</w:t>
        </w:r>
        <w:r>
          <w:rPr>
            <w:webHidden/>
          </w:rPr>
          <w:tab/>
        </w:r>
        <w:r>
          <w:rPr>
            <w:webHidden/>
          </w:rPr>
          <w:fldChar w:fldCharType="begin"/>
        </w:r>
        <w:r>
          <w:rPr>
            <w:webHidden/>
          </w:rPr>
          <w:instrText xml:space="preserve"> PAGEREF _Toc134220985 \h </w:instrText>
        </w:r>
        <w:r>
          <w:rPr>
            <w:webHidden/>
          </w:rPr>
        </w:r>
        <w:r>
          <w:rPr>
            <w:webHidden/>
          </w:rPr>
          <w:fldChar w:fldCharType="separate"/>
        </w:r>
        <w:r w:rsidR="00523E3C">
          <w:rPr>
            <w:webHidden/>
          </w:rPr>
          <w:t>10</w:t>
        </w:r>
        <w:r>
          <w:rPr>
            <w:webHidden/>
          </w:rPr>
          <w:fldChar w:fldCharType="end"/>
        </w:r>
      </w:hyperlink>
    </w:p>
    <w:p w14:paraId="290F66E1" w14:textId="3F020FF3" w:rsidR="001117BB" w:rsidRDefault="001117BB">
      <w:pPr>
        <w:pStyle w:val="TOC2"/>
        <w:rPr>
          <w:rFonts w:asciiTheme="minorHAnsi" w:eastAsiaTheme="minorEastAsia" w:hAnsiTheme="minorHAnsi" w:cstheme="minorBidi"/>
          <w:color w:val="auto"/>
          <w:szCs w:val="22"/>
        </w:rPr>
      </w:pPr>
      <w:hyperlink w:anchor="_Toc134220986" w:history="1">
        <w:r w:rsidRPr="00B47E56">
          <w:rPr>
            <w:rStyle w:val="Hyperlink"/>
          </w:rPr>
          <w:t>4. An open and dynamic RBA</w:t>
        </w:r>
        <w:r>
          <w:rPr>
            <w:webHidden/>
          </w:rPr>
          <w:tab/>
        </w:r>
        <w:r>
          <w:rPr>
            <w:webHidden/>
          </w:rPr>
          <w:fldChar w:fldCharType="begin"/>
        </w:r>
        <w:r>
          <w:rPr>
            <w:webHidden/>
          </w:rPr>
          <w:instrText xml:space="preserve"> PAGEREF _Toc134220986 \h </w:instrText>
        </w:r>
        <w:r>
          <w:rPr>
            <w:webHidden/>
          </w:rPr>
        </w:r>
        <w:r>
          <w:rPr>
            <w:webHidden/>
          </w:rPr>
          <w:fldChar w:fldCharType="separate"/>
        </w:r>
        <w:r w:rsidR="00523E3C">
          <w:rPr>
            <w:webHidden/>
          </w:rPr>
          <w:t>13</w:t>
        </w:r>
        <w:r>
          <w:rPr>
            <w:webHidden/>
          </w:rPr>
          <w:fldChar w:fldCharType="end"/>
        </w:r>
      </w:hyperlink>
    </w:p>
    <w:p w14:paraId="4EEA7C49" w14:textId="7AF0A95E" w:rsidR="001117BB" w:rsidRDefault="001117BB">
      <w:pPr>
        <w:pStyle w:val="TOC2"/>
        <w:rPr>
          <w:rFonts w:asciiTheme="minorHAnsi" w:eastAsiaTheme="minorEastAsia" w:hAnsiTheme="minorHAnsi" w:cstheme="minorBidi"/>
          <w:color w:val="auto"/>
          <w:szCs w:val="22"/>
        </w:rPr>
      </w:pPr>
      <w:hyperlink w:anchor="_Toc134220987" w:history="1">
        <w:r w:rsidRPr="00B47E56">
          <w:rPr>
            <w:rStyle w:val="Hyperlink"/>
          </w:rPr>
          <w:t>5. More robust corporate governance</w:t>
        </w:r>
        <w:r>
          <w:rPr>
            <w:webHidden/>
          </w:rPr>
          <w:tab/>
        </w:r>
        <w:r>
          <w:rPr>
            <w:webHidden/>
          </w:rPr>
          <w:fldChar w:fldCharType="begin"/>
        </w:r>
        <w:r>
          <w:rPr>
            <w:webHidden/>
          </w:rPr>
          <w:instrText xml:space="preserve"> PAGEREF _Toc134220987 \h </w:instrText>
        </w:r>
        <w:r>
          <w:rPr>
            <w:webHidden/>
          </w:rPr>
        </w:r>
        <w:r>
          <w:rPr>
            <w:webHidden/>
          </w:rPr>
          <w:fldChar w:fldCharType="separate"/>
        </w:r>
        <w:r w:rsidR="00523E3C">
          <w:rPr>
            <w:webHidden/>
          </w:rPr>
          <w:t>15</w:t>
        </w:r>
        <w:r>
          <w:rPr>
            <w:webHidden/>
          </w:rPr>
          <w:fldChar w:fldCharType="end"/>
        </w:r>
      </w:hyperlink>
    </w:p>
    <w:p w14:paraId="14AEDF5A" w14:textId="44DD92C8" w:rsidR="001117BB" w:rsidRDefault="001117BB">
      <w:pPr>
        <w:pStyle w:val="TOC2"/>
        <w:rPr>
          <w:rFonts w:asciiTheme="minorHAnsi" w:eastAsiaTheme="minorEastAsia" w:hAnsiTheme="minorHAnsi" w:cstheme="minorBidi"/>
          <w:color w:val="auto"/>
          <w:szCs w:val="22"/>
        </w:rPr>
      </w:pPr>
      <w:hyperlink w:anchor="_Toc134220988" w:history="1">
        <w:r w:rsidRPr="00B47E56">
          <w:rPr>
            <w:rStyle w:val="Hyperlink"/>
          </w:rPr>
          <w:t>6. RBA leaders drive institutional and cultural change</w:t>
        </w:r>
        <w:r>
          <w:rPr>
            <w:webHidden/>
          </w:rPr>
          <w:tab/>
        </w:r>
        <w:r>
          <w:rPr>
            <w:webHidden/>
          </w:rPr>
          <w:fldChar w:fldCharType="begin"/>
        </w:r>
        <w:r>
          <w:rPr>
            <w:webHidden/>
          </w:rPr>
          <w:instrText xml:space="preserve"> PAGEREF _Toc134220988 \h </w:instrText>
        </w:r>
        <w:r>
          <w:rPr>
            <w:webHidden/>
          </w:rPr>
        </w:r>
        <w:r>
          <w:rPr>
            <w:webHidden/>
          </w:rPr>
          <w:fldChar w:fldCharType="separate"/>
        </w:r>
        <w:r w:rsidR="00523E3C">
          <w:rPr>
            <w:webHidden/>
          </w:rPr>
          <w:t>17</w:t>
        </w:r>
        <w:r>
          <w:rPr>
            <w:webHidden/>
          </w:rPr>
          <w:fldChar w:fldCharType="end"/>
        </w:r>
      </w:hyperlink>
    </w:p>
    <w:p w14:paraId="13BB4994" w14:textId="6C1FA8D6" w:rsidR="001117BB" w:rsidRDefault="001117BB">
      <w:pPr>
        <w:pStyle w:val="TOC2"/>
        <w:rPr>
          <w:rFonts w:asciiTheme="minorHAnsi" w:eastAsiaTheme="minorEastAsia" w:hAnsiTheme="minorHAnsi" w:cstheme="minorBidi"/>
          <w:color w:val="auto"/>
          <w:szCs w:val="22"/>
        </w:rPr>
      </w:pPr>
      <w:hyperlink w:anchor="_Toc134220989" w:history="1">
        <w:r w:rsidRPr="00B47E56">
          <w:rPr>
            <w:rStyle w:val="Hyperlink"/>
          </w:rPr>
          <w:t>7. Implementing</w:t>
        </w:r>
        <w:r w:rsidRPr="00B47E56">
          <w:rPr>
            <w:rStyle w:val="Hyperlink"/>
            <w:spacing w:val="-11"/>
          </w:rPr>
          <w:t xml:space="preserve"> </w:t>
        </w:r>
        <w:r w:rsidRPr="00B47E56">
          <w:rPr>
            <w:rStyle w:val="Hyperlink"/>
          </w:rPr>
          <w:t>the</w:t>
        </w:r>
        <w:r w:rsidRPr="00B47E56">
          <w:rPr>
            <w:rStyle w:val="Hyperlink"/>
            <w:spacing w:val="-10"/>
          </w:rPr>
          <w:t xml:space="preserve"> </w:t>
        </w:r>
        <w:r w:rsidRPr="00B47E56">
          <w:rPr>
            <w:rStyle w:val="Hyperlink"/>
          </w:rPr>
          <w:t>Review</w:t>
        </w:r>
        <w:r>
          <w:rPr>
            <w:webHidden/>
          </w:rPr>
          <w:tab/>
        </w:r>
        <w:r>
          <w:rPr>
            <w:webHidden/>
          </w:rPr>
          <w:fldChar w:fldCharType="begin"/>
        </w:r>
        <w:r>
          <w:rPr>
            <w:webHidden/>
          </w:rPr>
          <w:instrText xml:space="preserve"> PAGEREF _Toc134220989 \h </w:instrText>
        </w:r>
        <w:r>
          <w:rPr>
            <w:webHidden/>
          </w:rPr>
        </w:r>
        <w:r>
          <w:rPr>
            <w:webHidden/>
          </w:rPr>
          <w:fldChar w:fldCharType="separate"/>
        </w:r>
        <w:r w:rsidR="00523E3C">
          <w:rPr>
            <w:webHidden/>
          </w:rPr>
          <w:t>18</w:t>
        </w:r>
        <w:r>
          <w:rPr>
            <w:webHidden/>
          </w:rPr>
          <w:fldChar w:fldCharType="end"/>
        </w:r>
      </w:hyperlink>
    </w:p>
    <w:p w14:paraId="130269FE" w14:textId="468C0681" w:rsidR="001117BB" w:rsidRDefault="001117BB">
      <w:pPr>
        <w:pStyle w:val="TOC1"/>
        <w:rPr>
          <w:rFonts w:asciiTheme="minorHAnsi" w:eastAsiaTheme="minorEastAsia" w:hAnsiTheme="minorHAnsi" w:cstheme="minorBidi"/>
          <w:b w:val="0"/>
          <w:color w:val="auto"/>
        </w:rPr>
      </w:pPr>
      <w:hyperlink w:anchor="_Toc134220990" w:history="1">
        <w:r w:rsidRPr="00B47E56">
          <w:rPr>
            <w:rStyle w:val="Hyperlink"/>
          </w:rPr>
          <w:t>Recommendations</w:t>
        </w:r>
        <w:r>
          <w:rPr>
            <w:webHidden/>
          </w:rPr>
          <w:tab/>
        </w:r>
        <w:r>
          <w:rPr>
            <w:webHidden/>
          </w:rPr>
          <w:fldChar w:fldCharType="begin"/>
        </w:r>
        <w:r>
          <w:rPr>
            <w:webHidden/>
          </w:rPr>
          <w:instrText xml:space="preserve"> PAGEREF _Toc134220990 \h </w:instrText>
        </w:r>
        <w:r>
          <w:rPr>
            <w:webHidden/>
          </w:rPr>
        </w:r>
        <w:r>
          <w:rPr>
            <w:webHidden/>
          </w:rPr>
          <w:fldChar w:fldCharType="separate"/>
        </w:r>
        <w:r w:rsidR="00523E3C">
          <w:rPr>
            <w:webHidden/>
          </w:rPr>
          <w:t>20</w:t>
        </w:r>
        <w:r>
          <w:rPr>
            <w:webHidden/>
          </w:rPr>
          <w:fldChar w:fldCharType="end"/>
        </w:r>
      </w:hyperlink>
    </w:p>
    <w:p w14:paraId="5CBF78A5" w14:textId="7A16E20D" w:rsidR="001117BB" w:rsidRDefault="001117BB">
      <w:pPr>
        <w:pStyle w:val="TOC1"/>
        <w:rPr>
          <w:rFonts w:asciiTheme="minorHAnsi" w:eastAsiaTheme="minorEastAsia" w:hAnsiTheme="minorHAnsi" w:cstheme="minorBidi"/>
          <w:b w:val="0"/>
          <w:color w:val="auto"/>
        </w:rPr>
      </w:pPr>
      <w:hyperlink w:anchor="_Toc134220997" w:history="1">
        <w:r w:rsidRPr="00B47E56">
          <w:rPr>
            <w:rStyle w:val="Hyperlink"/>
          </w:rPr>
          <w:t>Chapter</w:t>
        </w:r>
        <w:r w:rsidRPr="00B47E56">
          <w:rPr>
            <w:rStyle w:val="Hyperlink"/>
            <w:spacing w:val="-19"/>
          </w:rPr>
          <w:t xml:space="preserve"> </w:t>
        </w:r>
        <w:r w:rsidRPr="00B47E56">
          <w:rPr>
            <w:rStyle w:val="Hyperlink"/>
            <w:spacing w:val="-5"/>
          </w:rPr>
          <w:t xml:space="preserve">1: </w:t>
        </w:r>
        <w:r w:rsidRPr="00B47E56">
          <w:rPr>
            <w:rStyle w:val="Hyperlink"/>
            <w:spacing w:val="-2"/>
          </w:rPr>
          <w:t>Monetary</w:t>
        </w:r>
        <w:r w:rsidRPr="00B47E56">
          <w:rPr>
            <w:rStyle w:val="Hyperlink"/>
            <w:spacing w:val="-27"/>
          </w:rPr>
          <w:t xml:space="preserve"> </w:t>
        </w:r>
        <w:r w:rsidRPr="00B47E56">
          <w:rPr>
            <w:rStyle w:val="Hyperlink"/>
            <w:spacing w:val="-2"/>
          </w:rPr>
          <w:t>policy</w:t>
        </w:r>
        <w:r w:rsidRPr="00B47E56">
          <w:rPr>
            <w:rStyle w:val="Hyperlink"/>
            <w:spacing w:val="-24"/>
          </w:rPr>
          <w:t xml:space="preserve"> </w:t>
        </w:r>
        <w:r w:rsidRPr="00B47E56">
          <w:rPr>
            <w:rStyle w:val="Hyperlink"/>
            <w:spacing w:val="-2"/>
          </w:rPr>
          <w:t>performance</w:t>
        </w:r>
        <w:r>
          <w:rPr>
            <w:webHidden/>
          </w:rPr>
          <w:tab/>
        </w:r>
        <w:r>
          <w:rPr>
            <w:webHidden/>
          </w:rPr>
          <w:fldChar w:fldCharType="begin"/>
        </w:r>
        <w:r>
          <w:rPr>
            <w:webHidden/>
          </w:rPr>
          <w:instrText xml:space="preserve"> PAGEREF _Toc134220997 \h </w:instrText>
        </w:r>
        <w:r>
          <w:rPr>
            <w:webHidden/>
          </w:rPr>
        </w:r>
        <w:r>
          <w:rPr>
            <w:webHidden/>
          </w:rPr>
          <w:fldChar w:fldCharType="separate"/>
        </w:r>
        <w:r w:rsidR="00523E3C">
          <w:rPr>
            <w:webHidden/>
          </w:rPr>
          <w:t>28</w:t>
        </w:r>
        <w:r>
          <w:rPr>
            <w:webHidden/>
          </w:rPr>
          <w:fldChar w:fldCharType="end"/>
        </w:r>
      </w:hyperlink>
    </w:p>
    <w:p w14:paraId="3884434F" w14:textId="070B09E2" w:rsidR="001117BB" w:rsidRDefault="001117BB">
      <w:pPr>
        <w:pStyle w:val="TOC2"/>
        <w:rPr>
          <w:rFonts w:asciiTheme="minorHAnsi" w:eastAsiaTheme="minorEastAsia" w:hAnsiTheme="minorHAnsi" w:cstheme="minorBidi"/>
          <w:color w:val="auto"/>
          <w:szCs w:val="22"/>
        </w:rPr>
      </w:pPr>
      <w:hyperlink w:anchor="_Toc134220998" w:history="1">
        <w:r w:rsidRPr="00B47E56">
          <w:rPr>
            <w:rStyle w:val="Hyperlink"/>
          </w:rPr>
          <w:t>The</w:t>
        </w:r>
        <w:r w:rsidRPr="00B47E56">
          <w:rPr>
            <w:rStyle w:val="Hyperlink"/>
            <w:spacing w:val="-2"/>
          </w:rPr>
          <w:t xml:space="preserve"> </w:t>
        </w:r>
        <w:r w:rsidRPr="00B47E56">
          <w:rPr>
            <w:rStyle w:val="Hyperlink"/>
          </w:rPr>
          <w:t>RBA</w:t>
        </w:r>
        <w:r w:rsidRPr="00B47E56">
          <w:rPr>
            <w:rStyle w:val="Hyperlink"/>
            <w:spacing w:val="-2"/>
          </w:rPr>
          <w:t xml:space="preserve"> </w:t>
        </w:r>
        <w:r w:rsidRPr="00B47E56">
          <w:rPr>
            <w:rStyle w:val="Hyperlink"/>
          </w:rPr>
          <w:t>has</w:t>
        </w:r>
        <w:r w:rsidRPr="00B47E56">
          <w:rPr>
            <w:rStyle w:val="Hyperlink"/>
            <w:spacing w:val="-2"/>
          </w:rPr>
          <w:t xml:space="preserve"> </w:t>
        </w:r>
        <w:r w:rsidRPr="00B47E56">
          <w:rPr>
            <w:rStyle w:val="Hyperlink"/>
          </w:rPr>
          <w:t>contributed</w:t>
        </w:r>
        <w:r w:rsidRPr="00B47E56">
          <w:rPr>
            <w:rStyle w:val="Hyperlink"/>
            <w:spacing w:val="-2"/>
          </w:rPr>
          <w:t xml:space="preserve"> </w:t>
        </w:r>
        <w:r w:rsidRPr="00B47E56">
          <w:rPr>
            <w:rStyle w:val="Hyperlink"/>
          </w:rPr>
          <w:t>to</w:t>
        </w:r>
        <w:r w:rsidRPr="00B47E56">
          <w:rPr>
            <w:rStyle w:val="Hyperlink"/>
            <w:spacing w:val="-2"/>
          </w:rPr>
          <w:t xml:space="preserve"> </w:t>
        </w:r>
        <w:r w:rsidRPr="00B47E56">
          <w:rPr>
            <w:rStyle w:val="Hyperlink"/>
          </w:rPr>
          <w:t>good</w:t>
        </w:r>
        <w:r w:rsidRPr="00B47E56">
          <w:rPr>
            <w:rStyle w:val="Hyperlink"/>
            <w:spacing w:val="-2"/>
          </w:rPr>
          <w:t xml:space="preserve"> </w:t>
        </w:r>
        <w:r w:rsidRPr="00B47E56">
          <w:rPr>
            <w:rStyle w:val="Hyperlink"/>
          </w:rPr>
          <w:t>economic outcomes</w:t>
        </w:r>
        <w:r w:rsidRPr="00B47E56">
          <w:rPr>
            <w:rStyle w:val="Hyperlink"/>
            <w:spacing w:val="-10"/>
          </w:rPr>
          <w:t xml:space="preserve"> </w:t>
        </w:r>
        <w:r w:rsidRPr="00B47E56">
          <w:rPr>
            <w:rStyle w:val="Hyperlink"/>
          </w:rPr>
          <w:t>through</w:t>
        </w:r>
        <w:r w:rsidRPr="00B47E56">
          <w:rPr>
            <w:rStyle w:val="Hyperlink"/>
            <w:spacing w:val="-10"/>
          </w:rPr>
          <w:t xml:space="preserve"> </w:t>
        </w:r>
        <w:r w:rsidRPr="00B47E56">
          <w:rPr>
            <w:rStyle w:val="Hyperlink"/>
          </w:rPr>
          <w:t>flexible</w:t>
        </w:r>
        <w:r w:rsidRPr="00B47E56">
          <w:rPr>
            <w:rStyle w:val="Hyperlink"/>
            <w:spacing w:val="-10"/>
          </w:rPr>
          <w:t xml:space="preserve"> </w:t>
        </w:r>
        <w:r w:rsidRPr="00B47E56">
          <w:rPr>
            <w:rStyle w:val="Hyperlink"/>
          </w:rPr>
          <w:t>inflation</w:t>
        </w:r>
        <w:r w:rsidRPr="00B47E56">
          <w:rPr>
            <w:rStyle w:val="Hyperlink"/>
            <w:spacing w:val="-10"/>
          </w:rPr>
          <w:t xml:space="preserve"> </w:t>
        </w:r>
        <w:r w:rsidRPr="00B47E56">
          <w:rPr>
            <w:rStyle w:val="Hyperlink"/>
          </w:rPr>
          <w:t>targeting</w:t>
        </w:r>
        <w:r>
          <w:rPr>
            <w:webHidden/>
          </w:rPr>
          <w:tab/>
        </w:r>
        <w:r>
          <w:rPr>
            <w:webHidden/>
          </w:rPr>
          <w:fldChar w:fldCharType="begin"/>
        </w:r>
        <w:r>
          <w:rPr>
            <w:webHidden/>
          </w:rPr>
          <w:instrText xml:space="preserve"> PAGEREF _Toc134220998 \h </w:instrText>
        </w:r>
        <w:r>
          <w:rPr>
            <w:webHidden/>
          </w:rPr>
        </w:r>
        <w:r>
          <w:rPr>
            <w:webHidden/>
          </w:rPr>
          <w:fldChar w:fldCharType="separate"/>
        </w:r>
        <w:r w:rsidR="00523E3C">
          <w:rPr>
            <w:webHidden/>
          </w:rPr>
          <w:t>29</w:t>
        </w:r>
        <w:r>
          <w:rPr>
            <w:webHidden/>
          </w:rPr>
          <w:fldChar w:fldCharType="end"/>
        </w:r>
      </w:hyperlink>
    </w:p>
    <w:p w14:paraId="451700B8" w14:textId="4B63C099" w:rsidR="001117BB" w:rsidRDefault="001117BB">
      <w:pPr>
        <w:pStyle w:val="TOC2"/>
        <w:rPr>
          <w:rFonts w:asciiTheme="minorHAnsi" w:eastAsiaTheme="minorEastAsia" w:hAnsiTheme="minorHAnsi" w:cstheme="minorBidi"/>
          <w:color w:val="auto"/>
          <w:szCs w:val="22"/>
        </w:rPr>
      </w:pPr>
      <w:hyperlink w:anchor="_Toc134220999" w:history="1">
        <w:r w:rsidRPr="00B47E56">
          <w:rPr>
            <w:rStyle w:val="Hyperlink"/>
          </w:rPr>
          <w:t>Episode</w:t>
        </w:r>
        <w:r w:rsidRPr="00B47E56">
          <w:rPr>
            <w:rStyle w:val="Hyperlink"/>
            <w:spacing w:val="-11"/>
          </w:rPr>
          <w:t xml:space="preserve"> </w:t>
        </w:r>
        <w:r w:rsidRPr="00B47E56">
          <w:rPr>
            <w:rStyle w:val="Hyperlink"/>
          </w:rPr>
          <w:t>1:</w:t>
        </w:r>
        <w:r w:rsidRPr="00B47E56">
          <w:rPr>
            <w:rStyle w:val="Hyperlink"/>
            <w:spacing w:val="-11"/>
          </w:rPr>
          <w:t xml:space="preserve"> </w:t>
        </w:r>
        <w:r w:rsidRPr="00B47E56">
          <w:rPr>
            <w:rStyle w:val="Hyperlink"/>
          </w:rPr>
          <w:t>Undershooting</w:t>
        </w:r>
        <w:r w:rsidRPr="00B47E56">
          <w:rPr>
            <w:rStyle w:val="Hyperlink"/>
            <w:spacing w:val="-11"/>
          </w:rPr>
          <w:t xml:space="preserve"> </w:t>
        </w:r>
        <w:r w:rsidRPr="00B47E56">
          <w:rPr>
            <w:rStyle w:val="Hyperlink"/>
          </w:rPr>
          <w:t>the</w:t>
        </w:r>
        <w:r w:rsidRPr="00B47E56">
          <w:rPr>
            <w:rStyle w:val="Hyperlink"/>
            <w:spacing w:val="-11"/>
          </w:rPr>
          <w:t xml:space="preserve"> </w:t>
        </w:r>
        <w:r w:rsidRPr="00B47E56">
          <w:rPr>
            <w:rStyle w:val="Hyperlink"/>
          </w:rPr>
          <w:t>inflation</w:t>
        </w:r>
        <w:r w:rsidRPr="00B47E56">
          <w:rPr>
            <w:rStyle w:val="Hyperlink"/>
            <w:spacing w:val="-11"/>
          </w:rPr>
          <w:t xml:space="preserve"> </w:t>
        </w:r>
        <w:r w:rsidRPr="00B47E56">
          <w:rPr>
            <w:rStyle w:val="Hyperlink"/>
          </w:rPr>
          <w:t>target between 2016 and 2019</w:t>
        </w:r>
        <w:r>
          <w:rPr>
            <w:webHidden/>
          </w:rPr>
          <w:tab/>
        </w:r>
        <w:r>
          <w:rPr>
            <w:webHidden/>
          </w:rPr>
          <w:fldChar w:fldCharType="begin"/>
        </w:r>
        <w:r>
          <w:rPr>
            <w:webHidden/>
          </w:rPr>
          <w:instrText xml:space="preserve"> PAGEREF _Toc134220999 \h </w:instrText>
        </w:r>
        <w:r>
          <w:rPr>
            <w:webHidden/>
          </w:rPr>
        </w:r>
        <w:r>
          <w:rPr>
            <w:webHidden/>
          </w:rPr>
          <w:fldChar w:fldCharType="separate"/>
        </w:r>
        <w:r w:rsidR="00523E3C">
          <w:rPr>
            <w:webHidden/>
          </w:rPr>
          <w:t>32</w:t>
        </w:r>
        <w:r>
          <w:rPr>
            <w:webHidden/>
          </w:rPr>
          <w:fldChar w:fldCharType="end"/>
        </w:r>
      </w:hyperlink>
    </w:p>
    <w:p w14:paraId="1E837693" w14:textId="5CE8E9B5" w:rsidR="001117BB" w:rsidRDefault="001117BB">
      <w:pPr>
        <w:pStyle w:val="TOC2"/>
        <w:rPr>
          <w:rFonts w:asciiTheme="minorHAnsi" w:eastAsiaTheme="minorEastAsia" w:hAnsiTheme="minorHAnsi" w:cstheme="minorBidi"/>
          <w:color w:val="auto"/>
          <w:szCs w:val="22"/>
        </w:rPr>
      </w:pPr>
      <w:hyperlink w:anchor="_Toc134221000" w:history="1">
        <w:r w:rsidRPr="00B47E56">
          <w:rPr>
            <w:rStyle w:val="Hyperlink"/>
          </w:rPr>
          <w:t>Episode</w:t>
        </w:r>
        <w:r w:rsidRPr="00B47E56">
          <w:rPr>
            <w:rStyle w:val="Hyperlink"/>
            <w:spacing w:val="-18"/>
          </w:rPr>
          <w:t xml:space="preserve"> </w:t>
        </w:r>
        <w:r w:rsidRPr="00B47E56">
          <w:rPr>
            <w:rStyle w:val="Hyperlink"/>
          </w:rPr>
          <w:t>2:</w:t>
        </w:r>
        <w:r w:rsidRPr="00B47E56">
          <w:rPr>
            <w:rStyle w:val="Hyperlink"/>
            <w:spacing w:val="-16"/>
          </w:rPr>
          <w:t xml:space="preserve"> </w:t>
        </w:r>
        <w:r w:rsidRPr="00B47E56">
          <w:rPr>
            <w:rStyle w:val="Hyperlink"/>
          </w:rPr>
          <w:t>Using</w:t>
        </w:r>
        <w:r w:rsidRPr="00B47E56">
          <w:rPr>
            <w:rStyle w:val="Hyperlink"/>
            <w:spacing w:val="-16"/>
          </w:rPr>
          <w:t xml:space="preserve"> </w:t>
        </w:r>
        <w:r w:rsidRPr="00B47E56">
          <w:rPr>
            <w:rStyle w:val="Hyperlink"/>
          </w:rPr>
          <w:t>additional</w:t>
        </w:r>
        <w:r w:rsidRPr="00B47E56">
          <w:rPr>
            <w:rStyle w:val="Hyperlink"/>
            <w:spacing w:val="-16"/>
          </w:rPr>
          <w:t xml:space="preserve"> </w:t>
        </w:r>
        <w:r w:rsidRPr="00B47E56">
          <w:rPr>
            <w:rStyle w:val="Hyperlink"/>
          </w:rPr>
          <w:t>monetary</w:t>
        </w:r>
        <w:r w:rsidRPr="00B47E56">
          <w:rPr>
            <w:rStyle w:val="Hyperlink"/>
            <w:spacing w:val="-16"/>
          </w:rPr>
          <w:t xml:space="preserve"> </w:t>
        </w:r>
        <w:r w:rsidRPr="00B47E56">
          <w:rPr>
            <w:rStyle w:val="Hyperlink"/>
          </w:rPr>
          <w:t>policy</w:t>
        </w:r>
        <w:r w:rsidRPr="00B47E56">
          <w:rPr>
            <w:rStyle w:val="Hyperlink"/>
            <w:spacing w:val="-15"/>
          </w:rPr>
          <w:t xml:space="preserve"> </w:t>
        </w:r>
        <w:r w:rsidRPr="00B47E56">
          <w:rPr>
            <w:rStyle w:val="Hyperlink"/>
          </w:rPr>
          <w:t>tools to respond to the COVID-19 pandemic</w:t>
        </w:r>
        <w:r>
          <w:rPr>
            <w:webHidden/>
          </w:rPr>
          <w:tab/>
        </w:r>
        <w:r>
          <w:rPr>
            <w:webHidden/>
          </w:rPr>
          <w:fldChar w:fldCharType="begin"/>
        </w:r>
        <w:r>
          <w:rPr>
            <w:webHidden/>
          </w:rPr>
          <w:instrText xml:space="preserve"> PAGEREF _Toc134221000 \h </w:instrText>
        </w:r>
        <w:r>
          <w:rPr>
            <w:webHidden/>
          </w:rPr>
        </w:r>
        <w:r>
          <w:rPr>
            <w:webHidden/>
          </w:rPr>
          <w:fldChar w:fldCharType="separate"/>
        </w:r>
        <w:r w:rsidR="00523E3C">
          <w:rPr>
            <w:webHidden/>
          </w:rPr>
          <w:t>37</w:t>
        </w:r>
        <w:r>
          <w:rPr>
            <w:webHidden/>
          </w:rPr>
          <w:fldChar w:fldCharType="end"/>
        </w:r>
      </w:hyperlink>
    </w:p>
    <w:p w14:paraId="3468B62D" w14:textId="26719429" w:rsidR="001117BB" w:rsidRDefault="001117BB">
      <w:pPr>
        <w:pStyle w:val="TOC2"/>
        <w:rPr>
          <w:rFonts w:asciiTheme="minorHAnsi" w:eastAsiaTheme="minorEastAsia" w:hAnsiTheme="minorHAnsi" w:cstheme="minorBidi"/>
          <w:color w:val="auto"/>
          <w:szCs w:val="22"/>
        </w:rPr>
      </w:pPr>
      <w:hyperlink w:anchor="_Toc134221001" w:history="1">
        <w:r w:rsidRPr="00B47E56">
          <w:rPr>
            <w:rStyle w:val="Hyperlink"/>
          </w:rPr>
          <w:t>Episode 3: Overshooting the inflation target since 2021</w:t>
        </w:r>
        <w:r>
          <w:rPr>
            <w:webHidden/>
          </w:rPr>
          <w:tab/>
        </w:r>
        <w:r>
          <w:rPr>
            <w:webHidden/>
          </w:rPr>
          <w:fldChar w:fldCharType="begin"/>
        </w:r>
        <w:r>
          <w:rPr>
            <w:webHidden/>
          </w:rPr>
          <w:instrText xml:space="preserve"> PAGEREF _Toc134221001 \h </w:instrText>
        </w:r>
        <w:r>
          <w:rPr>
            <w:webHidden/>
          </w:rPr>
        </w:r>
        <w:r>
          <w:rPr>
            <w:webHidden/>
          </w:rPr>
          <w:fldChar w:fldCharType="separate"/>
        </w:r>
        <w:r w:rsidR="00523E3C">
          <w:rPr>
            <w:webHidden/>
          </w:rPr>
          <w:t>52</w:t>
        </w:r>
        <w:r>
          <w:rPr>
            <w:webHidden/>
          </w:rPr>
          <w:fldChar w:fldCharType="end"/>
        </w:r>
      </w:hyperlink>
    </w:p>
    <w:p w14:paraId="3021AED8" w14:textId="32E1F545" w:rsidR="001117BB" w:rsidRDefault="001117BB">
      <w:pPr>
        <w:pStyle w:val="TOC2"/>
        <w:rPr>
          <w:rFonts w:asciiTheme="minorHAnsi" w:eastAsiaTheme="minorEastAsia" w:hAnsiTheme="minorHAnsi" w:cstheme="minorBidi"/>
          <w:color w:val="auto"/>
          <w:szCs w:val="22"/>
        </w:rPr>
      </w:pPr>
      <w:hyperlink w:anchor="_Toc134221002" w:history="1">
        <w:r w:rsidRPr="00B47E56">
          <w:rPr>
            <w:rStyle w:val="Hyperlink"/>
          </w:rPr>
          <w:t>Communication</w:t>
        </w:r>
        <w:r>
          <w:rPr>
            <w:webHidden/>
          </w:rPr>
          <w:tab/>
        </w:r>
        <w:r>
          <w:rPr>
            <w:webHidden/>
          </w:rPr>
          <w:fldChar w:fldCharType="begin"/>
        </w:r>
        <w:r>
          <w:rPr>
            <w:webHidden/>
          </w:rPr>
          <w:instrText xml:space="preserve"> PAGEREF _Toc134221002 \h </w:instrText>
        </w:r>
        <w:r>
          <w:rPr>
            <w:webHidden/>
          </w:rPr>
        </w:r>
        <w:r>
          <w:rPr>
            <w:webHidden/>
          </w:rPr>
          <w:fldChar w:fldCharType="separate"/>
        </w:r>
        <w:r w:rsidR="00523E3C">
          <w:rPr>
            <w:webHidden/>
          </w:rPr>
          <w:t>56</w:t>
        </w:r>
        <w:r>
          <w:rPr>
            <w:webHidden/>
          </w:rPr>
          <w:fldChar w:fldCharType="end"/>
        </w:r>
      </w:hyperlink>
    </w:p>
    <w:p w14:paraId="173D6DC9" w14:textId="737C6928" w:rsidR="001117BB" w:rsidRDefault="001117BB">
      <w:pPr>
        <w:pStyle w:val="TOC2"/>
        <w:rPr>
          <w:rFonts w:asciiTheme="minorHAnsi" w:eastAsiaTheme="minorEastAsia" w:hAnsiTheme="minorHAnsi" w:cstheme="minorBidi"/>
          <w:color w:val="auto"/>
          <w:szCs w:val="22"/>
        </w:rPr>
      </w:pPr>
      <w:hyperlink w:anchor="_Toc134221003" w:history="1">
        <w:r w:rsidRPr="00B47E56">
          <w:rPr>
            <w:rStyle w:val="Hyperlink"/>
          </w:rPr>
          <w:t>Conclusions</w:t>
        </w:r>
        <w:r w:rsidRPr="00B47E56">
          <w:rPr>
            <w:rStyle w:val="Hyperlink"/>
            <w:spacing w:val="-17"/>
          </w:rPr>
          <w:t xml:space="preserve"> </w:t>
        </w:r>
        <w:r w:rsidRPr="00B47E56">
          <w:rPr>
            <w:rStyle w:val="Hyperlink"/>
          </w:rPr>
          <w:t>on</w:t>
        </w:r>
        <w:r w:rsidRPr="00B47E56">
          <w:rPr>
            <w:rStyle w:val="Hyperlink"/>
            <w:spacing w:val="-17"/>
          </w:rPr>
          <w:t xml:space="preserve"> </w:t>
        </w:r>
        <w:r w:rsidRPr="00B47E56">
          <w:rPr>
            <w:rStyle w:val="Hyperlink"/>
          </w:rPr>
          <w:t>past</w:t>
        </w:r>
        <w:r w:rsidRPr="00B47E56">
          <w:rPr>
            <w:rStyle w:val="Hyperlink"/>
            <w:spacing w:val="-17"/>
          </w:rPr>
          <w:t xml:space="preserve"> </w:t>
        </w:r>
        <w:r w:rsidRPr="00B47E56">
          <w:rPr>
            <w:rStyle w:val="Hyperlink"/>
          </w:rPr>
          <w:t>performance</w:t>
        </w:r>
        <w:r>
          <w:rPr>
            <w:webHidden/>
          </w:rPr>
          <w:tab/>
        </w:r>
        <w:r>
          <w:rPr>
            <w:webHidden/>
          </w:rPr>
          <w:fldChar w:fldCharType="begin"/>
        </w:r>
        <w:r>
          <w:rPr>
            <w:webHidden/>
          </w:rPr>
          <w:instrText xml:space="preserve"> PAGEREF _Toc134221003 \h </w:instrText>
        </w:r>
        <w:r>
          <w:rPr>
            <w:webHidden/>
          </w:rPr>
        </w:r>
        <w:r>
          <w:rPr>
            <w:webHidden/>
          </w:rPr>
          <w:fldChar w:fldCharType="separate"/>
        </w:r>
        <w:r w:rsidR="00523E3C">
          <w:rPr>
            <w:webHidden/>
          </w:rPr>
          <w:t>58</w:t>
        </w:r>
        <w:r>
          <w:rPr>
            <w:webHidden/>
          </w:rPr>
          <w:fldChar w:fldCharType="end"/>
        </w:r>
      </w:hyperlink>
    </w:p>
    <w:p w14:paraId="2AA97F47" w14:textId="20CB6B7A" w:rsidR="001117BB" w:rsidRDefault="001117BB">
      <w:pPr>
        <w:pStyle w:val="TOC1"/>
        <w:rPr>
          <w:rFonts w:asciiTheme="minorHAnsi" w:eastAsiaTheme="minorEastAsia" w:hAnsiTheme="minorHAnsi" w:cstheme="minorBidi"/>
          <w:b w:val="0"/>
          <w:color w:val="auto"/>
        </w:rPr>
      </w:pPr>
      <w:hyperlink w:anchor="_Toc134221004" w:history="1">
        <w:r w:rsidRPr="00B47E56">
          <w:rPr>
            <w:rStyle w:val="Hyperlink"/>
          </w:rPr>
          <w:t>Chapter</w:t>
        </w:r>
        <w:r w:rsidRPr="00B47E56">
          <w:rPr>
            <w:rStyle w:val="Hyperlink"/>
            <w:spacing w:val="-25"/>
          </w:rPr>
          <w:t xml:space="preserve"> </w:t>
        </w:r>
        <w:r w:rsidRPr="00B47E56">
          <w:rPr>
            <w:rStyle w:val="Hyperlink"/>
          </w:rPr>
          <w:t>2:</w:t>
        </w:r>
        <w:r w:rsidRPr="00B47E56">
          <w:rPr>
            <w:rStyle w:val="Hyperlink"/>
            <w:spacing w:val="-25"/>
          </w:rPr>
          <w:t xml:space="preserve"> </w:t>
        </w:r>
        <w:r w:rsidRPr="00B47E56">
          <w:rPr>
            <w:rStyle w:val="Hyperlink"/>
          </w:rPr>
          <w:t>A</w:t>
        </w:r>
        <w:r w:rsidRPr="00B47E56">
          <w:rPr>
            <w:rStyle w:val="Hyperlink"/>
            <w:spacing w:val="-25"/>
          </w:rPr>
          <w:t xml:space="preserve"> </w:t>
        </w:r>
        <w:r w:rsidRPr="00B47E56">
          <w:rPr>
            <w:rStyle w:val="Hyperlink"/>
          </w:rPr>
          <w:t>clearer</w:t>
        </w:r>
        <w:r w:rsidRPr="00B47E56">
          <w:rPr>
            <w:rStyle w:val="Hyperlink"/>
            <w:spacing w:val="-25"/>
          </w:rPr>
          <w:t xml:space="preserve"> </w:t>
        </w:r>
        <w:r w:rsidRPr="00B47E56">
          <w:rPr>
            <w:rStyle w:val="Hyperlink"/>
          </w:rPr>
          <w:t>monetary policy framework</w:t>
        </w:r>
        <w:r>
          <w:rPr>
            <w:webHidden/>
          </w:rPr>
          <w:tab/>
        </w:r>
        <w:r>
          <w:rPr>
            <w:webHidden/>
          </w:rPr>
          <w:fldChar w:fldCharType="begin"/>
        </w:r>
        <w:r>
          <w:rPr>
            <w:webHidden/>
          </w:rPr>
          <w:instrText xml:space="preserve"> PAGEREF _Toc134221004 \h </w:instrText>
        </w:r>
        <w:r>
          <w:rPr>
            <w:webHidden/>
          </w:rPr>
        </w:r>
        <w:r>
          <w:rPr>
            <w:webHidden/>
          </w:rPr>
          <w:fldChar w:fldCharType="separate"/>
        </w:r>
        <w:r w:rsidR="00523E3C">
          <w:rPr>
            <w:webHidden/>
          </w:rPr>
          <w:t>61</w:t>
        </w:r>
        <w:r>
          <w:rPr>
            <w:webHidden/>
          </w:rPr>
          <w:fldChar w:fldCharType="end"/>
        </w:r>
      </w:hyperlink>
    </w:p>
    <w:p w14:paraId="438496AB" w14:textId="52A9672B" w:rsidR="001117BB" w:rsidRDefault="001117BB">
      <w:pPr>
        <w:pStyle w:val="TOC2"/>
        <w:rPr>
          <w:rFonts w:asciiTheme="minorHAnsi" w:eastAsiaTheme="minorEastAsia" w:hAnsiTheme="minorHAnsi" w:cstheme="minorBidi"/>
          <w:color w:val="auto"/>
          <w:szCs w:val="22"/>
        </w:rPr>
      </w:pPr>
      <w:hyperlink w:anchor="_Toc134221005" w:history="1">
        <w:r w:rsidRPr="00B47E56">
          <w:rPr>
            <w:rStyle w:val="Hyperlink"/>
          </w:rPr>
          <w:t>Recommendations in this chapter</w:t>
        </w:r>
        <w:r>
          <w:rPr>
            <w:webHidden/>
          </w:rPr>
          <w:tab/>
        </w:r>
        <w:r>
          <w:rPr>
            <w:webHidden/>
          </w:rPr>
          <w:fldChar w:fldCharType="begin"/>
        </w:r>
        <w:r>
          <w:rPr>
            <w:webHidden/>
          </w:rPr>
          <w:instrText xml:space="preserve"> PAGEREF _Toc134221005 \h </w:instrText>
        </w:r>
        <w:r>
          <w:rPr>
            <w:webHidden/>
          </w:rPr>
        </w:r>
        <w:r>
          <w:rPr>
            <w:webHidden/>
          </w:rPr>
          <w:fldChar w:fldCharType="separate"/>
        </w:r>
        <w:r w:rsidR="00523E3C">
          <w:rPr>
            <w:webHidden/>
          </w:rPr>
          <w:t>63</w:t>
        </w:r>
        <w:r>
          <w:rPr>
            <w:webHidden/>
          </w:rPr>
          <w:fldChar w:fldCharType="end"/>
        </w:r>
      </w:hyperlink>
    </w:p>
    <w:p w14:paraId="5094E9B9" w14:textId="1E724880" w:rsidR="001117BB" w:rsidRDefault="001117BB">
      <w:pPr>
        <w:pStyle w:val="TOC2"/>
        <w:rPr>
          <w:rFonts w:asciiTheme="minorHAnsi" w:eastAsiaTheme="minorEastAsia" w:hAnsiTheme="minorHAnsi" w:cstheme="minorBidi"/>
          <w:color w:val="auto"/>
          <w:szCs w:val="22"/>
        </w:rPr>
      </w:pPr>
      <w:hyperlink w:anchor="_Toc134221006" w:history="1">
        <w:r w:rsidRPr="00B47E56">
          <w:rPr>
            <w:rStyle w:val="Hyperlink"/>
          </w:rPr>
          <w:t>Monetary policy arrangements in Australia and their context</w:t>
        </w:r>
        <w:r>
          <w:rPr>
            <w:webHidden/>
          </w:rPr>
          <w:tab/>
        </w:r>
        <w:r>
          <w:rPr>
            <w:webHidden/>
          </w:rPr>
          <w:fldChar w:fldCharType="begin"/>
        </w:r>
        <w:r>
          <w:rPr>
            <w:webHidden/>
          </w:rPr>
          <w:instrText xml:space="preserve"> PAGEREF _Toc134221006 \h </w:instrText>
        </w:r>
        <w:r>
          <w:rPr>
            <w:webHidden/>
          </w:rPr>
        </w:r>
        <w:r>
          <w:rPr>
            <w:webHidden/>
          </w:rPr>
          <w:fldChar w:fldCharType="separate"/>
        </w:r>
        <w:r w:rsidR="00523E3C">
          <w:rPr>
            <w:webHidden/>
          </w:rPr>
          <w:t>66</w:t>
        </w:r>
        <w:r>
          <w:rPr>
            <w:webHidden/>
          </w:rPr>
          <w:fldChar w:fldCharType="end"/>
        </w:r>
      </w:hyperlink>
    </w:p>
    <w:p w14:paraId="7BD7429C" w14:textId="318DDC4B" w:rsidR="001117BB" w:rsidRDefault="001117BB">
      <w:pPr>
        <w:pStyle w:val="TOC2"/>
        <w:rPr>
          <w:rFonts w:asciiTheme="minorHAnsi" w:eastAsiaTheme="minorEastAsia" w:hAnsiTheme="minorHAnsi" w:cstheme="minorBidi"/>
          <w:color w:val="auto"/>
          <w:szCs w:val="22"/>
        </w:rPr>
      </w:pPr>
      <w:hyperlink w:anchor="_Toc134221007" w:history="1">
        <w:r w:rsidRPr="00B47E56">
          <w:rPr>
            <w:rStyle w:val="Hyperlink"/>
          </w:rPr>
          <w:t>Recommendation</w:t>
        </w:r>
        <w:r w:rsidRPr="00B47E56">
          <w:rPr>
            <w:rStyle w:val="Hyperlink"/>
            <w:spacing w:val="-10"/>
          </w:rPr>
          <w:t xml:space="preserve"> </w:t>
        </w:r>
        <w:r w:rsidRPr="00B47E56">
          <w:rPr>
            <w:rStyle w:val="Hyperlink"/>
            <w:spacing w:val="-4"/>
          </w:rPr>
          <w:t>1:</w:t>
        </w:r>
        <w:r w:rsidRPr="00B47E56">
          <w:rPr>
            <w:rStyle w:val="Hyperlink"/>
            <w:spacing w:val="-10"/>
          </w:rPr>
          <w:t xml:space="preserve"> </w:t>
        </w:r>
        <w:r w:rsidRPr="00B47E56">
          <w:rPr>
            <w:rStyle w:val="Hyperlink"/>
            <w:spacing w:val="-4"/>
          </w:rPr>
          <w:t>Affirm</w:t>
        </w:r>
        <w:r w:rsidRPr="00B47E56">
          <w:rPr>
            <w:rStyle w:val="Hyperlink"/>
            <w:spacing w:val="-10"/>
          </w:rPr>
          <w:t xml:space="preserve"> </w:t>
        </w:r>
        <w:r w:rsidRPr="00B47E56">
          <w:rPr>
            <w:rStyle w:val="Hyperlink"/>
            <w:spacing w:val="-4"/>
          </w:rPr>
          <w:t>the</w:t>
        </w:r>
        <w:r w:rsidRPr="00B47E56">
          <w:rPr>
            <w:rStyle w:val="Hyperlink"/>
            <w:spacing w:val="-10"/>
          </w:rPr>
          <w:t xml:space="preserve"> </w:t>
        </w:r>
        <w:r w:rsidRPr="00B47E56">
          <w:rPr>
            <w:rStyle w:val="Hyperlink"/>
            <w:spacing w:val="-4"/>
          </w:rPr>
          <w:t>RBA’s</w:t>
        </w:r>
        <w:r w:rsidRPr="00B47E56">
          <w:rPr>
            <w:rStyle w:val="Hyperlink"/>
            <w:spacing w:val="-10"/>
          </w:rPr>
          <w:t xml:space="preserve"> </w:t>
        </w:r>
        <w:r w:rsidRPr="00B47E56">
          <w:rPr>
            <w:rStyle w:val="Hyperlink"/>
            <w:spacing w:val="-4"/>
          </w:rPr>
          <w:t xml:space="preserve">independence </w:t>
        </w:r>
        <w:r w:rsidRPr="00B47E56">
          <w:rPr>
            <w:rStyle w:val="Hyperlink"/>
          </w:rPr>
          <w:t>and</w:t>
        </w:r>
        <w:r w:rsidRPr="00B47E56">
          <w:rPr>
            <w:rStyle w:val="Hyperlink"/>
            <w:spacing w:val="-21"/>
          </w:rPr>
          <w:t xml:space="preserve"> </w:t>
        </w:r>
        <w:r w:rsidRPr="00B47E56">
          <w:rPr>
            <w:rStyle w:val="Hyperlink"/>
          </w:rPr>
          <w:t>clarify</w:t>
        </w:r>
        <w:r w:rsidRPr="00B47E56">
          <w:rPr>
            <w:rStyle w:val="Hyperlink"/>
            <w:spacing w:val="-21"/>
          </w:rPr>
          <w:t xml:space="preserve"> </w:t>
        </w:r>
        <w:r w:rsidRPr="00B47E56">
          <w:rPr>
            <w:rStyle w:val="Hyperlink"/>
          </w:rPr>
          <w:t>its</w:t>
        </w:r>
        <w:r w:rsidRPr="00B47E56">
          <w:rPr>
            <w:rStyle w:val="Hyperlink"/>
            <w:spacing w:val="-21"/>
          </w:rPr>
          <w:t xml:space="preserve"> </w:t>
        </w:r>
        <w:r w:rsidRPr="00B47E56">
          <w:rPr>
            <w:rStyle w:val="Hyperlink"/>
          </w:rPr>
          <w:t>statutory</w:t>
        </w:r>
        <w:r w:rsidRPr="00B47E56">
          <w:rPr>
            <w:rStyle w:val="Hyperlink"/>
            <w:spacing w:val="-21"/>
          </w:rPr>
          <w:t xml:space="preserve"> </w:t>
        </w:r>
        <w:r w:rsidRPr="00B47E56">
          <w:rPr>
            <w:rStyle w:val="Hyperlink"/>
          </w:rPr>
          <w:t>monetary</w:t>
        </w:r>
        <w:r w:rsidRPr="00B47E56">
          <w:rPr>
            <w:rStyle w:val="Hyperlink"/>
            <w:spacing w:val="-20"/>
          </w:rPr>
          <w:t xml:space="preserve"> </w:t>
        </w:r>
        <w:r w:rsidRPr="00B47E56">
          <w:rPr>
            <w:rStyle w:val="Hyperlink"/>
          </w:rPr>
          <w:t>policy</w:t>
        </w:r>
        <w:r w:rsidRPr="00B47E56">
          <w:rPr>
            <w:rStyle w:val="Hyperlink"/>
            <w:spacing w:val="-21"/>
          </w:rPr>
          <w:t xml:space="preserve"> </w:t>
        </w:r>
        <w:r w:rsidRPr="00B47E56">
          <w:rPr>
            <w:rStyle w:val="Hyperlink"/>
          </w:rPr>
          <w:t>objectives</w:t>
        </w:r>
        <w:r>
          <w:rPr>
            <w:webHidden/>
          </w:rPr>
          <w:tab/>
        </w:r>
        <w:r>
          <w:rPr>
            <w:webHidden/>
          </w:rPr>
          <w:fldChar w:fldCharType="begin"/>
        </w:r>
        <w:r>
          <w:rPr>
            <w:webHidden/>
          </w:rPr>
          <w:instrText xml:space="preserve"> PAGEREF _Toc134221007 \h </w:instrText>
        </w:r>
        <w:r>
          <w:rPr>
            <w:webHidden/>
          </w:rPr>
        </w:r>
        <w:r>
          <w:rPr>
            <w:webHidden/>
          </w:rPr>
          <w:fldChar w:fldCharType="separate"/>
        </w:r>
        <w:r w:rsidR="00523E3C">
          <w:rPr>
            <w:webHidden/>
          </w:rPr>
          <w:t>73</w:t>
        </w:r>
        <w:r>
          <w:rPr>
            <w:webHidden/>
          </w:rPr>
          <w:fldChar w:fldCharType="end"/>
        </w:r>
      </w:hyperlink>
    </w:p>
    <w:p w14:paraId="0C2343CD" w14:textId="4C506873" w:rsidR="001117BB" w:rsidRDefault="001117BB">
      <w:pPr>
        <w:pStyle w:val="TOC2"/>
        <w:rPr>
          <w:rFonts w:asciiTheme="minorHAnsi" w:eastAsiaTheme="minorEastAsia" w:hAnsiTheme="minorHAnsi" w:cstheme="minorBidi"/>
          <w:color w:val="auto"/>
          <w:szCs w:val="22"/>
        </w:rPr>
      </w:pPr>
      <w:hyperlink w:anchor="_Toc134221008" w:history="1">
        <w:r w:rsidRPr="00B47E56">
          <w:rPr>
            <w:rStyle w:val="Hyperlink"/>
          </w:rPr>
          <w:t>Recommendation</w:t>
        </w:r>
        <w:r w:rsidRPr="00B47E56">
          <w:rPr>
            <w:rStyle w:val="Hyperlink"/>
            <w:spacing w:val="-5"/>
          </w:rPr>
          <w:t xml:space="preserve"> </w:t>
        </w:r>
        <w:r w:rsidRPr="00B47E56">
          <w:rPr>
            <w:rStyle w:val="Hyperlink"/>
          </w:rPr>
          <w:t>2:</w:t>
        </w:r>
        <w:r w:rsidRPr="00B47E56">
          <w:rPr>
            <w:rStyle w:val="Hyperlink"/>
            <w:spacing w:val="-5"/>
          </w:rPr>
          <w:t xml:space="preserve"> </w:t>
        </w:r>
        <w:r w:rsidRPr="00B47E56">
          <w:rPr>
            <w:rStyle w:val="Hyperlink"/>
          </w:rPr>
          <w:t>Keep</w:t>
        </w:r>
        <w:r w:rsidRPr="00B47E56">
          <w:rPr>
            <w:rStyle w:val="Hyperlink"/>
            <w:spacing w:val="-5"/>
          </w:rPr>
          <w:t xml:space="preserve"> </w:t>
        </w:r>
        <w:r w:rsidRPr="00B47E56">
          <w:rPr>
            <w:rStyle w:val="Hyperlink"/>
          </w:rPr>
          <w:t>a</w:t>
        </w:r>
        <w:r w:rsidRPr="00B47E56">
          <w:rPr>
            <w:rStyle w:val="Hyperlink"/>
            <w:spacing w:val="-5"/>
          </w:rPr>
          <w:t xml:space="preserve"> </w:t>
        </w:r>
        <w:r w:rsidRPr="00B47E56">
          <w:rPr>
            <w:rStyle w:val="Hyperlink"/>
          </w:rPr>
          <w:t>flexible</w:t>
        </w:r>
        <w:r w:rsidRPr="00B47E56">
          <w:rPr>
            <w:rStyle w:val="Hyperlink"/>
            <w:spacing w:val="-5"/>
          </w:rPr>
          <w:t xml:space="preserve"> </w:t>
        </w:r>
        <w:r w:rsidRPr="00B47E56">
          <w:rPr>
            <w:rStyle w:val="Hyperlink"/>
          </w:rPr>
          <w:t>inflation targeting</w:t>
        </w:r>
        <w:r w:rsidRPr="00B47E56">
          <w:rPr>
            <w:rStyle w:val="Hyperlink"/>
            <w:spacing w:val="-19"/>
          </w:rPr>
          <w:t xml:space="preserve"> </w:t>
        </w:r>
        <w:r w:rsidRPr="00B47E56">
          <w:rPr>
            <w:rStyle w:val="Hyperlink"/>
          </w:rPr>
          <w:t>framework</w:t>
        </w:r>
        <w:r w:rsidRPr="00B47E56">
          <w:rPr>
            <w:rStyle w:val="Hyperlink"/>
            <w:spacing w:val="-19"/>
          </w:rPr>
          <w:t xml:space="preserve"> </w:t>
        </w:r>
        <w:r w:rsidRPr="00B47E56">
          <w:rPr>
            <w:rStyle w:val="Hyperlink"/>
          </w:rPr>
          <w:t>but</w:t>
        </w:r>
        <w:r w:rsidRPr="00B47E56">
          <w:rPr>
            <w:rStyle w:val="Hyperlink"/>
            <w:spacing w:val="-19"/>
          </w:rPr>
          <w:t xml:space="preserve"> </w:t>
        </w:r>
        <w:r w:rsidRPr="00B47E56">
          <w:rPr>
            <w:rStyle w:val="Hyperlink"/>
          </w:rPr>
          <w:t>clarify</w:t>
        </w:r>
        <w:r w:rsidRPr="00B47E56">
          <w:rPr>
            <w:rStyle w:val="Hyperlink"/>
            <w:spacing w:val="-19"/>
          </w:rPr>
          <w:t xml:space="preserve"> </w:t>
        </w:r>
        <w:r w:rsidRPr="00B47E56">
          <w:rPr>
            <w:rStyle w:val="Hyperlink"/>
          </w:rPr>
          <w:t>how</w:t>
        </w:r>
        <w:r w:rsidRPr="00B47E56">
          <w:rPr>
            <w:rStyle w:val="Hyperlink"/>
            <w:spacing w:val="-18"/>
          </w:rPr>
          <w:t xml:space="preserve"> </w:t>
        </w:r>
        <w:r w:rsidRPr="00B47E56">
          <w:rPr>
            <w:rStyle w:val="Hyperlink"/>
          </w:rPr>
          <w:t>it</w:t>
        </w:r>
        <w:r w:rsidRPr="00B47E56">
          <w:rPr>
            <w:rStyle w:val="Hyperlink"/>
            <w:spacing w:val="-19"/>
          </w:rPr>
          <w:t xml:space="preserve"> </w:t>
        </w:r>
        <w:r w:rsidRPr="00B47E56">
          <w:rPr>
            <w:rStyle w:val="Hyperlink"/>
          </w:rPr>
          <w:t>operates</w:t>
        </w:r>
        <w:r>
          <w:rPr>
            <w:webHidden/>
          </w:rPr>
          <w:tab/>
        </w:r>
        <w:r>
          <w:rPr>
            <w:webHidden/>
          </w:rPr>
          <w:fldChar w:fldCharType="begin"/>
        </w:r>
        <w:r>
          <w:rPr>
            <w:webHidden/>
          </w:rPr>
          <w:instrText xml:space="preserve"> PAGEREF _Toc134221008 \h </w:instrText>
        </w:r>
        <w:r>
          <w:rPr>
            <w:webHidden/>
          </w:rPr>
        </w:r>
        <w:r>
          <w:rPr>
            <w:webHidden/>
          </w:rPr>
          <w:fldChar w:fldCharType="separate"/>
        </w:r>
        <w:r w:rsidR="00523E3C">
          <w:rPr>
            <w:webHidden/>
          </w:rPr>
          <w:t>83</w:t>
        </w:r>
        <w:r>
          <w:rPr>
            <w:webHidden/>
          </w:rPr>
          <w:fldChar w:fldCharType="end"/>
        </w:r>
      </w:hyperlink>
    </w:p>
    <w:p w14:paraId="3FECBCF4" w14:textId="4E898C02" w:rsidR="001117BB" w:rsidRDefault="001117BB">
      <w:pPr>
        <w:pStyle w:val="TOC2"/>
        <w:rPr>
          <w:rFonts w:asciiTheme="minorHAnsi" w:eastAsiaTheme="minorEastAsia" w:hAnsiTheme="minorHAnsi" w:cstheme="minorBidi"/>
          <w:color w:val="auto"/>
          <w:szCs w:val="22"/>
        </w:rPr>
      </w:pPr>
      <w:hyperlink w:anchor="_Toc134221009" w:history="1">
        <w:r w:rsidRPr="00B47E56">
          <w:rPr>
            <w:rStyle w:val="Hyperlink"/>
          </w:rPr>
          <w:t>Recommendation 3: Promote a better understanding of the relative roles of fiscal and monetary policy</w:t>
        </w:r>
        <w:r>
          <w:rPr>
            <w:webHidden/>
          </w:rPr>
          <w:tab/>
        </w:r>
        <w:r>
          <w:rPr>
            <w:webHidden/>
          </w:rPr>
          <w:fldChar w:fldCharType="begin"/>
        </w:r>
        <w:r>
          <w:rPr>
            <w:webHidden/>
          </w:rPr>
          <w:instrText xml:space="preserve"> PAGEREF _Toc134221009 \h </w:instrText>
        </w:r>
        <w:r>
          <w:rPr>
            <w:webHidden/>
          </w:rPr>
        </w:r>
        <w:r>
          <w:rPr>
            <w:webHidden/>
          </w:rPr>
          <w:fldChar w:fldCharType="separate"/>
        </w:r>
        <w:r w:rsidR="00523E3C">
          <w:rPr>
            <w:webHidden/>
          </w:rPr>
          <w:t>89</w:t>
        </w:r>
        <w:r>
          <w:rPr>
            <w:webHidden/>
          </w:rPr>
          <w:fldChar w:fldCharType="end"/>
        </w:r>
      </w:hyperlink>
    </w:p>
    <w:p w14:paraId="7819C04B" w14:textId="0B0DFBB1" w:rsidR="001117BB" w:rsidRDefault="001117BB">
      <w:pPr>
        <w:pStyle w:val="TOC2"/>
        <w:rPr>
          <w:rFonts w:asciiTheme="minorHAnsi" w:eastAsiaTheme="minorEastAsia" w:hAnsiTheme="minorHAnsi" w:cstheme="minorBidi"/>
          <w:color w:val="auto"/>
          <w:szCs w:val="22"/>
        </w:rPr>
      </w:pPr>
      <w:hyperlink w:anchor="_Toc134221010" w:history="1">
        <w:r w:rsidRPr="00B47E56">
          <w:rPr>
            <w:rStyle w:val="Hyperlink"/>
          </w:rPr>
          <w:t>Recommendation</w:t>
        </w:r>
        <w:r w:rsidRPr="00B47E56">
          <w:rPr>
            <w:rStyle w:val="Hyperlink"/>
            <w:spacing w:val="-11"/>
          </w:rPr>
          <w:t xml:space="preserve"> </w:t>
        </w:r>
        <w:r w:rsidRPr="00B47E56">
          <w:rPr>
            <w:rStyle w:val="Hyperlink"/>
          </w:rPr>
          <w:t>4:</w:t>
        </w:r>
        <w:r w:rsidRPr="00B47E56">
          <w:rPr>
            <w:rStyle w:val="Hyperlink"/>
            <w:spacing w:val="-11"/>
          </w:rPr>
          <w:t xml:space="preserve"> </w:t>
        </w:r>
        <w:r w:rsidRPr="00B47E56">
          <w:rPr>
            <w:rStyle w:val="Hyperlink"/>
          </w:rPr>
          <w:t>Institute</w:t>
        </w:r>
        <w:r w:rsidRPr="00B47E56">
          <w:rPr>
            <w:rStyle w:val="Hyperlink"/>
            <w:spacing w:val="-11"/>
          </w:rPr>
          <w:t xml:space="preserve"> </w:t>
        </w:r>
        <w:r w:rsidRPr="00B47E56">
          <w:rPr>
            <w:rStyle w:val="Hyperlink"/>
          </w:rPr>
          <w:t>regular</w:t>
        </w:r>
        <w:r w:rsidRPr="00B47E56">
          <w:rPr>
            <w:rStyle w:val="Hyperlink"/>
            <w:spacing w:val="-11"/>
          </w:rPr>
          <w:t xml:space="preserve"> </w:t>
        </w:r>
        <w:r w:rsidRPr="00B47E56">
          <w:rPr>
            <w:rStyle w:val="Hyperlink"/>
          </w:rPr>
          <w:t>reviews</w:t>
        </w:r>
        <w:r w:rsidRPr="00B47E56">
          <w:rPr>
            <w:rStyle w:val="Hyperlink"/>
            <w:spacing w:val="-11"/>
          </w:rPr>
          <w:t xml:space="preserve"> </w:t>
        </w:r>
        <w:r w:rsidRPr="00B47E56">
          <w:rPr>
            <w:rStyle w:val="Hyperlink"/>
          </w:rPr>
          <w:t>of</w:t>
        </w:r>
        <w:r w:rsidRPr="00B47E56">
          <w:rPr>
            <w:rStyle w:val="Hyperlink"/>
            <w:spacing w:val="-11"/>
          </w:rPr>
          <w:t xml:space="preserve"> </w:t>
        </w:r>
        <w:r w:rsidRPr="00B47E56">
          <w:rPr>
            <w:rStyle w:val="Hyperlink"/>
          </w:rPr>
          <w:t>the monetary policy framework and tools</w:t>
        </w:r>
        <w:r>
          <w:rPr>
            <w:webHidden/>
          </w:rPr>
          <w:tab/>
        </w:r>
        <w:r>
          <w:rPr>
            <w:webHidden/>
          </w:rPr>
          <w:fldChar w:fldCharType="begin"/>
        </w:r>
        <w:r>
          <w:rPr>
            <w:webHidden/>
          </w:rPr>
          <w:instrText xml:space="preserve"> PAGEREF _Toc134221010 \h </w:instrText>
        </w:r>
        <w:r>
          <w:rPr>
            <w:webHidden/>
          </w:rPr>
        </w:r>
        <w:r>
          <w:rPr>
            <w:webHidden/>
          </w:rPr>
          <w:fldChar w:fldCharType="separate"/>
        </w:r>
        <w:r w:rsidR="00523E3C">
          <w:rPr>
            <w:webHidden/>
          </w:rPr>
          <w:t>93</w:t>
        </w:r>
        <w:r>
          <w:rPr>
            <w:webHidden/>
          </w:rPr>
          <w:fldChar w:fldCharType="end"/>
        </w:r>
      </w:hyperlink>
    </w:p>
    <w:p w14:paraId="0EF2ED6B" w14:textId="0E82DEFB" w:rsidR="001117BB" w:rsidRDefault="001117BB">
      <w:pPr>
        <w:pStyle w:val="TOC2"/>
        <w:rPr>
          <w:rFonts w:asciiTheme="minorHAnsi" w:eastAsiaTheme="minorEastAsia" w:hAnsiTheme="minorHAnsi" w:cstheme="minorBidi"/>
          <w:color w:val="auto"/>
          <w:szCs w:val="22"/>
        </w:rPr>
      </w:pPr>
      <w:hyperlink w:anchor="_Toc134221011" w:history="1">
        <w:r w:rsidRPr="00B47E56">
          <w:rPr>
            <w:rStyle w:val="Hyperlink"/>
          </w:rPr>
          <w:t>Recommendation</w:t>
        </w:r>
        <w:r w:rsidRPr="00B47E56">
          <w:rPr>
            <w:rStyle w:val="Hyperlink"/>
            <w:spacing w:val="-14"/>
          </w:rPr>
          <w:t xml:space="preserve"> </w:t>
        </w:r>
        <w:r w:rsidRPr="00B47E56">
          <w:rPr>
            <w:rStyle w:val="Hyperlink"/>
          </w:rPr>
          <w:t>5:</w:t>
        </w:r>
        <w:r w:rsidRPr="00B47E56">
          <w:rPr>
            <w:rStyle w:val="Hyperlink"/>
            <w:spacing w:val="-14"/>
          </w:rPr>
          <w:t xml:space="preserve"> </w:t>
        </w:r>
        <w:r w:rsidRPr="00B47E56">
          <w:rPr>
            <w:rStyle w:val="Hyperlink"/>
          </w:rPr>
          <w:t>Legislate</w:t>
        </w:r>
        <w:r w:rsidRPr="00B47E56">
          <w:rPr>
            <w:rStyle w:val="Hyperlink"/>
            <w:spacing w:val="-14"/>
          </w:rPr>
          <w:t xml:space="preserve"> </w:t>
        </w:r>
        <w:r w:rsidRPr="00B47E56">
          <w:rPr>
            <w:rStyle w:val="Hyperlink"/>
          </w:rPr>
          <w:t>the</w:t>
        </w:r>
        <w:r w:rsidRPr="00B47E56">
          <w:rPr>
            <w:rStyle w:val="Hyperlink"/>
            <w:spacing w:val="-14"/>
          </w:rPr>
          <w:t xml:space="preserve"> </w:t>
        </w:r>
        <w:r w:rsidRPr="00B47E56">
          <w:rPr>
            <w:rStyle w:val="Hyperlink"/>
          </w:rPr>
          <w:t>RBA’s</w:t>
        </w:r>
        <w:r w:rsidRPr="00B47E56">
          <w:rPr>
            <w:rStyle w:val="Hyperlink"/>
            <w:spacing w:val="-14"/>
          </w:rPr>
          <w:t xml:space="preserve"> </w:t>
        </w:r>
        <w:r w:rsidRPr="00B47E56">
          <w:rPr>
            <w:rStyle w:val="Hyperlink"/>
          </w:rPr>
          <w:t>financial stability role</w:t>
        </w:r>
        <w:r>
          <w:rPr>
            <w:webHidden/>
          </w:rPr>
          <w:tab/>
        </w:r>
        <w:r>
          <w:rPr>
            <w:webHidden/>
          </w:rPr>
          <w:fldChar w:fldCharType="begin"/>
        </w:r>
        <w:r>
          <w:rPr>
            <w:webHidden/>
          </w:rPr>
          <w:instrText xml:space="preserve"> PAGEREF _Toc134221011 \h </w:instrText>
        </w:r>
        <w:r>
          <w:rPr>
            <w:webHidden/>
          </w:rPr>
        </w:r>
        <w:r>
          <w:rPr>
            <w:webHidden/>
          </w:rPr>
          <w:fldChar w:fldCharType="separate"/>
        </w:r>
        <w:r w:rsidR="00523E3C">
          <w:rPr>
            <w:webHidden/>
          </w:rPr>
          <w:t>94</w:t>
        </w:r>
        <w:r>
          <w:rPr>
            <w:webHidden/>
          </w:rPr>
          <w:fldChar w:fldCharType="end"/>
        </w:r>
      </w:hyperlink>
    </w:p>
    <w:p w14:paraId="188AD234" w14:textId="17AEB1AF" w:rsidR="001117BB" w:rsidRDefault="001117BB">
      <w:pPr>
        <w:pStyle w:val="TOC2"/>
        <w:rPr>
          <w:rFonts w:asciiTheme="minorHAnsi" w:eastAsiaTheme="minorEastAsia" w:hAnsiTheme="minorHAnsi" w:cstheme="minorBidi"/>
          <w:color w:val="auto"/>
          <w:szCs w:val="22"/>
        </w:rPr>
      </w:pPr>
      <w:hyperlink w:anchor="_Toc134221012" w:history="1">
        <w:r w:rsidRPr="00B47E56">
          <w:rPr>
            <w:rStyle w:val="Hyperlink"/>
          </w:rPr>
          <w:t>Recommendation 6: Reinforce cooperation arrangements for promoting financial stability</w:t>
        </w:r>
        <w:r>
          <w:rPr>
            <w:webHidden/>
          </w:rPr>
          <w:tab/>
        </w:r>
        <w:r>
          <w:rPr>
            <w:webHidden/>
          </w:rPr>
          <w:fldChar w:fldCharType="begin"/>
        </w:r>
        <w:r>
          <w:rPr>
            <w:webHidden/>
          </w:rPr>
          <w:instrText xml:space="preserve"> PAGEREF _Toc134221012 \h </w:instrText>
        </w:r>
        <w:r>
          <w:rPr>
            <w:webHidden/>
          </w:rPr>
        </w:r>
        <w:r>
          <w:rPr>
            <w:webHidden/>
          </w:rPr>
          <w:fldChar w:fldCharType="separate"/>
        </w:r>
        <w:r w:rsidR="00523E3C">
          <w:rPr>
            <w:webHidden/>
          </w:rPr>
          <w:t>95</w:t>
        </w:r>
        <w:r>
          <w:rPr>
            <w:webHidden/>
          </w:rPr>
          <w:fldChar w:fldCharType="end"/>
        </w:r>
      </w:hyperlink>
    </w:p>
    <w:p w14:paraId="20AECE70" w14:textId="5FF1ADFD" w:rsidR="001117BB" w:rsidRDefault="001117BB">
      <w:pPr>
        <w:pStyle w:val="TOC2"/>
        <w:rPr>
          <w:rFonts w:asciiTheme="minorHAnsi" w:eastAsiaTheme="minorEastAsia" w:hAnsiTheme="minorHAnsi" w:cstheme="minorBidi"/>
          <w:color w:val="auto"/>
          <w:szCs w:val="22"/>
        </w:rPr>
      </w:pPr>
      <w:hyperlink w:anchor="_Toc134221013" w:history="1">
        <w:r w:rsidRPr="00B47E56">
          <w:rPr>
            <w:rStyle w:val="Hyperlink"/>
          </w:rPr>
          <w:t>Recommendation</w:t>
        </w:r>
        <w:r w:rsidRPr="00B47E56">
          <w:rPr>
            <w:rStyle w:val="Hyperlink"/>
            <w:spacing w:val="-12"/>
          </w:rPr>
          <w:t xml:space="preserve"> </w:t>
        </w:r>
        <w:r w:rsidRPr="00B47E56">
          <w:rPr>
            <w:rStyle w:val="Hyperlink"/>
            <w:spacing w:val="-4"/>
          </w:rPr>
          <w:t>7:</w:t>
        </w:r>
        <w:r w:rsidRPr="00B47E56">
          <w:rPr>
            <w:rStyle w:val="Hyperlink"/>
            <w:spacing w:val="-12"/>
          </w:rPr>
          <w:t xml:space="preserve"> </w:t>
        </w:r>
        <w:r w:rsidRPr="00B47E56">
          <w:rPr>
            <w:rStyle w:val="Hyperlink"/>
            <w:spacing w:val="-4"/>
          </w:rPr>
          <w:t>The</w:t>
        </w:r>
        <w:r w:rsidRPr="00B47E56">
          <w:rPr>
            <w:rStyle w:val="Hyperlink"/>
            <w:spacing w:val="-12"/>
          </w:rPr>
          <w:t xml:space="preserve"> </w:t>
        </w:r>
        <w:r w:rsidRPr="00B47E56">
          <w:rPr>
            <w:rStyle w:val="Hyperlink"/>
            <w:spacing w:val="-4"/>
          </w:rPr>
          <w:t>RBA</w:t>
        </w:r>
        <w:r w:rsidRPr="00B47E56">
          <w:rPr>
            <w:rStyle w:val="Hyperlink"/>
            <w:spacing w:val="-12"/>
          </w:rPr>
          <w:t xml:space="preserve"> </w:t>
        </w:r>
        <w:r w:rsidRPr="00B47E56">
          <w:rPr>
            <w:rStyle w:val="Hyperlink"/>
            <w:spacing w:val="-4"/>
          </w:rPr>
          <w:t>should</w:t>
        </w:r>
        <w:r w:rsidRPr="00B47E56">
          <w:rPr>
            <w:rStyle w:val="Hyperlink"/>
            <w:spacing w:val="-12"/>
          </w:rPr>
          <w:t xml:space="preserve"> </w:t>
        </w:r>
        <w:r w:rsidRPr="00B47E56">
          <w:rPr>
            <w:rStyle w:val="Hyperlink"/>
            <w:spacing w:val="-4"/>
          </w:rPr>
          <w:t>take</w:t>
        </w:r>
        <w:r w:rsidRPr="00B47E56">
          <w:rPr>
            <w:rStyle w:val="Hyperlink"/>
            <w:spacing w:val="-12"/>
          </w:rPr>
          <w:t xml:space="preserve"> </w:t>
        </w:r>
        <w:r w:rsidRPr="00B47E56">
          <w:rPr>
            <w:rStyle w:val="Hyperlink"/>
            <w:spacing w:val="-4"/>
          </w:rPr>
          <w:t xml:space="preserve">account </w:t>
        </w:r>
        <w:r w:rsidRPr="00B47E56">
          <w:rPr>
            <w:rStyle w:val="Hyperlink"/>
          </w:rPr>
          <w:t>of</w:t>
        </w:r>
        <w:r w:rsidRPr="00B47E56">
          <w:rPr>
            <w:rStyle w:val="Hyperlink"/>
            <w:spacing w:val="-3"/>
          </w:rPr>
          <w:t xml:space="preserve"> </w:t>
        </w:r>
        <w:r w:rsidRPr="00B47E56">
          <w:rPr>
            <w:rStyle w:val="Hyperlink"/>
          </w:rPr>
          <w:t>climate</w:t>
        </w:r>
        <w:r w:rsidRPr="00B47E56">
          <w:rPr>
            <w:rStyle w:val="Hyperlink"/>
            <w:spacing w:val="-3"/>
          </w:rPr>
          <w:t xml:space="preserve"> </w:t>
        </w:r>
        <w:r w:rsidRPr="00B47E56">
          <w:rPr>
            <w:rStyle w:val="Hyperlink"/>
          </w:rPr>
          <w:t>risks</w:t>
        </w:r>
        <w:r w:rsidRPr="00B47E56">
          <w:rPr>
            <w:rStyle w:val="Hyperlink"/>
            <w:spacing w:val="-3"/>
          </w:rPr>
          <w:t xml:space="preserve"> </w:t>
        </w:r>
        <w:r w:rsidRPr="00B47E56">
          <w:rPr>
            <w:rStyle w:val="Hyperlink"/>
          </w:rPr>
          <w:t>but</w:t>
        </w:r>
        <w:r w:rsidRPr="00B47E56">
          <w:rPr>
            <w:rStyle w:val="Hyperlink"/>
            <w:spacing w:val="-3"/>
          </w:rPr>
          <w:t xml:space="preserve"> </w:t>
        </w:r>
        <w:r w:rsidRPr="00B47E56">
          <w:rPr>
            <w:rStyle w:val="Hyperlink"/>
          </w:rPr>
          <w:t>not</w:t>
        </w:r>
        <w:r w:rsidRPr="00B47E56">
          <w:rPr>
            <w:rStyle w:val="Hyperlink"/>
            <w:spacing w:val="-3"/>
          </w:rPr>
          <w:t xml:space="preserve"> </w:t>
        </w:r>
        <w:r w:rsidRPr="00B47E56">
          <w:rPr>
            <w:rStyle w:val="Hyperlink"/>
          </w:rPr>
          <w:t>use</w:t>
        </w:r>
        <w:r w:rsidRPr="00B47E56">
          <w:rPr>
            <w:rStyle w:val="Hyperlink"/>
            <w:spacing w:val="-3"/>
          </w:rPr>
          <w:t xml:space="preserve"> </w:t>
        </w:r>
        <w:r w:rsidRPr="00B47E56">
          <w:rPr>
            <w:rStyle w:val="Hyperlink"/>
          </w:rPr>
          <w:t>monetary</w:t>
        </w:r>
        <w:r w:rsidRPr="00B47E56">
          <w:rPr>
            <w:rStyle w:val="Hyperlink"/>
            <w:spacing w:val="-3"/>
          </w:rPr>
          <w:t xml:space="preserve"> </w:t>
        </w:r>
        <w:r w:rsidRPr="00B47E56">
          <w:rPr>
            <w:rStyle w:val="Hyperlink"/>
          </w:rPr>
          <w:t>policy</w:t>
        </w:r>
        <w:r w:rsidRPr="00B47E56">
          <w:rPr>
            <w:rStyle w:val="Hyperlink"/>
            <w:spacing w:val="-3"/>
          </w:rPr>
          <w:t xml:space="preserve"> </w:t>
        </w:r>
        <w:r w:rsidRPr="00B47E56">
          <w:rPr>
            <w:rStyle w:val="Hyperlink"/>
          </w:rPr>
          <w:t>to address them</w:t>
        </w:r>
        <w:r>
          <w:rPr>
            <w:webHidden/>
          </w:rPr>
          <w:tab/>
        </w:r>
        <w:r>
          <w:rPr>
            <w:webHidden/>
          </w:rPr>
          <w:fldChar w:fldCharType="begin"/>
        </w:r>
        <w:r>
          <w:rPr>
            <w:webHidden/>
          </w:rPr>
          <w:instrText xml:space="preserve"> PAGEREF _Toc134221013 \h </w:instrText>
        </w:r>
        <w:r>
          <w:rPr>
            <w:webHidden/>
          </w:rPr>
        </w:r>
        <w:r>
          <w:rPr>
            <w:webHidden/>
          </w:rPr>
          <w:fldChar w:fldCharType="separate"/>
        </w:r>
        <w:r w:rsidR="00523E3C">
          <w:rPr>
            <w:webHidden/>
          </w:rPr>
          <w:t>98</w:t>
        </w:r>
        <w:r>
          <w:rPr>
            <w:webHidden/>
          </w:rPr>
          <w:fldChar w:fldCharType="end"/>
        </w:r>
      </w:hyperlink>
    </w:p>
    <w:p w14:paraId="6D326558" w14:textId="5A0EE308" w:rsidR="001117BB" w:rsidRDefault="001117BB">
      <w:pPr>
        <w:pStyle w:val="TOC1"/>
        <w:rPr>
          <w:rFonts w:asciiTheme="minorHAnsi" w:eastAsiaTheme="minorEastAsia" w:hAnsiTheme="minorHAnsi" w:cstheme="minorBidi"/>
          <w:b w:val="0"/>
          <w:color w:val="auto"/>
        </w:rPr>
      </w:pPr>
      <w:hyperlink w:anchor="_Toc134221014" w:history="1">
        <w:r w:rsidRPr="00B47E56">
          <w:rPr>
            <w:rStyle w:val="Hyperlink"/>
          </w:rPr>
          <w:t xml:space="preserve">Chapter 3: Stronger monetary policy decision </w:t>
        </w:r>
        <w:r w:rsidRPr="00B47E56">
          <w:rPr>
            <w:rStyle w:val="Hyperlink"/>
            <w:spacing w:val="-4"/>
          </w:rPr>
          <w:t>making</w:t>
        </w:r>
        <w:r w:rsidRPr="00B47E56">
          <w:rPr>
            <w:rStyle w:val="Hyperlink"/>
            <w:spacing w:val="-26"/>
          </w:rPr>
          <w:t xml:space="preserve"> </w:t>
        </w:r>
        <w:r w:rsidRPr="00B47E56">
          <w:rPr>
            <w:rStyle w:val="Hyperlink"/>
            <w:spacing w:val="-4"/>
          </w:rPr>
          <w:t>and</w:t>
        </w:r>
        <w:r w:rsidRPr="00B47E56">
          <w:rPr>
            <w:rStyle w:val="Hyperlink"/>
            <w:spacing w:val="-26"/>
          </w:rPr>
          <w:t xml:space="preserve"> </w:t>
        </w:r>
        <w:r w:rsidRPr="00B47E56">
          <w:rPr>
            <w:rStyle w:val="Hyperlink"/>
            <w:spacing w:val="-4"/>
          </w:rPr>
          <w:t>accountability</w:t>
        </w:r>
        <w:r>
          <w:rPr>
            <w:webHidden/>
          </w:rPr>
          <w:tab/>
        </w:r>
        <w:r>
          <w:rPr>
            <w:webHidden/>
          </w:rPr>
          <w:fldChar w:fldCharType="begin"/>
        </w:r>
        <w:r>
          <w:rPr>
            <w:webHidden/>
          </w:rPr>
          <w:instrText xml:space="preserve"> PAGEREF _Toc134221014 \h </w:instrText>
        </w:r>
        <w:r>
          <w:rPr>
            <w:webHidden/>
          </w:rPr>
        </w:r>
        <w:r>
          <w:rPr>
            <w:webHidden/>
          </w:rPr>
          <w:fldChar w:fldCharType="separate"/>
        </w:r>
        <w:r w:rsidR="00523E3C">
          <w:rPr>
            <w:webHidden/>
          </w:rPr>
          <w:t>101</w:t>
        </w:r>
        <w:r>
          <w:rPr>
            <w:webHidden/>
          </w:rPr>
          <w:fldChar w:fldCharType="end"/>
        </w:r>
      </w:hyperlink>
    </w:p>
    <w:p w14:paraId="4166C5D3" w14:textId="19273BF6" w:rsidR="001117BB" w:rsidRDefault="001117BB">
      <w:pPr>
        <w:pStyle w:val="TOC2"/>
        <w:rPr>
          <w:rFonts w:asciiTheme="minorHAnsi" w:eastAsiaTheme="minorEastAsia" w:hAnsiTheme="minorHAnsi" w:cstheme="minorBidi"/>
          <w:color w:val="auto"/>
          <w:szCs w:val="22"/>
        </w:rPr>
      </w:pPr>
      <w:hyperlink w:anchor="_Toc134221015" w:history="1">
        <w:r w:rsidRPr="00B47E56">
          <w:rPr>
            <w:rStyle w:val="Hyperlink"/>
          </w:rPr>
          <w:t>Recommendations in this chapter</w:t>
        </w:r>
        <w:r>
          <w:rPr>
            <w:webHidden/>
          </w:rPr>
          <w:tab/>
        </w:r>
        <w:r>
          <w:rPr>
            <w:webHidden/>
          </w:rPr>
          <w:fldChar w:fldCharType="begin"/>
        </w:r>
        <w:r>
          <w:rPr>
            <w:webHidden/>
          </w:rPr>
          <w:instrText xml:space="preserve"> PAGEREF _Toc134221015 \h </w:instrText>
        </w:r>
        <w:r>
          <w:rPr>
            <w:webHidden/>
          </w:rPr>
        </w:r>
        <w:r>
          <w:rPr>
            <w:webHidden/>
          </w:rPr>
          <w:fldChar w:fldCharType="separate"/>
        </w:r>
        <w:r w:rsidR="00523E3C">
          <w:rPr>
            <w:webHidden/>
          </w:rPr>
          <w:t>103</w:t>
        </w:r>
        <w:r>
          <w:rPr>
            <w:webHidden/>
          </w:rPr>
          <w:fldChar w:fldCharType="end"/>
        </w:r>
      </w:hyperlink>
    </w:p>
    <w:p w14:paraId="1EBFF603" w14:textId="14F8DB7A" w:rsidR="001117BB" w:rsidRDefault="001117BB">
      <w:pPr>
        <w:pStyle w:val="TOC2"/>
        <w:rPr>
          <w:rFonts w:asciiTheme="minorHAnsi" w:eastAsiaTheme="minorEastAsia" w:hAnsiTheme="minorHAnsi" w:cstheme="minorBidi"/>
          <w:color w:val="auto"/>
          <w:szCs w:val="22"/>
        </w:rPr>
      </w:pPr>
      <w:hyperlink w:anchor="_Toc134221016" w:history="1">
        <w:r w:rsidRPr="00B47E56">
          <w:rPr>
            <w:rStyle w:val="Hyperlink"/>
          </w:rPr>
          <w:t>Monetary</w:t>
        </w:r>
        <w:r w:rsidRPr="00B47E56">
          <w:rPr>
            <w:rStyle w:val="Hyperlink"/>
            <w:spacing w:val="-18"/>
          </w:rPr>
          <w:t xml:space="preserve"> </w:t>
        </w:r>
        <w:r w:rsidRPr="00B47E56">
          <w:rPr>
            <w:rStyle w:val="Hyperlink"/>
          </w:rPr>
          <w:t>policy</w:t>
        </w:r>
        <w:r w:rsidRPr="00B47E56">
          <w:rPr>
            <w:rStyle w:val="Hyperlink"/>
            <w:spacing w:val="-15"/>
          </w:rPr>
          <w:t xml:space="preserve"> </w:t>
        </w:r>
        <w:r w:rsidRPr="00B47E56">
          <w:rPr>
            <w:rStyle w:val="Hyperlink"/>
          </w:rPr>
          <w:t>decision-making</w:t>
        </w:r>
        <w:r w:rsidRPr="00B47E56">
          <w:rPr>
            <w:rStyle w:val="Hyperlink"/>
            <w:spacing w:val="-15"/>
          </w:rPr>
          <w:t xml:space="preserve"> </w:t>
        </w:r>
        <w:r w:rsidRPr="00B47E56">
          <w:rPr>
            <w:rStyle w:val="Hyperlink"/>
          </w:rPr>
          <w:t>arrangements</w:t>
        </w:r>
        <w:r>
          <w:rPr>
            <w:webHidden/>
          </w:rPr>
          <w:tab/>
        </w:r>
        <w:r>
          <w:rPr>
            <w:webHidden/>
          </w:rPr>
          <w:fldChar w:fldCharType="begin"/>
        </w:r>
        <w:r>
          <w:rPr>
            <w:webHidden/>
          </w:rPr>
          <w:instrText xml:space="preserve"> PAGEREF _Toc134221016 \h </w:instrText>
        </w:r>
        <w:r>
          <w:rPr>
            <w:webHidden/>
          </w:rPr>
        </w:r>
        <w:r>
          <w:rPr>
            <w:webHidden/>
          </w:rPr>
          <w:fldChar w:fldCharType="separate"/>
        </w:r>
        <w:r w:rsidR="00523E3C">
          <w:rPr>
            <w:webHidden/>
          </w:rPr>
          <w:t>105</w:t>
        </w:r>
        <w:r>
          <w:rPr>
            <w:webHidden/>
          </w:rPr>
          <w:fldChar w:fldCharType="end"/>
        </w:r>
      </w:hyperlink>
    </w:p>
    <w:p w14:paraId="454D9A12" w14:textId="26A74FED" w:rsidR="001117BB" w:rsidRDefault="001117BB">
      <w:pPr>
        <w:pStyle w:val="TOC2"/>
        <w:rPr>
          <w:rFonts w:asciiTheme="minorHAnsi" w:eastAsiaTheme="minorEastAsia" w:hAnsiTheme="minorHAnsi" w:cstheme="minorBidi"/>
          <w:color w:val="auto"/>
          <w:szCs w:val="22"/>
        </w:rPr>
      </w:pPr>
      <w:hyperlink w:anchor="_Toc134221017" w:history="1">
        <w:r w:rsidRPr="00B47E56">
          <w:rPr>
            <w:rStyle w:val="Hyperlink"/>
          </w:rPr>
          <w:t>Recommendation 8: Constitute an expert Monetary Policy Board with diverse perspectives and knowledge</w:t>
        </w:r>
        <w:r>
          <w:rPr>
            <w:webHidden/>
          </w:rPr>
          <w:tab/>
        </w:r>
        <w:r>
          <w:rPr>
            <w:webHidden/>
          </w:rPr>
          <w:fldChar w:fldCharType="begin"/>
        </w:r>
        <w:r>
          <w:rPr>
            <w:webHidden/>
          </w:rPr>
          <w:instrText xml:space="preserve"> PAGEREF _Toc134221017 \h </w:instrText>
        </w:r>
        <w:r>
          <w:rPr>
            <w:webHidden/>
          </w:rPr>
        </w:r>
        <w:r>
          <w:rPr>
            <w:webHidden/>
          </w:rPr>
          <w:fldChar w:fldCharType="separate"/>
        </w:r>
        <w:r w:rsidR="00523E3C">
          <w:rPr>
            <w:webHidden/>
          </w:rPr>
          <w:t>108</w:t>
        </w:r>
        <w:r>
          <w:rPr>
            <w:webHidden/>
          </w:rPr>
          <w:fldChar w:fldCharType="end"/>
        </w:r>
      </w:hyperlink>
    </w:p>
    <w:p w14:paraId="4D1C7B3B" w14:textId="784C43D9" w:rsidR="001117BB" w:rsidRDefault="001117BB">
      <w:pPr>
        <w:pStyle w:val="TOC2"/>
        <w:rPr>
          <w:rFonts w:asciiTheme="minorHAnsi" w:eastAsiaTheme="minorEastAsia" w:hAnsiTheme="minorHAnsi" w:cstheme="minorBidi"/>
          <w:color w:val="auto"/>
          <w:szCs w:val="22"/>
        </w:rPr>
      </w:pPr>
      <w:hyperlink w:anchor="_Toc134221018" w:history="1">
        <w:r w:rsidRPr="00B47E56">
          <w:rPr>
            <w:rStyle w:val="Hyperlink"/>
          </w:rPr>
          <w:t>Recommendation</w:t>
        </w:r>
        <w:r w:rsidRPr="00B47E56">
          <w:rPr>
            <w:rStyle w:val="Hyperlink"/>
            <w:spacing w:val="-16"/>
          </w:rPr>
          <w:t xml:space="preserve"> </w:t>
        </w:r>
        <w:r w:rsidRPr="00B47E56">
          <w:rPr>
            <w:rStyle w:val="Hyperlink"/>
          </w:rPr>
          <w:t>9:</w:t>
        </w:r>
        <w:r w:rsidRPr="00B47E56">
          <w:rPr>
            <w:rStyle w:val="Hyperlink"/>
            <w:spacing w:val="-16"/>
          </w:rPr>
          <w:t xml:space="preserve"> </w:t>
        </w:r>
        <w:r w:rsidRPr="00B47E56">
          <w:rPr>
            <w:rStyle w:val="Hyperlink"/>
          </w:rPr>
          <w:t>Improve</w:t>
        </w:r>
        <w:r w:rsidRPr="00B47E56">
          <w:rPr>
            <w:rStyle w:val="Hyperlink"/>
            <w:spacing w:val="-16"/>
          </w:rPr>
          <w:t xml:space="preserve"> </w:t>
        </w:r>
        <w:r w:rsidRPr="00B47E56">
          <w:rPr>
            <w:rStyle w:val="Hyperlink"/>
          </w:rPr>
          <w:t>processes</w:t>
        </w:r>
        <w:r w:rsidRPr="00B47E56">
          <w:rPr>
            <w:rStyle w:val="Hyperlink"/>
            <w:spacing w:val="-16"/>
          </w:rPr>
          <w:t xml:space="preserve"> </w:t>
        </w:r>
        <w:r w:rsidRPr="00B47E56">
          <w:rPr>
            <w:rStyle w:val="Hyperlink"/>
          </w:rPr>
          <w:t>to</w:t>
        </w:r>
        <w:r w:rsidRPr="00B47E56">
          <w:rPr>
            <w:rStyle w:val="Hyperlink"/>
            <w:spacing w:val="-16"/>
          </w:rPr>
          <w:t xml:space="preserve"> </w:t>
        </w:r>
        <w:r w:rsidRPr="00B47E56">
          <w:rPr>
            <w:rStyle w:val="Hyperlink"/>
          </w:rPr>
          <w:t xml:space="preserve">support </w:t>
        </w:r>
        <w:r w:rsidRPr="00B47E56">
          <w:rPr>
            <w:rStyle w:val="Hyperlink"/>
            <w:spacing w:val="-2"/>
          </w:rPr>
          <w:t>deeper</w:t>
        </w:r>
        <w:r w:rsidRPr="00B47E56">
          <w:rPr>
            <w:rStyle w:val="Hyperlink"/>
            <w:spacing w:val="-19"/>
          </w:rPr>
          <w:t xml:space="preserve"> </w:t>
        </w:r>
        <w:r w:rsidRPr="00B47E56">
          <w:rPr>
            <w:rStyle w:val="Hyperlink"/>
            <w:spacing w:val="-2"/>
          </w:rPr>
          <w:t>consideration</w:t>
        </w:r>
        <w:r w:rsidRPr="00B47E56">
          <w:rPr>
            <w:rStyle w:val="Hyperlink"/>
            <w:spacing w:val="-19"/>
          </w:rPr>
          <w:t xml:space="preserve"> </w:t>
        </w:r>
        <w:r w:rsidRPr="00B47E56">
          <w:rPr>
            <w:rStyle w:val="Hyperlink"/>
            <w:spacing w:val="-2"/>
          </w:rPr>
          <w:t>of</w:t>
        </w:r>
        <w:r w:rsidRPr="00B47E56">
          <w:rPr>
            <w:rStyle w:val="Hyperlink"/>
            <w:spacing w:val="-19"/>
          </w:rPr>
          <w:t xml:space="preserve"> </w:t>
        </w:r>
        <w:r w:rsidRPr="00B47E56">
          <w:rPr>
            <w:rStyle w:val="Hyperlink"/>
            <w:spacing w:val="-2"/>
          </w:rPr>
          <w:t>monetary</w:t>
        </w:r>
        <w:r w:rsidRPr="00B47E56">
          <w:rPr>
            <w:rStyle w:val="Hyperlink"/>
            <w:spacing w:val="-19"/>
          </w:rPr>
          <w:t xml:space="preserve"> </w:t>
        </w:r>
        <w:r w:rsidRPr="00B47E56">
          <w:rPr>
            <w:rStyle w:val="Hyperlink"/>
            <w:spacing w:val="-2"/>
          </w:rPr>
          <w:t>policy</w:t>
        </w:r>
        <w:r w:rsidRPr="00B47E56">
          <w:rPr>
            <w:rStyle w:val="Hyperlink"/>
            <w:spacing w:val="-18"/>
          </w:rPr>
          <w:t xml:space="preserve"> </w:t>
        </w:r>
        <w:r w:rsidRPr="00B47E56">
          <w:rPr>
            <w:rStyle w:val="Hyperlink"/>
            <w:spacing w:val="-2"/>
          </w:rPr>
          <w:t xml:space="preserve">decisions, </w:t>
        </w:r>
        <w:r w:rsidRPr="00B47E56">
          <w:rPr>
            <w:rStyle w:val="Hyperlink"/>
          </w:rPr>
          <w:t>strategy and research</w:t>
        </w:r>
        <w:r>
          <w:rPr>
            <w:webHidden/>
          </w:rPr>
          <w:tab/>
        </w:r>
        <w:r>
          <w:rPr>
            <w:webHidden/>
          </w:rPr>
          <w:fldChar w:fldCharType="begin"/>
        </w:r>
        <w:r>
          <w:rPr>
            <w:webHidden/>
          </w:rPr>
          <w:instrText xml:space="preserve"> PAGEREF _Toc134221018 \h </w:instrText>
        </w:r>
        <w:r>
          <w:rPr>
            <w:webHidden/>
          </w:rPr>
        </w:r>
        <w:r>
          <w:rPr>
            <w:webHidden/>
          </w:rPr>
          <w:fldChar w:fldCharType="separate"/>
        </w:r>
        <w:r w:rsidR="00523E3C">
          <w:rPr>
            <w:webHidden/>
          </w:rPr>
          <w:t>118</w:t>
        </w:r>
        <w:r>
          <w:rPr>
            <w:webHidden/>
          </w:rPr>
          <w:fldChar w:fldCharType="end"/>
        </w:r>
      </w:hyperlink>
    </w:p>
    <w:p w14:paraId="58B06657" w14:textId="7B5F4EFF" w:rsidR="001117BB" w:rsidRDefault="001117BB">
      <w:pPr>
        <w:pStyle w:val="TOC2"/>
        <w:rPr>
          <w:rFonts w:asciiTheme="minorHAnsi" w:eastAsiaTheme="minorEastAsia" w:hAnsiTheme="minorHAnsi" w:cstheme="minorBidi"/>
          <w:color w:val="auto"/>
          <w:szCs w:val="22"/>
        </w:rPr>
      </w:pPr>
      <w:hyperlink w:anchor="_Toc134221019" w:history="1">
        <w:r w:rsidRPr="00B47E56">
          <w:rPr>
            <w:rStyle w:val="Hyperlink"/>
          </w:rPr>
          <w:t>Recommendation</w:t>
        </w:r>
        <w:r w:rsidRPr="00B47E56">
          <w:rPr>
            <w:rStyle w:val="Hyperlink"/>
            <w:spacing w:val="-7"/>
          </w:rPr>
          <w:t xml:space="preserve"> </w:t>
        </w:r>
        <w:r w:rsidRPr="00B47E56">
          <w:rPr>
            <w:rStyle w:val="Hyperlink"/>
          </w:rPr>
          <w:t>10:</w:t>
        </w:r>
        <w:r w:rsidRPr="00B47E56">
          <w:rPr>
            <w:rStyle w:val="Hyperlink"/>
            <w:spacing w:val="-7"/>
          </w:rPr>
          <w:t xml:space="preserve"> </w:t>
        </w:r>
        <w:r w:rsidRPr="00B47E56">
          <w:rPr>
            <w:rStyle w:val="Hyperlink"/>
          </w:rPr>
          <w:t>Strengthen</w:t>
        </w:r>
        <w:r w:rsidRPr="00B47E56">
          <w:rPr>
            <w:rStyle w:val="Hyperlink"/>
            <w:spacing w:val="-7"/>
          </w:rPr>
          <w:t xml:space="preserve"> </w:t>
        </w:r>
        <w:r w:rsidRPr="00B47E56">
          <w:rPr>
            <w:rStyle w:val="Hyperlink"/>
          </w:rPr>
          <w:t>monetary</w:t>
        </w:r>
        <w:r w:rsidRPr="00B47E56">
          <w:rPr>
            <w:rStyle w:val="Hyperlink"/>
            <w:spacing w:val="-7"/>
          </w:rPr>
          <w:t xml:space="preserve"> </w:t>
        </w:r>
        <w:r w:rsidRPr="00B47E56">
          <w:rPr>
            <w:rStyle w:val="Hyperlink"/>
          </w:rPr>
          <w:t>policy transparency and accountability</w:t>
        </w:r>
        <w:r>
          <w:rPr>
            <w:webHidden/>
          </w:rPr>
          <w:tab/>
        </w:r>
        <w:r>
          <w:rPr>
            <w:webHidden/>
          </w:rPr>
          <w:fldChar w:fldCharType="begin"/>
        </w:r>
        <w:r>
          <w:rPr>
            <w:webHidden/>
          </w:rPr>
          <w:instrText xml:space="preserve"> PAGEREF _Toc134221019 \h </w:instrText>
        </w:r>
        <w:r>
          <w:rPr>
            <w:webHidden/>
          </w:rPr>
        </w:r>
        <w:r>
          <w:rPr>
            <w:webHidden/>
          </w:rPr>
          <w:fldChar w:fldCharType="separate"/>
        </w:r>
        <w:r w:rsidR="00523E3C">
          <w:rPr>
            <w:webHidden/>
          </w:rPr>
          <w:t>126</w:t>
        </w:r>
        <w:r>
          <w:rPr>
            <w:webHidden/>
          </w:rPr>
          <w:fldChar w:fldCharType="end"/>
        </w:r>
      </w:hyperlink>
    </w:p>
    <w:p w14:paraId="025304A1" w14:textId="0064663E" w:rsidR="001117BB" w:rsidRDefault="001117BB">
      <w:pPr>
        <w:pStyle w:val="TOC1"/>
        <w:rPr>
          <w:rFonts w:asciiTheme="minorHAnsi" w:eastAsiaTheme="minorEastAsia" w:hAnsiTheme="minorHAnsi" w:cstheme="minorBidi"/>
          <w:b w:val="0"/>
          <w:color w:val="auto"/>
        </w:rPr>
      </w:pPr>
      <w:hyperlink w:anchor="_Toc134221020" w:history="1">
        <w:r w:rsidRPr="00B47E56">
          <w:rPr>
            <w:rStyle w:val="Hyperlink"/>
            <w:spacing w:val="-6"/>
          </w:rPr>
          <w:t>Chapter</w:t>
        </w:r>
        <w:r w:rsidRPr="00B47E56">
          <w:rPr>
            <w:rStyle w:val="Hyperlink"/>
            <w:spacing w:val="-19"/>
          </w:rPr>
          <w:t xml:space="preserve"> </w:t>
        </w:r>
        <w:r w:rsidRPr="00B47E56">
          <w:rPr>
            <w:rStyle w:val="Hyperlink"/>
            <w:spacing w:val="-5"/>
          </w:rPr>
          <w:t xml:space="preserve">4: </w:t>
        </w:r>
        <w:r w:rsidRPr="00B47E56">
          <w:rPr>
            <w:rStyle w:val="Hyperlink"/>
          </w:rPr>
          <w:t>An</w:t>
        </w:r>
        <w:r w:rsidRPr="00B47E56">
          <w:rPr>
            <w:rStyle w:val="Hyperlink"/>
            <w:spacing w:val="-23"/>
          </w:rPr>
          <w:t xml:space="preserve"> </w:t>
        </w:r>
        <w:r w:rsidRPr="00B47E56">
          <w:rPr>
            <w:rStyle w:val="Hyperlink"/>
          </w:rPr>
          <w:t>open</w:t>
        </w:r>
        <w:r w:rsidRPr="00B47E56">
          <w:rPr>
            <w:rStyle w:val="Hyperlink"/>
            <w:spacing w:val="-23"/>
          </w:rPr>
          <w:t xml:space="preserve"> </w:t>
        </w:r>
        <w:r w:rsidRPr="00B47E56">
          <w:rPr>
            <w:rStyle w:val="Hyperlink"/>
          </w:rPr>
          <w:t>and</w:t>
        </w:r>
        <w:r w:rsidRPr="00B47E56">
          <w:rPr>
            <w:rStyle w:val="Hyperlink"/>
            <w:spacing w:val="-22"/>
          </w:rPr>
          <w:t xml:space="preserve"> </w:t>
        </w:r>
        <w:r w:rsidRPr="00B47E56">
          <w:rPr>
            <w:rStyle w:val="Hyperlink"/>
          </w:rPr>
          <w:t>dynamic</w:t>
        </w:r>
        <w:r w:rsidRPr="00B47E56">
          <w:rPr>
            <w:rStyle w:val="Hyperlink"/>
            <w:spacing w:val="-22"/>
          </w:rPr>
          <w:t xml:space="preserve"> </w:t>
        </w:r>
        <w:r w:rsidRPr="00B47E56">
          <w:rPr>
            <w:rStyle w:val="Hyperlink"/>
            <w:spacing w:val="-5"/>
          </w:rPr>
          <w:t>RBA</w:t>
        </w:r>
        <w:r>
          <w:rPr>
            <w:webHidden/>
          </w:rPr>
          <w:tab/>
        </w:r>
        <w:r>
          <w:rPr>
            <w:webHidden/>
          </w:rPr>
          <w:fldChar w:fldCharType="begin"/>
        </w:r>
        <w:r>
          <w:rPr>
            <w:webHidden/>
          </w:rPr>
          <w:instrText xml:space="preserve"> PAGEREF _Toc134221020 \h </w:instrText>
        </w:r>
        <w:r>
          <w:rPr>
            <w:webHidden/>
          </w:rPr>
        </w:r>
        <w:r>
          <w:rPr>
            <w:webHidden/>
          </w:rPr>
          <w:fldChar w:fldCharType="separate"/>
        </w:r>
        <w:r w:rsidR="00523E3C">
          <w:rPr>
            <w:webHidden/>
          </w:rPr>
          <w:t>133</w:t>
        </w:r>
        <w:r>
          <w:rPr>
            <w:webHidden/>
          </w:rPr>
          <w:fldChar w:fldCharType="end"/>
        </w:r>
      </w:hyperlink>
    </w:p>
    <w:p w14:paraId="45E552FA" w14:textId="3D9850E8" w:rsidR="001117BB" w:rsidRDefault="001117BB">
      <w:pPr>
        <w:pStyle w:val="TOC2"/>
        <w:rPr>
          <w:rFonts w:asciiTheme="minorHAnsi" w:eastAsiaTheme="minorEastAsia" w:hAnsiTheme="minorHAnsi" w:cstheme="minorBidi"/>
          <w:color w:val="auto"/>
          <w:szCs w:val="22"/>
        </w:rPr>
      </w:pPr>
      <w:hyperlink w:anchor="_Toc134221021" w:history="1">
        <w:r w:rsidRPr="00B47E56">
          <w:rPr>
            <w:rStyle w:val="Hyperlink"/>
          </w:rPr>
          <w:t>Recommendation</w:t>
        </w:r>
        <w:r w:rsidRPr="00B47E56">
          <w:rPr>
            <w:rStyle w:val="Hyperlink"/>
            <w:spacing w:val="-17"/>
          </w:rPr>
          <w:t xml:space="preserve"> </w:t>
        </w:r>
        <w:r w:rsidRPr="00B47E56">
          <w:rPr>
            <w:rStyle w:val="Hyperlink"/>
          </w:rPr>
          <w:t>11:</w:t>
        </w:r>
        <w:r w:rsidRPr="00B47E56">
          <w:rPr>
            <w:rStyle w:val="Hyperlink"/>
            <w:spacing w:val="-17"/>
          </w:rPr>
          <w:t xml:space="preserve"> </w:t>
        </w:r>
        <w:r w:rsidRPr="00B47E56">
          <w:rPr>
            <w:rStyle w:val="Hyperlink"/>
          </w:rPr>
          <w:t>Strengthen</w:t>
        </w:r>
        <w:r w:rsidRPr="00B47E56">
          <w:rPr>
            <w:rStyle w:val="Hyperlink"/>
            <w:spacing w:val="-17"/>
          </w:rPr>
          <w:t xml:space="preserve"> </w:t>
        </w:r>
        <w:r w:rsidRPr="00B47E56">
          <w:rPr>
            <w:rStyle w:val="Hyperlink"/>
          </w:rPr>
          <w:t>the</w:t>
        </w:r>
        <w:r w:rsidRPr="00B47E56">
          <w:rPr>
            <w:rStyle w:val="Hyperlink"/>
            <w:spacing w:val="-17"/>
          </w:rPr>
          <w:t xml:space="preserve"> </w:t>
        </w:r>
        <w:r w:rsidRPr="00B47E56">
          <w:rPr>
            <w:rStyle w:val="Hyperlink"/>
          </w:rPr>
          <w:t>RBA’s management, culture and operations</w:t>
        </w:r>
        <w:r>
          <w:rPr>
            <w:webHidden/>
          </w:rPr>
          <w:tab/>
        </w:r>
        <w:r>
          <w:rPr>
            <w:webHidden/>
          </w:rPr>
          <w:fldChar w:fldCharType="begin"/>
        </w:r>
        <w:r>
          <w:rPr>
            <w:webHidden/>
          </w:rPr>
          <w:instrText xml:space="preserve"> PAGEREF _Toc134221021 \h </w:instrText>
        </w:r>
        <w:r>
          <w:rPr>
            <w:webHidden/>
          </w:rPr>
        </w:r>
        <w:r>
          <w:rPr>
            <w:webHidden/>
          </w:rPr>
          <w:fldChar w:fldCharType="separate"/>
        </w:r>
        <w:r w:rsidR="00523E3C">
          <w:rPr>
            <w:webHidden/>
          </w:rPr>
          <w:t>135</w:t>
        </w:r>
        <w:r>
          <w:rPr>
            <w:webHidden/>
          </w:rPr>
          <w:fldChar w:fldCharType="end"/>
        </w:r>
      </w:hyperlink>
    </w:p>
    <w:p w14:paraId="09AD2D66" w14:textId="0CC089B4" w:rsidR="001117BB" w:rsidRDefault="001117BB">
      <w:pPr>
        <w:pStyle w:val="TOC2"/>
        <w:rPr>
          <w:rFonts w:asciiTheme="minorHAnsi" w:eastAsiaTheme="minorEastAsia" w:hAnsiTheme="minorHAnsi" w:cstheme="minorBidi"/>
          <w:color w:val="auto"/>
          <w:szCs w:val="22"/>
        </w:rPr>
      </w:pPr>
      <w:hyperlink w:anchor="_Toc134221022" w:history="1">
        <w:r w:rsidRPr="00B47E56">
          <w:rPr>
            <w:rStyle w:val="Hyperlink"/>
          </w:rPr>
          <w:t>Building</w:t>
        </w:r>
        <w:r w:rsidRPr="00B47E56">
          <w:rPr>
            <w:rStyle w:val="Hyperlink"/>
            <w:spacing w:val="-18"/>
          </w:rPr>
          <w:t xml:space="preserve"> </w:t>
        </w:r>
        <w:r w:rsidRPr="00B47E56">
          <w:rPr>
            <w:rStyle w:val="Hyperlink"/>
          </w:rPr>
          <w:t>on</w:t>
        </w:r>
        <w:r w:rsidRPr="00B47E56">
          <w:rPr>
            <w:rStyle w:val="Hyperlink"/>
            <w:spacing w:val="-18"/>
          </w:rPr>
          <w:t xml:space="preserve"> </w:t>
        </w:r>
        <w:r w:rsidRPr="00B47E56">
          <w:rPr>
            <w:rStyle w:val="Hyperlink"/>
          </w:rPr>
          <w:t>strengths</w:t>
        </w:r>
        <w:r>
          <w:rPr>
            <w:webHidden/>
          </w:rPr>
          <w:tab/>
        </w:r>
        <w:r>
          <w:rPr>
            <w:webHidden/>
          </w:rPr>
          <w:fldChar w:fldCharType="begin"/>
        </w:r>
        <w:r>
          <w:rPr>
            <w:webHidden/>
          </w:rPr>
          <w:instrText xml:space="preserve"> PAGEREF _Toc134221022 \h </w:instrText>
        </w:r>
        <w:r>
          <w:rPr>
            <w:webHidden/>
          </w:rPr>
        </w:r>
        <w:r>
          <w:rPr>
            <w:webHidden/>
          </w:rPr>
          <w:fldChar w:fldCharType="separate"/>
        </w:r>
        <w:r w:rsidR="00523E3C">
          <w:rPr>
            <w:webHidden/>
          </w:rPr>
          <w:t>136</w:t>
        </w:r>
        <w:r>
          <w:rPr>
            <w:webHidden/>
          </w:rPr>
          <w:fldChar w:fldCharType="end"/>
        </w:r>
      </w:hyperlink>
    </w:p>
    <w:p w14:paraId="53B34DBD" w14:textId="3D2DAF46" w:rsidR="001117BB" w:rsidRDefault="001117BB">
      <w:pPr>
        <w:pStyle w:val="TOC2"/>
        <w:rPr>
          <w:rFonts w:asciiTheme="minorHAnsi" w:eastAsiaTheme="minorEastAsia" w:hAnsiTheme="minorHAnsi" w:cstheme="minorBidi"/>
          <w:color w:val="auto"/>
          <w:szCs w:val="22"/>
        </w:rPr>
      </w:pPr>
      <w:hyperlink w:anchor="_Toc134221023" w:history="1">
        <w:r w:rsidRPr="00B47E56">
          <w:rPr>
            <w:rStyle w:val="Hyperlink"/>
          </w:rPr>
          <w:t>Recommendation</w:t>
        </w:r>
        <w:r w:rsidRPr="00B47E56">
          <w:rPr>
            <w:rStyle w:val="Hyperlink"/>
            <w:spacing w:val="-17"/>
          </w:rPr>
          <w:t xml:space="preserve"> </w:t>
        </w:r>
        <w:r w:rsidRPr="00B47E56">
          <w:rPr>
            <w:rStyle w:val="Hyperlink"/>
          </w:rPr>
          <w:t>11.1:</w:t>
        </w:r>
        <w:r w:rsidRPr="00B47E56">
          <w:rPr>
            <w:rStyle w:val="Hyperlink"/>
            <w:spacing w:val="-17"/>
          </w:rPr>
          <w:t xml:space="preserve"> </w:t>
        </w:r>
        <w:r w:rsidRPr="00B47E56">
          <w:rPr>
            <w:rStyle w:val="Hyperlink"/>
          </w:rPr>
          <w:t>Empowered</w:t>
        </w:r>
        <w:r w:rsidRPr="00B47E56">
          <w:rPr>
            <w:rStyle w:val="Hyperlink"/>
            <w:spacing w:val="-17"/>
          </w:rPr>
          <w:t xml:space="preserve"> </w:t>
        </w:r>
        <w:r w:rsidRPr="00B47E56">
          <w:rPr>
            <w:rStyle w:val="Hyperlink"/>
          </w:rPr>
          <w:t>staff</w:t>
        </w:r>
        <w:r w:rsidRPr="00B47E56">
          <w:rPr>
            <w:rStyle w:val="Hyperlink"/>
            <w:spacing w:val="-17"/>
          </w:rPr>
          <w:t xml:space="preserve"> </w:t>
        </w:r>
        <w:r w:rsidRPr="00B47E56">
          <w:rPr>
            <w:rStyle w:val="Hyperlink"/>
          </w:rPr>
          <w:t>in</w:t>
        </w:r>
        <w:r w:rsidRPr="00B47E56">
          <w:rPr>
            <w:rStyle w:val="Hyperlink"/>
            <w:spacing w:val="-16"/>
          </w:rPr>
          <w:t xml:space="preserve"> </w:t>
        </w:r>
        <w:r w:rsidRPr="00B47E56">
          <w:rPr>
            <w:rStyle w:val="Hyperlink"/>
          </w:rPr>
          <w:t>a</w:t>
        </w:r>
        <w:r w:rsidRPr="00B47E56">
          <w:rPr>
            <w:rStyle w:val="Hyperlink"/>
            <w:spacing w:val="-17"/>
          </w:rPr>
          <w:t xml:space="preserve"> </w:t>
        </w:r>
        <w:r w:rsidRPr="00B47E56">
          <w:rPr>
            <w:rStyle w:val="Hyperlink"/>
          </w:rPr>
          <w:t>more dynamic organisation</w:t>
        </w:r>
        <w:r>
          <w:rPr>
            <w:webHidden/>
          </w:rPr>
          <w:tab/>
        </w:r>
        <w:r>
          <w:rPr>
            <w:webHidden/>
          </w:rPr>
          <w:fldChar w:fldCharType="begin"/>
        </w:r>
        <w:r>
          <w:rPr>
            <w:webHidden/>
          </w:rPr>
          <w:instrText xml:space="preserve"> PAGEREF _Toc134221023 \h </w:instrText>
        </w:r>
        <w:r>
          <w:rPr>
            <w:webHidden/>
          </w:rPr>
        </w:r>
        <w:r>
          <w:rPr>
            <w:webHidden/>
          </w:rPr>
          <w:fldChar w:fldCharType="separate"/>
        </w:r>
        <w:r w:rsidR="00523E3C">
          <w:rPr>
            <w:webHidden/>
          </w:rPr>
          <w:t>139</w:t>
        </w:r>
        <w:r>
          <w:rPr>
            <w:webHidden/>
          </w:rPr>
          <w:fldChar w:fldCharType="end"/>
        </w:r>
      </w:hyperlink>
    </w:p>
    <w:p w14:paraId="20BA2188" w14:textId="3F7E745D" w:rsidR="001117BB" w:rsidRDefault="001117BB">
      <w:pPr>
        <w:pStyle w:val="TOC2"/>
        <w:rPr>
          <w:rFonts w:asciiTheme="minorHAnsi" w:eastAsiaTheme="minorEastAsia" w:hAnsiTheme="minorHAnsi" w:cstheme="minorBidi"/>
          <w:color w:val="auto"/>
          <w:szCs w:val="22"/>
        </w:rPr>
      </w:pPr>
      <w:hyperlink w:anchor="_Toc134221024" w:history="1">
        <w:r w:rsidRPr="00B47E56">
          <w:rPr>
            <w:rStyle w:val="Hyperlink"/>
          </w:rPr>
          <w:t>Recommendation</w:t>
        </w:r>
        <w:r w:rsidRPr="00B47E56">
          <w:rPr>
            <w:rStyle w:val="Hyperlink"/>
            <w:spacing w:val="-17"/>
          </w:rPr>
          <w:t xml:space="preserve"> </w:t>
        </w:r>
        <w:r w:rsidRPr="00B47E56">
          <w:rPr>
            <w:rStyle w:val="Hyperlink"/>
          </w:rPr>
          <w:t>11.2:</w:t>
        </w:r>
        <w:r w:rsidRPr="00B47E56">
          <w:rPr>
            <w:rStyle w:val="Hyperlink"/>
            <w:spacing w:val="-17"/>
          </w:rPr>
          <w:t xml:space="preserve"> </w:t>
        </w:r>
        <w:r w:rsidRPr="00B47E56">
          <w:rPr>
            <w:rStyle w:val="Hyperlink"/>
          </w:rPr>
          <w:t>Strong</w:t>
        </w:r>
        <w:r w:rsidRPr="00B47E56">
          <w:rPr>
            <w:rStyle w:val="Hyperlink"/>
            <w:spacing w:val="-17"/>
          </w:rPr>
          <w:t xml:space="preserve"> </w:t>
        </w:r>
        <w:r w:rsidRPr="00B47E56">
          <w:rPr>
            <w:rStyle w:val="Hyperlink"/>
          </w:rPr>
          <w:t>leadership</w:t>
        </w:r>
        <w:r w:rsidRPr="00B47E56">
          <w:rPr>
            <w:rStyle w:val="Hyperlink"/>
            <w:spacing w:val="-16"/>
          </w:rPr>
          <w:t xml:space="preserve"> </w:t>
        </w:r>
        <w:r w:rsidRPr="00B47E56">
          <w:rPr>
            <w:rStyle w:val="Hyperlink"/>
          </w:rPr>
          <w:t>capability to optimise performance</w:t>
        </w:r>
        <w:r>
          <w:rPr>
            <w:webHidden/>
          </w:rPr>
          <w:tab/>
        </w:r>
        <w:r>
          <w:rPr>
            <w:webHidden/>
          </w:rPr>
          <w:fldChar w:fldCharType="begin"/>
        </w:r>
        <w:r>
          <w:rPr>
            <w:webHidden/>
          </w:rPr>
          <w:instrText xml:space="preserve"> PAGEREF _Toc134221024 \h </w:instrText>
        </w:r>
        <w:r>
          <w:rPr>
            <w:webHidden/>
          </w:rPr>
        </w:r>
        <w:r>
          <w:rPr>
            <w:webHidden/>
          </w:rPr>
          <w:fldChar w:fldCharType="separate"/>
        </w:r>
        <w:r w:rsidR="00523E3C">
          <w:rPr>
            <w:webHidden/>
          </w:rPr>
          <w:t>149</w:t>
        </w:r>
        <w:r>
          <w:rPr>
            <w:webHidden/>
          </w:rPr>
          <w:fldChar w:fldCharType="end"/>
        </w:r>
      </w:hyperlink>
    </w:p>
    <w:p w14:paraId="1FA51807" w14:textId="31F5EA07" w:rsidR="001117BB" w:rsidRDefault="001117BB">
      <w:pPr>
        <w:pStyle w:val="TOC2"/>
        <w:rPr>
          <w:rFonts w:asciiTheme="minorHAnsi" w:eastAsiaTheme="minorEastAsia" w:hAnsiTheme="minorHAnsi" w:cstheme="minorBidi"/>
          <w:color w:val="auto"/>
          <w:szCs w:val="22"/>
        </w:rPr>
      </w:pPr>
      <w:hyperlink w:anchor="_Toc134221025" w:history="1">
        <w:r w:rsidRPr="00B47E56">
          <w:rPr>
            <w:rStyle w:val="Hyperlink"/>
          </w:rPr>
          <w:t>Recommendation 11.3: Constructive challenge and openness to diverse viewpoints</w:t>
        </w:r>
        <w:r>
          <w:rPr>
            <w:webHidden/>
          </w:rPr>
          <w:tab/>
        </w:r>
        <w:r>
          <w:rPr>
            <w:webHidden/>
          </w:rPr>
          <w:fldChar w:fldCharType="begin"/>
        </w:r>
        <w:r>
          <w:rPr>
            <w:webHidden/>
          </w:rPr>
          <w:instrText xml:space="preserve"> PAGEREF _Toc134221025 \h </w:instrText>
        </w:r>
        <w:r>
          <w:rPr>
            <w:webHidden/>
          </w:rPr>
        </w:r>
        <w:r>
          <w:rPr>
            <w:webHidden/>
          </w:rPr>
          <w:fldChar w:fldCharType="separate"/>
        </w:r>
        <w:r w:rsidR="00523E3C">
          <w:rPr>
            <w:webHidden/>
          </w:rPr>
          <w:t>157</w:t>
        </w:r>
        <w:r>
          <w:rPr>
            <w:webHidden/>
          </w:rPr>
          <w:fldChar w:fldCharType="end"/>
        </w:r>
      </w:hyperlink>
    </w:p>
    <w:p w14:paraId="1B97922C" w14:textId="5BB89991" w:rsidR="001117BB" w:rsidRDefault="001117BB">
      <w:pPr>
        <w:pStyle w:val="TOC2"/>
        <w:rPr>
          <w:rFonts w:asciiTheme="minorHAnsi" w:eastAsiaTheme="minorEastAsia" w:hAnsiTheme="minorHAnsi" w:cstheme="minorBidi"/>
          <w:color w:val="auto"/>
          <w:szCs w:val="22"/>
        </w:rPr>
      </w:pPr>
      <w:hyperlink w:anchor="_Toc134221026" w:history="1">
        <w:r w:rsidRPr="00B47E56">
          <w:rPr>
            <w:rStyle w:val="Hyperlink"/>
          </w:rPr>
          <w:t>Recommendation</w:t>
        </w:r>
        <w:r w:rsidRPr="00B47E56">
          <w:rPr>
            <w:rStyle w:val="Hyperlink"/>
            <w:spacing w:val="-16"/>
          </w:rPr>
          <w:t xml:space="preserve"> </w:t>
        </w:r>
        <w:r w:rsidRPr="00B47E56">
          <w:rPr>
            <w:rStyle w:val="Hyperlink"/>
          </w:rPr>
          <w:t>11.4:</w:t>
        </w:r>
        <w:r w:rsidRPr="00B47E56">
          <w:rPr>
            <w:rStyle w:val="Hyperlink"/>
            <w:spacing w:val="-16"/>
          </w:rPr>
          <w:t xml:space="preserve"> </w:t>
        </w:r>
        <w:r w:rsidRPr="00B47E56">
          <w:rPr>
            <w:rStyle w:val="Hyperlink"/>
          </w:rPr>
          <w:t>Enhanced</w:t>
        </w:r>
        <w:r w:rsidRPr="00B47E56">
          <w:rPr>
            <w:rStyle w:val="Hyperlink"/>
            <w:spacing w:val="-16"/>
          </w:rPr>
          <w:t xml:space="preserve"> </w:t>
        </w:r>
        <w:r w:rsidRPr="00B47E56">
          <w:rPr>
            <w:rStyle w:val="Hyperlink"/>
          </w:rPr>
          <w:t>use</w:t>
        </w:r>
        <w:r w:rsidRPr="00B47E56">
          <w:rPr>
            <w:rStyle w:val="Hyperlink"/>
            <w:spacing w:val="-16"/>
          </w:rPr>
          <w:t xml:space="preserve"> </w:t>
        </w:r>
        <w:r w:rsidRPr="00B47E56">
          <w:rPr>
            <w:rStyle w:val="Hyperlink"/>
          </w:rPr>
          <w:t>of</w:t>
        </w:r>
        <w:r w:rsidRPr="00B47E56">
          <w:rPr>
            <w:rStyle w:val="Hyperlink"/>
            <w:spacing w:val="-16"/>
          </w:rPr>
          <w:t xml:space="preserve"> </w:t>
        </w:r>
        <w:r w:rsidRPr="00B47E56">
          <w:rPr>
            <w:rStyle w:val="Hyperlink"/>
          </w:rPr>
          <w:t>technical skills and research capability</w:t>
        </w:r>
        <w:r>
          <w:rPr>
            <w:webHidden/>
          </w:rPr>
          <w:tab/>
        </w:r>
        <w:r>
          <w:rPr>
            <w:webHidden/>
          </w:rPr>
          <w:fldChar w:fldCharType="begin"/>
        </w:r>
        <w:r>
          <w:rPr>
            <w:webHidden/>
          </w:rPr>
          <w:instrText xml:space="preserve"> PAGEREF _Toc134221026 \h </w:instrText>
        </w:r>
        <w:r>
          <w:rPr>
            <w:webHidden/>
          </w:rPr>
        </w:r>
        <w:r>
          <w:rPr>
            <w:webHidden/>
          </w:rPr>
          <w:fldChar w:fldCharType="separate"/>
        </w:r>
        <w:r w:rsidR="00523E3C">
          <w:rPr>
            <w:webHidden/>
          </w:rPr>
          <w:t>166</w:t>
        </w:r>
        <w:r>
          <w:rPr>
            <w:webHidden/>
          </w:rPr>
          <w:fldChar w:fldCharType="end"/>
        </w:r>
      </w:hyperlink>
    </w:p>
    <w:p w14:paraId="20CF5C5B" w14:textId="0F8FDBF8" w:rsidR="001117BB" w:rsidRDefault="001117BB">
      <w:pPr>
        <w:pStyle w:val="TOC1"/>
        <w:rPr>
          <w:rFonts w:asciiTheme="minorHAnsi" w:eastAsiaTheme="minorEastAsia" w:hAnsiTheme="minorHAnsi" w:cstheme="minorBidi"/>
          <w:b w:val="0"/>
          <w:color w:val="auto"/>
        </w:rPr>
      </w:pPr>
      <w:hyperlink w:anchor="_Toc134221027" w:history="1">
        <w:r w:rsidRPr="00B47E56">
          <w:rPr>
            <w:rStyle w:val="Hyperlink"/>
          </w:rPr>
          <w:t>Chapter</w:t>
        </w:r>
        <w:r w:rsidRPr="00B47E56">
          <w:rPr>
            <w:rStyle w:val="Hyperlink"/>
            <w:spacing w:val="-26"/>
          </w:rPr>
          <w:t xml:space="preserve"> </w:t>
        </w:r>
        <w:r w:rsidRPr="00B47E56">
          <w:rPr>
            <w:rStyle w:val="Hyperlink"/>
          </w:rPr>
          <w:t>5:</w:t>
        </w:r>
        <w:r w:rsidRPr="00B47E56">
          <w:rPr>
            <w:rStyle w:val="Hyperlink"/>
            <w:spacing w:val="-26"/>
          </w:rPr>
          <w:t xml:space="preserve"> </w:t>
        </w:r>
        <w:r w:rsidRPr="00B47E56">
          <w:rPr>
            <w:rStyle w:val="Hyperlink"/>
          </w:rPr>
          <w:t>More</w:t>
        </w:r>
        <w:r w:rsidRPr="00B47E56">
          <w:rPr>
            <w:rStyle w:val="Hyperlink"/>
            <w:spacing w:val="-26"/>
          </w:rPr>
          <w:t xml:space="preserve"> </w:t>
        </w:r>
        <w:r w:rsidRPr="00B47E56">
          <w:rPr>
            <w:rStyle w:val="Hyperlink"/>
          </w:rPr>
          <w:t>robust corporate</w:t>
        </w:r>
        <w:r w:rsidRPr="00B47E56">
          <w:rPr>
            <w:rStyle w:val="Hyperlink"/>
            <w:spacing w:val="-11"/>
          </w:rPr>
          <w:t xml:space="preserve"> </w:t>
        </w:r>
        <w:r w:rsidRPr="00B47E56">
          <w:rPr>
            <w:rStyle w:val="Hyperlink"/>
          </w:rPr>
          <w:t>governance</w:t>
        </w:r>
        <w:r>
          <w:rPr>
            <w:webHidden/>
          </w:rPr>
          <w:tab/>
        </w:r>
        <w:r>
          <w:rPr>
            <w:webHidden/>
          </w:rPr>
          <w:fldChar w:fldCharType="begin"/>
        </w:r>
        <w:r>
          <w:rPr>
            <w:webHidden/>
          </w:rPr>
          <w:instrText xml:space="preserve"> PAGEREF _Toc134221027 \h </w:instrText>
        </w:r>
        <w:r>
          <w:rPr>
            <w:webHidden/>
          </w:rPr>
        </w:r>
        <w:r>
          <w:rPr>
            <w:webHidden/>
          </w:rPr>
          <w:fldChar w:fldCharType="separate"/>
        </w:r>
        <w:r w:rsidR="00523E3C">
          <w:rPr>
            <w:webHidden/>
          </w:rPr>
          <w:t>171</w:t>
        </w:r>
        <w:r>
          <w:rPr>
            <w:webHidden/>
          </w:rPr>
          <w:fldChar w:fldCharType="end"/>
        </w:r>
      </w:hyperlink>
    </w:p>
    <w:p w14:paraId="4E16D5A4" w14:textId="35D52185" w:rsidR="001117BB" w:rsidRDefault="001117BB">
      <w:pPr>
        <w:pStyle w:val="TOC2"/>
        <w:rPr>
          <w:rFonts w:asciiTheme="minorHAnsi" w:eastAsiaTheme="minorEastAsia" w:hAnsiTheme="minorHAnsi" w:cstheme="minorBidi"/>
          <w:color w:val="auto"/>
          <w:szCs w:val="22"/>
        </w:rPr>
      </w:pPr>
      <w:hyperlink w:anchor="_Toc134221028" w:history="1">
        <w:r w:rsidRPr="00B47E56">
          <w:rPr>
            <w:rStyle w:val="Hyperlink"/>
          </w:rPr>
          <w:t>Recommendation</w:t>
        </w:r>
        <w:r w:rsidRPr="00B47E56">
          <w:rPr>
            <w:rStyle w:val="Hyperlink"/>
            <w:spacing w:val="-12"/>
          </w:rPr>
          <w:t xml:space="preserve"> </w:t>
        </w:r>
        <w:r w:rsidRPr="00B47E56">
          <w:rPr>
            <w:rStyle w:val="Hyperlink"/>
          </w:rPr>
          <w:t>in</w:t>
        </w:r>
        <w:r w:rsidRPr="00B47E56">
          <w:rPr>
            <w:rStyle w:val="Hyperlink"/>
            <w:spacing w:val="-11"/>
          </w:rPr>
          <w:t xml:space="preserve"> </w:t>
        </w:r>
        <w:r w:rsidRPr="00B47E56">
          <w:rPr>
            <w:rStyle w:val="Hyperlink"/>
          </w:rPr>
          <w:t>this</w:t>
        </w:r>
        <w:r w:rsidRPr="00B47E56">
          <w:rPr>
            <w:rStyle w:val="Hyperlink"/>
            <w:spacing w:val="-11"/>
          </w:rPr>
          <w:t xml:space="preserve"> </w:t>
        </w:r>
        <w:r w:rsidRPr="00B47E56">
          <w:rPr>
            <w:rStyle w:val="Hyperlink"/>
          </w:rPr>
          <w:t>chapter</w:t>
        </w:r>
        <w:r>
          <w:rPr>
            <w:webHidden/>
          </w:rPr>
          <w:tab/>
        </w:r>
        <w:r>
          <w:rPr>
            <w:webHidden/>
          </w:rPr>
          <w:fldChar w:fldCharType="begin"/>
        </w:r>
        <w:r>
          <w:rPr>
            <w:webHidden/>
          </w:rPr>
          <w:instrText xml:space="preserve"> PAGEREF _Toc134221028 \h </w:instrText>
        </w:r>
        <w:r>
          <w:rPr>
            <w:webHidden/>
          </w:rPr>
        </w:r>
        <w:r>
          <w:rPr>
            <w:webHidden/>
          </w:rPr>
          <w:fldChar w:fldCharType="separate"/>
        </w:r>
        <w:r w:rsidR="00523E3C">
          <w:rPr>
            <w:webHidden/>
          </w:rPr>
          <w:t>173</w:t>
        </w:r>
        <w:r>
          <w:rPr>
            <w:webHidden/>
          </w:rPr>
          <w:fldChar w:fldCharType="end"/>
        </w:r>
      </w:hyperlink>
    </w:p>
    <w:p w14:paraId="5D0ED276" w14:textId="108D5F23" w:rsidR="001117BB" w:rsidRDefault="001117BB">
      <w:pPr>
        <w:pStyle w:val="TOC2"/>
        <w:rPr>
          <w:rFonts w:asciiTheme="minorHAnsi" w:eastAsiaTheme="minorEastAsia" w:hAnsiTheme="minorHAnsi" w:cstheme="minorBidi"/>
          <w:color w:val="auto"/>
          <w:szCs w:val="22"/>
        </w:rPr>
      </w:pPr>
      <w:hyperlink w:anchor="_Toc134221029" w:history="1">
        <w:r w:rsidRPr="00B47E56">
          <w:rPr>
            <w:rStyle w:val="Hyperlink"/>
          </w:rPr>
          <w:t>The</w:t>
        </w:r>
        <w:r w:rsidRPr="00B47E56">
          <w:rPr>
            <w:rStyle w:val="Hyperlink"/>
            <w:spacing w:val="-13"/>
          </w:rPr>
          <w:t xml:space="preserve"> </w:t>
        </w:r>
        <w:r w:rsidRPr="00B47E56">
          <w:rPr>
            <w:rStyle w:val="Hyperlink"/>
          </w:rPr>
          <w:t>RBA’s</w:t>
        </w:r>
        <w:r w:rsidRPr="00B47E56">
          <w:rPr>
            <w:rStyle w:val="Hyperlink"/>
            <w:spacing w:val="-12"/>
          </w:rPr>
          <w:t xml:space="preserve"> </w:t>
        </w:r>
        <w:r w:rsidRPr="00B47E56">
          <w:rPr>
            <w:rStyle w:val="Hyperlink"/>
          </w:rPr>
          <w:t>corporate</w:t>
        </w:r>
        <w:r w:rsidRPr="00B47E56">
          <w:rPr>
            <w:rStyle w:val="Hyperlink"/>
            <w:spacing w:val="-13"/>
          </w:rPr>
          <w:t xml:space="preserve"> </w:t>
        </w:r>
        <w:r w:rsidRPr="00B47E56">
          <w:rPr>
            <w:rStyle w:val="Hyperlink"/>
          </w:rPr>
          <w:t>governance</w:t>
        </w:r>
        <w:r w:rsidRPr="00B47E56">
          <w:rPr>
            <w:rStyle w:val="Hyperlink"/>
            <w:spacing w:val="-12"/>
          </w:rPr>
          <w:t xml:space="preserve"> </w:t>
        </w:r>
        <w:r w:rsidRPr="00B47E56">
          <w:rPr>
            <w:rStyle w:val="Hyperlink"/>
          </w:rPr>
          <w:t>arrangements</w:t>
        </w:r>
        <w:r>
          <w:rPr>
            <w:webHidden/>
          </w:rPr>
          <w:tab/>
        </w:r>
        <w:r>
          <w:rPr>
            <w:webHidden/>
          </w:rPr>
          <w:fldChar w:fldCharType="begin"/>
        </w:r>
        <w:r>
          <w:rPr>
            <w:webHidden/>
          </w:rPr>
          <w:instrText xml:space="preserve"> PAGEREF _Toc134221029 \h </w:instrText>
        </w:r>
        <w:r>
          <w:rPr>
            <w:webHidden/>
          </w:rPr>
        </w:r>
        <w:r>
          <w:rPr>
            <w:webHidden/>
          </w:rPr>
          <w:fldChar w:fldCharType="separate"/>
        </w:r>
        <w:r w:rsidR="00523E3C">
          <w:rPr>
            <w:webHidden/>
          </w:rPr>
          <w:t>174</w:t>
        </w:r>
        <w:r>
          <w:rPr>
            <w:webHidden/>
          </w:rPr>
          <w:fldChar w:fldCharType="end"/>
        </w:r>
      </w:hyperlink>
    </w:p>
    <w:p w14:paraId="1CACE990" w14:textId="5B3458A0" w:rsidR="001117BB" w:rsidRDefault="001117BB">
      <w:pPr>
        <w:pStyle w:val="TOC2"/>
        <w:rPr>
          <w:rFonts w:asciiTheme="minorHAnsi" w:eastAsiaTheme="minorEastAsia" w:hAnsiTheme="minorHAnsi" w:cstheme="minorBidi"/>
          <w:color w:val="auto"/>
          <w:szCs w:val="22"/>
        </w:rPr>
      </w:pPr>
      <w:hyperlink w:anchor="_Toc134221030" w:history="1">
        <w:r w:rsidRPr="00B47E56">
          <w:rPr>
            <w:rStyle w:val="Hyperlink"/>
          </w:rPr>
          <w:t>Recommendation</w:t>
        </w:r>
        <w:r w:rsidRPr="00B47E56">
          <w:rPr>
            <w:rStyle w:val="Hyperlink"/>
            <w:spacing w:val="-9"/>
          </w:rPr>
          <w:t xml:space="preserve"> </w:t>
        </w:r>
        <w:r w:rsidRPr="00B47E56">
          <w:rPr>
            <w:rStyle w:val="Hyperlink"/>
          </w:rPr>
          <w:t>12:</w:t>
        </w:r>
        <w:r w:rsidRPr="00B47E56">
          <w:rPr>
            <w:rStyle w:val="Hyperlink"/>
            <w:spacing w:val="-9"/>
          </w:rPr>
          <w:t xml:space="preserve"> </w:t>
        </w:r>
        <w:r w:rsidRPr="00B47E56">
          <w:rPr>
            <w:rStyle w:val="Hyperlink"/>
          </w:rPr>
          <w:t>Update</w:t>
        </w:r>
        <w:r w:rsidRPr="00B47E56">
          <w:rPr>
            <w:rStyle w:val="Hyperlink"/>
            <w:spacing w:val="-9"/>
          </w:rPr>
          <w:t xml:space="preserve"> </w:t>
        </w:r>
        <w:r w:rsidRPr="00B47E56">
          <w:rPr>
            <w:rStyle w:val="Hyperlink"/>
          </w:rPr>
          <w:t>RBA</w:t>
        </w:r>
        <w:r w:rsidRPr="00B47E56">
          <w:rPr>
            <w:rStyle w:val="Hyperlink"/>
            <w:spacing w:val="-9"/>
          </w:rPr>
          <w:t xml:space="preserve"> </w:t>
        </w:r>
        <w:r w:rsidRPr="00B47E56">
          <w:rPr>
            <w:rStyle w:val="Hyperlink"/>
          </w:rPr>
          <w:t>oversight</w:t>
        </w:r>
        <w:r w:rsidRPr="00B47E56">
          <w:rPr>
            <w:rStyle w:val="Hyperlink"/>
            <w:spacing w:val="-9"/>
          </w:rPr>
          <w:t xml:space="preserve"> </w:t>
        </w:r>
        <w:r w:rsidRPr="00B47E56">
          <w:rPr>
            <w:rStyle w:val="Hyperlink"/>
          </w:rPr>
          <w:t>and accountability</w:t>
        </w:r>
        <w:r w:rsidRPr="00B47E56">
          <w:rPr>
            <w:rStyle w:val="Hyperlink"/>
            <w:spacing w:val="-12"/>
          </w:rPr>
          <w:t xml:space="preserve"> </w:t>
        </w:r>
        <w:r w:rsidRPr="00B47E56">
          <w:rPr>
            <w:rStyle w:val="Hyperlink"/>
          </w:rPr>
          <w:t>by</w:t>
        </w:r>
        <w:r w:rsidRPr="00B47E56">
          <w:rPr>
            <w:rStyle w:val="Hyperlink"/>
            <w:spacing w:val="-12"/>
          </w:rPr>
          <w:t xml:space="preserve"> </w:t>
        </w:r>
        <w:r w:rsidRPr="00B47E56">
          <w:rPr>
            <w:rStyle w:val="Hyperlink"/>
          </w:rPr>
          <w:t>establishing</w:t>
        </w:r>
        <w:r w:rsidRPr="00B47E56">
          <w:rPr>
            <w:rStyle w:val="Hyperlink"/>
            <w:spacing w:val="-12"/>
          </w:rPr>
          <w:t xml:space="preserve"> </w:t>
        </w:r>
        <w:r w:rsidRPr="00B47E56">
          <w:rPr>
            <w:rStyle w:val="Hyperlink"/>
          </w:rPr>
          <w:t>a</w:t>
        </w:r>
        <w:r w:rsidRPr="00B47E56">
          <w:rPr>
            <w:rStyle w:val="Hyperlink"/>
            <w:spacing w:val="-12"/>
          </w:rPr>
          <w:t xml:space="preserve"> </w:t>
        </w:r>
        <w:r w:rsidRPr="00B47E56">
          <w:rPr>
            <w:rStyle w:val="Hyperlink"/>
          </w:rPr>
          <w:t>Governance</w:t>
        </w:r>
        <w:r w:rsidRPr="00B47E56">
          <w:rPr>
            <w:rStyle w:val="Hyperlink"/>
            <w:spacing w:val="-12"/>
          </w:rPr>
          <w:t xml:space="preserve"> </w:t>
        </w:r>
        <w:r w:rsidRPr="00B47E56">
          <w:rPr>
            <w:rStyle w:val="Hyperlink"/>
          </w:rPr>
          <w:t>Board</w:t>
        </w:r>
        <w:r>
          <w:rPr>
            <w:webHidden/>
          </w:rPr>
          <w:tab/>
        </w:r>
        <w:r>
          <w:rPr>
            <w:webHidden/>
          </w:rPr>
          <w:fldChar w:fldCharType="begin"/>
        </w:r>
        <w:r>
          <w:rPr>
            <w:webHidden/>
          </w:rPr>
          <w:instrText xml:space="preserve"> PAGEREF _Toc134221030 \h </w:instrText>
        </w:r>
        <w:r>
          <w:rPr>
            <w:webHidden/>
          </w:rPr>
        </w:r>
        <w:r>
          <w:rPr>
            <w:webHidden/>
          </w:rPr>
          <w:fldChar w:fldCharType="separate"/>
        </w:r>
        <w:r w:rsidR="00523E3C">
          <w:rPr>
            <w:webHidden/>
          </w:rPr>
          <w:t>179</w:t>
        </w:r>
        <w:r>
          <w:rPr>
            <w:webHidden/>
          </w:rPr>
          <w:fldChar w:fldCharType="end"/>
        </w:r>
      </w:hyperlink>
    </w:p>
    <w:p w14:paraId="3088F3FC" w14:textId="58E7098A" w:rsidR="001117BB" w:rsidRDefault="001117BB">
      <w:pPr>
        <w:pStyle w:val="TOC1"/>
        <w:rPr>
          <w:rFonts w:asciiTheme="minorHAnsi" w:eastAsiaTheme="minorEastAsia" w:hAnsiTheme="minorHAnsi" w:cstheme="minorBidi"/>
          <w:b w:val="0"/>
          <w:color w:val="auto"/>
        </w:rPr>
      </w:pPr>
      <w:hyperlink w:anchor="_Toc134221031" w:history="1">
        <w:r w:rsidRPr="00B47E56">
          <w:rPr>
            <w:rStyle w:val="Hyperlink"/>
          </w:rPr>
          <w:t>Chapter</w:t>
        </w:r>
        <w:r w:rsidRPr="00B47E56">
          <w:rPr>
            <w:rStyle w:val="Hyperlink"/>
            <w:spacing w:val="-6"/>
          </w:rPr>
          <w:t xml:space="preserve"> </w:t>
        </w:r>
        <w:r w:rsidRPr="00B47E56">
          <w:rPr>
            <w:rStyle w:val="Hyperlink"/>
          </w:rPr>
          <w:t>6:</w:t>
        </w:r>
        <w:r w:rsidRPr="00B47E56">
          <w:rPr>
            <w:rStyle w:val="Hyperlink"/>
            <w:spacing w:val="-6"/>
          </w:rPr>
          <w:t xml:space="preserve"> </w:t>
        </w:r>
        <w:r w:rsidRPr="00B47E56">
          <w:rPr>
            <w:rStyle w:val="Hyperlink"/>
          </w:rPr>
          <w:t>RBA</w:t>
        </w:r>
        <w:r w:rsidRPr="00B47E56">
          <w:rPr>
            <w:rStyle w:val="Hyperlink"/>
            <w:spacing w:val="-6"/>
          </w:rPr>
          <w:t xml:space="preserve"> </w:t>
        </w:r>
        <w:r w:rsidRPr="00B47E56">
          <w:rPr>
            <w:rStyle w:val="Hyperlink"/>
          </w:rPr>
          <w:t>leaders</w:t>
        </w:r>
        <w:r w:rsidRPr="00B47E56">
          <w:rPr>
            <w:rStyle w:val="Hyperlink"/>
            <w:spacing w:val="-6"/>
          </w:rPr>
          <w:t xml:space="preserve"> </w:t>
        </w:r>
        <w:r w:rsidRPr="00B47E56">
          <w:rPr>
            <w:rStyle w:val="Hyperlink"/>
          </w:rPr>
          <w:t>drive institutional</w:t>
        </w:r>
        <w:r w:rsidRPr="00B47E56">
          <w:rPr>
            <w:rStyle w:val="Hyperlink"/>
            <w:spacing w:val="-17"/>
          </w:rPr>
          <w:t xml:space="preserve"> </w:t>
        </w:r>
        <w:r w:rsidRPr="00B47E56">
          <w:rPr>
            <w:rStyle w:val="Hyperlink"/>
          </w:rPr>
          <w:t>and</w:t>
        </w:r>
        <w:r w:rsidRPr="00B47E56">
          <w:rPr>
            <w:rStyle w:val="Hyperlink"/>
            <w:spacing w:val="-17"/>
          </w:rPr>
          <w:t xml:space="preserve"> </w:t>
        </w:r>
        <w:r w:rsidRPr="00B47E56">
          <w:rPr>
            <w:rStyle w:val="Hyperlink"/>
          </w:rPr>
          <w:t>cultural</w:t>
        </w:r>
        <w:r w:rsidRPr="00B47E56">
          <w:rPr>
            <w:rStyle w:val="Hyperlink"/>
            <w:spacing w:val="-17"/>
          </w:rPr>
          <w:t xml:space="preserve"> </w:t>
        </w:r>
        <w:r w:rsidRPr="00B47E56">
          <w:rPr>
            <w:rStyle w:val="Hyperlink"/>
          </w:rPr>
          <w:t>change</w:t>
        </w:r>
        <w:r>
          <w:rPr>
            <w:webHidden/>
          </w:rPr>
          <w:tab/>
        </w:r>
        <w:r>
          <w:rPr>
            <w:webHidden/>
          </w:rPr>
          <w:fldChar w:fldCharType="begin"/>
        </w:r>
        <w:r>
          <w:rPr>
            <w:webHidden/>
          </w:rPr>
          <w:instrText xml:space="preserve"> PAGEREF _Toc134221031 \h </w:instrText>
        </w:r>
        <w:r>
          <w:rPr>
            <w:webHidden/>
          </w:rPr>
        </w:r>
        <w:r>
          <w:rPr>
            <w:webHidden/>
          </w:rPr>
          <w:fldChar w:fldCharType="separate"/>
        </w:r>
        <w:r w:rsidR="00523E3C">
          <w:rPr>
            <w:webHidden/>
          </w:rPr>
          <w:t>189</w:t>
        </w:r>
        <w:r>
          <w:rPr>
            <w:webHidden/>
          </w:rPr>
          <w:fldChar w:fldCharType="end"/>
        </w:r>
      </w:hyperlink>
    </w:p>
    <w:p w14:paraId="1104C6A4" w14:textId="06419777" w:rsidR="001117BB" w:rsidRDefault="001117BB">
      <w:pPr>
        <w:pStyle w:val="TOC2"/>
        <w:rPr>
          <w:rFonts w:asciiTheme="minorHAnsi" w:eastAsiaTheme="minorEastAsia" w:hAnsiTheme="minorHAnsi" w:cstheme="minorBidi"/>
          <w:color w:val="auto"/>
          <w:szCs w:val="22"/>
        </w:rPr>
      </w:pPr>
      <w:hyperlink w:anchor="_Toc134221032" w:history="1">
        <w:r w:rsidRPr="00B47E56">
          <w:rPr>
            <w:rStyle w:val="Hyperlink"/>
          </w:rPr>
          <w:t>Recommendation</w:t>
        </w:r>
        <w:r w:rsidRPr="00B47E56">
          <w:rPr>
            <w:rStyle w:val="Hyperlink"/>
            <w:spacing w:val="-11"/>
          </w:rPr>
          <w:t xml:space="preserve"> </w:t>
        </w:r>
        <w:r w:rsidRPr="00B47E56">
          <w:rPr>
            <w:rStyle w:val="Hyperlink"/>
          </w:rPr>
          <w:t>13:</w:t>
        </w:r>
        <w:r w:rsidRPr="00B47E56">
          <w:rPr>
            <w:rStyle w:val="Hyperlink"/>
            <w:spacing w:val="-11"/>
          </w:rPr>
          <w:t xml:space="preserve"> </w:t>
        </w:r>
        <w:r w:rsidRPr="00B47E56">
          <w:rPr>
            <w:rStyle w:val="Hyperlink"/>
          </w:rPr>
          <w:t>RBA</w:t>
        </w:r>
        <w:r w:rsidRPr="00B47E56">
          <w:rPr>
            <w:rStyle w:val="Hyperlink"/>
            <w:spacing w:val="-11"/>
          </w:rPr>
          <w:t xml:space="preserve"> </w:t>
        </w:r>
        <w:r w:rsidRPr="00B47E56">
          <w:rPr>
            <w:rStyle w:val="Hyperlink"/>
          </w:rPr>
          <w:t>leaders</w:t>
        </w:r>
        <w:r w:rsidRPr="00B47E56">
          <w:rPr>
            <w:rStyle w:val="Hyperlink"/>
            <w:spacing w:val="-11"/>
          </w:rPr>
          <w:t xml:space="preserve"> </w:t>
        </w:r>
        <w:r w:rsidRPr="00B47E56">
          <w:rPr>
            <w:rStyle w:val="Hyperlink"/>
          </w:rPr>
          <w:t>should</w:t>
        </w:r>
        <w:r w:rsidRPr="00B47E56">
          <w:rPr>
            <w:rStyle w:val="Hyperlink"/>
            <w:spacing w:val="-11"/>
          </w:rPr>
          <w:t xml:space="preserve"> </w:t>
        </w:r>
        <w:r w:rsidRPr="00B47E56">
          <w:rPr>
            <w:rStyle w:val="Hyperlink"/>
          </w:rPr>
          <w:t>drive</w:t>
        </w:r>
        <w:r w:rsidRPr="00B47E56">
          <w:rPr>
            <w:rStyle w:val="Hyperlink"/>
            <w:spacing w:val="-11"/>
          </w:rPr>
          <w:t xml:space="preserve"> </w:t>
        </w:r>
        <w:r w:rsidRPr="00B47E56">
          <w:rPr>
            <w:rStyle w:val="Hyperlink"/>
          </w:rPr>
          <w:t>and measure change</w:t>
        </w:r>
        <w:r>
          <w:rPr>
            <w:webHidden/>
          </w:rPr>
          <w:tab/>
        </w:r>
        <w:r>
          <w:rPr>
            <w:webHidden/>
          </w:rPr>
          <w:fldChar w:fldCharType="begin"/>
        </w:r>
        <w:r>
          <w:rPr>
            <w:webHidden/>
          </w:rPr>
          <w:instrText xml:space="preserve"> PAGEREF _Toc134221032 \h </w:instrText>
        </w:r>
        <w:r>
          <w:rPr>
            <w:webHidden/>
          </w:rPr>
        </w:r>
        <w:r>
          <w:rPr>
            <w:webHidden/>
          </w:rPr>
          <w:fldChar w:fldCharType="separate"/>
        </w:r>
        <w:r w:rsidR="00523E3C">
          <w:rPr>
            <w:webHidden/>
          </w:rPr>
          <w:t>190</w:t>
        </w:r>
        <w:r>
          <w:rPr>
            <w:webHidden/>
          </w:rPr>
          <w:fldChar w:fldCharType="end"/>
        </w:r>
      </w:hyperlink>
    </w:p>
    <w:p w14:paraId="7F454EFA" w14:textId="7A9B1D3E" w:rsidR="001117BB" w:rsidRDefault="001117BB">
      <w:pPr>
        <w:pStyle w:val="TOC1"/>
        <w:rPr>
          <w:rFonts w:asciiTheme="minorHAnsi" w:eastAsiaTheme="minorEastAsia" w:hAnsiTheme="minorHAnsi" w:cstheme="minorBidi"/>
          <w:b w:val="0"/>
          <w:color w:val="auto"/>
        </w:rPr>
      </w:pPr>
      <w:hyperlink w:anchor="_Toc134221033" w:history="1">
        <w:r w:rsidRPr="00B47E56">
          <w:rPr>
            <w:rStyle w:val="Hyperlink"/>
          </w:rPr>
          <w:t>Chapter</w:t>
        </w:r>
        <w:r w:rsidRPr="00B47E56">
          <w:rPr>
            <w:rStyle w:val="Hyperlink"/>
            <w:spacing w:val="-21"/>
          </w:rPr>
          <w:t xml:space="preserve"> </w:t>
        </w:r>
        <w:r w:rsidRPr="00B47E56">
          <w:rPr>
            <w:rStyle w:val="Hyperlink"/>
          </w:rPr>
          <w:t>7:</w:t>
        </w:r>
        <w:r w:rsidRPr="00B47E56">
          <w:rPr>
            <w:rStyle w:val="Hyperlink"/>
            <w:spacing w:val="-20"/>
          </w:rPr>
          <w:t xml:space="preserve"> </w:t>
        </w:r>
        <w:r w:rsidRPr="00B47E56">
          <w:rPr>
            <w:rStyle w:val="Hyperlink"/>
          </w:rPr>
          <w:t>Implementing</w:t>
        </w:r>
        <w:r w:rsidRPr="00B47E56">
          <w:rPr>
            <w:rStyle w:val="Hyperlink"/>
            <w:spacing w:val="-20"/>
          </w:rPr>
          <w:t xml:space="preserve"> </w:t>
        </w:r>
        <w:r w:rsidRPr="00B47E56">
          <w:rPr>
            <w:rStyle w:val="Hyperlink"/>
          </w:rPr>
          <w:t>the</w:t>
        </w:r>
        <w:r w:rsidRPr="00B47E56">
          <w:rPr>
            <w:rStyle w:val="Hyperlink"/>
            <w:spacing w:val="-20"/>
          </w:rPr>
          <w:t xml:space="preserve"> </w:t>
        </w:r>
        <w:r w:rsidRPr="00B47E56">
          <w:rPr>
            <w:rStyle w:val="Hyperlink"/>
          </w:rPr>
          <w:t>Review</w:t>
        </w:r>
        <w:r>
          <w:rPr>
            <w:webHidden/>
          </w:rPr>
          <w:tab/>
        </w:r>
        <w:r>
          <w:rPr>
            <w:webHidden/>
          </w:rPr>
          <w:fldChar w:fldCharType="begin"/>
        </w:r>
        <w:r>
          <w:rPr>
            <w:webHidden/>
          </w:rPr>
          <w:instrText xml:space="preserve"> PAGEREF _Toc134221033 \h </w:instrText>
        </w:r>
        <w:r>
          <w:rPr>
            <w:webHidden/>
          </w:rPr>
        </w:r>
        <w:r>
          <w:rPr>
            <w:webHidden/>
          </w:rPr>
          <w:fldChar w:fldCharType="separate"/>
        </w:r>
        <w:r w:rsidR="00523E3C">
          <w:rPr>
            <w:webHidden/>
          </w:rPr>
          <w:t>196</w:t>
        </w:r>
        <w:r>
          <w:rPr>
            <w:webHidden/>
          </w:rPr>
          <w:fldChar w:fldCharType="end"/>
        </w:r>
      </w:hyperlink>
    </w:p>
    <w:p w14:paraId="20F3BF03" w14:textId="2E11257E" w:rsidR="001117BB" w:rsidRDefault="001117BB">
      <w:pPr>
        <w:pStyle w:val="TOC2"/>
        <w:rPr>
          <w:rFonts w:asciiTheme="minorHAnsi" w:eastAsiaTheme="minorEastAsia" w:hAnsiTheme="minorHAnsi" w:cstheme="minorBidi"/>
          <w:color w:val="auto"/>
          <w:szCs w:val="22"/>
        </w:rPr>
      </w:pPr>
      <w:hyperlink w:anchor="_Toc134221034" w:history="1">
        <w:r w:rsidRPr="00B47E56">
          <w:rPr>
            <w:rStyle w:val="Hyperlink"/>
          </w:rPr>
          <w:t>Recommendation 14: Ensure continuity through the implementation process</w:t>
        </w:r>
        <w:r>
          <w:rPr>
            <w:webHidden/>
          </w:rPr>
          <w:tab/>
        </w:r>
        <w:r>
          <w:rPr>
            <w:webHidden/>
          </w:rPr>
          <w:fldChar w:fldCharType="begin"/>
        </w:r>
        <w:r>
          <w:rPr>
            <w:webHidden/>
          </w:rPr>
          <w:instrText xml:space="preserve"> PAGEREF _Toc134221034 \h </w:instrText>
        </w:r>
        <w:r>
          <w:rPr>
            <w:webHidden/>
          </w:rPr>
        </w:r>
        <w:r>
          <w:rPr>
            <w:webHidden/>
          </w:rPr>
          <w:fldChar w:fldCharType="separate"/>
        </w:r>
        <w:r w:rsidR="00523E3C">
          <w:rPr>
            <w:webHidden/>
          </w:rPr>
          <w:t>197</w:t>
        </w:r>
        <w:r>
          <w:rPr>
            <w:webHidden/>
          </w:rPr>
          <w:fldChar w:fldCharType="end"/>
        </w:r>
      </w:hyperlink>
    </w:p>
    <w:p w14:paraId="41F3A909" w14:textId="16D31BA3" w:rsidR="001117BB" w:rsidRDefault="001117BB">
      <w:pPr>
        <w:pStyle w:val="TOC2"/>
        <w:rPr>
          <w:rFonts w:asciiTheme="minorHAnsi" w:eastAsiaTheme="minorEastAsia" w:hAnsiTheme="minorHAnsi" w:cstheme="minorBidi"/>
          <w:color w:val="auto"/>
          <w:szCs w:val="22"/>
        </w:rPr>
      </w:pPr>
      <w:hyperlink w:anchor="_Toc134221035" w:history="1">
        <w:r w:rsidRPr="00B47E56">
          <w:rPr>
            <w:rStyle w:val="Hyperlink"/>
          </w:rPr>
          <w:t>Implementing</w:t>
        </w:r>
        <w:r w:rsidRPr="00B47E56">
          <w:rPr>
            <w:rStyle w:val="Hyperlink"/>
            <w:spacing w:val="-10"/>
          </w:rPr>
          <w:t xml:space="preserve"> </w:t>
        </w:r>
        <w:r w:rsidRPr="00B47E56">
          <w:rPr>
            <w:rStyle w:val="Hyperlink"/>
          </w:rPr>
          <w:t>the</w:t>
        </w:r>
        <w:r w:rsidRPr="00B47E56">
          <w:rPr>
            <w:rStyle w:val="Hyperlink"/>
            <w:spacing w:val="-10"/>
          </w:rPr>
          <w:t xml:space="preserve"> </w:t>
        </w:r>
        <w:r w:rsidRPr="00B47E56">
          <w:rPr>
            <w:rStyle w:val="Hyperlink"/>
          </w:rPr>
          <w:t>Review</w:t>
        </w:r>
        <w:r w:rsidRPr="00B47E56">
          <w:rPr>
            <w:rStyle w:val="Hyperlink"/>
            <w:spacing w:val="-10"/>
          </w:rPr>
          <w:t xml:space="preserve"> </w:t>
        </w:r>
        <w:r w:rsidRPr="00B47E56">
          <w:rPr>
            <w:rStyle w:val="Hyperlink"/>
          </w:rPr>
          <w:t>without</w:t>
        </w:r>
        <w:r w:rsidRPr="00B47E56">
          <w:rPr>
            <w:rStyle w:val="Hyperlink"/>
            <w:spacing w:val="-10"/>
          </w:rPr>
          <w:t xml:space="preserve"> </w:t>
        </w:r>
        <w:r w:rsidRPr="00B47E56">
          <w:rPr>
            <w:rStyle w:val="Hyperlink"/>
          </w:rPr>
          <w:t>legislation</w:t>
        </w:r>
        <w:r>
          <w:rPr>
            <w:webHidden/>
          </w:rPr>
          <w:tab/>
        </w:r>
        <w:r>
          <w:rPr>
            <w:webHidden/>
          </w:rPr>
          <w:fldChar w:fldCharType="begin"/>
        </w:r>
        <w:r>
          <w:rPr>
            <w:webHidden/>
          </w:rPr>
          <w:instrText xml:space="preserve"> PAGEREF _Toc134221035 \h </w:instrText>
        </w:r>
        <w:r>
          <w:rPr>
            <w:webHidden/>
          </w:rPr>
        </w:r>
        <w:r>
          <w:rPr>
            <w:webHidden/>
          </w:rPr>
          <w:fldChar w:fldCharType="separate"/>
        </w:r>
        <w:r w:rsidR="00523E3C">
          <w:rPr>
            <w:webHidden/>
          </w:rPr>
          <w:t>200</w:t>
        </w:r>
        <w:r>
          <w:rPr>
            <w:webHidden/>
          </w:rPr>
          <w:fldChar w:fldCharType="end"/>
        </w:r>
      </w:hyperlink>
    </w:p>
    <w:p w14:paraId="3BA89B08" w14:textId="67ED75A2" w:rsidR="001117BB" w:rsidRDefault="001117BB">
      <w:pPr>
        <w:pStyle w:val="TOC1"/>
        <w:rPr>
          <w:rFonts w:asciiTheme="minorHAnsi" w:eastAsiaTheme="minorEastAsia" w:hAnsiTheme="minorHAnsi" w:cstheme="minorBidi"/>
          <w:b w:val="0"/>
          <w:color w:val="auto"/>
        </w:rPr>
      </w:pPr>
      <w:hyperlink w:anchor="_Toc134221036" w:history="1">
        <w:r w:rsidRPr="00B47E56">
          <w:rPr>
            <w:rStyle w:val="Hyperlink"/>
            <w:spacing w:val="-4"/>
          </w:rPr>
          <w:t>Appendix</w:t>
        </w:r>
        <w:r w:rsidRPr="00B47E56">
          <w:rPr>
            <w:rStyle w:val="Hyperlink"/>
            <w:spacing w:val="-19"/>
          </w:rPr>
          <w:t xml:space="preserve"> </w:t>
        </w:r>
        <w:r w:rsidRPr="00B47E56">
          <w:rPr>
            <w:rStyle w:val="Hyperlink"/>
            <w:spacing w:val="-5"/>
          </w:rPr>
          <w:t xml:space="preserve">1: </w:t>
        </w:r>
        <w:r w:rsidRPr="00B47E56">
          <w:rPr>
            <w:rStyle w:val="Hyperlink"/>
          </w:rPr>
          <w:t>Terms</w:t>
        </w:r>
        <w:r w:rsidRPr="00B47E56">
          <w:rPr>
            <w:rStyle w:val="Hyperlink"/>
            <w:spacing w:val="-25"/>
          </w:rPr>
          <w:t xml:space="preserve"> </w:t>
        </w:r>
        <w:r w:rsidRPr="00B47E56">
          <w:rPr>
            <w:rStyle w:val="Hyperlink"/>
          </w:rPr>
          <w:t>of</w:t>
        </w:r>
        <w:r w:rsidRPr="00B47E56">
          <w:rPr>
            <w:rStyle w:val="Hyperlink"/>
            <w:spacing w:val="-22"/>
          </w:rPr>
          <w:t xml:space="preserve"> </w:t>
        </w:r>
        <w:r w:rsidRPr="00B47E56">
          <w:rPr>
            <w:rStyle w:val="Hyperlink"/>
          </w:rPr>
          <w:t>Reference</w:t>
        </w:r>
        <w:r>
          <w:rPr>
            <w:webHidden/>
          </w:rPr>
          <w:tab/>
        </w:r>
        <w:r>
          <w:rPr>
            <w:webHidden/>
          </w:rPr>
          <w:fldChar w:fldCharType="begin"/>
        </w:r>
        <w:r>
          <w:rPr>
            <w:webHidden/>
          </w:rPr>
          <w:instrText xml:space="preserve"> PAGEREF _Toc134221036 \h </w:instrText>
        </w:r>
        <w:r>
          <w:rPr>
            <w:webHidden/>
          </w:rPr>
        </w:r>
        <w:r>
          <w:rPr>
            <w:webHidden/>
          </w:rPr>
          <w:fldChar w:fldCharType="separate"/>
        </w:r>
        <w:r w:rsidR="00523E3C">
          <w:rPr>
            <w:webHidden/>
          </w:rPr>
          <w:t>205</w:t>
        </w:r>
        <w:r>
          <w:rPr>
            <w:webHidden/>
          </w:rPr>
          <w:fldChar w:fldCharType="end"/>
        </w:r>
      </w:hyperlink>
    </w:p>
    <w:p w14:paraId="4E5056CD" w14:textId="2FB9E384" w:rsidR="001117BB" w:rsidRDefault="001117BB">
      <w:pPr>
        <w:pStyle w:val="TOC1"/>
        <w:rPr>
          <w:rFonts w:asciiTheme="minorHAnsi" w:eastAsiaTheme="minorEastAsia" w:hAnsiTheme="minorHAnsi" w:cstheme="minorBidi"/>
          <w:b w:val="0"/>
          <w:color w:val="auto"/>
        </w:rPr>
      </w:pPr>
      <w:hyperlink w:anchor="_Toc134221037" w:history="1">
        <w:r w:rsidRPr="00B47E56">
          <w:rPr>
            <w:rStyle w:val="Hyperlink"/>
          </w:rPr>
          <w:t xml:space="preserve">Appendix 2: Alternative </w:t>
        </w:r>
        <w:r w:rsidRPr="00B47E56">
          <w:rPr>
            <w:rStyle w:val="Hyperlink"/>
            <w:spacing w:val="-4"/>
          </w:rPr>
          <w:t>monetary</w:t>
        </w:r>
        <w:r w:rsidRPr="00B47E56">
          <w:rPr>
            <w:rStyle w:val="Hyperlink"/>
            <w:spacing w:val="-26"/>
          </w:rPr>
          <w:t xml:space="preserve"> </w:t>
        </w:r>
        <w:r w:rsidRPr="00B47E56">
          <w:rPr>
            <w:rStyle w:val="Hyperlink"/>
            <w:spacing w:val="-4"/>
          </w:rPr>
          <w:t>policy</w:t>
        </w:r>
        <w:r w:rsidRPr="00B47E56">
          <w:rPr>
            <w:rStyle w:val="Hyperlink"/>
            <w:spacing w:val="-26"/>
          </w:rPr>
          <w:t xml:space="preserve"> </w:t>
        </w:r>
        <w:r w:rsidRPr="00B47E56">
          <w:rPr>
            <w:rStyle w:val="Hyperlink"/>
          </w:rPr>
          <w:t>frameworks</w:t>
        </w:r>
        <w:r>
          <w:rPr>
            <w:webHidden/>
          </w:rPr>
          <w:tab/>
        </w:r>
        <w:r>
          <w:rPr>
            <w:webHidden/>
          </w:rPr>
          <w:fldChar w:fldCharType="begin"/>
        </w:r>
        <w:r>
          <w:rPr>
            <w:webHidden/>
          </w:rPr>
          <w:instrText xml:space="preserve"> PAGEREF _Toc134221037 \h </w:instrText>
        </w:r>
        <w:r>
          <w:rPr>
            <w:webHidden/>
          </w:rPr>
        </w:r>
        <w:r>
          <w:rPr>
            <w:webHidden/>
          </w:rPr>
          <w:fldChar w:fldCharType="separate"/>
        </w:r>
        <w:r w:rsidR="00523E3C">
          <w:rPr>
            <w:webHidden/>
          </w:rPr>
          <w:t>206</w:t>
        </w:r>
        <w:r>
          <w:rPr>
            <w:webHidden/>
          </w:rPr>
          <w:fldChar w:fldCharType="end"/>
        </w:r>
      </w:hyperlink>
    </w:p>
    <w:p w14:paraId="7FDC52E4" w14:textId="5D81F76E" w:rsidR="001117BB" w:rsidRDefault="001117BB">
      <w:pPr>
        <w:pStyle w:val="TOC1"/>
        <w:rPr>
          <w:rFonts w:asciiTheme="minorHAnsi" w:eastAsiaTheme="minorEastAsia" w:hAnsiTheme="minorHAnsi" w:cstheme="minorBidi"/>
          <w:b w:val="0"/>
          <w:color w:val="auto"/>
        </w:rPr>
      </w:pPr>
      <w:hyperlink w:anchor="_Toc134221042" w:history="1">
        <w:r w:rsidRPr="00B47E56">
          <w:rPr>
            <w:rStyle w:val="Hyperlink"/>
          </w:rPr>
          <w:t xml:space="preserve">Appendix 3: Table of </w:t>
        </w:r>
        <w:r w:rsidRPr="00B47E56">
          <w:rPr>
            <w:rStyle w:val="Hyperlink"/>
            <w:spacing w:val="-6"/>
          </w:rPr>
          <w:t>central</w:t>
        </w:r>
        <w:r w:rsidRPr="00B47E56">
          <w:rPr>
            <w:rStyle w:val="Hyperlink"/>
            <w:spacing w:val="-24"/>
          </w:rPr>
          <w:t xml:space="preserve"> </w:t>
        </w:r>
        <w:r w:rsidRPr="00B47E56">
          <w:rPr>
            <w:rStyle w:val="Hyperlink"/>
            <w:spacing w:val="-6"/>
          </w:rPr>
          <w:t>bank</w:t>
        </w:r>
        <w:r w:rsidRPr="00B47E56">
          <w:rPr>
            <w:rStyle w:val="Hyperlink"/>
            <w:spacing w:val="-24"/>
          </w:rPr>
          <w:t xml:space="preserve"> </w:t>
        </w:r>
        <w:r w:rsidRPr="00B47E56">
          <w:rPr>
            <w:rStyle w:val="Hyperlink"/>
            <w:spacing w:val="-6"/>
          </w:rPr>
          <w:t>objectives</w:t>
        </w:r>
        <w:r>
          <w:rPr>
            <w:webHidden/>
          </w:rPr>
          <w:tab/>
        </w:r>
        <w:r>
          <w:rPr>
            <w:webHidden/>
          </w:rPr>
          <w:fldChar w:fldCharType="begin"/>
        </w:r>
        <w:r>
          <w:rPr>
            <w:webHidden/>
          </w:rPr>
          <w:instrText xml:space="preserve"> PAGEREF _Toc134221042 \h </w:instrText>
        </w:r>
        <w:r>
          <w:rPr>
            <w:webHidden/>
          </w:rPr>
        </w:r>
        <w:r>
          <w:rPr>
            <w:webHidden/>
          </w:rPr>
          <w:fldChar w:fldCharType="separate"/>
        </w:r>
        <w:r w:rsidR="00523E3C">
          <w:rPr>
            <w:webHidden/>
          </w:rPr>
          <w:t>209</w:t>
        </w:r>
        <w:r>
          <w:rPr>
            <w:webHidden/>
          </w:rPr>
          <w:fldChar w:fldCharType="end"/>
        </w:r>
      </w:hyperlink>
    </w:p>
    <w:p w14:paraId="4264F3FB" w14:textId="7838EA3C" w:rsidR="001117BB" w:rsidRDefault="001117BB">
      <w:pPr>
        <w:pStyle w:val="TOC1"/>
        <w:rPr>
          <w:rFonts w:asciiTheme="minorHAnsi" w:eastAsiaTheme="minorEastAsia" w:hAnsiTheme="minorHAnsi" w:cstheme="minorBidi"/>
          <w:b w:val="0"/>
          <w:color w:val="auto"/>
        </w:rPr>
      </w:pPr>
      <w:hyperlink w:anchor="_Toc134221043" w:history="1">
        <w:r w:rsidRPr="00B47E56">
          <w:rPr>
            <w:rStyle w:val="Hyperlink"/>
          </w:rPr>
          <w:t>Appendix</w:t>
        </w:r>
        <w:r w:rsidRPr="00B47E56">
          <w:rPr>
            <w:rStyle w:val="Hyperlink"/>
            <w:spacing w:val="-23"/>
          </w:rPr>
          <w:t xml:space="preserve"> </w:t>
        </w:r>
        <w:r w:rsidRPr="00B47E56">
          <w:rPr>
            <w:rStyle w:val="Hyperlink"/>
          </w:rPr>
          <w:t>4:</w:t>
        </w:r>
        <w:r w:rsidRPr="00B47E56">
          <w:rPr>
            <w:rStyle w:val="Hyperlink"/>
            <w:spacing w:val="-21"/>
          </w:rPr>
          <w:t xml:space="preserve"> </w:t>
        </w:r>
        <w:r w:rsidRPr="00B47E56">
          <w:rPr>
            <w:rStyle w:val="Hyperlink"/>
          </w:rPr>
          <w:t>Methodology</w:t>
        </w:r>
        <w:r>
          <w:rPr>
            <w:webHidden/>
          </w:rPr>
          <w:tab/>
        </w:r>
        <w:r>
          <w:rPr>
            <w:webHidden/>
          </w:rPr>
          <w:fldChar w:fldCharType="begin"/>
        </w:r>
        <w:r>
          <w:rPr>
            <w:webHidden/>
          </w:rPr>
          <w:instrText xml:space="preserve"> PAGEREF _Toc134221043 \h </w:instrText>
        </w:r>
        <w:r>
          <w:rPr>
            <w:webHidden/>
          </w:rPr>
        </w:r>
        <w:r>
          <w:rPr>
            <w:webHidden/>
          </w:rPr>
          <w:fldChar w:fldCharType="separate"/>
        </w:r>
        <w:r w:rsidR="00523E3C">
          <w:rPr>
            <w:webHidden/>
          </w:rPr>
          <w:t>212</w:t>
        </w:r>
        <w:r>
          <w:rPr>
            <w:webHidden/>
          </w:rPr>
          <w:fldChar w:fldCharType="end"/>
        </w:r>
      </w:hyperlink>
    </w:p>
    <w:p w14:paraId="17464BD0" w14:textId="33E5408C" w:rsidR="001117BB" w:rsidRDefault="001117BB">
      <w:pPr>
        <w:pStyle w:val="TOC1"/>
        <w:rPr>
          <w:rFonts w:asciiTheme="minorHAnsi" w:eastAsiaTheme="minorEastAsia" w:hAnsiTheme="minorHAnsi" w:cstheme="minorBidi"/>
          <w:b w:val="0"/>
          <w:color w:val="auto"/>
        </w:rPr>
      </w:pPr>
      <w:hyperlink w:anchor="_Toc134221046" w:history="1">
        <w:r w:rsidRPr="00B47E56">
          <w:rPr>
            <w:rStyle w:val="Hyperlink"/>
          </w:rPr>
          <w:t>Appendix</w:t>
        </w:r>
        <w:r w:rsidRPr="00B47E56">
          <w:rPr>
            <w:rStyle w:val="Hyperlink"/>
            <w:spacing w:val="-26"/>
          </w:rPr>
          <w:t xml:space="preserve"> </w:t>
        </w:r>
        <w:r w:rsidRPr="00B47E56">
          <w:rPr>
            <w:rStyle w:val="Hyperlink"/>
          </w:rPr>
          <w:t>5:</w:t>
        </w:r>
        <w:r w:rsidRPr="00B47E56">
          <w:rPr>
            <w:rStyle w:val="Hyperlink"/>
            <w:spacing w:val="-25"/>
          </w:rPr>
          <w:t xml:space="preserve"> </w:t>
        </w:r>
        <w:r w:rsidRPr="00B47E56">
          <w:rPr>
            <w:rStyle w:val="Hyperlink"/>
          </w:rPr>
          <w:t>Glossary</w:t>
        </w:r>
        <w:r>
          <w:rPr>
            <w:webHidden/>
          </w:rPr>
          <w:tab/>
        </w:r>
        <w:r>
          <w:rPr>
            <w:webHidden/>
          </w:rPr>
          <w:fldChar w:fldCharType="begin"/>
        </w:r>
        <w:r>
          <w:rPr>
            <w:webHidden/>
          </w:rPr>
          <w:instrText xml:space="preserve"> PAGEREF _Toc134221046 \h </w:instrText>
        </w:r>
        <w:r>
          <w:rPr>
            <w:webHidden/>
          </w:rPr>
        </w:r>
        <w:r>
          <w:rPr>
            <w:webHidden/>
          </w:rPr>
          <w:fldChar w:fldCharType="separate"/>
        </w:r>
        <w:r w:rsidR="00523E3C">
          <w:rPr>
            <w:webHidden/>
          </w:rPr>
          <w:t>223</w:t>
        </w:r>
        <w:r>
          <w:rPr>
            <w:webHidden/>
          </w:rPr>
          <w:fldChar w:fldCharType="end"/>
        </w:r>
      </w:hyperlink>
    </w:p>
    <w:p w14:paraId="7ED71B56" w14:textId="37603448" w:rsidR="001117BB" w:rsidRDefault="001117BB">
      <w:pPr>
        <w:pStyle w:val="TOC1"/>
        <w:rPr>
          <w:rFonts w:asciiTheme="minorHAnsi" w:eastAsiaTheme="minorEastAsia" w:hAnsiTheme="minorHAnsi" w:cstheme="minorBidi"/>
          <w:b w:val="0"/>
          <w:color w:val="auto"/>
        </w:rPr>
      </w:pPr>
      <w:hyperlink w:anchor="_Toc134221047" w:history="1">
        <w:r w:rsidRPr="00B47E56">
          <w:rPr>
            <w:rStyle w:val="Hyperlink"/>
          </w:rPr>
          <w:t>Appendix 6: Bibliography</w:t>
        </w:r>
        <w:r>
          <w:rPr>
            <w:webHidden/>
          </w:rPr>
          <w:tab/>
        </w:r>
        <w:r>
          <w:rPr>
            <w:webHidden/>
          </w:rPr>
          <w:fldChar w:fldCharType="begin"/>
        </w:r>
        <w:r>
          <w:rPr>
            <w:webHidden/>
          </w:rPr>
          <w:instrText xml:space="preserve"> PAGEREF _Toc134221047 \h </w:instrText>
        </w:r>
        <w:r>
          <w:rPr>
            <w:webHidden/>
          </w:rPr>
        </w:r>
        <w:r>
          <w:rPr>
            <w:webHidden/>
          </w:rPr>
          <w:fldChar w:fldCharType="separate"/>
        </w:r>
        <w:r w:rsidR="00523E3C">
          <w:rPr>
            <w:webHidden/>
          </w:rPr>
          <w:t>228</w:t>
        </w:r>
        <w:r>
          <w:rPr>
            <w:webHidden/>
          </w:rPr>
          <w:fldChar w:fldCharType="end"/>
        </w:r>
      </w:hyperlink>
    </w:p>
    <w:p w14:paraId="7EA080D9" w14:textId="1D40BBF6" w:rsidR="00F836F9" w:rsidRDefault="001117BB" w:rsidP="0056582C">
      <w:pPr>
        <w:pStyle w:val="SingleParagraph"/>
        <w:ind w:right="-2"/>
      </w:pPr>
      <w:r>
        <w:rPr>
          <w:b/>
          <w:noProof/>
          <w:color w:val="004A7F"/>
          <w:szCs w:val="22"/>
        </w:rPr>
        <w:fldChar w:fldCharType="end"/>
      </w:r>
    </w:p>
    <w:p w14:paraId="6E7C04F5" w14:textId="77777777" w:rsidR="00B775EE" w:rsidRDefault="00B775EE" w:rsidP="0056582C">
      <w:pPr>
        <w:pStyle w:val="SingleParagraph"/>
        <w:ind w:right="-2"/>
      </w:pPr>
    </w:p>
    <w:p w14:paraId="25627BDE" w14:textId="77777777" w:rsidR="00B775EE" w:rsidRPr="00B775EE" w:rsidRDefault="00B775EE" w:rsidP="0056582C">
      <w:pPr>
        <w:pStyle w:val="SingleParagraph"/>
        <w:ind w:right="-2"/>
        <w:rPr>
          <w:b/>
          <w:bCs/>
        </w:rPr>
        <w:sectPr w:rsidR="00B775EE" w:rsidRPr="00B775EE" w:rsidSect="00B340F5">
          <w:headerReference w:type="even" r:id="rId15"/>
          <w:headerReference w:type="default" r:id="rId16"/>
          <w:footerReference w:type="even" r:id="rId17"/>
          <w:headerReference w:type="first" r:id="rId18"/>
          <w:footerReference w:type="first" r:id="rId19"/>
          <w:pgSz w:w="11906" w:h="16838" w:code="9"/>
          <w:pgMar w:top="1418" w:right="1418" w:bottom="1418" w:left="1418" w:header="709" w:footer="964" w:gutter="0"/>
          <w:pgNumType w:fmt="lowerRoman" w:start="3"/>
          <w:cols w:space="708"/>
          <w:titlePg/>
          <w:docGrid w:linePitch="360"/>
        </w:sectPr>
      </w:pPr>
    </w:p>
    <w:p w14:paraId="4E36C03A" w14:textId="77777777" w:rsidR="00475085" w:rsidRPr="00F045E0" w:rsidRDefault="00475085" w:rsidP="00D12C1B">
      <w:pPr>
        <w:pStyle w:val="Heading1"/>
        <w:spacing w:before="0"/>
      </w:pPr>
      <w:bookmarkStart w:id="3" w:name="_Toc134220979"/>
      <w:r w:rsidRPr="00F045E0">
        <w:lastRenderedPageBreak/>
        <w:t>Foreword</w:t>
      </w:r>
      <w:bookmarkEnd w:id="1"/>
      <w:bookmarkEnd w:id="2"/>
      <w:bookmarkEnd w:id="3"/>
    </w:p>
    <w:p w14:paraId="379BE85C" w14:textId="73F50D27" w:rsidR="00690FC3" w:rsidRDefault="00690FC3" w:rsidP="0015096A">
      <w:pPr>
        <w:spacing w:after="80"/>
      </w:pPr>
      <w:r>
        <w:t>The</w:t>
      </w:r>
      <w:r>
        <w:rPr>
          <w:spacing w:val="-1"/>
        </w:rPr>
        <w:t xml:space="preserve"> </w:t>
      </w:r>
      <w:r>
        <w:t>Reserve</w:t>
      </w:r>
      <w:r>
        <w:rPr>
          <w:spacing w:val="2"/>
        </w:rPr>
        <w:t xml:space="preserve"> </w:t>
      </w:r>
      <w:r>
        <w:t>Bank</w:t>
      </w:r>
      <w:r>
        <w:rPr>
          <w:spacing w:val="2"/>
        </w:rPr>
        <w:t xml:space="preserve"> </w:t>
      </w:r>
      <w:r>
        <w:t>of</w:t>
      </w:r>
      <w:r>
        <w:rPr>
          <w:spacing w:val="2"/>
        </w:rPr>
        <w:t xml:space="preserve"> </w:t>
      </w:r>
      <w:r>
        <w:t>Australia</w:t>
      </w:r>
      <w:r>
        <w:rPr>
          <w:spacing w:val="2"/>
        </w:rPr>
        <w:t xml:space="preserve"> </w:t>
      </w:r>
      <w:r>
        <w:t>(RBA)</w:t>
      </w:r>
      <w:r>
        <w:rPr>
          <w:spacing w:val="2"/>
        </w:rPr>
        <w:t xml:space="preserve"> </w:t>
      </w:r>
      <w:r>
        <w:t>is</w:t>
      </w:r>
      <w:r>
        <w:rPr>
          <w:spacing w:val="1"/>
        </w:rPr>
        <w:t xml:space="preserve"> </w:t>
      </w:r>
      <w:r>
        <w:t>a</w:t>
      </w:r>
      <w:r>
        <w:rPr>
          <w:spacing w:val="2"/>
        </w:rPr>
        <w:t xml:space="preserve"> </w:t>
      </w:r>
      <w:r>
        <w:t>central</w:t>
      </w:r>
      <w:r>
        <w:rPr>
          <w:spacing w:val="2"/>
        </w:rPr>
        <w:t xml:space="preserve"> </w:t>
      </w:r>
      <w:r>
        <w:t>piece</w:t>
      </w:r>
      <w:r>
        <w:rPr>
          <w:spacing w:val="2"/>
        </w:rPr>
        <w:t xml:space="preserve"> </w:t>
      </w:r>
      <w:r>
        <w:t>of</w:t>
      </w:r>
      <w:r>
        <w:rPr>
          <w:spacing w:val="2"/>
        </w:rPr>
        <w:t xml:space="preserve"> </w:t>
      </w:r>
      <w:r>
        <w:t>Australia’s</w:t>
      </w:r>
      <w:r>
        <w:rPr>
          <w:spacing w:val="2"/>
        </w:rPr>
        <w:t xml:space="preserve"> </w:t>
      </w:r>
      <w:r>
        <w:t>economic</w:t>
      </w:r>
      <w:r>
        <w:rPr>
          <w:spacing w:val="2"/>
        </w:rPr>
        <w:t xml:space="preserve"> </w:t>
      </w:r>
      <w:r>
        <w:rPr>
          <w:spacing w:val="-2"/>
        </w:rPr>
        <w:t>architecture.</w:t>
      </w:r>
      <w:r w:rsidR="00A80AA5">
        <w:rPr>
          <w:spacing w:val="-2"/>
        </w:rPr>
        <w:t xml:space="preserve"> </w:t>
      </w:r>
      <w:r>
        <w:t>It contributes to the welfare of Australians by supporting a strong macroeconomy that is resilient to a complex and changing economic environment. An important part of its role is to set monetary policy, which is a critical part of ensuring price stability and full employment.</w:t>
      </w:r>
    </w:p>
    <w:p w14:paraId="732DDD19" w14:textId="77777777" w:rsidR="00690FC3" w:rsidRDefault="00690FC3" w:rsidP="0015096A">
      <w:pPr>
        <w:spacing w:after="80"/>
      </w:pPr>
      <w:r>
        <w:t>In July 2022 the Treasurer, The Hon Dr Jim Chalmers, announced the Review of the Reserve Bank of Australia and set us an objective of identifying how to make the RBA ‘the world’s best and most effective central bank into the future’.</w:t>
      </w:r>
    </w:p>
    <w:p w14:paraId="17938E39" w14:textId="29B17299" w:rsidR="00690FC3" w:rsidRDefault="00690FC3" w:rsidP="0015096A">
      <w:pPr>
        <w:spacing w:after="80"/>
      </w:pPr>
      <w:r>
        <w:t>We</w:t>
      </w:r>
      <w:r>
        <w:rPr>
          <w:spacing w:val="2"/>
        </w:rPr>
        <w:t xml:space="preserve"> </w:t>
      </w:r>
      <w:r>
        <w:t>understand</w:t>
      </w:r>
      <w:r>
        <w:rPr>
          <w:spacing w:val="3"/>
        </w:rPr>
        <w:t xml:space="preserve"> </w:t>
      </w:r>
      <w:r>
        <w:t>the</w:t>
      </w:r>
      <w:r>
        <w:rPr>
          <w:spacing w:val="2"/>
        </w:rPr>
        <w:t xml:space="preserve"> </w:t>
      </w:r>
      <w:r>
        <w:t>gravity</w:t>
      </w:r>
      <w:r>
        <w:rPr>
          <w:spacing w:val="3"/>
        </w:rPr>
        <w:t xml:space="preserve"> </w:t>
      </w:r>
      <w:r>
        <w:t>of</w:t>
      </w:r>
      <w:r>
        <w:rPr>
          <w:spacing w:val="2"/>
        </w:rPr>
        <w:t xml:space="preserve"> </w:t>
      </w:r>
      <w:r>
        <w:t>the</w:t>
      </w:r>
      <w:r>
        <w:rPr>
          <w:spacing w:val="3"/>
        </w:rPr>
        <w:t xml:space="preserve"> </w:t>
      </w:r>
      <w:r>
        <w:t>task.</w:t>
      </w:r>
      <w:r>
        <w:rPr>
          <w:spacing w:val="2"/>
        </w:rPr>
        <w:t xml:space="preserve"> </w:t>
      </w:r>
      <w:r>
        <w:t>This</w:t>
      </w:r>
      <w:r>
        <w:rPr>
          <w:spacing w:val="3"/>
        </w:rPr>
        <w:t xml:space="preserve"> </w:t>
      </w:r>
      <w:r>
        <w:t>is</w:t>
      </w:r>
      <w:r>
        <w:rPr>
          <w:spacing w:val="2"/>
        </w:rPr>
        <w:t xml:space="preserve"> </w:t>
      </w:r>
      <w:r>
        <w:t>the</w:t>
      </w:r>
      <w:r>
        <w:rPr>
          <w:spacing w:val="3"/>
        </w:rPr>
        <w:t xml:space="preserve"> </w:t>
      </w:r>
      <w:r>
        <w:t>first</w:t>
      </w:r>
      <w:r>
        <w:rPr>
          <w:spacing w:val="2"/>
        </w:rPr>
        <w:t xml:space="preserve"> </w:t>
      </w:r>
      <w:r>
        <w:t>independent</w:t>
      </w:r>
      <w:r>
        <w:rPr>
          <w:spacing w:val="3"/>
        </w:rPr>
        <w:t xml:space="preserve"> </w:t>
      </w:r>
      <w:r>
        <w:t>and</w:t>
      </w:r>
      <w:r>
        <w:rPr>
          <w:spacing w:val="2"/>
        </w:rPr>
        <w:t xml:space="preserve"> </w:t>
      </w:r>
      <w:r>
        <w:t>comprehensive</w:t>
      </w:r>
      <w:r>
        <w:rPr>
          <w:spacing w:val="3"/>
        </w:rPr>
        <w:t xml:space="preserve"> </w:t>
      </w:r>
      <w:r>
        <w:t>review</w:t>
      </w:r>
      <w:r>
        <w:rPr>
          <w:spacing w:val="3"/>
        </w:rPr>
        <w:t xml:space="preserve"> </w:t>
      </w:r>
      <w:r>
        <w:rPr>
          <w:spacing w:val="-5"/>
        </w:rPr>
        <w:t>of</w:t>
      </w:r>
      <w:r w:rsidR="00A80AA5">
        <w:rPr>
          <w:spacing w:val="-5"/>
        </w:rPr>
        <w:t xml:space="preserve"> </w:t>
      </w:r>
      <w:r>
        <w:t>the</w:t>
      </w:r>
      <w:r>
        <w:rPr>
          <w:spacing w:val="-1"/>
        </w:rPr>
        <w:t xml:space="preserve"> </w:t>
      </w:r>
      <w:r>
        <w:t>central</w:t>
      </w:r>
      <w:r>
        <w:rPr>
          <w:spacing w:val="1"/>
        </w:rPr>
        <w:t xml:space="preserve"> </w:t>
      </w:r>
      <w:r>
        <w:t>bank</w:t>
      </w:r>
      <w:r>
        <w:rPr>
          <w:spacing w:val="1"/>
        </w:rPr>
        <w:t xml:space="preserve"> </w:t>
      </w:r>
      <w:r>
        <w:t>since</w:t>
      </w:r>
      <w:r>
        <w:rPr>
          <w:spacing w:val="1"/>
        </w:rPr>
        <w:t xml:space="preserve"> </w:t>
      </w:r>
      <w:r>
        <w:t>the</w:t>
      </w:r>
      <w:r>
        <w:rPr>
          <w:spacing w:val="2"/>
        </w:rPr>
        <w:t xml:space="preserve"> </w:t>
      </w:r>
      <w:r>
        <w:t>current</w:t>
      </w:r>
      <w:r>
        <w:rPr>
          <w:spacing w:val="1"/>
        </w:rPr>
        <w:t xml:space="preserve"> </w:t>
      </w:r>
      <w:r>
        <w:t>approach</w:t>
      </w:r>
      <w:r>
        <w:rPr>
          <w:spacing w:val="1"/>
        </w:rPr>
        <w:t xml:space="preserve"> </w:t>
      </w:r>
      <w:r>
        <w:t>to</w:t>
      </w:r>
      <w:r>
        <w:rPr>
          <w:spacing w:val="1"/>
        </w:rPr>
        <w:t xml:space="preserve"> </w:t>
      </w:r>
      <w:r>
        <w:t>monetary</w:t>
      </w:r>
      <w:r>
        <w:rPr>
          <w:spacing w:val="2"/>
        </w:rPr>
        <w:t xml:space="preserve"> </w:t>
      </w:r>
      <w:r>
        <w:t>policy</w:t>
      </w:r>
      <w:r>
        <w:rPr>
          <w:spacing w:val="1"/>
        </w:rPr>
        <w:t xml:space="preserve"> </w:t>
      </w:r>
      <w:r>
        <w:t>began</w:t>
      </w:r>
      <w:r>
        <w:rPr>
          <w:spacing w:val="1"/>
        </w:rPr>
        <w:t xml:space="preserve"> </w:t>
      </w:r>
      <w:r>
        <w:t>in</w:t>
      </w:r>
      <w:r>
        <w:rPr>
          <w:spacing w:val="1"/>
        </w:rPr>
        <w:t xml:space="preserve"> </w:t>
      </w:r>
      <w:r>
        <w:t>the</w:t>
      </w:r>
      <w:r>
        <w:rPr>
          <w:spacing w:val="2"/>
        </w:rPr>
        <w:t xml:space="preserve"> </w:t>
      </w:r>
      <w:r>
        <w:rPr>
          <w:spacing w:val="-2"/>
        </w:rPr>
        <w:t>1990s.</w:t>
      </w:r>
    </w:p>
    <w:p w14:paraId="12C3D576" w14:textId="77777777" w:rsidR="00690FC3" w:rsidRDefault="00690FC3" w:rsidP="0015096A">
      <w:pPr>
        <w:spacing w:after="80"/>
      </w:pPr>
      <w:r>
        <w:t>Economic developments over recent years have placed monetary policy arrangements and central bank operations under increased pressure. We are delivering this Review at a time of particular scrutiny on the operations of the RBA. Public focus on monetary policy making is not unusual, both in Australia and overseas. This focus tends to intensify during periods of monetary policy tightening, when difficult decisions need to be made about how best to promote economic welfare across the nation.</w:t>
      </w:r>
    </w:p>
    <w:p w14:paraId="7DE0BE8B" w14:textId="77777777" w:rsidR="00690FC3" w:rsidRDefault="00690FC3" w:rsidP="0015096A">
      <w:pPr>
        <w:spacing w:after="80"/>
      </w:pPr>
      <w:r>
        <w:t>This Review is not a judgement on the past 6 months. We have looked back over 3 decades. In doing so, our objective is to identify changes that strengthen Australia’s monetary policy framework and the central bank culture to support ongoing public confidence.</w:t>
      </w:r>
    </w:p>
    <w:p w14:paraId="6085DBC4" w14:textId="77777777" w:rsidR="00393BBE" w:rsidRDefault="00690FC3" w:rsidP="0015096A">
      <w:pPr>
        <w:spacing w:after="80"/>
      </w:pPr>
      <w:r>
        <w:t>The Australian public can be confident that Australia’s monetary policy framework is broadly fit for purpose and that the RBA is a high quality, effective institution.</w:t>
      </w:r>
    </w:p>
    <w:p w14:paraId="156E81D4" w14:textId="77777777" w:rsidR="009A5DD3" w:rsidRDefault="00690FC3" w:rsidP="0015096A">
      <w:pPr>
        <w:spacing w:after="80"/>
        <w:rPr>
          <w:spacing w:val="-2"/>
        </w:rPr>
      </w:pPr>
      <w:r>
        <w:t>We have</w:t>
      </w:r>
      <w:r>
        <w:rPr>
          <w:spacing w:val="3"/>
        </w:rPr>
        <w:t xml:space="preserve"> </w:t>
      </w:r>
      <w:r>
        <w:t>identified</w:t>
      </w:r>
      <w:r>
        <w:rPr>
          <w:spacing w:val="3"/>
        </w:rPr>
        <w:t xml:space="preserve"> </w:t>
      </w:r>
      <w:r>
        <w:t>4</w:t>
      </w:r>
      <w:r>
        <w:rPr>
          <w:spacing w:val="3"/>
        </w:rPr>
        <w:t xml:space="preserve"> </w:t>
      </w:r>
      <w:r>
        <w:t>ways</w:t>
      </w:r>
      <w:r>
        <w:rPr>
          <w:spacing w:val="3"/>
        </w:rPr>
        <w:t xml:space="preserve"> </w:t>
      </w:r>
      <w:r>
        <w:t>the</w:t>
      </w:r>
      <w:r>
        <w:rPr>
          <w:spacing w:val="3"/>
        </w:rPr>
        <w:t xml:space="preserve"> </w:t>
      </w:r>
      <w:r>
        <w:t>governance,</w:t>
      </w:r>
      <w:r>
        <w:rPr>
          <w:spacing w:val="3"/>
        </w:rPr>
        <w:t xml:space="preserve"> </w:t>
      </w:r>
      <w:r>
        <w:t>monetary</w:t>
      </w:r>
      <w:r>
        <w:rPr>
          <w:spacing w:val="3"/>
        </w:rPr>
        <w:t xml:space="preserve"> </w:t>
      </w:r>
      <w:r>
        <w:t>policy</w:t>
      </w:r>
      <w:r>
        <w:rPr>
          <w:spacing w:val="3"/>
        </w:rPr>
        <w:t xml:space="preserve"> </w:t>
      </w:r>
      <w:r>
        <w:t>framework,</w:t>
      </w:r>
      <w:r>
        <w:rPr>
          <w:spacing w:val="3"/>
        </w:rPr>
        <w:t xml:space="preserve"> </w:t>
      </w:r>
      <w:r>
        <w:t>culture</w:t>
      </w:r>
      <w:r>
        <w:rPr>
          <w:spacing w:val="3"/>
        </w:rPr>
        <w:t xml:space="preserve"> </w:t>
      </w:r>
      <w:r>
        <w:t>and</w:t>
      </w:r>
      <w:r>
        <w:rPr>
          <w:spacing w:val="3"/>
        </w:rPr>
        <w:t xml:space="preserve"> </w:t>
      </w:r>
      <w:r>
        <w:rPr>
          <w:spacing w:val="-2"/>
        </w:rPr>
        <w:t>systems</w:t>
      </w:r>
      <w:r w:rsidR="00A80AA5">
        <w:rPr>
          <w:spacing w:val="-2"/>
        </w:rPr>
        <w:t xml:space="preserve"> </w:t>
      </w:r>
      <w:r>
        <w:t>of</w:t>
      </w:r>
      <w:r>
        <w:rPr>
          <w:spacing w:val="-1"/>
        </w:rPr>
        <w:t xml:space="preserve"> </w:t>
      </w:r>
      <w:r>
        <w:t>the RBA</w:t>
      </w:r>
      <w:r>
        <w:rPr>
          <w:spacing w:val="-1"/>
        </w:rPr>
        <w:t xml:space="preserve"> </w:t>
      </w:r>
      <w:r>
        <w:t xml:space="preserve">should be </w:t>
      </w:r>
      <w:r>
        <w:rPr>
          <w:spacing w:val="-2"/>
        </w:rPr>
        <w:t>reinforced.</w:t>
      </w:r>
      <w:r w:rsidR="00E17FC8">
        <w:rPr>
          <w:spacing w:val="-2"/>
        </w:rPr>
        <w:t xml:space="preserve"> </w:t>
      </w:r>
    </w:p>
    <w:p w14:paraId="00BD5F5F" w14:textId="4E4703ED" w:rsidR="00690FC3" w:rsidRDefault="00690FC3" w:rsidP="0015096A">
      <w:pPr>
        <w:pStyle w:val="OutlineNumbered1"/>
        <w:spacing w:after="80"/>
      </w:pPr>
      <w:r>
        <w:t>The</w:t>
      </w:r>
      <w:r w:rsidRPr="009A5DD3">
        <w:t xml:space="preserve"> </w:t>
      </w:r>
      <w:r>
        <w:t>monetary</w:t>
      </w:r>
      <w:r w:rsidRPr="009A5DD3">
        <w:t xml:space="preserve"> </w:t>
      </w:r>
      <w:r>
        <w:t>policy</w:t>
      </w:r>
      <w:r w:rsidRPr="009A5DD3">
        <w:t xml:space="preserve"> </w:t>
      </w:r>
      <w:r>
        <w:t>framework</w:t>
      </w:r>
      <w:r w:rsidRPr="009A5DD3">
        <w:t xml:space="preserve"> </w:t>
      </w:r>
      <w:r>
        <w:t>is</w:t>
      </w:r>
      <w:r w:rsidRPr="009A5DD3">
        <w:t xml:space="preserve"> </w:t>
      </w:r>
      <w:r>
        <w:t>fundamentally</w:t>
      </w:r>
      <w:r w:rsidRPr="009A5DD3">
        <w:t xml:space="preserve"> </w:t>
      </w:r>
      <w:r>
        <w:t>sound</w:t>
      </w:r>
      <w:r w:rsidRPr="009A5DD3">
        <w:t xml:space="preserve"> </w:t>
      </w:r>
      <w:r>
        <w:t>but</w:t>
      </w:r>
      <w:r w:rsidRPr="009A5DD3">
        <w:t xml:space="preserve"> </w:t>
      </w:r>
      <w:r>
        <w:t>should</w:t>
      </w:r>
      <w:r w:rsidRPr="009A5DD3">
        <w:t xml:space="preserve"> </w:t>
      </w:r>
      <w:r>
        <w:t>be</w:t>
      </w:r>
      <w:r w:rsidRPr="009A5DD3">
        <w:t xml:space="preserve"> </w:t>
      </w:r>
      <w:r>
        <w:t>more</w:t>
      </w:r>
      <w:r w:rsidRPr="009A5DD3">
        <w:t xml:space="preserve"> </w:t>
      </w:r>
      <w:r>
        <w:t>clearly</w:t>
      </w:r>
      <w:r w:rsidRPr="009A5DD3">
        <w:t xml:space="preserve"> </w:t>
      </w:r>
      <w:r>
        <w:t>defined</w:t>
      </w:r>
      <w:r w:rsidRPr="009A5DD3">
        <w:t xml:space="preserve"> and</w:t>
      </w:r>
      <w:r w:rsidR="00A80AA5" w:rsidRPr="009A5DD3">
        <w:t xml:space="preserve"> </w:t>
      </w:r>
      <w:r>
        <w:t>regularly</w:t>
      </w:r>
      <w:r w:rsidRPr="009A5DD3">
        <w:t xml:space="preserve"> </w:t>
      </w:r>
      <w:r>
        <w:t>assessed</w:t>
      </w:r>
      <w:r w:rsidRPr="009A5DD3">
        <w:t xml:space="preserve"> </w:t>
      </w:r>
      <w:r>
        <w:t>for</w:t>
      </w:r>
      <w:r w:rsidRPr="009A5DD3">
        <w:t xml:space="preserve"> updates.</w:t>
      </w:r>
    </w:p>
    <w:p w14:paraId="7C007CCD" w14:textId="21A14731" w:rsidR="00690FC3" w:rsidRDefault="00690FC3" w:rsidP="0015096A">
      <w:pPr>
        <w:pStyle w:val="OutlineNumbered1"/>
        <w:spacing w:after="80"/>
      </w:pPr>
      <w:r>
        <w:t>Monetary policy decision making should be strengthened, drawing on more expertise and with processes that promote deeper contestability of ideas.</w:t>
      </w:r>
    </w:p>
    <w:p w14:paraId="39C0B4A4" w14:textId="79A64681" w:rsidR="00690FC3" w:rsidRDefault="00690FC3" w:rsidP="0015096A">
      <w:pPr>
        <w:pStyle w:val="OutlineNumbered1"/>
        <w:spacing w:after="80"/>
      </w:pPr>
      <w:r>
        <w:rPr>
          <w:spacing w:val="-2"/>
        </w:rPr>
        <w:t>The</w:t>
      </w:r>
      <w:r>
        <w:rPr>
          <w:spacing w:val="-8"/>
        </w:rPr>
        <w:t xml:space="preserve"> </w:t>
      </w:r>
      <w:r>
        <w:rPr>
          <w:spacing w:val="-2"/>
        </w:rPr>
        <w:t>RBA</w:t>
      </w:r>
      <w:r>
        <w:rPr>
          <w:spacing w:val="-6"/>
        </w:rPr>
        <w:t xml:space="preserve"> </w:t>
      </w:r>
      <w:r>
        <w:rPr>
          <w:spacing w:val="-2"/>
        </w:rPr>
        <w:t>should</w:t>
      </w:r>
      <w:r>
        <w:rPr>
          <w:spacing w:val="-6"/>
        </w:rPr>
        <w:t xml:space="preserve"> </w:t>
      </w:r>
      <w:r>
        <w:rPr>
          <w:spacing w:val="-2"/>
        </w:rPr>
        <w:t>become</w:t>
      </w:r>
      <w:r>
        <w:rPr>
          <w:spacing w:val="-6"/>
        </w:rPr>
        <w:t xml:space="preserve"> </w:t>
      </w:r>
      <w:r>
        <w:rPr>
          <w:spacing w:val="-2"/>
        </w:rPr>
        <w:t>more</w:t>
      </w:r>
      <w:r>
        <w:rPr>
          <w:spacing w:val="-6"/>
        </w:rPr>
        <w:t xml:space="preserve"> </w:t>
      </w:r>
      <w:r>
        <w:rPr>
          <w:spacing w:val="-2"/>
        </w:rPr>
        <w:t>open</w:t>
      </w:r>
      <w:r>
        <w:rPr>
          <w:spacing w:val="-6"/>
        </w:rPr>
        <w:t xml:space="preserve"> </w:t>
      </w:r>
      <w:r>
        <w:rPr>
          <w:spacing w:val="-2"/>
        </w:rPr>
        <w:t>and</w:t>
      </w:r>
      <w:r>
        <w:rPr>
          <w:spacing w:val="-6"/>
        </w:rPr>
        <w:t xml:space="preserve"> </w:t>
      </w:r>
      <w:r>
        <w:rPr>
          <w:spacing w:val="-2"/>
        </w:rPr>
        <w:t>dynamic,</w:t>
      </w:r>
      <w:r>
        <w:rPr>
          <w:spacing w:val="-6"/>
        </w:rPr>
        <w:t xml:space="preserve"> </w:t>
      </w:r>
      <w:r>
        <w:rPr>
          <w:spacing w:val="-2"/>
        </w:rPr>
        <w:t>through</w:t>
      </w:r>
      <w:r>
        <w:rPr>
          <w:spacing w:val="-6"/>
        </w:rPr>
        <w:t xml:space="preserve"> </w:t>
      </w:r>
      <w:r>
        <w:rPr>
          <w:spacing w:val="-2"/>
        </w:rPr>
        <w:t>new</w:t>
      </w:r>
      <w:r>
        <w:rPr>
          <w:spacing w:val="-6"/>
        </w:rPr>
        <w:t xml:space="preserve"> </w:t>
      </w:r>
      <w:r>
        <w:rPr>
          <w:spacing w:val="-2"/>
        </w:rPr>
        <w:t>internal</w:t>
      </w:r>
      <w:r>
        <w:rPr>
          <w:spacing w:val="-6"/>
        </w:rPr>
        <w:t xml:space="preserve"> </w:t>
      </w:r>
      <w:r>
        <w:rPr>
          <w:spacing w:val="-2"/>
        </w:rPr>
        <w:t>structures</w:t>
      </w:r>
      <w:r>
        <w:rPr>
          <w:spacing w:val="-6"/>
        </w:rPr>
        <w:t xml:space="preserve"> </w:t>
      </w:r>
      <w:r>
        <w:rPr>
          <w:spacing w:val="-2"/>
        </w:rPr>
        <w:t>and</w:t>
      </w:r>
      <w:r>
        <w:rPr>
          <w:spacing w:val="-6"/>
        </w:rPr>
        <w:t xml:space="preserve"> </w:t>
      </w:r>
      <w:r>
        <w:rPr>
          <w:spacing w:val="-2"/>
        </w:rPr>
        <w:t>approaches.</w:t>
      </w:r>
    </w:p>
    <w:p w14:paraId="7056B90E" w14:textId="001F8FB2" w:rsidR="00690FC3" w:rsidRDefault="00690FC3" w:rsidP="0015096A">
      <w:pPr>
        <w:pStyle w:val="OutlineNumbered1"/>
        <w:spacing w:after="80"/>
      </w:pPr>
      <w:r>
        <w:t>The</w:t>
      </w:r>
      <w:r>
        <w:rPr>
          <w:spacing w:val="2"/>
        </w:rPr>
        <w:t xml:space="preserve"> </w:t>
      </w:r>
      <w:r>
        <w:t>RBA’s</w:t>
      </w:r>
      <w:r>
        <w:rPr>
          <w:spacing w:val="2"/>
        </w:rPr>
        <w:t xml:space="preserve"> </w:t>
      </w:r>
      <w:r>
        <w:t>corporate</w:t>
      </w:r>
      <w:r>
        <w:rPr>
          <w:spacing w:val="3"/>
        </w:rPr>
        <w:t xml:space="preserve"> </w:t>
      </w:r>
      <w:r>
        <w:t>governance</w:t>
      </w:r>
      <w:r>
        <w:rPr>
          <w:spacing w:val="2"/>
        </w:rPr>
        <w:t xml:space="preserve"> </w:t>
      </w:r>
      <w:r>
        <w:t>should</w:t>
      </w:r>
      <w:r>
        <w:rPr>
          <w:spacing w:val="2"/>
        </w:rPr>
        <w:t xml:space="preserve"> </w:t>
      </w:r>
      <w:r>
        <w:t>be</w:t>
      </w:r>
      <w:r>
        <w:rPr>
          <w:spacing w:val="3"/>
        </w:rPr>
        <w:t xml:space="preserve"> </w:t>
      </w:r>
      <w:r>
        <w:t>strengthened,</w:t>
      </w:r>
      <w:r>
        <w:rPr>
          <w:spacing w:val="2"/>
        </w:rPr>
        <w:t xml:space="preserve"> </w:t>
      </w:r>
      <w:r>
        <w:t>with</w:t>
      </w:r>
      <w:r>
        <w:rPr>
          <w:spacing w:val="3"/>
        </w:rPr>
        <w:t xml:space="preserve"> </w:t>
      </w:r>
      <w:r>
        <w:rPr>
          <w:spacing w:val="-2"/>
        </w:rPr>
        <w:t>contemporary</w:t>
      </w:r>
      <w:r w:rsidR="00393BBE">
        <w:rPr>
          <w:spacing w:val="-2"/>
        </w:rPr>
        <w:t xml:space="preserve"> </w:t>
      </w:r>
      <w:r>
        <w:t>governance</w:t>
      </w:r>
      <w:r>
        <w:rPr>
          <w:spacing w:val="2"/>
        </w:rPr>
        <w:t xml:space="preserve"> </w:t>
      </w:r>
      <w:r>
        <w:t>structures</w:t>
      </w:r>
      <w:r>
        <w:rPr>
          <w:spacing w:val="2"/>
        </w:rPr>
        <w:t xml:space="preserve"> </w:t>
      </w:r>
      <w:r>
        <w:t>that</w:t>
      </w:r>
      <w:r>
        <w:rPr>
          <w:spacing w:val="2"/>
        </w:rPr>
        <w:t xml:space="preserve"> </w:t>
      </w:r>
      <w:r>
        <w:t>better</w:t>
      </w:r>
      <w:r>
        <w:rPr>
          <w:spacing w:val="3"/>
        </w:rPr>
        <w:t xml:space="preserve"> </w:t>
      </w:r>
      <w:r>
        <w:t>manage</w:t>
      </w:r>
      <w:r>
        <w:rPr>
          <w:spacing w:val="2"/>
        </w:rPr>
        <w:t xml:space="preserve"> </w:t>
      </w:r>
      <w:r>
        <w:t>risk</w:t>
      </w:r>
      <w:r>
        <w:rPr>
          <w:spacing w:val="2"/>
        </w:rPr>
        <w:t xml:space="preserve"> </w:t>
      </w:r>
      <w:r>
        <w:t>and</w:t>
      </w:r>
      <w:r>
        <w:rPr>
          <w:spacing w:val="2"/>
        </w:rPr>
        <w:t xml:space="preserve"> </w:t>
      </w:r>
      <w:r>
        <w:t>drive</w:t>
      </w:r>
      <w:r>
        <w:rPr>
          <w:spacing w:val="3"/>
        </w:rPr>
        <w:t xml:space="preserve"> </w:t>
      </w:r>
      <w:r>
        <w:rPr>
          <w:spacing w:val="-2"/>
        </w:rPr>
        <w:t>change.</w:t>
      </w:r>
    </w:p>
    <w:p w14:paraId="6EB70179" w14:textId="2A4F1B79" w:rsidR="00690FC3" w:rsidRDefault="00690FC3" w:rsidP="0015096A">
      <w:pPr>
        <w:pStyle w:val="OutlineNumbered1"/>
        <w:numPr>
          <w:ilvl w:val="0"/>
          <w:numId w:val="0"/>
        </w:numPr>
        <w:spacing w:after="80"/>
      </w:pPr>
      <w:r>
        <w:t>Structures</w:t>
      </w:r>
      <w:r>
        <w:rPr>
          <w:spacing w:val="-1"/>
        </w:rPr>
        <w:t xml:space="preserve"> </w:t>
      </w:r>
      <w:r>
        <w:t>and</w:t>
      </w:r>
      <w:r>
        <w:rPr>
          <w:spacing w:val="1"/>
        </w:rPr>
        <w:t xml:space="preserve"> </w:t>
      </w:r>
      <w:r>
        <w:t>policies</w:t>
      </w:r>
      <w:r>
        <w:rPr>
          <w:spacing w:val="1"/>
        </w:rPr>
        <w:t xml:space="preserve"> </w:t>
      </w:r>
      <w:r>
        <w:t>can</w:t>
      </w:r>
      <w:r>
        <w:rPr>
          <w:spacing w:val="1"/>
        </w:rPr>
        <w:t xml:space="preserve"> </w:t>
      </w:r>
      <w:r>
        <w:t>only</w:t>
      </w:r>
      <w:r>
        <w:rPr>
          <w:spacing w:val="1"/>
        </w:rPr>
        <w:t xml:space="preserve"> </w:t>
      </w:r>
      <w:r>
        <w:t>achieve</w:t>
      </w:r>
      <w:r>
        <w:rPr>
          <w:spacing w:val="1"/>
        </w:rPr>
        <w:t xml:space="preserve"> </w:t>
      </w:r>
      <w:r>
        <w:t>so</w:t>
      </w:r>
      <w:r>
        <w:rPr>
          <w:spacing w:val="1"/>
        </w:rPr>
        <w:t xml:space="preserve"> </w:t>
      </w:r>
      <w:r>
        <w:t>much.</w:t>
      </w:r>
      <w:r>
        <w:rPr>
          <w:spacing w:val="1"/>
        </w:rPr>
        <w:t xml:space="preserve"> </w:t>
      </w:r>
      <w:r>
        <w:t>To</w:t>
      </w:r>
      <w:r>
        <w:rPr>
          <w:spacing w:val="1"/>
        </w:rPr>
        <w:t xml:space="preserve"> </w:t>
      </w:r>
      <w:r>
        <w:t>be</w:t>
      </w:r>
      <w:r>
        <w:rPr>
          <w:spacing w:val="1"/>
        </w:rPr>
        <w:t xml:space="preserve"> </w:t>
      </w:r>
      <w:r>
        <w:t>fully</w:t>
      </w:r>
      <w:r>
        <w:rPr>
          <w:spacing w:val="1"/>
        </w:rPr>
        <w:t xml:space="preserve"> </w:t>
      </w:r>
      <w:r>
        <w:t>effective,</w:t>
      </w:r>
      <w:r>
        <w:rPr>
          <w:spacing w:val="1"/>
        </w:rPr>
        <w:t xml:space="preserve"> </w:t>
      </w:r>
      <w:r>
        <w:t>the</w:t>
      </w:r>
      <w:r>
        <w:rPr>
          <w:spacing w:val="1"/>
        </w:rPr>
        <w:t xml:space="preserve"> </w:t>
      </w:r>
      <w:r>
        <w:t>RBA’s</w:t>
      </w:r>
      <w:r>
        <w:rPr>
          <w:spacing w:val="1"/>
        </w:rPr>
        <w:t xml:space="preserve"> </w:t>
      </w:r>
      <w:r>
        <w:t>leadership</w:t>
      </w:r>
      <w:r>
        <w:rPr>
          <w:spacing w:val="2"/>
        </w:rPr>
        <w:t xml:space="preserve"> </w:t>
      </w:r>
      <w:r>
        <w:rPr>
          <w:spacing w:val="-5"/>
        </w:rPr>
        <w:t>and</w:t>
      </w:r>
      <w:r w:rsidR="00393BBE">
        <w:rPr>
          <w:spacing w:val="-5"/>
        </w:rPr>
        <w:t xml:space="preserve"> </w:t>
      </w:r>
      <w:r>
        <w:t>Board</w:t>
      </w:r>
      <w:r>
        <w:rPr>
          <w:spacing w:val="-3"/>
        </w:rPr>
        <w:t xml:space="preserve"> </w:t>
      </w:r>
      <w:r>
        <w:t>need to drive these changes, through</w:t>
      </w:r>
      <w:r>
        <w:rPr>
          <w:spacing w:val="-1"/>
        </w:rPr>
        <w:t xml:space="preserve"> </w:t>
      </w:r>
      <w:r>
        <w:t xml:space="preserve">what they say, do, measure and </w:t>
      </w:r>
      <w:r>
        <w:rPr>
          <w:spacing w:val="-2"/>
        </w:rPr>
        <w:t>report.</w:t>
      </w:r>
    </w:p>
    <w:p w14:paraId="5A2C1879" w14:textId="2681DE54" w:rsidR="00690FC3" w:rsidRDefault="00690FC3" w:rsidP="0015096A">
      <w:pPr>
        <w:spacing w:after="80"/>
      </w:pPr>
      <w:r>
        <w:t>Our</w:t>
      </w:r>
      <w:r>
        <w:rPr>
          <w:spacing w:val="3"/>
        </w:rPr>
        <w:t xml:space="preserve"> </w:t>
      </w:r>
      <w:r>
        <w:t>changes</w:t>
      </w:r>
      <w:r>
        <w:rPr>
          <w:spacing w:val="3"/>
        </w:rPr>
        <w:t xml:space="preserve"> </w:t>
      </w:r>
      <w:r>
        <w:t>would</w:t>
      </w:r>
      <w:r>
        <w:rPr>
          <w:spacing w:val="4"/>
        </w:rPr>
        <w:t xml:space="preserve"> </w:t>
      </w:r>
      <w:r>
        <w:t>fortify</w:t>
      </w:r>
      <w:r>
        <w:rPr>
          <w:spacing w:val="3"/>
        </w:rPr>
        <w:t xml:space="preserve"> </w:t>
      </w:r>
      <w:r>
        <w:t>an</w:t>
      </w:r>
      <w:r>
        <w:rPr>
          <w:spacing w:val="3"/>
        </w:rPr>
        <w:t xml:space="preserve"> </w:t>
      </w:r>
      <w:r>
        <w:t>already</w:t>
      </w:r>
      <w:r>
        <w:rPr>
          <w:spacing w:val="4"/>
        </w:rPr>
        <w:t xml:space="preserve"> </w:t>
      </w:r>
      <w:r>
        <w:t>effective</w:t>
      </w:r>
      <w:r>
        <w:rPr>
          <w:spacing w:val="3"/>
        </w:rPr>
        <w:t xml:space="preserve"> </w:t>
      </w:r>
      <w:r>
        <w:t>institution,</w:t>
      </w:r>
      <w:r>
        <w:rPr>
          <w:spacing w:val="3"/>
        </w:rPr>
        <w:t xml:space="preserve"> </w:t>
      </w:r>
      <w:r>
        <w:t>making</w:t>
      </w:r>
      <w:r>
        <w:rPr>
          <w:spacing w:val="4"/>
        </w:rPr>
        <w:t xml:space="preserve"> </w:t>
      </w:r>
      <w:r>
        <w:t>it</w:t>
      </w:r>
      <w:r>
        <w:rPr>
          <w:spacing w:val="3"/>
        </w:rPr>
        <w:t xml:space="preserve"> </w:t>
      </w:r>
      <w:r>
        <w:t>better</w:t>
      </w:r>
      <w:r>
        <w:rPr>
          <w:spacing w:val="3"/>
        </w:rPr>
        <w:t xml:space="preserve"> </w:t>
      </w:r>
      <w:r>
        <w:t>placed</w:t>
      </w:r>
      <w:r>
        <w:rPr>
          <w:spacing w:val="4"/>
        </w:rPr>
        <w:t xml:space="preserve"> </w:t>
      </w:r>
      <w:r>
        <w:t>to</w:t>
      </w:r>
      <w:r>
        <w:rPr>
          <w:spacing w:val="3"/>
        </w:rPr>
        <w:t xml:space="preserve"> </w:t>
      </w:r>
      <w:r>
        <w:t>face</w:t>
      </w:r>
      <w:r>
        <w:rPr>
          <w:spacing w:val="4"/>
        </w:rPr>
        <w:t xml:space="preserve"> </w:t>
      </w:r>
      <w:r>
        <w:rPr>
          <w:spacing w:val="-5"/>
        </w:rPr>
        <w:t>the</w:t>
      </w:r>
      <w:r w:rsidR="003D6A28">
        <w:rPr>
          <w:spacing w:val="-5"/>
        </w:rPr>
        <w:t xml:space="preserve"> </w:t>
      </w:r>
      <w:r>
        <w:t>challenges</w:t>
      </w:r>
      <w:r>
        <w:rPr>
          <w:spacing w:val="-2"/>
        </w:rPr>
        <w:t xml:space="preserve"> </w:t>
      </w:r>
      <w:r>
        <w:t>of</w:t>
      </w:r>
      <w:r>
        <w:rPr>
          <w:spacing w:val="-1"/>
        </w:rPr>
        <w:t xml:space="preserve"> </w:t>
      </w:r>
      <w:r>
        <w:t>the</w:t>
      </w:r>
      <w:r>
        <w:rPr>
          <w:spacing w:val="-1"/>
        </w:rPr>
        <w:t xml:space="preserve"> </w:t>
      </w:r>
      <w:r>
        <w:rPr>
          <w:spacing w:val="-2"/>
        </w:rPr>
        <w:t>future.</w:t>
      </w:r>
    </w:p>
    <w:p w14:paraId="68B3CD45" w14:textId="2B663C98" w:rsidR="00690FC3" w:rsidRDefault="00690FC3" w:rsidP="0015096A">
      <w:pPr>
        <w:spacing w:after="80"/>
      </w:pPr>
      <w:r>
        <w:t>We are grateful for the generous input we received ranging from members of the public to world- leading monetary policy experts. We have benefitted from hundreds of interviews and submissions, 12 focus groups and more than 1,000 survey responses.</w:t>
      </w:r>
    </w:p>
    <w:p w14:paraId="54D6BECF" w14:textId="22BEDD92" w:rsidR="00690FC3" w:rsidRDefault="00690FC3" w:rsidP="0015096A">
      <w:pPr>
        <w:spacing w:after="80"/>
      </w:pPr>
      <w:r>
        <w:t>Your contributions continue to challenge, inspire and remind us about the importance of the</w:t>
      </w:r>
      <w:r>
        <w:rPr>
          <w:spacing w:val="40"/>
        </w:rPr>
        <w:t xml:space="preserve"> </w:t>
      </w:r>
      <w:r>
        <w:t>RBA and helped us formulate the changes we need to better prepare Australia’s central bank for whatever the future holds.</w:t>
      </w:r>
    </w:p>
    <w:p w14:paraId="3724F65F" w14:textId="681CE451" w:rsidR="00475085" w:rsidRDefault="00690FC3" w:rsidP="0015096A">
      <w:pPr>
        <w:spacing w:after="80"/>
      </w:pPr>
      <w:r>
        <w:t>Finally, our sincere thanks go to the members of the Secretariat who have facilitated discussions, guided the process and provided research, analysis and advice to bring this report to fruition.</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94"/>
        <w:gridCol w:w="3352"/>
        <w:gridCol w:w="3024"/>
      </w:tblGrid>
      <w:tr w:rsidR="00DC39FA" w:rsidRPr="00C36063" w14:paraId="74B86FB1" w14:textId="77777777" w:rsidTr="00C36063">
        <w:tc>
          <w:tcPr>
            <w:tcW w:w="2694" w:type="dxa"/>
          </w:tcPr>
          <w:p w14:paraId="65D8FF80" w14:textId="09617316" w:rsidR="00DC39FA" w:rsidRPr="00C36063" w:rsidRDefault="0011179B" w:rsidP="003C24B4">
            <w:pPr>
              <w:pStyle w:val="SingleParagraph"/>
              <w:rPr>
                <w:rFonts w:cs="Calibri"/>
                <w:b/>
                <w:bCs/>
              </w:rPr>
            </w:pPr>
            <w:r w:rsidRPr="00C36063">
              <w:rPr>
                <w:b/>
                <w:bCs/>
              </w:rPr>
              <w:t>Dr</w:t>
            </w:r>
            <w:r w:rsidRPr="00C36063">
              <w:rPr>
                <w:b/>
                <w:bCs/>
                <w:spacing w:val="-2"/>
              </w:rPr>
              <w:t xml:space="preserve"> </w:t>
            </w:r>
            <w:r w:rsidRPr="00C36063">
              <w:rPr>
                <w:b/>
                <w:bCs/>
              </w:rPr>
              <w:t>Gordon</w:t>
            </w:r>
            <w:r w:rsidRPr="00C36063">
              <w:rPr>
                <w:b/>
                <w:bCs/>
                <w:spacing w:val="-1"/>
              </w:rPr>
              <w:t xml:space="preserve"> </w:t>
            </w:r>
            <w:r w:rsidRPr="00C36063">
              <w:rPr>
                <w:b/>
                <w:bCs/>
              </w:rPr>
              <w:t>de</w:t>
            </w:r>
            <w:r w:rsidRPr="00C36063">
              <w:rPr>
                <w:b/>
                <w:bCs/>
                <w:spacing w:val="-1"/>
              </w:rPr>
              <w:t xml:space="preserve"> </w:t>
            </w:r>
            <w:r w:rsidRPr="00C36063">
              <w:rPr>
                <w:b/>
                <w:bCs/>
                <w:spacing w:val="-2"/>
              </w:rPr>
              <w:t>Brouwer</w:t>
            </w:r>
          </w:p>
        </w:tc>
        <w:tc>
          <w:tcPr>
            <w:tcW w:w="3352" w:type="dxa"/>
          </w:tcPr>
          <w:p w14:paraId="50CEC0EB" w14:textId="68521881" w:rsidR="00DC39FA" w:rsidRPr="00C36063" w:rsidRDefault="008D5C6A" w:rsidP="003C24B4">
            <w:pPr>
              <w:pStyle w:val="SingleParagraph"/>
              <w:rPr>
                <w:rFonts w:cs="Calibri"/>
                <w:b/>
                <w:bCs/>
              </w:rPr>
            </w:pPr>
            <w:r w:rsidRPr="00C36063">
              <w:rPr>
                <w:b/>
                <w:bCs/>
              </w:rPr>
              <w:t>Professor</w:t>
            </w:r>
            <w:r w:rsidRPr="00C36063">
              <w:rPr>
                <w:b/>
                <w:bCs/>
                <w:spacing w:val="8"/>
              </w:rPr>
              <w:t xml:space="preserve"> </w:t>
            </w:r>
            <w:r w:rsidRPr="00C36063">
              <w:rPr>
                <w:b/>
                <w:bCs/>
              </w:rPr>
              <w:t>Renee</w:t>
            </w:r>
            <w:r w:rsidRPr="00C36063">
              <w:rPr>
                <w:b/>
                <w:bCs/>
                <w:spacing w:val="9"/>
              </w:rPr>
              <w:t xml:space="preserve"> </w:t>
            </w:r>
            <w:r w:rsidRPr="00C36063">
              <w:rPr>
                <w:b/>
                <w:bCs/>
              </w:rPr>
              <w:t>Fry-</w:t>
            </w:r>
            <w:r w:rsidRPr="00C36063">
              <w:rPr>
                <w:b/>
                <w:bCs/>
                <w:spacing w:val="-2"/>
              </w:rPr>
              <w:t>McKibbin</w:t>
            </w:r>
          </w:p>
        </w:tc>
        <w:tc>
          <w:tcPr>
            <w:tcW w:w="3024" w:type="dxa"/>
          </w:tcPr>
          <w:p w14:paraId="26CBD509" w14:textId="4AA13937" w:rsidR="00DC39FA" w:rsidRPr="00C36063" w:rsidRDefault="00A0071A" w:rsidP="003C24B4">
            <w:pPr>
              <w:pStyle w:val="SingleParagraph"/>
              <w:rPr>
                <w:rFonts w:cs="Calibri"/>
                <w:b/>
                <w:bCs/>
              </w:rPr>
            </w:pPr>
            <w:r w:rsidRPr="00C36063">
              <w:rPr>
                <w:b/>
                <w:bCs/>
              </w:rPr>
              <w:t>Professor</w:t>
            </w:r>
            <w:r w:rsidRPr="00C36063">
              <w:rPr>
                <w:b/>
                <w:bCs/>
                <w:spacing w:val="1"/>
              </w:rPr>
              <w:t xml:space="preserve"> </w:t>
            </w:r>
            <w:r w:rsidRPr="00C36063">
              <w:rPr>
                <w:b/>
                <w:bCs/>
              </w:rPr>
              <w:t>Carolyn</w:t>
            </w:r>
            <w:r w:rsidRPr="00C36063">
              <w:rPr>
                <w:b/>
                <w:bCs/>
                <w:spacing w:val="3"/>
              </w:rPr>
              <w:t xml:space="preserve"> </w:t>
            </w:r>
            <w:r w:rsidRPr="00C36063">
              <w:rPr>
                <w:b/>
                <w:bCs/>
                <w:spacing w:val="-2"/>
              </w:rPr>
              <w:t>Wilkins</w:t>
            </w:r>
          </w:p>
        </w:tc>
      </w:tr>
    </w:tbl>
    <w:p w14:paraId="5E41BB49" w14:textId="77777777" w:rsidR="006C5B73" w:rsidRPr="00B775EE" w:rsidRDefault="006C5B73" w:rsidP="00475085">
      <w:pPr>
        <w:pStyle w:val="SingleParagraph"/>
        <w:rPr>
          <w:rFonts w:cs="Arial"/>
          <w:bCs/>
          <w:szCs w:val="24"/>
        </w:rPr>
      </w:pPr>
    </w:p>
    <w:p w14:paraId="0B820C46" w14:textId="77777777" w:rsidR="00ED5A20" w:rsidRDefault="00ED5A20" w:rsidP="0000278A">
      <w:pPr>
        <w:pStyle w:val="Heading1Numbered"/>
        <w:sectPr w:rsidR="00ED5A20" w:rsidSect="00B340F5">
          <w:headerReference w:type="default" r:id="rId20"/>
          <w:footerReference w:type="default" r:id="rId21"/>
          <w:type w:val="oddPage"/>
          <w:pgSz w:w="11906" w:h="16838" w:code="9"/>
          <w:pgMar w:top="1418" w:right="1418" w:bottom="1418" w:left="1418" w:header="709" w:footer="964" w:gutter="0"/>
          <w:pgNumType w:start="1"/>
          <w:cols w:space="708"/>
          <w:docGrid w:linePitch="360"/>
        </w:sectPr>
      </w:pPr>
    </w:p>
    <w:p w14:paraId="6385D4D1" w14:textId="77777777" w:rsidR="006159D2" w:rsidRDefault="006159D2" w:rsidP="0077542A">
      <w:pPr>
        <w:pStyle w:val="Heading2"/>
      </w:pPr>
      <w:bookmarkStart w:id="4" w:name="_Toc134220980"/>
      <w:bookmarkStart w:id="5" w:name="_Toc432067104"/>
      <w:bookmarkStart w:id="6" w:name="_Toc452635031"/>
      <w:r>
        <w:lastRenderedPageBreak/>
        <w:t>A</w:t>
      </w:r>
      <w:r>
        <w:rPr>
          <w:spacing w:val="-14"/>
        </w:rPr>
        <w:t xml:space="preserve"> </w:t>
      </w:r>
      <w:r>
        <w:t>monetary</w:t>
      </w:r>
      <w:r>
        <w:rPr>
          <w:spacing w:val="-12"/>
        </w:rPr>
        <w:t xml:space="preserve"> </w:t>
      </w:r>
      <w:r>
        <w:t>policy</w:t>
      </w:r>
      <w:r>
        <w:rPr>
          <w:spacing w:val="-12"/>
        </w:rPr>
        <w:t xml:space="preserve"> </w:t>
      </w:r>
      <w:r>
        <w:t>framework</w:t>
      </w:r>
      <w:r>
        <w:rPr>
          <w:spacing w:val="-11"/>
        </w:rPr>
        <w:t xml:space="preserve"> </w:t>
      </w:r>
      <w:r>
        <w:t>fit</w:t>
      </w:r>
      <w:r>
        <w:rPr>
          <w:spacing w:val="-12"/>
        </w:rPr>
        <w:t xml:space="preserve"> </w:t>
      </w:r>
      <w:r>
        <w:t>for</w:t>
      </w:r>
      <w:r>
        <w:rPr>
          <w:spacing w:val="-12"/>
        </w:rPr>
        <w:t xml:space="preserve"> </w:t>
      </w:r>
      <w:r>
        <w:t>the</w:t>
      </w:r>
      <w:r>
        <w:rPr>
          <w:spacing w:val="-11"/>
        </w:rPr>
        <w:t xml:space="preserve"> </w:t>
      </w:r>
      <w:r>
        <w:t>future</w:t>
      </w:r>
      <w:bookmarkEnd w:id="4"/>
    </w:p>
    <w:p w14:paraId="3AD4129E" w14:textId="77777777" w:rsidR="000A5634" w:rsidRDefault="000A5634" w:rsidP="000A5634">
      <w:r>
        <w:t>Flexible inflation targeting has contributed to lower, more stable inflation and unemployment. Clarifying this framework and strengthening RBA decision making will best serve Australians in the future.</w:t>
      </w:r>
    </w:p>
    <w:p w14:paraId="0B520FE1" w14:textId="77777777" w:rsidR="000A5634" w:rsidRDefault="000A5634">
      <w:pPr>
        <w:spacing w:before="0" w:after="160" w:line="259" w:lineRule="auto"/>
      </w:pPr>
    </w:p>
    <w:tbl>
      <w:tblPr>
        <w:tblStyle w:val="TableGrid"/>
        <w:tblW w:w="0" w:type="auto"/>
        <w:tblCellMar>
          <w:top w:w="57" w:type="dxa"/>
          <w:bottom w:w="57" w:type="dxa"/>
        </w:tblCellMar>
        <w:tblLook w:val="04A0" w:firstRow="1" w:lastRow="0" w:firstColumn="1" w:lastColumn="0" w:noHBand="0" w:noVBand="1"/>
      </w:tblPr>
      <w:tblGrid>
        <w:gridCol w:w="4535"/>
        <w:gridCol w:w="4535"/>
      </w:tblGrid>
      <w:tr w:rsidR="003401D4" w14:paraId="051AA814" w14:textId="77777777" w:rsidTr="001D75F6">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2E3B4E" w:themeFill="accent3" w:themeFillShade="80"/>
          </w:tcPr>
          <w:p w14:paraId="4B1BD080" w14:textId="260D7A71" w:rsidR="003401D4" w:rsidRPr="007C33D7" w:rsidRDefault="007C33D7" w:rsidP="007C33D7">
            <w:pPr>
              <w:rPr>
                <w:color w:val="auto"/>
              </w:rPr>
            </w:pPr>
            <w:r>
              <w:rPr>
                <w:color w:val="auto"/>
              </w:rPr>
              <w:t>A clear monetary policy framework</w:t>
            </w:r>
          </w:p>
        </w:tc>
      </w:tr>
      <w:tr w:rsidR="00C855C5" w14:paraId="0F04F7E2" w14:textId="77777777" w:rsidTr="001D75F6">
        <w:trPr>
          <w:trHeight w:val="4979"/>
        </w:trPr>
        <w:tc>
          <w:tcPr>
            <w:tcW w:w="4536" w:type="dxa"/>
          </w:tcPr>
          <w:p w14:paraId="3B55D00A" w14:textId="77777777" w:rsidR="003401D4" w:rsidRPr="001B3758" w:rsidRDefault="003401D4" w:rsidP="0000278A">
            <w:pPr>
              <w:pStyle w:val="Bullet"/>
              <w:rPr>
                <w:rFonts w:cs="Calibri Light"/>
              </w:rPr>
            </w:pPr>
            <w:r w:rsidRPr="001B3758">
              <w:rPr>
                <w:rFonts w:cs="Calibri Light"/>
              </w:rPr>
              <w:t xml:space="preserve">Flexible inflation targeting operated by an independent RBA has generally worked well over three decades, contributing to </w:t>
            </w:r>
            <w:r w:rsidRPr="001B3758">
              <w:rPr>
                <w:rFonts w:cs="Calibri Light"/>
                <w:b/>
              </w:rPr>
              <w:t>lower, more stable inflation and unemployment</w:t>
            </w:r>
            <w:r w:rsidRPr="001B3758">
              <w:rPr>
                <w:rFonts w:cs="Calibri Light"/>
              </w:rPr>
              <w:t>.</w:t>
            </w:r>
          </w:p>
          <w:p w14:paraId="661AE353" w14:textId="77777777" w:rsidR="003401D4" w:rsidRPr="001B3758" w:rsidRDefault="003401D4" w:rsidP="0000278A">
            <w:pPr>
              <w:pStyle w:val="Bullet"/>
              <w:rPr>
                <w:rFonts w:cs="Calibri Light"/>
              </w:rPr>
            </w:pPr>
            <w:r w:rsidRPr="001B3758">
              <w:rPr>
                <w:rFonts w:cs="Calibri Light"/>
              </w:rPr>
              <w:t xml:space="preserve">Some </w:t>
            </w:r>
            <w:r w:rsidRPr="001B3758">
              <w:rPr>
                <w:rFonts w:cs="Calibri Light"/>
                <w:b/>
              </w:rPr>
              <w:t xml:space="preserve">modest improvements to the current </w:t>
            </w:r>
            <w:r w:rsidRPr="001B3758">
              <w:rPr>
                <w:rFonts w:cs="Calibri Light"/>
              </w:rPr>
              <w:t>framework and objectives will ensure it remains well-suited to Australia’s future challenges.</w:t>
            </w:r>
          </w:p>
          <w:p w14:paraId="308FE33C" w14:textId="77777777" w:rsidR="003401D4" w:rsidRPr="001B3758" w:rsidRDefault="003401D4" w:rsidP="0000278A">
            <w:pPr>
              <w:pStyle w:val="Bullet"/>
              <w:rPr>
                <w:rFonts w:cs="Calibri Light"/>
              </w:rPr>
            </w:pPr>
            <w:r w:rsidRPr="001B3758">
              <w:rPr>
                <w:rFonts w:cs="Calibri Light"/>
              </w:rPr>
              <w:t xml:space="preserve">The RBA should have </w:t>
            </w:r>
            <w:r w:rsidRPr="001B3758">
              <w:rPr>
                <w:rFonts w:cs="Calibri Light"/>
                <w:b/>
              </w:rPr>
              <w:t>dual monetary policy objectives of price stability and full employment</w:t>
            </w:r>
            <w:r w:rsidRPr="001B3758">
              <w:rPr>
                <w:rFonts w:cs="Calibri Light"/>
              </w:rPr>
              <w:t>, with equal consideration given to each. The economic prosperity and welfare of Australians now and in the future should be an overall purpose for the institution.</w:t>
            </w:r>
          </w:p>
          <w:p w14:paraId="1B0D46D9" w14:textId="77777777" w:rsidR="003401D4" w:rsidRPr="001B3758" w:rsidRDefault="003401D4" w:rsidP="0000278A">
            <w:pPr>
              <w:pStyle w:val="Bullet"/>
              <w:rPr>
                <w:rFonts w:cs="Calibri Light"/>
              </w:rPr>
            </w:pPr>
            <w:r w:rsidRPr="001B3758">
              <w:rPr>
                <w:rFonts w:cs="Calibri Light"/>
              </w:rPr>
              <w:t xml:space="preserve">The RBA should retain a </w:t>
            </w:r>
            <w:r w:rsidRPr="001B3758">
              <w:rPr>
                <w:rFonts w:cs="Calibri Light"/>
                <w:b/>
              </w:rPr>
              <w:t xml:space="preserve">flexible inflation target of 2 to 3 per cent </w:t>
            </w:r>
            <w:r w:rsidRPr="001B3758">
              <w:rPr>
                <w:rFonts w:cs="Calibri Light"/>
              </w:rPr>
              <w:t>and aim at the midpoint to maximise the chance that the target is met and best anchor inflation expectations.</w:t>
            </w:r>
          </w:p>
          <w:p w14:paraId="6AAEB81E" w14:textId="2F313653" w:rsidR="00C855C5" w:rsidRDefault="003401D4" w:rsidP="0000278A">
            <w:pPr>
              <w:pStyle w:val="Bullet"/>
            </w:pPr>
            <w:r w:rsidRPr="001B3758">
              <w:rPr>
                <w:rFonts w:cs="Calibri Light"/>
              </w:rPr>
              <w:t xml:space="preserve">The RBA should systematically set out its </w:t>
            </w:r>
            <w:r w:rsidRPr="001B3758">
              <w:rPr>
                <w:rFonts w:cs="Calibri Light"/>
                <w:b/>
              </w:rPr>
              <w:t>assessment of its full employment objective</w:t>
            </w:r>
            <w:r w:rsidRPr="001B3758">
              <w:rPr>
                <w:rFonts w:cs="Calibri Light"/>
              </w:rPr>
              <w:t>, as reflected in a range of relevant indicators of labour market conditions</w:t>
            </w:r>
            <w:r>
              <w:t>.</w:t>
            </w:r>
          </w:p>
        </w:tc>
        <w:tc>
          <w:tcPr>
            <w:tcW w:w="4536" w:type="dxa"/>
          </w:tcPr>
          <w:p w14:paraId="394EA2BB" w14:textId="77777777" w:rsidR="00274A19" w:rsidRPr="001B3758" w:rsidRDefault="00274A19" w:rsidP="0000278A">
            <w:pPr>
              <w:pStyle w:val="Bullet"/>
            </w:pPr>
            <w:r w:rsidRPr="001B3758">
              <w:t xml:space="preserve">The RBA should clearly </w:t>
            </w:r>
            <w:r w:rsidRPr="001B3758">
              <w:rPr>
                <w:b/>
              </w:rPr>
              <w:t>explain how it is balancing its two monetary policy objectives</w:t>
            </w:r>
            <w:r w:rsidRPr="001B3758">
              <w:t>, including how long inflation is expected to be materially</w:t>
            </w:r>
            <w:r w:rsidRPr="001B3758">
              <w:rPr>
                <w:spacing w:val="-7"/>
              </w:rPr>
              <w:t xml:space="preserve"> </w:t>
            </w:r>
            <w:r w:rsidRPr="001B3758">
              <w:t>away</w:t>
            </w:r>
            <w:r w:rsidRPr="001B3758">
              <w:rPr>
                <w:spacing w:val="-7"/>
              </w:rPr>
              <w:t xml:space="preserve"> </w:t>
            </w:r>
            <w:r w:rsidRPr="001B3758">
              <w:t>from</w:t>
            </w:r>
            <w:r w:rsidRPr="001B3758">
              <w:rPr>
                <w:spacing w:val="-7"/>
              </w:rPr>
              <w:t xml:space="preserve"> </w:t>
            </w:r>
            <w:r w:rsidRPr="001B3758">
              <w:t>the</w:t>
            </w:r>
            <w:r w:rsidRPr="001B3758">
              <w:rPr>
                <w:spacing w:val="-7"/>
              </w:rPr>
              <w:t xml:space="preserve"> </w:t>
            </w:r>
            <w:r w:rsidRPr="001B3758">
              <w:t>midpoint</w:t>
            </w:r>
            <w:r w:rsidRPr="001B3758">
              <w:rPr>
                <w:spacing w:val="-7"/>
              </w:rPr>
              <w:t xml:space="preserve"> </w:t>
            </w:r>
            <w:r w:rsidRPr="001B3758">
              <w:t>of</w:t>
            </w:r>
            <w:r w:rsidRPr="001B3758">
              <w:rPr>
                <w:spacing w:val="-7"/>
              </w:rPr>
              <w:t xml:space="preserve"> </w:t>
            </w:r>
            <w:r w:rsidRPr="001B3758">
              <w:t>the</w:t>
            </w:r>
            <w:r w:rsidRPr="001B3758">
              <w:rPr>
                <w:spacing w:val="-7"/>
              </w:rPr>
              <w:t xml:space="preserve"> </w:t>
            </w:r>
            <w:r w:rsidRPr="001B3758">
              <w:t>target</w:t>
            </w:r>
            <w:r w:rsidRPr="001B3758">
              <w:rPr>
                <w:spacing w:val="-7"/>
              </w:rPr>
              <w:t xml:space="preserve"> </w:t>
            </w:r>
            <w:r w:rsidRPr="001B3758">
              <w:t>and why, and how long labour market conditions are expected</w:t>
            </w:r>
            <w:r w:rsidRPr="001B3758">
              <w:rPr>
                <w:spacing w:val="-6"/>
              </w:rPr>
              <w:t xml:space="preserve"> </w:t>
            </w:r>
            <w:r w:rsidRPr="001B3758">
              <w:t>to</w:t>
            </w:r>
            <w:r w:rsidRPr="001B3758">
              <w:rPr>
                <w:spacing w:val="-6"/>
              </w:rPr>
              <w:t xml:space="preserve"> </w:t>
            </w:r>
            <w:r w:rsidRPr="001B3758">
              <w:t>deviate</w:t>
            </w:r>
            <w:r w:rsidRPr="001B3758">
              <w:rPr>
                <w:spacing w:val="-6"/>
              </w:rPr>
              <w:t xml:space="preserve"> </w:t>
            </w:r>
            <w:r w:rsidRPr="001B3758">
              <w:t>from</w:t>
            </w:r>
            <w:r w:rsidRPr="001B3758">
              <w:rPr>
                <w:spacing w:val="-6"/>
              </w:rPr>
              <w:t xml:space="preserve"> </w:t>
            </w:r>
            <w:r w:rsidRPr="001B3758">
              <w:t>full</w:t>
            </w:r>
            <w:r w:rsidRPr="001B3758">
              <w:rPr>
                <w:spacing w:val="-6"/>
              </w:rPr>
              <w:t xml:space="preserve"> </w:t>
            </w:r>
            <w:r w:rsidRPr="001B3758">
              <w:t>employment</w:t>
            </w:r>
            <w:r w:rsidRPr="001B3758">
              <w:rPr>
                <w:spacing w:val="-6"/>
              </w:rPr>
              <w:t xml:space="preserve"> </w:t>
            </w:r>
            <w:r w:rsidRPr="001B3758">
              <w:t>and</w:t>
            </w:r>
            <w:r w:rsidRPr="001B3758">
              <w:rPr>
                <w:spacing w:val="-6"/>
              </w:rPr>
              <w:t xml:space="preserve"> </w:t>
            </w:r>
            <w:r w:rsidRPr="001B3758">
              <w:t>why.</w:t>
            </w:r>
          </w:p>
          <w:p w14:paraId="18C5A47F" w14:textId="77777777" w:rsidR="00274A19" w:rsidRPr="001B3758" w:rsidRDefault="00274A19" w:rsidP="0000278A">
            <w:pPr>
              <w:pStyle w:val="Bullet"/>
            </w:pPr>
            <w:r w:rsidRPr="001B3758">
              <w:t xml:space="preserve">There should be increased </w:t>
            </w:r>
            <w:r w:rsidRPr="001B3758">
              <w:rPr>
                <w:b/>
              </w:rPr>
              <w:t>joint work between Treasury and the RBA on the relative roles of fiscal and monetary policy</w:t>
            </w:r>
            <w:r w:rsidRPr="001B3758">
              <w:t>.</w:t>
            </w:r>
          </w:p>
          <w:p w14:paraId="65D71E62" w14:textId="388F7640" w:rsidR="00274A19" w:rsidRPr="001B3758" w:rsidRDefault="00274A19" w:rsidP="0000278A">
            <w:pPr>
              <w:pStyle w:val="Bullet"/>
            </w:pPr>
            <w:r w:rsidRPr="001B3758">
              <w:t>There</w:t>
            </w:r>
            <w:r w:rsidRPr="001B3758">
              <w:rPr>
                <w:spacing w:val="3"/>
              </w:rPr>
              <w:t xml:space="preserve"> </w:t>
            </w:r>
            <w:r w:rsidRPr="001B3758">
              <w:t>should</w:t>
            </w:r>
            <w:r w:rsidRPr="001B3758">
              <w:rPr>
                <w:spacing w:val="4"/>
              </w:rPr>
              <w:t xml:space="preserve"> </w:t>
            </w:r>
            <w:r w:rsidRPr="001B3758">
              <w:t>be</w:t>
            </w:r>
            <w:r w:rsidRPr="001B3758">
              <w:rPr>
                <w:spacing w:val="3"/>
              </w:rPr>
              <w:t xml:space="preserve"> </w:t>
            </w:r>
            <w:r w:rsidRPr="001B3758">
              <w:rPr>
                <w:b/>
              </w:rPr>
              <w:t>5-yearly</w:t>
            </w:r>
            <w:r w:rsidRPr="001B3758">
              <w:rPr>
                <w:b/>
                <w:spacing w:val="4"/>
              </w:rPr>
              <w:t xml:space="preserve"> </w:t>
            </w:r>
            <w:r w:rsidRPr="001B3758">
              <w:rPr>
                <w:b/>
              </w:rPr>
              <w:t>reviews</w:t>
            </w:r>
            <w:r w:rsidRPr="001B3758">
              <w:rPr>
                <w:b/>
                <w:spacing w:val="3"/>
              </w:rPr>
              <w:t xml:space="preserve"> </w:t>
            </w:r>
            <w:r w:rsidRPr="001B3758">
              <w:t>of</w:t>
            </w:r>
            <w:r w:rsidRPr="001B3758">
              <w:rPr>
                <w:spacing w:val="4"/>
              </w:rPr>
              <w:t xml:space="preserve"> </w:t>
            </w:r>
            <w:r w:rsidRPr="001B3758">
              <w:t>the</w:t>
            </w:r>
            <w:r w:rsidRPr="001B3758">
              <w:rPr>
                <w:spacing w:val="4"/>
              </w:rPr>
              <w:t xml:space="preserve"> </w:t>
            </w:r>
            <w:r w:rsidRPr="001B3758">
              <w:rPr>
                <w:spacing w:val="-4"/>
              </w:rPr>
              <w:t>RBA’s</w:t>
            </w:r>
            <w:r w:rsidR="001B3758">
              <w:rPr>
                <w:spacing w:val="-4"/>
              </w:rPr>
              <w:t xml:space="preserve"> </w:t>
            </w:r>
            <w:r w:rsidRPr="001B3758">
              <w:t>monetary</w:t>
            </w:r>
            <w:r w:rsidRPr="001B3758">
              <w:rPr>
                <w:spacing w:val="10"/>
              </w:rPr>
              <w:t xml:space="preserve"> </w:t>
            </w:r>
            <w:r w:rsidRPr="001B3758">
              <w:t>policy</w:t>
            </w:r>
            <w:r w:rsidRPr="001B3758">
              <w:rPr>
                <w:spacing w:val="10"/>
              </w:rPr>
              <w:t xml:space="preserve"> </w:t>
            </w:r>
            <w:r w:rsidRPr="001B3758">
              <w:t>framework</w:t>
            </w:r>
            <w:r w:rsidRPr="001B3758">
              <w:rPr>
                <w:spacing w:val="10"/>
              </w:rPr>
              <w:t xml:space="preserve"> </w:t>
            </w:r>
            <w:r w:rsidRPr="001B3758">
              <w:t>and</w:t>
            </w:r>
            <w:r w:rsidRPr="001B3758">
              <w:rPr>
                <w:spacing w:val="10"/>
              </w:rPr>
              <w:t xml:space="preserve"> </w:t>
            </w:r>
            <w:r w:rsidRPr="001B3758">
              <w:t>policy</w:t>
            </w:r>
            <w:r w:rsidRPr="001B3758">
              <w:rPr>
                <w:spacing w:val="11"/>
              </w:rPr>
              <w:t xml:space="preserve"> </w:t>
            </w:r>
            <w:r w:rsidRPr="001B3758">
              <w:rPr>
                <w:spacing w:val="-2"/>
              </w:rPr>
              <w:t>tools.</w:t>
            </w:r>
          </w:p>
          <w:p w14:paraId="4BDA4139" w14:textId="01B8DD27" w:rsidR="00C855C5" w:rsidRPr="001B3758" w:rsidRDefault="00274A19" w:rsidP="0000278A">
            <w:pPr>
              <w:pStyle w:val="Bullet"/>
            </w:pPr>
            <w:r w:rsidRPr="001B3758">
              <w:t xml:space="preserve">There should be </w:t>
            </w:r>
            <w:r w:rsidRPr="001B3758">
              <w:rPr>
                <w:b/>
              </w:rPr>
              <w:t xml:space="preserve">more formalised cooperation arrangements for financial stability policy </w:t>
            </w:r>
            <w:r w:rsidRPr="001B3758">
              <w:t>including by the RBA providing formal advice to APRA for its use of macroprudential tools.</w:t>
            </w:r>
          </w:p>
        </w:tc>
      </w:tr>
      <w:tr w:rsidR="003401D4" w14:paraId="376B392E" w14:textId="77777777" w:rsidTr="001D75F6">
        <w:tc>
          <w:tcPr>
            <w:tcW w:w="9072" w:type="dxa"/>
            <w:gridSpan w:val="2"/>
            <w:shd w:val="clear" w:color="auto" w:fill="2E3B4E" w:themeFill="accent3" w:themeFillShade="80"/>
          </w:tcPr>
          <w:p w14:paraId="24DFC3E7" w14:textId="1F446DB0" w:rsidR="003401D4" w:rsidRPr="007C33D7" w:rsidRDefault="003401D4" w:rsidP="007C33D7">
            <w:pPr>
              <w:rPr>
                <w:rFonts w:cs="Calibri Light"/>
                <w:b/>
                <w:bCs/>
                <w:sz w:val="20"/>
              </w:rPr>
            </w:pPr>
            <w:r w:rsidRPr="007C33D7">
              <w:rPr>
                <w:rFonts w:cs="Calibri Light"/>
                <w:b/>
                <w:bCs/>
                <w:sz w:val="20"/>
                <w:shd w:val="clear" w:color="auto" w:fill="204160"/>
              </w:rPr>
              <w:t>Stronger</w:t>
            </w:r>
            <w:r w:rsidRPr="007C33D7">
              <w:rPr>
                <w:rFonts w:cs="Calibri Light"/>
                <w:b/>
                <w:bCs/>
                <w:spacing w:val="1"/>
                <w:sz w:val="20"/>
                <w:shd w:val="clear" w:color="auto" w:fill="204160"/>
              </w:rPr>
              <w:t xml:space="preserve"> </w:t>
            </w:r>
            <w:r w:rsidRPr="007C33D7">
              <w:rPr>
                <w:rFonts w:cs="Calibri Light"/>
                <w:b/>
                <w:bCs/>
                <w:sz w:val="20"/>
                <w:shd w:val="clear" w:color="auto" w:fill="204160"/>
              </w:rPr>
              <w:t>monetary policy</w:t>
            </w:r>
            <w:r w:rsidRPr="007C33D7">
              <w:rPr>
                <w:rFonts w:cs="Calibri Light"/>
                <w:b/>
                <w:bCs/>
                <w:spacing w:val="1"/>
                <w:sz w:val="20"/>
                <w:shd w:val="clear" w:color="auto" w:fill="204160"/>
              </w:rPr>
              <w:t xml:space="preserve"> </w:t>
            </w:r>
            <w:r w:rsidRPr="007C33D7">
              <w:rPr>
                <w:rFonts w:cs="Calibri Light"/>
                <w:b/>
                <w:bCs/>
                <w:sz w:val="20"/>
                <w:shd w:val="clear" w:color="auto" w:fill="204160"/>
              </w:rPr>
              <w:t>decision making</w:t>
            </w:r>
            <w:r w:rsidRPr="007C33D7">
              <w:rPr>
                <w:rFonts w:cs="Calibri Light"/>
                <w:b/>
                <w:bCs/>
                <w:spacing w:val="1"/>
                <w:sz w:val="20"/>
                <w:shd w:val="clear" w:color="auto" w:fill="204160"/>
              </w:rPr>
              <w:t xml:space="preserve"> </w:t>
            </w:r>
            <w:r w:rsidRPr="007C33D7">
              <w:rPr>
                <w:rFonts w:cs="Calibri Light"/>
                <w:b/>
                <w:bCs/>
                <w:sz w:val="20"/>
                <w:shd w:val="clear" w:color="auto" w:fill="204160"/>
              </w:rPr>
              <w:t>and</w:t>
            </w:r>
            <w:r w:rsidRPr="007C33D7">
              <w:rPr>
                <w:rFonts w:cs="Calibri Light"/>
                <w:b/>
                <w:bCs/>
                <w:spacing w:val="1"/>
                <w:sz w:val="20"/>
                <w:shd w:val="clear" w:color="auto" w:fill="204160"/>
              </w:rPr>
              <w:t xml:space="preserve"> </w:t>
            </w:r>
            <w:r w:rsidRPr="007C33D7">
              <w:rPr>
                <w:rFonts w:cs="Calibri Light"/>
                <w:b/>
                <w:bCs/>
                <w:spacing w:val="-2"/>
                <w:sz w:val="20"/>
                <w:shd w:val="clear" w:color="auto" w:fill="204160"/>
              </w:rPr>
              <w:t>accountability</w:t>
            </w:r>
          </w:p>
        </w:tc>
      </w:tr>
      <w:tr w:rsidR="00C855C5" w14:paraId="0CD91AFF" w14:textId="77777777" w:rsidTr="001D75F6">
        <w:tc>
          <w:tcPr>
            <w:tcW w:w="4536" w:type="dxa"/>
          </w:tcPr>
          <w:p w14:paraId="271BF1DB" w14:textId="77777777" w:rsidR="00984C5C" w:rsidRPr="00ED1A75" w:rsidRDefault="00984C5C" w:rsidP="0000278A">
            <w:pPr>
              <w:pStyle w:val="Bullet"/>
            </w:pPr>
            <w:r w:rsidRPr="00ED1A75">
              <w:t xml:space="preserve">Monetary policy decision making should be strengthened to deal with an </w:t>
            </w:r>
            <w:r w:rsidRPr="00ED1A75">
              <w:rPr>
                <w:b/>
              </w:rPr>
              <w:t xml:space="preserve">increasingly complex environment </w:t>
            </w:r>
            <w:r w:rsidRPr="00ED1A75">
              <w:t>that includes more supply-side shocks and a broader monetary policy</w:t>
            </w:r>
            <w:r w:rsidRPr="00ED1A75">
              <w:rPr>
                <w:spacing w:val="-3"/>
              </w:rPr>
              <w:t xml:space="preserve"> </w:t>
            </w:r>
            <w:r w:rsidRPr="00ED1A75">
              <w:t>toolkit.</w:t>
            </w:r>
          </w:p>
          <w:p w14:paraId="761A2703" w14:textId="77777777" w:rsidR="00984C5C" w:rsidRPr="00ED1A75" w:rsidRDefault="00984C5C" w:rsidP="0000278A">
            <w:pPr>
              <w:pStyle w:val="Bullet"/>
            </w:pPr>
            <w:r w:rsidRPr="00ED1A75">
              <w:t xml:space="preserve">The Reserve Bank Board’s composition and decision making processes have not sufficiently enabled it to </w:t>
            </w:r>
            <w:r w:rsidRPr="00ED1A75">
              <w:rPr>
                <w:b/>
              </w:rPr>
              <w:t>shape policy decisions, strategy, and the RBA’s underlying analysis and judgements</w:t>
            </w:r>
            <w:r w:rsidRPr="00ED1A75">
              <w:t>.</w:t>
            </w:r>
          </w:p>
          <w:p w14:paraId="645790BA" w14:textId="77777777" w:rsidR="00984C5C" w:rsidRPr="00ED1A75" w:rsidRDefault="00984C5C" w:rsidP="0000278A">
            <w:pPr>
              <w:pStyle w:val="Bullet"/>
            </w:pPr>
            <w:r w:rsidRPr="00ED1A75">
              <w:t xml:space="preserve">The Government should </w:t>
            </w:r>
            <w:r w:rsidRPr="00ED1A75">
              <w:rPr>
                <w:b/>
              </w:rPr>
              <w:t>form a Monetary</w:t>
            </w:r>
            <w:r w:rsidRPr="00ED1A75">
              <w:rPr>
                <w:b/>
                <w:spacing w:val="80"/>
              </w:rPr>
              <w:t xml:space="preserve"> </w:t>
            </w:r>
            <w:r w:rsidRPr="00ED1A75">
              <w:rPr>
                <w:b/>
              </w:rPr>
              <w:t xml:space="preserve">Policy Board with greater economic expertise </w:t>
            </w:r>
            <w:r w:rsidRPr="00ED1A75">
              <w:t>and participation in decision making while maintaining diverse perspectives and knowledge.</w:t>
            </w:r>
          </w:p>
          <w:p w14:paraId="277D5F65" w14:textId="77777777" w:rsidR="00C855C5" w:rsidRDefault="00C855C5">
            <w:pPr>
              <w:spacing w:before="0" w:after="160" w:line="259" w:lineRule="auto"/>
            </w:pPr>
          </w:p>
        </w:tc>
        <w:tc>
          <w:tcPr>
            <w:tcW w:w="4536" w:type="dxa"/>
          </w:tcPr>
          <w:p w14:paraId="2AB4FFE3" w14:textId="530A86CF" w:rsidR="00ED1A75" w:rsidRPr="00ED1A75" w:rsidRDefault="00ED1A75" w:rsidP="0000278A">
            <w:pPr>
              <w:pStyle w:val="Bullet"/>
            </w:pPr>
            <w:r w:rsidRPr="00ED1A75">
              <w:t>The</w:t>
            </w:r>
            <w:r w:rsidRPr="00ED1A75">
              <w:rPr>
                <w:spacing w:val="4"/>
              </w:rPr>
              <w:t xml:space="preserve"> </w:t>
            </w:r>
            <w:r w:rsidRPr="00ED1A75">
              <w:t>Monetary</w:t>
            </w:r>
            <w:r w:rsidRPr="00ED1A75">
              <w:rPr>
                <w:spacing w:val="6"/>
              </w:rPr>
              <w:t xml:space="preserve"> </w:t>
            </w:r>
            <w:r w:rsidRPr="00ED1A75">
              <w:t>Policy</w:t>
            </w:r>
            <w:r w:rsidRPr="00ED1A75">
              <w:rPr>
                <w:spacing w:val="6"/>
              </w:rPr>
              <w:t xml:space="preserve"> </w:t>
            </w:r>
            <w:r w:rsidRPr="00ED1A75">
              <w:t>Board</w:t>
            </w:r>
            <w:r w:rsidRPr="00ED1A75">
              <w:rPr>
                <w:spacing w:val="6"/>
              </w:rPr>
              <w:t xml:space="preserve"> </w:t>
            </w:r>
            <w:r w:rsidRPr="00ED1A75">
              <w:t>should</w:t>
            </w:r>
            <w:r w:rsidRPr="00ED1A75">
              <w:rPr>
                <w:spacing w:val="6"/>
              </w:rPr>
              <w:t xml:space="preserve"> </w:t>
            </w:r>
            <w:r w:rsidRPr="00ED1A75">
              <w:t>move</w:t>
            </w:r>
            <w:r w:rsidRPr="00ED1A75">
              <w:rPr>
                <w:spacing w:val="6"/>
              </w:rPr>
              <w:t xml:space="preserve"> </w:t>
            </w:r>
            <w:r w:rsidRPr="00ED1A75">
              <w:rPr>
                <w:spacing w:val="-5"/>
              </w:rPr>
              <w:t>to</w:t>
            </w:r>
            <w:r>
              <w:rPr>
                <w:spacing w:val="-5"/>
              </w:rPr>
              <w:t xml:space="preserve"> </w:t>
            </w:r>
            <w:r w:rsidRPr="00ED1A75">
              <w:rPr>
                <w:b/>
              </w:rPr>
              <w:t xml:space="preserve">8 monetary policy meetings a year to allow more time to consider the issues </w:t>
            </w:r>
            <w:r w:rsidRPr="00ED1A75">
              <w:t>and engage with RBA staff within each meeting cycle.</w:t>
            </w:r>
          </w:p>
          <w:p w14:paraId="7CC978E9" w14:textId="77777777" w:rsidR="00ED1A75" w:rsidRPr="00ED1A75" w:rsidRDefault="00ED1A75" w:rsidP="0000278A">
            <w:pPr>
              <w:pStyle w:val="Bullet"/>
            </w:pPr>
            <w:r w:rsidRPr="00ED1A75">
              <w:rPr>
                <w:b/>
              </w:rPr>
              <w:t>Monetary policy processes should be more transparent</w:t>
            </w:r>
            <w:r w:rsidRPr="00ED1A75">
              <w:t>, with press conferences after each meeting, papers published after 5 years, and Board members occasionally speaking publicly about the work of the Board.</w:t>
            </w:r>
          </w:p>
          <w:p w14:paraId="0FC17CB0" w14:textId="5741430B" w:rsidR="00C855C5" w:rsidRPr="00ED1A75" w:rsidRDefault="00ED1A75" w:rsidP="0000278A">
            <w:pPr>
              <w:pStyle w:val="Bullet"/>
            </w:pPr>
            <w:r w:rsidRPr="00ED1A75">
              <w:t xml:space="preserve">The RBA should strengthen its strategic communications capability, with a new </w:t>
            </w:r>
            <w:r w:rsidRPr="00ED1A75">
              <w:rPr>
                <w:b/>
              </w:rPr>
              <w:t xml:space="preserve">Chief Communications Officer </w:t>
            </w:r>
            <w:r w:rsidRPr="00ED1A75">
              <w:t>position.</w:t>
            </w:r>
          </w:p>
        </w:tc>
      </w:tr>
    </w:tbl>
    <w:p w14:paraId="62AD15D8" w14:textId="011E87F2" w:rsidR="0062773E" w:rsidRDefault="0062773E">
      <w:pPr>
        <w:spacing w:before="0" w:after="160" w:line="259" w:lineRule="auto"/>
        <w:rPr>
          <w:rFonts w:ascii="Calibri" w:hAnsi="Calibri" w:cs="Arial"/>
          <w:b/>
          <w:color w:val="204060" w:themeColor="accent1"/>
          <w:kern w:val="32"/>
          <w:sz w:val="44"/>
          <w:szCs w:val="36"/>
        </w:rPr>
      </w:pPr>
      <w:r>
        <w:br w:type="page"/>
      </w:r>
    </w:p>
    <w:p w14:paraId="20ACDE7B" w14:textId="77777777" w:rsidR="0077542A" w:rsidRDefault="0077542A" w:rsidP="0077542A">
      <w:pPr>
        <w:pStyle w:val="Heading2"/>
      </w:pPr>
      <w:bookmarkStart w:id="7" w:name="_Toc134220981"/>
      <w:r>
        <w:lastRenderedPageBreak/>
        <w:t>A</w:t>
      </w:r>
      <w:r>
        <w:rPr>
          <w:spacing w:val="-14"/>
        </w:rPr>
        <w:t xml:space="preserve"> </w:t>
      </w:r>
      <w:r>
        <w:t>high</w:t>
      </w:r>
      <w:r>
        <w:rPr>
          <w:spacing w:val="-14"/>
        </w:rPr>
        <w:t xml:space="preserve"> </w:t>
      </w:r>
      <w:r w:rsidRPr="0077542A">
        <w:t>performing</w:t>
      </w:r>
      <w:r>
        <w:rPr>
          <w:spacing w:val="-13"/>
        </w:rPr>
        <w:t xml:space="preserve"> </w:t>
      </w:r>
      <w:r>
        <w:t>institution</w:t>
      </w:r>
      <w:bookmarkEnd w:id="7"/>
    </w:p>
    <w:p w14:paraId="697CDBF1" w14:textId="77777777" w:rsidR="0077542A" w:rsidRDefault="0077542A" w:rsidP="006469FA">
      <w:pPr>
        <w:spacing w:line="209" w:lineRule="exact"/>
        <w:ind w:left="2784"/>
        <w:rPr>
          <w:sz w:val="16"/>
        </w:rPr>
      </w:pPr>
    </w:p>
    <w:p w14:paraId="78657058" w14:textId="71C410E7" w:rsidR="006469FA" w:rsidRDefault="006469FA" w:rsidP="0077542A">
      <w:pPr>
        <w:rPr>
          <w:spacing w:val="-2"/>
        </w:rPr>
      </w:pPr>
      <w:r>
        <w:t>The</w:t>
      </w:r>
      <w:r>
        <w:rPr>
          <w:spacing w:val="4"/>
        </w:rPr>
        <w:t xml:space="preserve"> </w:t>
      </w:r>
      <w:r>
        <w:t>RBA</w:t>
      </w:r>
      <w:r>
        <w:rPr>
          <w:spacing w:val="5"/>
        </w:rPr>
        <w:t xml:space="preserve"> </w:t>
      </w:r>
      <w:r>
        <w:t>is</w:t>
      </w:r>
      <w:r>
        <w:rPr>
          <w:spacing w:val="4"/>
        </w:rPr>
        <w:t xml:space="preserve"> </w:t>
      </w:r>
      <w:r>
        <w:t>a</w:t>
      </w:r>
      <w:r>
        <w:rPr>
          <w:spacing w:val="5"/>
        </w:rPr>
        <w:t xml:space="preserve"> </w:t>
      </w:r>
      <w:r>
        <w:t>strong</w:t>
      </w:r>
      <w:r>
        <w:rPr>
          <w:spacing w:val="4"/>
        </w:rPr>
        <w:t xml:space="preserve"> </w:t>
      </w:r>
      <w:r>
        <w:t>and</w:t>
      </w:r>
      <w:r>
        <w:rPr>
          <w:spacing w:val="5"/>
        </w:rPr>
        <w:t xml:space="preserve"> </w:t>
      </w:r>
      <w:r>
        <w:t>widely</w:t>
      </w:r>
      <w:r>
        <w:rPr>
          <w:spacing w:val="4"/>
        </w:rPr>
        <w:t xml:space="preserve"> </w:t>
      </w:r>
      <w:r>
        <w:t>respected</w:t>
      </w:r>
      <w:r>
        <w:rPr>
          <w:spacing w:val="5"/>
        </w:rPr>
        <w:t xml:space="preserve"> </w:t>
      </w:r>
      <w:r>
        <w:t>institution.</w:t>
      </w:r>
      <w:r>
        <w:rPr>
          <w:spacing w:val="4"/>
        </w:rPr>
        <w:t xml:space="preserve"> </w:t>
      </w:r>
      <w:r>
        <w:t>It</w:t>
      </w:r>
      <w:r>
        <w:rPr>
          <w:spacing w:val="5"/>
        </w:rPr>
        <w:t xml:space="preserve"> </w:t>
      </w:r>
      <w:r>
        <w:t>should</w:t>
      </w:r>
      <w:r>
        <w:rPr>
          <w:spacing w:val="4"/>
        </w:rPr>
        <w:t xml:space="preserve"> </w:t>
      </w:r>
      <w:r>
        <w:t>build</w:t>
      </w:r>
      <w:r>
        <w:rPr>
          <w:spacing w:val="5"/>
        </w:rPr>
        <w:t xml:space="preserve"> </w:t>
      </w:r>
      <w:r>
        <w:t>on</w:t>
      </w:r>
      <w:r>
        <w:rPr>
          <w:spacing w:val="4"/>
        </w:rPr>
        <w:t xml:space="preserve"> </w:t>
      </w:r>
      <w:r>
        <w:t>its</w:t>
      </w:r>
      <w:r>
        <w:rPr>
          <w:spacing w:val="5"/>
        </w:rPr>
        <w:t xml:space="preserve"> </w:t>
      </w:r>
      <w:r>
        <w:t>strengths</w:t>
      </w:r>
      <w:r>
        <w:rPr>
          <w:spacing w:val="4"/>
        </w:rPr>
        <w:t xml:space="preserve"> </w:t>
      </w:r>
      <w:r>
        <w:t>to</w:t>
      </w:r>
      <w:r>
        <w:rPr>
          <w:spacing w:val="5"/>
        </w:rPr>
        <w:t xml:space="preserve"> </w:t>
      </w:r>
      <w:r>
        <w:t>become</w:t>
      </w:r>
      <w:r>
        <w:rPr>
          <w:spacing w:val="5"/>
        </w:rPr>
        <w:t xml:space="preserve"> </w:t>
      </w:r>
      <w:r>
        <w:rPr>
          <w:spacing w:val="-4"/>
        </w:rPr>
        <w:t>more</w:t>
      </w:r>
      <w:r w:rsidR="0077542A">
        <w:rPr>
          <w:spacing w:val="-4"/>
        </w:rPr>
        <w:t xml:space="preserve"> </w:t>
      </w:r>
      <w:r>
        <w:t>open</w:t>
      </w:r>
      <w:r>
        <w:rPr>
          <w:spacing w:val="3"/>
        </w:rPr>
        <w:t xml:space="preserve"> </w:t>
      </w:r>
      <w:r>
        <w:t>and</w:t>
      </w:r>
      <w:r>
        <w:rPr>
          <w:spacing w:val="4"/>
        </w:rPr>
        <w:t xml:space="preserve"> </w:t>
      </w:r>
      <w:r>
        <w:t>dynamic</w:t>
      </w:r>
      <w:r>
        <w:rPr>
          <w:spacing w:val="4"/>
        </w:rPr>
        <w:t xml:space="preserve"> </w:t>
      </w:r>
      <w:r>
        <w:t>and</w:t>
      </w:r>
      <w:r>
        <w:rPr>
          <w:spacing w:val="4"/>
        </w:rPr>
        <w:t xml:space="preserve"> </w:t>
      </w:r>
      <w:r>
        <w:t>improve</w:t>
      </w:r>
      <w:r>
        <w:rPr>
          <w:spacing w:val="4"/>
        </w:rPr>
        <w:t xml:space="preserve"> </w:t>
      </w:r>
      <w:r>
        <w:t>its</w:t>
      </w:r>
      <w:r>
        <w:rPr>
          <w:spacing w:val="4"/>
        </w:rPr>
        <w:t xml:space="preserve"> </w:t>
      </w:r>
      <w:r>
        <w:rPr>
          <w:spacing w:val="-2"/>
        </w:rPr>
        <w:t>governance.</w:t>
      </w:r>
    </w:p>
    <w:p w14:paraId="09C95FAA" w14:textId="77777777" w:rsidR="00C36063" w:rsidRDefault="00C36063" w:rsidP="0077542A">
      <w:pPr>
        <w:rPr>
          <w:spacing w:val="-2"/>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512"/>
        <w:gridCol w:w="4514"/>
      </w:tblGrid>
      <w:tr w:rsidR="00751A91" w14:paraId="2509CC55" w14:textId="77777777" w:rsidTr="001D75F6">
        <w:tc>
          <w:tcPr>
            <w:tcW w:w="9026" w:type="dxa"/>
            <w:gridSpan w:val="2"/>
            <w:shd w:val="clear" w:color="auto" w:fill="2E3B4E" w:themeFill="accent3" w:themeFillShade="80"/>
          </w:tcPr>
          <w:p w14:paraId="6472D95E" w14:textId="26B69DE1" w:rsidR="00751A91" w:rsidRPr="00751A91" w:rsidRDefault="00751A91" w:rsidP="00751A91">
            <w:pPr>
              <w:rPr>
                <w:b/>
                <w:bCs/>
                <w:sz w:val="20"/>
                <w:szCs w:val="18"/>
              </w:rPr>
            </w:pPr>
            <w:r w:rsidRPr="00751A91">
              <w:rPr>
                <w:b/>
                <w:bCs/>
                <w:sz w:val="20"/>
                <w:szCs w:val="18"/>
              </w:rPr>
              <w:t>An open and dynamic RBA</w:t>
            </w:r>
          </w:p>
        </w:tc>
      </w:tr>
      <w:tr w:rsidR="00DE447D" w14:paraId="2D01706A" w14:textId="77777777" w:rsidTr="001D75F6">
        <w:trPr>
          <w:trHeight w:val="3198"/>
        </w:trPr>
        <w:tc>
          <w:tcPr>
            <w:tcW w:w="4512" w:type="dxa"/>
          </w:tcPr>
          <w:p w14:paraId="59B6A58E" w14:textId="77777777" w:rsidR="0063427E" w:rsidRPr="00011204" w:rsidRDefault="0063427E" w:rsidP="0000278A">
            <w:pPr>
              <w:pStyle w:val="Bullet"/>
              <w:rPr>
                <w:sz w:val="18"/>
                <w:szCs w:val="16"/>
              </w:rPr>
            </w:pPr>
            <w:r w:rsidRPr="00011204">
              <w:rPr>
                <w:sz w:val="18"/>
                <w:szCs w:val="16"/>
              </w:rPr>
              <w:t>The</w:t>
            </w:r>
            <w:r w:rsidRPr="00011204">
              <w:rPr>
                <w:spacing w:val="-2"/>
                <w:sz w:val="18"/>
                <w:szCs w:val="16"/>
              </w:rPr>
              <w:t xml:space="preserve"> </w:t>
            </w:r>
            <w:r w:rsidRPr="00011204">
              <w:rPr>
                <w:sz w:val="18"/>
                <w:szCs w:val="16"/>
              </w:rPr>
              <w:t>RBA</w:t>
            </w:r>
            <w:r w:rsidRPr="00011204">
              <w:rPr>
                <w:spacing w:val="-2"/>
                <w:sz w:val="18"/>
                <w:szCs w:val="16"/>
              </w:rPr>
              <w:t xml:space="preserve"> </w:t>
            </w:r>
            <w:r w:rsidRPr="00011204">
              <w:rPr>
                <w:sz w:val="18"/>
                <w:szCs w:val="16"/>
              </w:rPr>
              <w:t>has</w:t>
            </w:r>
            <w:r w:rsidRPr="00011204">
              <w:rPr>
                <w:spacing w:val="-2"/>
                <w:sz w:val="18"/>
                <w:szCs w:val="16"/>
              </w:rPr>
              <w:t xml:space="preserve"> </w:t>
            </w:r>
            <w:r w:rsidRPr="00011204">
              <w:rPr>
                <w:sz w:val="18"/>
                <w:szCs w:val="16"/>
              </w:rPr>
              <w:t>high</w:t>
            </w:r>
            <w:r w:rsidRPr="00011204">
              <w:rPr>
                <w:spacing w:val="-2"/>
                <w:sz w:val="18"/>
                <w:szCs w:val="16"/>
              </w:rPr>
              <w:t xml:space="preserve"> </w:t>
            </w:r>
            <w:r w:rsidRPr="00011204">
              <w:rPr>
                <w:b/>
                <w:sz w:val="18"/>
                <w:szCs w:val="16"/>
              </w:rPr>
              <w:t xml:space="preserve">calibre, deeply committed people </w:t>
            </w:r>
            <w:r w:rsidRPr="00011204">
              <w:rPr>
                <w:sz w:val="18"/>
                <w:szCs w:val="16"/>
              </w:rPr>
              <w:t xml:space="preserve">and a </w:t>
            </w:r>
            <w:r w:rsidRPr="00011204">
              <w:rPr>
                <w:b/>
                <w:sz w:val="18"/>
                <w:szCs w:val="16"/>
              </w:rPr>
              <w:t>supportive and collegiate culture</w:t>
            </w:r>
            <w:r w:rsidRPr="00011204">
              <w:rPr>
                <w:sz w:val="18"/>
                <w:szCs w:val="16"/>
              </w:rPr>
              <w:t xml:space="preserve">. It is </w:t>
            </w:r>
            <w:r w:rsidRPr="00011204">
              <w:rPr>
                <w:b/>
                <w:sz w:val="18"/>
                <w:szCs w:val="16"/>
              </w:rPr>
              <w:t>respected domestically and internationally</w:t>
            </w:r>
            <w:r w:rsidRPr="00011204">
              <w:rPr>
                <w:b/>
                <w:spacing w:val="27"/>
                <w:sz w:val="18"/>
                <w:szCs w:val="16"/>
              </w:rPr>
              <w:t xml:space="preserve"> </w:t>
            </w:r>
            <w:r w:rsidRPr="00011204">
              <w:rPr>
                <w:sz w:val="18"/>
                <w:szCs w:val="16"/>
              </w:rPr>
              <w:t>for</w:t>
            </w:r>
            <w:r w:rsidRPr="00011204">
              <w:rPr>
                <w:spacing w:val="25"/>
                <w:sz w:val="18"/>
                <w:szCs w:val="16"/>
              </w:rPr>
              <w:t xml:space="preserve"> </w:t>
            </w:r>
            <w:r w:rsidRPr="00011204">
              <w:rPr>
                <w:sz w:val="18"/>
                <w:szCs w:val="16"/>
              </w:rPr>
              <w:t>its</w:t>
            </w:r>
            <w:r w:rsidRPr="00011204">
              <w:rPr>
                <w:spacing w:val="25"/>
                <w:sz w:val="18"/>
                <w:szCs w:val="16"/>
              </w:rPr>
              <w:t xml:space="preserve"> </w:t>
            </w:r>
            <w:r w:rsidRPr="00011204">
              <w:rPr>
                <w:sz w:val="18"/>
                <w:szCs w:val="16"/>
              </w:rPr>
              <w:t>expertise,</w:t>
            </w:r>
            <w:r w:rsidRPr="00011204">
              <w:rPr>
                <w:spacing w:val="25"/>
                <w:sz w:val="18"/>
                <w:szCs w:val="16"/>
              </w:rPr>
              <w:t xml:space="preserve"> </w:t>
            </w:r>
            <w:r w:rsidRPr="00011204">
              <w:rPr>
                <w:sz w:val="18"/>
                <w:szCs w:val="16"/>
              </w:rPr>
              <w:t>the</w:t>
            </w:r>
            <w:r w:rsidRPr="00011204">
              <w:rPr>
                <w:spacing w:val="25"/>
                <w:sz w:val="18"/>
                <w:szCs w:val="16"/>
              </w:rPr>
              <w:t xml:space="preserve"> </w:t>
            </w:r>
            <w:r w:rsidRPr="00011204">
              <w:rPr>
                <w:sz w:val="18"/>
                <w:szCs w:val="16"/>
              </w:rPr>
              <w:t>quality of its work and the contribution it makes in global</w:t>
            </w:r>
            <w:r w:rsidRPr="00011204">
              <w:rPr>
                <w:spacing w:val="-7"/>
                <w:sz w:val="18"/>
                <w:szCs w:val="16"/>
              </w:rPr>
              <w:t xml:space="preserve"> </w:t>
            </w:r>
            <w:r w:rsidRPr="00011204">
              <w:rPr>
                <w:sz w:val="18"/>
                <w:szCs w:val="16"/>
              </w:rPr>
              <w:t>forums.</w:t>
            </w:r>
          </w:p>
          <w:p w14:paraId="4EFA266E" w14:textId="77777777" w:rsidR="0063427E" w:rsidRPr="00011204" w:rsidRDefault="0063427E" w:rsidP="0000278A">
            <w:pPr>
              <w:pStyle w:val="Bullet"/>
              <w:rPr>
                <w:sz w:val="18"/>
                <w:szCs w:val="16"/>
              </w:rPr>
            </w:pPr>
            <w:r w:rsidRPr="00011204">
              <w:rPr>
                <w:sz w:val="18"/>
                <w:szCs w:val="16"/>
              </w:rPr>
              <w:t>The</w:t>
            </w:r>
            <w:r w:rsidRPr="00011204">
              <w:rPr>
                <w:spacing w:val="-4"/>
                <w:sz w:val="18"/>
                <w:szCs w:val="16"/>
              </w:rPr>
              <w:t xml:space="preserve"> </w:t>
            </w:r>
            <w:r w:rsidRPr="00011204">
              <w:rPr>
                <w:sz w:val="18"/>
                <w:szCs w:val="16"/>
              </w:rPr>
              <w:t>RBA</w:t>
            </w:r>
            <w:r w:rsidRPr="00011204">
              <w:rPr>
                <w:spacing w:val="-4"/>
                <w:sz w:val="18"/>
                <w:szCs w:val="16"/>
              </w:rPr>
              <w:t xml:space="preserve"> </w:t>
            </w:r>
            <w:r w:rsidRPr="00011204">
              <w:rPr>
                <w:sz w:val="18"/>
                <w:szCs w:val="16"/>
              </w:rPr>
              <w:t>should</w:t>
            </w:r>
            <w:r w:rsidRPr="00011204">
              <w:rPr>
                <w:spacing w:val="-4"/>
                <w:sz w:val="18"/>
                <w:szCs w:val="16"/>
              </w:rPr>
              <w:t xml:space="preserve"> </w:t>
            </w:r>
            <w:r w:rsidRPr="00011204">
              <w:rPr>
                <w:sz w:val="18"/>
                <w:szCs w:val="16"/>
              </w:rPr>
              <w:t>build</w:t>
            </w:r>
            <w:r w:rsidRPr="00011204">
              <w:rPr>
                <w:spacing w:val="-4"/>
                <w:sz w:val="18"/>
                <w:szCs w:val="16"/>
              </w:rPr>
              <w:t xml:space="preserve"> </w:t>
            </w:r>
            <w:r w:rsidRPr="00011204">
              <w:rPr>
                <w:sz w:val="18"/>
                <w:szCs w:val="16"/>
              </w:rPr>
              <w:t>on</w:t>
            </w:r>
            <w:r w:rsidRPr="00011204">
              <w:rPr>
                <w:spacing w:val="-4"/>
                <w:sz w:val="18"/>
                <w:szCs w:val="16"/>
              </w:rPr>
              <w:t xml:space="preserve"> </w:t>
            </w:r>
            <w:r w:rsidRPr="00011204">
              <w:rPr>
                <w:sz w:val="18"/>
                <w:szCs w:val="16"/>
              </w:rPr>
              <w:t>the</w:t>
            </w:r>
            <w:r w:rsidRPr="00011204">
              <w:rPr>
                <w:spacing w:val="-4"/>
                <w:sz w:val="18"/>
                <w:szCs w:val="16"/>
              </w:rPr>
              <w:t xml:space="preserve"> </w:t>
            </w:r>
            <w:r w:rsidRPr="00011204">
              <w:rPr>
                <w:sz w:val="18"/>
                <w:szCs w:val="16"/>
              </w:rPr>
              <w:t>steps</w:t>
            </w:r>
            <w:r w:rsidRPr="00011204">
              <w:rPr>
                <w:spacing w:val="-4"/>
                <w:sz w:val="18"/>
                <w:szCs w:val="16"/>
              </w:rPr>
              <w:t xml:space="preserve"> </w:t>
            </w:r>
            <w:r w:rsidRPr="00011204">
              <w:rPr>
                <w:sz w:val="18"/>
                <w:szCs w:val="16"/>
              </w:rPr>
              <w:t>it</w:t>
            </w:r>
            <w:r w:rsidRPr="00011204">
              <w:rPr>
                <w:spacing w:val="-4"/>
                <w:sz w:val="18"/>
                <w:szCs w:val="16"/>
              </w:rPr>
              <w:t xml:space="preserve"> </w:t>
            </w:r>
            <w:r w:rsidRPr="00011204">
              <w:rPr>
                <w:sz w:val="18"/>
                <w:szCs w:val="16"/>
              </w:rPr>
              <w:t>has</w:t>
            </w:r>
            <w:r w:rsidRPr="00011204">
              <w:rPr>
                <w:spacing w:val="-4"/>
                <w:sz w:val="18"/>
                <w:szCs w:val="16"/>
              </w:rPr>
              <w:t xml:space="preserve"> </w:t>
            </w:r>
            <w:r w:rsidRPr="00011204">
              <w:rPr>
                <w:sz w:val="18"/>
                <w:szCs w:val="16"/>
              </w:rPr>
              <w:t xml:space="preserve">already taken to become </w:t>
            </w:r>
            <w:r w:rsidRPr="00011204">
              <w:rPr>
                <w:b/>
                <w:sz w:val="18"/>
                <w:szCs w:val="16"/>
              </w:rPr>
              <w:t>more open and dynamic</w:t>
            </w:r>
            <w:r w:rsidRPr="00011204">
              <w:rPr>
                <w:sz w:val="18"/>
                <w:szCs w:val="16"/>
              </w:rPr>
              <w:t>.</w:t>
            </w:r>
          </w:p>
          <w:p w14:paraId="03F0A2E9" w14:textId="5DCB3A64" w:rsidR="00DE447D" w:rsidRPr="00011204" w:rsidRDefault="0063427E" w:rsidP="0000278A">
            <w:pPr>
              <w:pStyle w:val="Bullet"/>
              <w:rPr>
                <w:sz w:val="18"/>
                <w:szCs w:val="16"/>
              </w:rPr>
            </w:pPr>
            <w:r w:rsidRPr="00011204">
              <w:rPr>
                <w:sz w:val="18"/>
                <w:szCs w:val="16"/>
              </w:rPr>
              <w:t xml:space="preserve">The RBA should appoint a </w:t>
            </w:r>
            <w:r w:rsidRPr="00011204">
              <w:rPr>
                <w:b/>
                <w:sz w:val="18"/>
                <w:szCs w:val="16"/>
              </w:rPr>
              <w:t>Chief Operating Officer</w:t>
            </w:r>
            <w:r w:rsidRPr="00011204">
              <w:rPr>
                <w:sz w:val="18"/>
                <w:szCs w:val="16"/>
              </w:rPr>
              <w:t>, focussed on improving systems and processes and creating a more agile organisation that better empowers staff.</w:t>
            </w:r>
          </w:p>
        </w:tc>
        <w:tc>
          <w:tcPr>
            <w:tcW w:w="4514" w:type="dxa"/>
          </w:tcPr>
          <w:p w14:paraId="00DE6B5D" w14:textId="77777777" w:rsidR="00011204" w:rsidRPr="00011204" w:rsidRDefault="00011204" w:rsidP="0000278A">
            <w:pPr>
              <w:pStyle w:val="Bullet"/>
              <w:rPr>
                <w:sz w:val="18"/>
                <w:szCs w:val="16"/>
              </w:rPr>
            </w:pPr>
            <w:r w:rsidRPr="00011204">
              <w:rPr>
                <w:sz w:val="18"/>
                <w:szCs w:val="16"/>
              </w:rPr>
              <w:t xml:space="preserve">The RBA should improve its leadership capability with a compulsory </w:t>
            </w:r>
            <w:r w:rsidRPr="00011204">
              <w:rPr>
                <w:b/>
                <w:sz w:val="18"/>
                <w:szCs w:val="16"/>
              </w:rPr>
              <w:t>leadership training program</w:t>
            </w:r>
            <w:r w:rsidRPr="00011204">
              <w:rPr>
                <w:sz w:val="18"/>
                <w:szCs w:val="16"/>
              </w:rPr>
              <w:t xml:space="preserve">, externally facilitated </w:t>
            </w:r>
            <w:r w:rsidRPr="00011204">
              <w:rPr>
                <w:b/>
                <w:sz w:val="18"/>
                <w:szCs w:val="16"/>
              </w:rPr>
              <w:t xml:space="preserve">360 degree feedback </w:t>
            </w:r>
            <w:r w:rsidRPr="00011204">
              <w:rPr>
                <w:sz w:val="18"/>
                <w:szCs w:val="16"/>
              </w:rPr>
              <w:t xml:space="preserve">and </w:t>
            </w:r>
            <w:r w:rsidRPr="00011204">
              <w:rPr>
                <w:b/>
                <w:sz w:val="18"/>
                <w:szCs w:val="16"/>
              </w:rPr>
              <w:t>improved performance management</w:t>
            </w:r>
            <w:r w:rsidRPr="00011204">
              <w:rPr>
                <w:sz w:val="18"/>
                <w:szCs w:val="16"/>
              </w:rPr>
              <w:t>.</w:t>
            </w:r>
          </w:p>
          <w:p w14:paraId="6FC990DF" w14:textId="77777777" w:rsidR="00011204" w:rsidRPr="00011204" w:rsidRDefault="00011204" w:rsidP="0000278A">
            <w:pPr>
              <w:pStyle w:val="Bullet"/>
              <w:rPr>
                <w:b/>
                <w:sz w:val="18"/>
                <w:szCs w:val="16"/>
              </w:rPr>
            </w:pPr>
            <w:r w:rsidRPr="00011204">
              <w:rPr>
                <w:sz w:val="18"/>
                <w:szCs w:val="16"/>
              </w:rPr>
              <w:t>The RBA should promote constructive debate and openness to diverse views through assessing</w:t>
            </w:r>
            <w:r w:rsidRPr="00011204">
              <w:rPr>
                <w:spacing w:val="29"/>
                <w:sz w:val="18"/>
                <w:szCs w:val="16"/>
              </w:rPr>
              <w:t xml:space="preserve"> </w:t>
            </w:r>
            <w:r w:rsidRPr="00011204">
              <w:rPr>
                <w:sz w:val="18"/>
                <w:szCs w:val="16"/>
              </w:rPr>
              <w:t>how</w:t>
            </w:r>
            <w:r w:rsidRPr="00011204">
              <w:rPr>
                <w:spacing w:val="29"/>
                <w:sz w:val="18"/>
                <w:szCs w:val="16"/>
              </w:rPr>
              <w:t xml:space="preserve"> </w:t>
            </w:r>
            <w:r w:rsidRPr="00011204">
              <w:rPr>
                <w:b/>
                <w:sz w:val="18"/>
                <w:szCs w:val="16"/>
              </w:rPr>
              <w:t>leaders</w:t>
            </w:r>
            <w:r w:rsidRPr="00011204">
              <w:rPr>
                <w:b/>
                <w:spacing w:val="29"/>
                <w:sz w:val="18"/>
                <w:szCs w:val="16"/>
              </w:rPr>
              <w:t xml:space="preserve"> </w:t>
            </w:r>
            <w:r w:rsidRPr="00011204">
              <w:rPr>
                <w:b/>
                <w:sz w:val="18"/>
                <w:szCs w:val="16"/>
              </w:rPr>
              <w:t>engage</w:t>
            </w:r>
            <w:r w:rsidRPr="00011204">
              <w:rPr>
                <w:b/>
                <w:spacing w:val="29"/>
                <w:sz w:val="18"/>
                <w:szCs w:val="16"/>
              </w:rPr>
              <w:t xml:space="preserve"> </w:t>
            </w:r>
            <w:r w:rsidRPr="00011204">
              <w:rPr>
                <w:b/>
                <w:sz w:val="18"/>
                <w:szCs w:val="16"/>
              </w:rPr>
              <w:t>with</w:t>
            </w:r>
            <w:r w:rsidRPr="00011204">
              <w:rPr>
                <w:b/>
                <w:spacing w:val="29"/>
                <w:sz w:val="18"/>
                <w:szCs w:val="16"/>
              </w:rPr>
              <w:t xml:space="preserve"> </w:t>
            </w:r>
            <w:r w:rsidRPr="00011204">
              <w:rPr>
                <w:b/>
                <w:sz w:val="18"/>
                <w:szCs w:val="16"/>
              </w:rPr>
              <w:t xml:space="preserve">staff </w:t>
            </w:r>
            <w:r w:rsidRPr="00011204">
              <w:rPr>
                <w:sz w:val="18"/>
                <w:szCs w:val="16"/>
              </w:rPr>
              <w:t xml:space="preserve">on ideas, </w:t>
            </w:r>
            <w:r w:rsidRPr="00011204">
              <w:rPr>
                <w:b/>
                <w:sz w:val="18"/>
                <w:szCs w:val="16"/>
              </w:rPr>
              <w:t>more openness to external hires</w:t>
            </w:r>
            <w:r w:rsidRPr="00011204">
              <w:rPr>
                <w:sz w:val="18"/>
                <w:szCs w:val="16"/>
              </w:rPr>
              <w:t xml:space="preserve">, and </w:t>
            </w:r>
            <w:r w:rsidRPr="00011204">
              <w:rPr>
                <w:b/>
                <w:sz w:val="18"/>
                <w:szCs w:val="16"/>
              </w:rPr>
              <w:t>diversity targets.</w:t>
            </w:r>
          </w:p>
          <w:p w14:paraId="41A689CE" w14:textId="70ED1E23" w:rsidR="00DE447D" w:rsidRPr="00011204" w:rsidRDefault="00011204" w:rsidP="0000278A">
            <w:pPr>
              <w:pStyle w:val="Bullet"/>
              <w:rPr>
                <w:sz w:val="18"/>
                <w:szCs w:val="16"/>
              </w:rPr>
            </w:pPr>
            <w:r w:rsidRPr="00011204">
              <w:rPr>
                <w:sz w:val="18"/>
                <w:szCs w:val="16"/>
              </w:rPr>
              <w:t xml:space="preserve">The RBA should strengthen the role of research in policy formulation by developing a </w:t>
            </w:r>
            <w:r w:rsidRPr="00011204">
              <w:rPr>
                <w:b/>
                <w:sz w:val="18"/>
                <w:szCs w:val="16"/>
              </w:rPr>
              <w:t xml:space="preserve">new research strategy </w:t>
            </w:r>
            <w:r w:rsidRPr="00011204">
              <w:rPr>
                <w:sz w:val="18"/>
                <w:szCs w:val="16"/>
              </w:rPr>
              <w:t xml:space="preserve">overseen by the Monetary Policy Board and establishing a </w:t>
            </w:r>
            <w:r w:rsidRPr="00011204">
              <w:rPr>
                <w:b/>
                <w:sz w:val="18"/>
                <w:szCs w:val="16"/>
              </w:rPr>
              <w:t>monetary policy strategy team</w:t>
            </w:r>
            <w:r w:rsidRPr="00011204">
              <w:rPr>
                <w:sz w:val="18"/>
                <w:szCs w:val="16"/>
              </w:rPr>
              <w:t>.</w:t>
            </w:r>
          </w:p>
        </w:tc>
      </w:tr>
      <w:tr w:rsidR="00751A91" w14:paraId="4B376417" w14:textId="77777777" w:rsidTr="001D75F6">
        <w:tc>
          <w:tcPr>
            <w:tcW w:w="9026" w:type="dxa"/>
            <w:gridSpan w:val="2"/>
            <w:shd w:val="clear" w:color="auto" w:fill="2E3B4E" w:themeFill="accent3" w:themeFillShade="80"/>
          </w:tcPr>
          <w:p w14:paraId="2C2CBC0F" w14:textId="17E91C98" w:rsidR="00751A91" w:rsidRPr="00751A91" w:rsidRDefault="00751A91" w:rsidP="0077542A">
            <w:pPr>
              <w:rPr>
                <w:b/>
                <w:bCs/>
                <w:color w:val="FFFFFF" w:themeColor="background1"/>
                <w:sz w:val="20"/>
                <w:szCs w:val="18"/>
              </w:rPr>
            </w:pPr>
            <w:r w:rsidRPr="00751A91">
              <w:rPr>
                <w:b/>
                <w:bCs/>
                <w:color w:val="FFFFFF" w:themeColor="background1"/>
                <w:sz w:val="20"/>
                <w:szCs w:val="18"/>
              </w:rPr>
              <w:t>More robust corporate governance</w:t>
            </w:r>
          </w:p>
        </w:tc>
      </w:tr>
      <w:tr w:rsidR="00DE447D" w14:paraId="549D02CD" w14:textId="77777777" w:rsidTr="001D75F6">
        <w:tc>
          <w:tcPr>
            <w:tcW w:w="4512" w:type="dxa"/>
          </w:tcPr>
          <w:p w14:paraId="0721BCF8" w14:textId="77777777" w:rsidR="00F25B38" w:rsidRPr="00F25B38" w:rsidRDefault="00F25B38" w:rsidP="0000278A">
            <w:pPr>
              <w:pStyle w:val="Bullet"/>
              <w:rPr>
                <w:sz w:val="18"/>
                <w:szCs w:val="16"/>
              </w:rPr>
            </w:pPr>
            <w:r w:rsidRPr="00F25B38">
              <w:rPr>
                <w:sz w:val="18"/>
                <w:szCs w:val="16"/>
              </w:rPr>
              <w:t xml:space="preserve">The RBA’s corporate governance should be strengthened to deal with a </w:t>
            </w:r>
            <w:r w:rsidRPr="00F25B38">
              <w:rPr>
                <w:b/>
                <w:sz w:val="18"/>
                <w:szCs w:val="16"/>
              </w:rPr>
              <w:t xml:space="preserve">complex operating environment </w:t>
            </w:r>
            <w:r w:rsidRPr="00F25B38">
              <w:rPr>
                <w:sz w:val="18"/>
                <w:szCs w:val="16"/>
              </w:rPr>
              <w:t xml:space="preserve">and </w:t>
            </w:r>
            <w:r w:rsidRPr="00F25B38">
              <w:rPr>
                <w:b/>
                <w:sz w:val="18"/>
                <w:szCs w:val="16"/>
              </w:rPr>
              <w:t>drive change</w:t>
            </w:r>
            <w:r w:rsidRPr="00F25B38">
              <w:rPr>
                <w:sz w:val="18"/>
                <w:szCs w:val="16"/>
              </w:rPr>
              <w:t>.</w:t>
            </w:r>
          </w:p>
          <w:p w14:paraId="1A6BB18B" w14:textId="77777777" w:rsidR="00DE447D" w:rsidRDefault="00F25B38" w:rsidP="0000278A">
            <w:pPr>
              <w:pStyle w:val="Bullet"/>
              <w:rPr>
                <w:sz w:val="18"/>
                <w:szCs w:val="16"/>
              </w:rPr>
            </w:pPr>
            <w:r w:rsidRPr="00F25B38">
              <w:rPr>
                <w:sz w:val="18"/>
                <w:szCs w:val="16"/>
              </w:rPr>
              <w:t xml:space="preserve">The Government should </w:t>
            </w:r>
            <w:r w:rsidRPr="00F25B38">
              <w:rPr>
                <w:b/>
                <w:sz w:val="18"/>
                <w:szCs w:val="16"/>
              </w:rPr>
              <w:t>establish an RBA Governance</w:t>
            </w:r>
            <w:r w:rsidRPr="00F25B38">
              <w:rPr>
                <w:b/>
                <w:spacing w:val="-1"/>
                <w:sz w:val="18"/>
                <w:szCs w:val="16"/>
              </w:rPr>
              <w:t xml:space="preserve"> </w:t>
            </w:r>
            <w:r w:rsidRPr="00F25B38">
              <w:rPr>
                <w:b/>
                <w:sz w:val="18"/>
                <w:szCs w:val="16"/>
              </w:rPr>
              <w:t>Board</w:t>
            </w:r>
            <w:r w:rsidRPr="00F25B38">
              <w:rPr>
                <w:b/>
                <w:spacing w:val="-1"/>
                <w:sz w:val="18"/>
                <w:szCs w:val="16"/>
              </w:rPr>
              <w:t xml:space="preserve"> </w:t>
            </w:r>
            <w:r w:rsidRPr="00F25B38">
              <w:rPr>
                <w:b/>
                <w:sz w:val="18"/>
                <w:szCs w:val="16"/>
              </w:rPr>
              <w:t>with</w:t>
            </w:r>
            <w:r w:rsidRPr="00F25B38">
              <w:rPr>
                <w:b/>
                <w:spacing w:val="-1"/>
                <w:sz w:val="18"/>
                <w:szCs w:val="16"/>
              </w:rPr>
              <w:t xml:space="preserve"> </w:t>
            </w:r>
            <w:r w:rsidRPr="00F25B38">
              <w:rPr>
                <w:b/>
                <w:sz w:val="18"/>
                <w:szCs w:val="16"/>
              </w:rPr>
              <w:t>an</w:t>
            </w:r>
            <w:r w:rsidRPr="00F25B38">
              <w:rPr>
                <w:b/>
                <w:spacing w:val="-1"/>
                <w:sz w:val="18"/>
                <w:szCs w:val="16"/>
              </w:rPr>
              <w:t xml:space="preserve"> </w:t>
            </w:r>
            <w:r w:rsidRPr="00F25B38">
              <w:rPr>
                <w:b/>
                <w:sz w:val="18"/>
                <w:szCs w:val="16"/>
              </w:rPr>
              <w:t>external</w:t>
            </w:r>
            <w:r w:rsidRPr="00F25B38">
              <w:rPr>
                <w:b/>
                <w:spacing w:val="-1"/>
                <w:sz w:val="18"/>
                <w:szCs w:val="16"/>
              </w:rPr>
              <w:t xml:space="preserve"> </w:t>
            </w:r>
            <w:r w:rsidRPr="00F25B38">
              <w:rPr>
                <w:b/>
                <w:sz w:val="18"/>
                <w:szCs w:val="16"/>
              </w:rPr>
              <w:t>chair</w:t>
            </w:r>
            <w:r w:rsidRPr="00F25B38">
              <w:rPr>
                <w:b/>
                <w:spacing w:val="-1"/>
                <w:sz w:val="18"/>
                <w:szCs w:val="16"/>
              </w:rPr>
              <w:t xml:space="preserve"> </w:t>
            </w:r>
            <w:r w:rsidRPr="00F25B38">
              <w:rPr>
                <w:sz w:val="18"/>
                <w:szCs w:val="16"/>
              </w:rPr>
              <w:t>to support and oversee management, drawing on best practice elsewhere.</w:t>
            </w:r>
          </w:p>
          <w:p w14:paraId="27079BA0" w14:textId="7C6DC6AC" w:rsidR="00C36063" w:rsidRPr="00F25B38" w:rsidRDefault="00C36063" w:rsidP="00C36063">
            <w:pPr>
              <w:pStyle w:val="NoSpacing"/>
            </w:pPr>
          </w:p>
        </w:tc>
        <w:tc>
          <w:tcPr>
            <w:tcW w:w="4514" w:type="dxa"/>
          </w:tcPr>
          <w:p w14:paraId="69EA17B9" w14:textId="7B51A2C0" w:rsidR="00DE447D" w:rsidRPr="00F25B38" w:rsidRDefault="00F25B38" w:rsidP="0000278A">
            <w:pPr>
              <w:pStyle w:val="Bullet"/>
              <w:rPr>
                <w:sz w:val="18"/>
                <w:szCs w:val="16"/>
              </w:rPr>
            </w:pPr>
            <w:r w:rsidRPr="00F25B38">
              <w:rPr>
                <w:sz w:val="18"/>
                <w:szCs w:val="16"/>
              </w:rPr>
              <w:t xml:space="preserve">The Governance Board’s role should include </w:t>
            </w:r>
            <w:r w:rsidRPr="00F25B38">
              <w:rPr>
                <w:b/>
                <w:sz w:val="18"/>
                <w:szCs w:val="16"/>
              </w:rPr>
              <w:t>oversight of the RBA’s organisational strategy, finances, strategic staff planning and risk management (including cyber risks)</w:t>
            </w:r>
            <w:r w:rsidRPr="00F25B38">
              <w:rPr>
                <w:sz w:val="18"/>
                <w:szCs w:val="16"/>
              </w:rPr>
              <w:t>. It should have no role in monetary, financial stability or payments policy or the day to day running of the RBA.</w:t>
            </w:r>
          </w:p>
        </w:tc>
      </w:tr>
      <w:tr w:rsidR="003C77BF" w14:paraId="1A3BAD57" w14:textId="77777777" w:rsidTr="001D75F6">
        <w:tc>
          <w:tcPr>
            <w:tcW w:w="9026" w:type="dxa"/>
            <w:gridSpan w:val="2"/>
            <w:shd w:val="clear" w:color="auto" w:fill="2E3B4E" w:themeFill="accent3" w:themeFillShade="80"/>
          </w:tcPr>
          <w:p w14:paraId="48FC8308" w14:textId="56E31BCF" w:rsidR="003C77BF" w:rsidRPr="00751A91" w:rsidRDefault="00751A91" w:rsidP="00751A91">
            <w:pPr>
              <w:rPr>
                <w:b/>
                <w:bCs/>
              </w:rPr>
            </w:pPr>
            <w:r w:rsidRPr="00751A91">
              <w:rPr>
                <w:b/>
                <w:bCs/>
                <w:color w:val="FFFFFF" w:themeColor="background1"/>
                <w:sz w:val="20"/>
                <w:szCs w:val="18"/>
              </w:rPr>
              <w:t>RBA leaders drive institutional and cultural change</w:t>
            </w:r>
          </w:p>
        </w:tc>
      </w:tr>
      <w:tr w:rsidR="00041357" w14:paraId="09CF5946" w14:textId="77777777" w:rsidTr="001D75F6">
        <w:tc>
          <w:tcPr>
            <w:tcW w:w="4512" w:type="dxa"/>
          </w:tcPr>
          <w:p w14:paraId="790106C6" w14:textId="72CBE559" w:rsidR="00041357" w:rsidRPr="00174B85" w:rsidRDefault="0006067D" w:rsidP="0000278A">
            <w:pPr>
              <w:pStyle w:val="Bullet"/>
              <w:rPr>
                <w:sz w:val="18"/>
                <w:szCs w:val="16"/>
              </w:rPr>
            </w:pPr>
            <w:r w:rsidRPr="00174B85">
              <w:rPr>
                <w:sz w:val="18"/>
                <w:szCs w:val="16"/>
              </w:rPr>
              <w:t xml:space="preserve">RBA leaders should be assessed on how they deliver and model cultural change, and measure change through </w:t>
            </w:r>
            <w:r w:rsidRPr="00174B85">
              <w:rPr>
                <w:b/>
                <w:sz w:val="18"/>
                <w:szCs w:val="16"/>
              </w:rPr>
              <w:t>annual staff surveys</w:t>
            </w:r>
            <w:r w:rsidRPr="00174B85">
              <w:rPr>
                <w:sz w:val="18"/>
                <w:szCs w:val="16"/>
              </w:rPr>
              <w:t>.</w:t>
            </w:r>
          </w:p>
        </w:tc>
        <w:tc>
          <w:tcPr>
            <w:tcW w:w="4514" w:type="dxa"/>
          </w:tcPr>
          <w:p w14:paraId="201F6A20" w14:textId="77777777" w:rsidR="00174B85" w:rsidRPr="00174B85" w:rsidRDefault="00174B85" w:rsidP="0000278A">
            <w:pPr>
              <w:pStyle w:val="Bullet"/>
              <w:rPr>
                <w:sz w:val="18"/>
                <w:szCs w:val="16"/>
              </w:rPr>
            </w:pPr>
            <w:r w:rsidRPr="00174B85">
              <w:rPr>
                <w:sz w:val="18"/>
                <w:szCs w:val="16"/>
              </w:rPr>
              <w:t xml:space="preserve">The Governance Board should </w:t>
            </w:r>
            <w:r w:rsidRPr="00174B85">
              <w:rPr>
                <w:b/>
                <w:sz w:val="18"/>
                <w:szCs w:val="16"/>
              </w:rPr>
              <w:t xml:space="preserve">assess progress on implementation </w:t>
            </w:r>
            <w:r w:rsidRPr="00174B85">
              <w:rPr>
                <w:sz w:val="18"/>
                <w:szCs w:val="16"/>
              </w:rPr>
              <w:t>and report by June 2025.</w:t>
            </w:r>
          </w:p>
          <w:p w14:paraId="376DC946" w14:textId="42DA39B6" w:rsidR="00041357" w:rsidRPr="00174B85" w:rsidRDefault="00174B85" w:rsidP="0000278A">
            <w:pPr>
              <w:pStyle w:val="Bullet"/>
              <w:rPr>
                <w:sz w:val="18"/>
                <w:szCs w:val="16"/>
              </w:rPr>
            </w:pPr>
            <w:r w:rsidRPr="00174B85">
              <w:rPr>
                <w:sz w:val="18"/>
                <w:szCs w:val="16"/>
              </w:rPr>
              <w:t>The</w:t>
            </w:r>
            <w:r w:rsidRPr="00174B85">
              <w:rPr>
                <w:spacing w:val="7"/>
                <w:sz w:val="18"/>
                <w:szCs w:val="16"/>
              </w:rPr>
              <w:t xml:space="preserve"> </w:t>
            </w:r>
            <w:r w:rsidRPr="00174B85">
              <w:rPr>
                <w:sz w:val="18"/>
                <w:szCs w:val="16"/>
              </w:rPr>
              <w:t>RBA</w:t>
            </w:r>
            <w:r w:rsidRPr="00174B85">
              <w:rPr>
                <w:spacing w:val="7"/>
                <w:sz w:val="18"/>
                <w:szCs w:val="16"/>
              </w:rPr>
              <w:t xml:space="preserve"> </w:t>
            </w:r>
            <w:r w:rsidRPr="00174B85">
              <w:rPr>
                <w:sz w:val="18"/>
                <w:szCs w:val="16"/>
              </w:rPr>
              <w:t>should</w:t>
            </w:r>
            <w:r w:rsidRPr="00174B85">
              <w:rPr>
                <w:spacing w:val="7"/>
                <w:sz w:val="18"/>
                <w:szCs w:val="16"/>
              </w:rPr>
              <w:t xml:space="preserve"> </w:t>
            </w:r>
            <w:r w:rsidRPr="00174B85">
              <w:rPr>
                <w:sz w:val="18"/>
                <w:szCs w:val="16"/>
              </w:rPr>
              <w:t>participate</w:t>
            </w:r>
            <w:r w:rsidRPr="00174B85">
              <w:rPr>
                <w:spacing w:val="7"/>
                <w:sz w:val="18"/>
                <w:szCs w:val="16"/>
              </w:rPr>
              <w:t xml:space="preserve"> </w:t>
            </w:r>
            <w:r w:rsidRPr="00174B85">
              <w:rPr>
                <w:sz w:val="18"/>
                <w:szCs w:val="16"/>
              </w:rPr>
              <w:t>in</w:t>
            </w:r>
            <w:r w:rsidRPr="00174B85">
              <w:rPr>
                <w:spacing w:val="8"/>
                <w:sz w:val="18"/>
                <w:szCs w:val="16"/>
              </w:rPr>
              <w:t xml:space="preserve"> </w:t>
            </w:r>
            <w:r w:rsidRPr="00174B85">
              <w:rPr>
                <w:b/>
                <w:sz w:val="18"/>
                <w:szCs w:val="16"/>
              </w:rPr>
              <w:t>5-</w:t>
            </w:r>
            <w:r w:rsidRPr="00174B85">
              <w:rPr>
                <w:b/>
                <w:spacing w:val="-2"/>
                <w:sz w:val="18"/>
                <w:szCs w:val="16"/>
              </w:rPr>
              <w:t>yearly</w:t>
            </w:r>
            <w:r>
              <w:rPr>
                <w:b/>
                <w:spacing w:val="-2"/>
                <w:sz w:val="18"/>
                <w:szCs w:val="16"/>
              </w:rPr>
              <w:t xml:space="preserve"> </w:t>
            </w:r>
            <w:r w:rsidRPr="00174B85">
              <w:rPr>
                <w:b/>
                <w:sz w:val="18"/>
                <w:szCs w:val="16"/>
              </w:rPr>
              <w:t>Australian</w:t>
            </w:r>
            <w:r w:rsidRPr="00174B85">
              <w:rPr>
                <w:b/>
                <w:spacing w:val="8"/>
                <w:sz w:val="18"/>
                <w:szCs w:val="16"/>
              </w:rPr>
              <w:t xml:space="preserve"> </w:t>
            </w:r>
            <w:r w:rsidRPr="00174B85">
              <w:rPr>
                <w:b/>
                <w:sz w:val="18"/>
                <w:szCs w:val="16"/>
              </w:rPr>
              <w:t>Public</w:t>
            </w:r>
            <w:r w:rsidRPr="00174B85">
              <w:rPr>
                <w:b/>
                <w:spacing w:val="9"/>
                <w:sz w:val="18"/>
                <w:szCs w:val="16"/>
              </w:rPr>
              <w:t xml:space="preserve"> </w:t>
            </w:r>
            <w:r w:rsidRPr="00174B85">
              <w:rPr>
                <w:b/>
                <w:sz w:val="18"/>
                <w:szCs w:val="16"/>
              </w:rPr>
              <w:t>Service</w:t>
            </w:r>
            <w:r w:rsidRPr="00174B85">
              <w:rPr>
                <w:b/>
                <w:spacing w:val="9"/>
                <w:sz w:val="18"/>
                <w:szCs w:val="16"/>
              </w:rPr>
              <w:t xml:space="preserve"> </w:t>
            </w:r>
            <w:r w:rsidRPr="00174B85">
              <w:rPr>
                <w:b/>
                <w:sz w:val="18"/>
                <w:szCs w:val="16"/>
              </w:rPr>
              <w:t>capability</w:t>
            </w:r>
            <w:r w:rsidRPr="00174B85">
              <w:rPr>
                <w:b/>
                <w:spacing w:val="9"/>
                <w:sz w:val="18"/>
                <w:szCs w:val="16"/>
              </w:rPr>
              <w:t xml:space="preserve"> </w:t>
            </w:r>
            <w:r w:rsidRPr="00174B85">
              <w:rPr>
                <w:b/>
                <w:spacing w:val="-2"/>
                <w:sz w:val="18"/>
                <w:szCs w:val="16"/>
              </w:rPr>
              <w:t>reviews</w:t>
            </w:r>
          </w:p>
        </w:tc>
      </w:tr>
      <w:tr w:rsidR="00C82193" w14:paraId="6B9B4ABF" w14:textId="77777777" w:rsidTr="001D75F6">
        <w:tc>
          <w:tcPr>
            <w:tcW w:w="9026" w:type="dxa"/>
            <w:gridSpan w:val="2"/>
            <w:shd w:val="clear" w:color="auto" w:fill="99B295" w:themeFill="accent2" w:themeFillTint="99"/>
          </w:tcPr>
          <w:p w14:paraId="2C30EA5A" w14:textId="7F4949D4" w:rsidR="00C82193" w:rsidRPr="00523E3C" w:rsidRDefault="00C82193" w:rsidP="00E25982">
            <w:pPr>
              <w:rPr>
                <w:b/>
                <w:color w:val="204060" w:themeColor="accent1"/>
                <w:sz w:val="20"/>
                <w:szCs w:val="18"/>
              </w:rPr>
            </w:pPr>
            <w:r w:rsidRPr="00523E3C">
              <w:rPr>
                <w:b/>
                <w:bCs/>
                <w:color w:val="204060" w:themeColor="accent1"/>
                <w:sz w:val="20"/>
                <w:szCs w:val="18"/>
              </w:rPr>
              <w:t>Implementing the Review</w:t>
            </w:r>
          </w:p>
        </w:tc>
      </w:tr>
      <w:tr w:rsidR="00AB4C45" w14:paraId="61CB30CB" w14:textId="77777777" w:rsidTr="001D75F6">
        <w:tc>
          <w:tcPr>
            <w:tcW w:w="4512" w:type="dxa"/>
          </w:tcPr>
          <w:p w14:paraId="05710C42" w14:textId="000BD2CA" w:rsidR="00DC3DB5" w:rsidRPr="00DC3DB5" w:rsidRDefault="00DC3DB5" w:rsidP="0000278A">
            <w:pPr>
              <w:pStyle w:val="Bullet"/>
              <w:rPr>
                <w:sz w:val="18"/>
                <w:szCs w:val="16"/>
              </w:rPr>
            </w:pPr>
            <w:r w:rsidRPr="00DC3DB5">
              <w:rPr>
                <w:sz w:val="18"/>
                <w:szCs w:val="16"/>
              </w:rPr>
              <w:t>The</w:t>
            </w:r>
            <w:r w:rsidRPr="00DC3DB5">
              <w:rPr>
                <w:spacing w:val="3"/>
                <w:sz w:val="18"/>
                <w:szCs w:val="16"/>
              </w:rPr>
              <w:t xml:space="preserve"> </w:t>
            </w:r>
            <w:r w:rsidRPr="00DC3DB5">
              <w:rPr>
                <w:sz w:val="18"/>
                <w:szCs w:val="16"/>
              </w:rPr>
              <w:t>Government</w:t>
            </w:r>
            <w:r w:rsidRPr="00DC3DB5">
              <w:rPr>
                <w:spacing w:val="6"/>
                <w:sz w:val="18"/>
                <w:szCs w:val="16"/>
              </w:rPr>
              <w:t xml:space="preserve"> </w:t>
            </w:r>
            <w:r w:rsidRPr="00DC3DB5">
              <w:rPr>
                <w:sz w:val="18"/>
                <w:szCs w:val="16"/>
              </w:rPr>
              <w:t>should</w:t>
            </w:r>
            <w:r w:rsidRPr="00DC3DB5">
              <w:rPr>
                <w:spacing w:val="5"/>
                <w:sz w:val="18"/>
                <w:szCs w:val="16"/>
              </w:rPr>
              <w:t xml:space="preserve"> </w:t>
            </w:r>
            <w:r w:rsidRPr="00DC3DB5">
              <w:rPr>
                <w:b/>
                <w:bCs/>
                <w:sz w:val="18"/>
                <w:szCs w:val="16"/>
              </w:rPr>
              <w:t>legislate</w:t>
            </w:r>
            <w:r w:rsidRPr="00DC3DB5">
              <w:rPr>
                <w:b/>
                <w:bCs/>
                <w:spacing w:val="6"/>
                <w:sz w:val="18"/>
                <w:szCs w:val="16"/>
              </w:rPr>
              <w:t xml:space="preserve"> </w:t>
            </w:r>
            <w:r w:rsidRPr="00DC3DB5">
              <w:rPr>
                <w:b/>
                <w:bCs/>
                <w:sz w:val="18"/>
                <w:szCs w:val="16"/>
              </w:rPr>
              <w:t>changes</w:t>
            </w:r>
            <w:r w:rsidRPr="00DC3DB5">
              <w:rPr>
                <w:b/>
                <w:bCs/>
                <w:spacing w:val="6"/>
                <w:sz w:val="18"/>
                <w:szCs w:val="16"/>
              </w:rPr>
              <w:t xml:space="preserve"> </w:t>
            </w:r>
            <w:r w:rsidRPr="00DC3DB5">
              <w:rPr>
                <w:b/>
                <w:bCs/>
                <w:spacing w:val="-5"/>
                <w:sz w:val="18"/>
                <w:szCs w:val="16"/>
              </w:rPr>
              <w:t xml:space="preserve">to </w:t>
            </w:r>
            <w:r w:rsidRPr="00DC3DB5">
              <w:rPr>
                <w:b/>
                <w:bCs/>
                <w:sz w:val="18"/>
                <w:szCs w:val="16"/>
              </w:rPr>
              <w:t>commence</w:t>
            </w:r>
            <w:r w:rsidRPr="00DC3DB5">
              <w:rPr>
                <w:b/>
                <w:bCs/>
                <w:spacing w:val="1"/>
                <w:sz w:val="18"/>
                <w:szCs w:val="16"/>
              </w:rPr>
              <w:t xml:space="preserve"> </w:t>
            </w:r>
            <w:r w:rsidRPr="00DC3DB5">
              <w:rPr>
                <w:b/>
                <w:bCs/>
                <w:sz w:val="18"/>
                <w:szCs w:val="16"/>
              </w:rPr>
              <w:t>from</w:t>
            </w:r>
            <w:r w:rsidRPr="00DC3DB5">
              <w:rPr>
                <w:b/>
                <w:bCs/>
                <w:spacing w:val="2"/>
                <w:sz w:val="18"/>
                <w:szCs w:val="16"/>
              </w:rPr>
              <w:t xml:space="preserve"> </w:t>
            </w:r>
            <w:r w:rsidRPr="00DC3DB5">
              <w:rPr>
                <w:b/>
                <w:bCs/>
                <w:sz w:val="18"/>
                <w:szCs w:val="16"/>
              </w:rPr>
              <w:t>1</w:t>
            </w:r>
            <w:r w:rsidRPr="00DC3DB5">
              <w:rPr>
                <w:b/>
                <w:bCs/>
                <w:spacing w:val="1"/>
                <w:sz w:val="18"/>
                <w:szCs w:val="16"/>
              </w:rPr>
              <w:t xml:space="preserve"> </w:t>
            </w:r>
            <w:r w:rsidRPr="00DC3DB5">
              <w:rPr>
                <w:b/>
                <w:bCs/>
                <w:sz w:val="18"/>
                <w:szCs w:val="16"/>
              </w:rPr>
              <w:t>July</w:t>
            </w:r>
            <w:r w:rsidRPr="00DC3DB5">
              <w:rPr>
                <w:b/>
                <w:bCs/>
                <w:spacing w:val="2"/>
                <w:sz w:val="18"/>
                <w:szCs w:val="16"/>
              </w:rPr>
              <w:t xml:space="preserve"> </w:t>
            </w:r>
            <w:r w:rsidRPr="00DC3DB5">
              <w:rPr>
                <w:b/>
                <w:bCs/>
                <w:spacing w:val="-4"/>
                <w:sz w:val="18"/>
                <w:szCs w:val="16"/>
              </w:rPr>
              <w:t>2024</w:t>
            </w:r>
            <w:r w:rsidRPr="00DC3DB5">
              <w:rPr>
                <w:spacing w:val="-4"/>
                <w:sz w:val="18"/>
                <w:szCs w:val="16"/>
              </w:rPr>
              <w:t>.</w:t>
            </w:r>
          </w:p>
          <w:p w14:paraId="0D7EB448" w14:textId="5299DB78" w:rsidR="00AB4C45" w:rsidRPr="00DC3DB5" w:rsidRDefault="00DC3DB5" w:rsidP="0000278A">
            <w:pPr>
              <w:pStyle w:val="Bullet"/>
              <w:rPr>
                <w:sz w:val="18"/>
                <w:szCs w:val="16"/>
              </w:rPr>
            </w:pPr>
            <w:r w:rsidRPr="00DC3DB5">
              <w:rPr>
                <w:sz w:val="18"/>
                <w:szCs w:val="16"/>
              </w:rPr>
              <w:t>The Government should make appointments</w:t>
            </w:r>
            <w:r w:rsidRPr="00DC3DB5">
              <w:rPr>
                <w:spacing w:val="80"/>
                <w:sz w:val="18"/>
                <w:szCs w:val="16"/>
              </w:rPr>
              <w:t xml:space="preserve"> </w:t>
            </w:r>
            <w:r w:rsidRPr="00DC3DB5">
              <w:rPr>
                <w:sz w:val="18"/>
                <w:szCs w:val="16"/>
              </w:rPr>
              <w:t>to the Boards in a way that delivers</w:t>
            </w:r>
            <w:r w:rsidRPr="00DC3DB5">
              <w:rPr>
                <w:spacing w:val="-1"/>
                <w:sz w:val="18"/>
                <w:szCs w:val="16"/>
              </w:rPr>
              <w:t xml:space="preserve"> </w:t>
            </w:r>
            <w:r w:rsidRPr="00DC3DB5">
              <w:rPr>
                <w:b/>
                <w:bCs/>
                <w:sz w:val="18"/>
                <w:szCs w:val="16"/>
              </w:rPr>
              <w:t>continuity of decision making</w:t>
            </w:r>
            <w:r w:rsidRPr="00DC3DB5">
              <w:rPr>
                <w:sz w:val="18"/>
                <w:szCs w:val="16"/>
              </w:rPr>
              <w:t xml:space="preserve"> including by ensuring appointments fall due at regular intervals.</w:t>
            </w:r>
          </w:p>
        </w:tc>
        <w:tc>
          <w:tcPr>
            <w:tcW w:w="4514" w:type="dxa"/>
          </w:tcPr>
          <w:p w14:paraId="1A793253" w14:textId="77777777" w:rsidR="00DC3DB5" w:rsidRPr="00DC3DB5" w:rsidRDefault="007D564F" w:rsidP="0000278A">
            <w:pPr>
              <w:pStyle w:val="Bullet"/>
              <w:rPr>
                <w:sz w:val="18"/>
                <w:szCs w:val="16"/>
              </w:rPr>
            </w:pPr>
            <w:r w:rsidRPr="00DC3DB5">
              <w:rPr>
                <w:sz w:val="18"/>
                <w:szCs w:val="16"/>
              </w:rPr>
              <w:t xml:space="preserve">The Government should </w:t>
            </w:r>
            <w:r w:rsidRPr="008229EF">
              <w:rPr>
                <w:b/>
                <w:bCs/>
                <w:sz w:val="18"/>
                <w:szCs w:val="16"/>
              </w:rPr>
              <w:t>consult with the Shadow Treasurer</w:t>
            </w:r>
            <w:r w:rsidRPr="00DC3DB5">
              <w:rPr>
                <w:sz w:val="18"/>
                <w:szCs w:val="16"/>
              </w:rPr>
              <w:t xml:space="preserve"> about the implementation of the recommendations of the Review.</w:t>
            </w:r>
          </w:p>
          <w:p w14:paraId="50D6F6E9" w14:textId="322A43D6" w:rsidR="00AB4C45" w:rsidRPr="00DC3DB5" w:rsidRDefault="007D564F" w:rsidP="0000278A">
            <w:pPr>
              <w:pStyle w:val="Bullet"/>
              <w:rPr>
                <w:sz w:val="18"/>
                <w:szCs w:val="16"/>
              </w:rPr>
            </w:pPr>
            <w:r w:rsidRPr="00DC3DB5">
              <w:rPr>
                <w:sz w:val="18"/>
                <w:szCs w:val="16"/>
              </w:rPr>
              <w:t xml:space="preserve">The RBA should develop a </w:t>
            </w:r>
            <w:r w:rsidRPr="008229EF">
              <w:rPr>
                <w:b/>
                <w:bCs/>
                <w:sz w:val="18"/>
                <w:szCs w:val="16"/>
              </w:rPr>
              <w:t>roadmap to implement the changes</w:t>
            </w:r>
            <w:r w:rsidRPr="00DC3DB5">
              <w:rPr>
                <w:sz w:val="18"/>
                <w:szCs w:val="16"/>
              </w:rPr>
              <w:t>, with clear timelines and</w:t>
            </w:r>
            <w:r w:rsidRPr="00DC3DB5">
              <w:rPr>
                <w:spacing w:val="-3"/>
                <w:sz w:val="18"/>
                <w:szCs w:val="16"/>
              </w:rPr>
              <w:t xml:space="preserve"> </w:t>
            </w:r>
            <w:r w:rsidRPr="00DC3DB5">
              <w:rPr>
                <w:sz w:val="18"/>
                <w:szCs w:val="16"/>
              </w:rPr>
              <w:t>accountabilities</w:t>
            </w:r>
          </w:p>
        </w:tc>
      </w:tr>
    </w:tbl>
    <w:p w14:paraId="66B2CC8E" w14:textId="77777777" w:rsidR="00DE447D" w:rsidRDefault="00DE447D" w:rsidP="0077542A"/>
    <w:p w14:paraId="7DC3119A" w14:textId="77777777" w:rsidR="00246B5A" w:rsidRDefault="00246B5A">
      <w:pPr>
        <w:spacing w:before="0" w:after="160" w:line="259" w:lineRule="auto"/>
        <w:rPr>
          <w:rFonts w:ascii="Calibri" w:hAnsi="Calibri" w:cs="Arial"/>
          <w:b/>
          <w:color w:val="204060" w:themeColor="accent1"/>
          <w:kern w:val="32"/>
          <w:sz w:val="44"/>
          <w:szCs w:val="36"/>
        </w:rPr>
      </w:pPr>
      <w:r>
        <w:br w:type="page"/>
      </w:r>
    </w:p>
    <w:p w14:paraId="1A714710" w14:textId="776A3272" w:rsidR="00373993" w:rsidRPr="00373993" w:rsidRDefault="00373993" w:rsidP="00373993">
      <w:pPr>
        <w:pStyle w:val="Heading1"/>
      </w:pPr>
      <w:bookmarkStart w:id="8" w:name="_Toc134220982"/>
      <w:r w:rsidRPr="00373993">
        <w:lastRenderedPageBreak/>
        <w:t>Executive summary: an RBA fit for the future</w:t>
      </w:r>
      <w:bookmarkEnd w:id="8"/>
    </w:p>
    <w:p w14:paraId="432AFBB6" w14:textId="77777777" w:rsidR="00982EEE" w:rsidRDefault="00982EEE" w:rsidP="001A5FED"/>
    <w:p w14:paraId="2BF30A0A" w14:textId="47452861" w:rsidR="001A5FED" w:rsidRDefault="001A5FED" w:rsidP="001A5FED">
      <w:r>
        <w:t>Australia’s economic performance has been strong in the 3 decades since flexible inflation</w:t>
      </w:r>
      <w:r>
        <w:rPr>
          <w:spacing w:val="80"/>
        </w:rPr>
        <w:t xml:space="preserve"> </w:t>
      </w:r>
      <w:r>
        <w:t>targeting was introduced. Inflation and unemployment have been both lower and more stable than in the preceding decades. The monetary policy framework, and the RBA’s actions, have contributed significantly to these outcomes. In turn, this success has underpinned confidence in the monetary policy framework and the RBA as a trusted central bank with a dedicated, high-quality staff. The</w:t>
      </w:r>
      <w:r>
        <w:rPr>
          <w:spacing w:val="80"/>
        </w:rPr>
        <w:t xml:space="preserve"> </w:t>
      </w:r>
      <w:r>
        <w:t>RBA and its executives are highly regarded domestically and internationally and make important contributions in international forums.</w:t>
      </w:r>
    </w:p>
    <w:p w14:paraId="25D4E31F" w14:textId="77777777" w:rsidR="001A5FED" w:rsidRDefault="001A5FED" w:rsidP="001A5FED">
      <w:r>
        <w:t>Over recent decades the economic and financial environment has become more complex. Globalisation has led economies to be more interlinked, and financial innovation has raised the complexity of the financial system. More recently, geopolitical tensions, COVID-19 and Russia’s invasion of Ukraine have disrupted economies worldwide. The ongoing process of climate change</w:t>
      </w:r>
      <w:r>
        <w:rPr>
          <w:spacing w:val="40"/>
        </w:rPr>
        <w:t xml:space="preserve"> </w:t>
      </w:r>
      <w:r>
        <w:t>is likely to add to economic volatility and geopolitical tensions are likely to remain high, which could impact future patterns of global trade and capital flows.</w:t>
      </w:r>
    </w:p>
    <w:p w14:paraId="7319ECA8" w14:textId="77777777" w:rsidR="001A5FED" w:rsidRDefault="001A5FED" w:rsidP="001A5FED">
      <w:r>
        <w:t>Monetary</w:t>
      </w:r>
      <w:r>
        <w:rPr>
          <w:spacing w:val="15"/>
        </w:rPr>
        <w:t xml:space="preserve"> </w:t>
      </w:r>
      <w:r>
        <w:t>policy</w:t>
      </w:r>
      <w:r>
        <w:rPr>
          <w:spacing w:val="15"/>
        </w:rPr>
        <w:t xml:space="preserve"> </w:t>
      </w:r>
      <w:r>
        <w:t>itself</w:t>
      </w:r>
      <w:r>
        <w:rPr>
          <w:spacing w:val="15"/>
        </w:rPr>
        <w:t xml:space="preserve"> </w:t>
      </w:r>
      <w:r>
        <w:t>has</w:t>
      </w:r>
      <w:r>
        <w:rPr>
          <w:spacing w:val="15"/>
        </w:rPr>
        <w:t xml:space="preserve"> </w:t>
      </w:r>
      <w:r>
        <w:t>become</w:t>
      </w:r>
      <w:r>
        <w:rPr>
          <w:spacing w:val="15"/>
        </w:rPr>
        <w:t xml:space="preserve"> </w:t>
      </w:r>
      <w:r>
        <w:t>more</w:t>
      </w:r>
      <w:r>
        <w:rPr>
          <w:spacing w:val="15"/>
        </w:rPr>
        <w:t xml:space="preserve"> </w:t>
      </w:r>
      <w:r>
        <w:t>complex</w:t>
      </w:r>
      <w:r>
        <w:rPr>
          <w:spacing w:val="15"/>
        </w:rPr>
        <w:t xml:space="preserve"> </w:t>
      </w:r>
      <w:r>
        <w:t>as,</w:t>
      </w:r>
      <w:r>
        <w:rPr>
          <w:spacing w:val="15"/>
        </w:rPr>
        <w:t xml:space="preserve"> </w:t>
      </w:r>
      <w:r>
        <w:t>in</w:t>
      </w:r>
      <w:r>
        <w:rPr>
          <w:spacing w:val="15"/>
        </w:rPr>
        <w:t xml:space="preserve"> </w:t>
      </w:r>
      <w:r>
        <w:t>many</w:t>
      </w:r>
      <w:r>
        <w:rPr>
          <w:spacing w:val="15"/>
        </w:rPr>
        <w:t xml:space="preserve"> </w:t>
      </w:r>
      <w:r>
        <w:t>countries,</w:t>
      </w:r>
      <w:r>
        <w:rPr>
          <w:spacing w:val="15"/>
        </w:rPr>
        <w:t xml:space="preserve"> </w:t>
      </w:r>
      <w:r>
        <w:t>interest</w:t>
      </w:r>
      <w:r>
        <w:rPr>
          <w:spacing w:val="15"/>
        </w:rPr>
        <w:t xml:space="preserve"> </w:t>
      </w:r>
      <w:r>
        <w:t>rates</w:t>
      </w:r>
      <w:r>
        <w:rPr>
          <w:spacing w:val="15"/>
        </w:rPr>
        <w:t xml:space="preserve"> </w:t>
      </w:r>
      <w:r>
        <w:t>declined until they hit their effective lower bound. Central banks have responded by using new tools such as asset purchases and forward guidance. Broad changes in demographics and inequality have added uncertainty to the future path of interest rates.</w:t>
      </w:r>
    </w:p>
    <w:p w14:paraId="4498E56A" w14:textId="77777777" w:rsidR="001A5FED" w:rsidRDefault="001A5FED" w:rsidP="001A5FED">
      <w:r>
        <w:t>The more complex and uncertain environment has tested the RBA and its monetary policy framework. This has underscored some of the strengths of current arrangements. But, in a number of recent episodes, it has highlighted clear opportunities to improve systems and processes.</w:t>
      </w:r>
    </w:p>
    <w:p w14:paraId="38A5DB11" w14:textId="77777777" w:rsidR="001A5FED" w:rsidRDefault="001A5FED" w:rsidP="001A5FED">
      <w:r>
        <w:t>To be ready to face current and future challenges, Australia needs a clear and robust monetary policy framework, effective decision-making arrangements, and a high performing institution that best supports decision makers.</w:t>
      </w:r>
    </w:p>
    <w:p w14:paraId="1B61D16F" w14:textId="4D92E5D1" w:rsidR="00982EEE" w:rsidRDefault="001A5FED" w:rsidP="001A5FED">
      <w:pPr>
        <w:rPr>
          <w:b/>
          <w:bCs/>
        </w:rPr>
      </w:pPr>
      <w:r>
        <w:t xml:space="preserve">Taking the lessons from recent performance along with evidence gathered from submissions, consultations and engagement with RBA staff, the Review makes recommendations grouped into five themes that reinforce each other (Figure 1). Together they will deliver </w:t>
      </w:r>
      <w:r w:rsidRPr="001A5FED">
        <w:t>an</w:t>
      </w:r>
      <w:r w:rsidRPr="001A5FED">
        <w:rPr>
          <w:b/>
          <w:bCs/>
        </w:rPr>
        <w:t xml:space="preserve"> RBA that is fit for the future.</w:t>
      </w:r>
    </w:p>
    <w:p w14:paraId="17875EB7" w14:textId="77777777" w:rsidR="00982EEE" w:rsidRDefault="00982EEE">
      <w:pPr>
        <w:spacing w:before="0" w:after="160" w:line="259" w:lineRule="auto"/>
        <w:rPr>
          <w:b/>
          <w:bCs/>
        </w:rPr>
      </w:pPr>
      <w:r>
        <w:rPr>
          <w:b/>
          <w:bCs/>
        </w:rPr>
        <w:br w:type="page"/>
      </w:r>
    </w:p>
    <w:tbl>
      <w:tblPr>
        <w:tblW w:w="0" w:type="auto"/>
        <w:tblInd w:w="167" w:type="dxa"/>
        <w:tblLayout w:type="fixed"/>
        <w:tblCellMar>
          <w:left w:w="0" w:type="dxa"/>
          <w:right w:w="0" w:type="dxa"/>
        </w:tblCellMar>
        <w:tblLook w:val="01E0" w:firstRow="1" w:lastRow="1" w:firstColumn="1" w:lastColumn="1" w:noHBand="0" w:noVBand="0"/>
      </w:tblPr>
      <w:tblGrid>
        <w:gridCol w:w="1803"/>
        <w:gridCol w:w="298"/>
        <w:gridCol w:w="5967"/>
      </w:tblGrid>
      <w:tr w:rsidR="00982EEE" w14:paraId="13BF1EE8" w14:textId="77777777" w:rsidTr="001D75F6">
        <w:trPr>
          <w:trHeight w:val="364"/>
        </w:trPr>
        <w:tc>
          <w:tcPr>
            <w:tcW w:w="1803" w:type="dxa"/>
            <w:shd w:val="clear" w:color="auto" w:fill="D3D7CE"/>
          </w:tcPr>
          <w:p w14:paraId="66FA78DB" w14:textId="77777777" w:rsidR="00982EEE" w:rsidRDefault="00982EEE" w:rsidP="00F22AE5">
            <w:pPr>
              <w:pStyle w:val="TableParagraph"/>
              <w:spacing w:before="58"/>
              <w:ind w:left="216"/>
              <w:rPr>
                <w:rFonts w:ascii="Open Sans"/>
                <w:b/>
                <w:sz w:val="18"/>
              </w:rPr>
            </w:pPr>
            <w:r>
              <w:rPr>
                <w:rFonts w:ascii="Open Sans"/>
                <w:b/>
                <w:color w:val="204160"/>
                <w:sz w:val="18"/>
              </w:rPr>
              <w:lastRenderedPageBreak/>
              <w:t xml:space="preserve">Figure </w:t>
            </w:r>
            <w:r>
              <w:rPr>
                <w:rFonts w:ascii="Open Sans"/>
                <w:b/>
                <w:color w:val="204160"/>
                <w:spacing w:val="-10"/>
                <w:sz w:val="18"/>
              </w:rPr>
              <w:t>1</w:t>
            </w:r>
          </w:p>
        </w:tc>
        <w:tc>
          <w:tcPr>
            <w:tcW w:w="6265" w:type="dxa"/>
            <w:gridSpan w:val="2"/>
            <w:shd w:val="clear" w:color="auto" w:fill="D3D7CE"/>
          </w:tcPr>
          <w:p w14:paraId="31FB60D8" w14:textId="77777777" w:rsidR="00982EEE" w:rsidRDefault="00982EEE" w:rsidP="001D75F6">
            <w:pPr>
              <w:pStyle w:val="TableParagraph"/>
              <w:spacing w:before="58"/>
              <w:ind w:left="283"/>
              <w:rPr>
                <w:rFonts w:ascii="Open Sans"/>
                <w:b/>
                <w:sz w:val="18"/>
              </w:rPr>
            </w:pPr>
            <w:r>
              <w:rPr>
                <w:rFonts w:ascii="Open Sans"/>
                <w:b/>
                <w:color w:val="204160"/>
                <w:sz w:val="18"/>
              </w:rPr>
              <w:t>Five</w:t>
            </w:r>
            <w:r>
              <w:rPr>
                <w:rFonts w:ascii="Open Sans"/>
                <w:b/>
                <w:color w:val="204160"/>
                <w:spacing w:val="-1"/>
                <w:sz w:val="18"/>
              </w:rPr>
              <w:t xml:space="preserve"> </w:t>
            </w:r>
            <w:r>
              <w:rPr>
                <w:rFonts w:ascii="Open Sans"/>
                <w:b/>
                <w:color w:val="204160"/>
                <w:spacing w:val="-2"/>
                <w:sz w:val="18"/>
              </w:rPr>
              <w:t>themes</w:t>
            </w:r>
          </w:p>
        </w:tc>
      </w:tr>
      <w:tr w:rsidR="00982EEE" w14:paraId="72F890E9" w14:textId="77777777" w:rsidTr="001D75F6">
        <w:trPr>
          <w:trHeight w:val="1162"/>
        </w:trPr>
        <w:tc>
          <w:tcPr>
            <w:tcW w:w="2101" w:type="dxa"/>
            <w:gridSpan w:val="2"/>
            <w:tcBorders>
              <w:bottom w:val="single" w:sz="2" w:space="0" w:color="7F859B"/>
            </w:tcBorders>
          </w:tcPr>
          <w:p w14:paraId="261154FE" w14:textId="77777777" w:rsidR="00982EEE" w:rsidRPr="00C65233" w:rsidRDefault="00982EEE" w:rsidP="00956321">
            <w:pPr>
              <w:ind w:left="123"/>
              <w:rPr>
                <w:b/>
                <w:bCs/>
                <w:sz w:val="20"/>
                <w:szCs w:val="18"/>
              </w:rPr>
            </w:pPr>
            <w:r w:rsidRPr="00C65233">
              <w:rPr>
                <w:b/>
                <w:bCs/>
                <w:sz w:val="20"/>
                <w:szCs w:val="18"/>
              </w:rPr>
              <w:t>Clear framework</w:t>
            </w:r>
          </w:p>
        </w:tc>
        <w:tc>
          <w:tcPr>
            <w:tcW w:w="5967" w:type="dxa"/>
            <w:tcBorders>
              <w:bottom w:val="single" w:sz="2" w:space="0" w:color="7F859B"/>
            </w:tcBorders>
          </w:tcPr>
          <w:p w14:paraId="01F65C49" w14:textId="77777777" w:rsidR="00982EEE" w:rsidRPr="00C65233" w:rsidRDefault="00982EEE" w:rsidP="000D56D9">
            <w:pPr>
              <w:rPr>
                <w:b/>
                <w:bCs/>
                <w:sz w:val="20"/>
                <w:szCs w:val="18"/>
              </w:rPr>
            </w:pPr>
            <w:r w:rsidRPr="00C65233">
              <w:rPr>
                <w:b/>
                <w:bCs/>
                <w:sz w:val="20"/>
                <w:szCs w:val="18"/>
              </w:rPr>
              <w:t>A</w:t>
            </w:r>
            <w:r w:rsidRPr="00C65233">
              <w:rPr>
                <w:b/>
                <w:bCs/>
                <w:spacing w:val="1"/>
                <w:sz w:val="20"/>
                <w:szCs w:val="18"/>
              </w:rPr>
              <w:t xml:space="preserve"> </w:t>
            </w:r>
            <w:r w:rsidRPr="00C65233">
              <w:rPr>
                <w:b/>
                <w:bCs/>
                <w:sz w:val="20"/>
                <w:szCs w:val="18"/>
              </w:rPr>
              <w:t>clearer</w:t>
            </w:r>
            <w:r w:rsidRPr="00C65233">
              <w:rPr>
                <w:b/>
                <w:bCs/>
                <w:spacing w:val="4"/>
                <w:sz w:val="20"/>
                <w:szCs w:val="18"/>
              </w:rPr>
              <w:t xml:space="preserve"> </w:t>
            </w:r>
            <w:r w:rsidRPr="00C65233">
              <w:rPr>
                <w:b/>
                <w:bCs/>
                <w:sz w:val="20"/>
                <w:szCs w:val="18"/>
              </w:rPr>
              <w:t>monetary</w:t>
            </w:r>
            <w:r w:rsidRPr="00C65233">
              <w:rPr>
                <w:b/>
                <w:bCs/>
                <w:spacing w:val="3"/>
                <w:sz w:val="20"/>
                <w:szCs w:val="18"/>
              </w:rPr>
              <w:t xml:space="preserve"> </w:t>
            </w:r>
            <w:r w:rsidRPr="00C65233">
              <w:rPr>
                <w:b/>
                <w:bCs/>
                <w:sz w:val="20"/>
                <w:szCs w:val="18"/>
              </w:rPr>
              <w:t>policy</w:t>
            </w:r>
            <w:r w:rsidRPr="00C65233">
              <w:rPr>
                <w:b/>
                <w:bCs/>
                <w:spacing w:val="4"/>
                <w:sz w:val="20"/>
                <w:szCs w:val="18"/>
              </w:rPr>
              <w:t xml:space="preserve"> </w:t>
            </w:r>
            <w:r w:rsidRPr="00C65233">
              <w:rPr>
                <w:b/>
                <w:bCs/>
                <w:spacing w:val="-2"/>
                <w:sz w:val="20"/>
                <w:szCs w:val="18"/>
              </w:rPr>
              <w:t>framework</w:t>
            </w:r>
          </w:p>
          <w:p w14:paraId="633EFEFC" w14:textId="77777777" w:rsidR="00982EEE" w:rsidRPr="00C65233" w:rsidRDefault="00982EEE" w:rsidP="0000278A">
            <w:pPr>
              <w:pStyle w:val="Bullet"/>
              <w:rPr>
                <w:sz w:val="20"/>
                <w:szCs w:val="18"/>
              </w:rPr>
            </w:pPr>
            <w:r w:rsidRPr="00C65233">
              <w:rPr>
                <w:sz w:val="20"/>
                <w:szCs w:val="18"/>
              </w:rPr>
              <w:t>Clear</w:t>
            </w:r>
            <w:r w:rsidRPr="00C65233">
              <w:rPr>
                <w:spacing w:val="7"/>
                <w:sz w:val="20"/>
                <w:szCs w:val="18"/>
              </w:rPr>
              <w:t xml:space="preserve"> </w:t>
            </w:r>
            <w:r w:rsidRPr="00C65233">
              <w:rPr>
                <w:sz w:val="20"/>
                <w:szCs w:val="18"/>
              </w:rPr>
              <w:t>monetary</w:t>
            </w:r>
            <w:r w:rsidRPr="00C65233">
              <w:rPr>
                <w:spacing w:val="7"/>
                <w:sz w:val="20"/>
                <w:szCs w:val="18"/>
              </w:rPr>
              <w:t xml:space="preserve"> </w:t>
            </w:r>
            <w:r w:rsidRPr="00C65233">
              <w:rPr>
                <w:sz w:val="20"/>
                <w:szCs w:val="18"/>
              </w:rPr>
              <w:t>policy</w:t>
            </w:r>
            <w:r w:rsidRPr="00C65233">
              <w:rPr>
                <w:spacing w:val="7"/>
                <w:sz w:val="20"/>
                <w:szCs w:val="18"/>
              </w:rPr>
              <w:t xml:space="preserve"> </w:t>
            </w:r>
            <w:r w:rsidRPr="00C65233">
              <w:rPr>
                <w:sz w:val="20"/>
                <w:szCs w:val="18"/>
              </w:rPr>
              <w:t>objectives</w:t>
            </w:r>
            <w:r w:rsidRPr="00C65233">
              <w:rPr>
                <w:spacing w:val="7"/>
                <w:sz w:val="20"/>
                <w:szCs w:val="18"/>
              </w:rPr>
              <w:t xml:space="preserve"> </w:t>
            </w:r>
            <w:r w:rsidRPr="00C65233">
              <w:rPr>
                <w:sz w:val="20"/>
                <w:szCs w:val="18"/>
              </w:rPr>
              <w:t>and</w:t>
            </w:r>
            <w:r w:rsidRPr="00C65233">
              <w:rPr>
                <w:spacing w:val="7"/>
                <w:sz w:val="20"/>
                <w:szCs w:val="18"/>
              </w:rPr>
              <w:t xml:space="preserve"> </w:t>
            </w:r>
            <w:r w:rsidRPr="00C65233">
              <w:rPr>
                <w:spacing w:val="-2"/>
                <w:sz w:val="20"/>
                <w:szCs w:val="18"/>
              </w:rPr>
              <w:t>toolkit</w:t>
            </w:r>
          </w:p>
          <w:p w14:paraId="02C8F8AC" w14:textId="77777777" w:rsidR="00982EEE" w:rsidRPr="00C65233" w:rsidRDefault="00982EEE" w:rsidP="0000278A">
            <w:pPr>
              <w:pStyle w:val="Bullet"/>
              <w:rPr>
                <w:sz w:val="20"/>
                <w:szCs w:val="18"/>
              </w:rPr>
            </w:pPr>
            <w:r w:rsidRPr="00C65233">
              <w:rPr>
                <w:sz w:val="20"/>
                <w:szCs w:val="18"/>
              </w:rPr>
              <w:t>A</w:t>
            </w:r>
            <w:r w:rsidRPr="00C65233">
              <w:rPr>
                <w:spacing w:val="6"/>
                <w:sz w:val="20"/>
                <w:szCs w:val="18"/>
              </w:rPr>
              <w:t xml:space="preserve"> </w:t>
            </w:r>
            <w:r w:rsidRPr="00C65233">
              <w:rPr>
                <w:sz w:val="20"/>
                <w:szCs w:val="18"/>
              </w:rPr>
              <w:t>well-defined</w:t>
            </w:r>
            <w:r w:rsidRPr="00C65233">
              <w:rPr>
                <w:spacing w:val="6"/>
                <w:sz w:val="20"/>
                <w:szCs w:val="18"/>
              </w:rPr>
              <w:t xml:space="preserve"> </w:t>
            </w:r>
            <w:r w:rsidRPr="00C65233">
              <w:rPr>
                <w:sz w:val="20"/>
                <w:szCs w:val="18"/>
              </w:rPr>
              <w:t>financial</w:t>
            </w:r>
            <w:r w:rsidRPr="00C65233">
              <w:rPr>
                <w:spacing w:val="6"/>
                <w:sz w:val="20"/>
                <w:szCs w:val="18"/>
              </w:rPr>
              <w:t xml:space="preserve"> </w:t>
            </w:r>
            <w:r w:rsidRPr="00C65233">
              <w:rPr>
                <w:sz w:val="20"/>
                <w:szCs w:val="18"/>
              </w:rPr>
              <w:t>stability</w:t>
            </w:r>
            <w:r w:rsidRPr="00C65233">
              <w:rPr>
                <w:spacing w:val="7"/>
                <w:sz w:val="20"/>
                <w:szCs w:val="18"/>
              </w:rPr>
              <w:t xml:space="preserve"> </w:t>
            </w:r>
            <w:r w:rsidRPr="00C65233">
              <w:rPr>
                <w:spacing w:val="-4"/>
                <w:sz w:val="20"/>
                <w:szCs w:val="18"/>
              </w:rPr>
              <w:t>role</w:t>
            </w:r>
          </w:p>
        </w:tc>
      </w:tr>
      <w:tr w:rsidR="00982EEE" w14:paraId="06189396" w14:textId="77777777" w:rsidTr="001D75F6">
        <w:trPr>
          <w:trHeight w:val="1159"/>
        </w:trPr>
        <w:tc>
          <w:tcPr>
            <w:tcW w:w="2101" w:type="dxa"/>
            <w:gridSpan w:val="2"/>
            <w:tcBorders>
              <w:top w:val="single" w:sz="2" w:space="0" w:color="7F859B"/>
              <w:bottom w:val="single" w:sz="2" w:space="0" w:color="7F859B"/>
            </w:tcBorders>
          </w:tcPr>
          <w:p w14:paraId="44DC1DDA" w14:textId="77777777" w:rsidR="00982EEE" w:rsidRPr="00C65233" w:rsidRDefault="00982EEE" w:rsidP="00956321">
            <w:pPr>
              <w:ind w:left="123"/>
              <w:rPr>
                <w:b/>
                <w:bCs/>
                <w:sz w:val="20"/>
                <w:szCs w:val="18"/>
              </w:rPr>
            </w:pPr>
            <w:r w:rsidRPr="00C65233">
              <w:rPr>
                <w:b/>
                <w:bCs/>
                <w:sz w:val="20"/>
                <w:szCs w:val="18"/>
              </w:rPr>
              <w:t>Effective</w:t>
            </w:r>
            <w:r w:rsidRPr="00C65233">
              <w:rPr>
                <w:b/>
                <w:bCs/>
                <w:spacing w:val="80"/>
                <w:sz w:val="20"/>
                <w:szCs w:val="18"/>
              </w:rPr>
              <w:t xml:space="preserve"> </w:t>
            </w:r>
            <w:r w:rsidRPr="00C65233">
              <w:rPr>
                <w:b/>
                <w:bCs/>
                <w:sz w:val="20"/>
                <w:szCs w:val="18"/>
              </w:rPr>
              <w:t>policy</w:t>
            </w:r>
            <w:r w:rsidRPr="00C65233">
              <w:rPr>
                <w:b/>
                <w:bCs/>
                <w:spacing w:val="-9"/>
                <w:sz w:val="20"/>
                <w:szCs w:val="18"/>
              </w:rPr>
              <w:t xml:space="preserve"> </w:t>
            </w:r>
            <w:r w:rsidRPr="00C65233">
              <w:rPr>
                <w:b/>
                <w:bCs/>
                <w:sz w:val="20"/>
                <w:szCs w:val="18"/>
              </w:rPr>
              <w:t>decision making</w:t>
            </w:r>
          </w:p>
        </w:tc>
        <w:tc>
          <w:tcPr>
            <w:tcW w:w="5967" w:type="dxa"/>
            <w:tcBorders>
              <w:top w:val="single" w:sz="2" w:space="0" w:color="7F859B"/>
              <w:bottom w:val="single" w:sz="2" w:space="0" w:color="7F859B"/>
            </w:tcBorders>
          </w:tcPr>
          <w:p w14:paraId="4B7211A1" w14:textId="77777777" w:rsidR="00982EEE" w:rsidRPr="00C65233" w:rsidRDefault="00982EEE" w:rsidP="000D56D9">
            <w:pPr>
              <w:rPr>
                <w:b/>
                <w:bCs/>
                <w:sz w:val="20"/>
                <w:szCs w:val="18"/>
              </w:rPr>
            </w:pPr>
            <w:r w:rsidRPr="00C65233">
              <w:rPr>
                <w:b/>
                <w:bCs/>
                <w:sz w:val="20"/>
                <w:szCs w:val="18"/>
              </w:rPr>
              <w:t>Stronger</w:t>
            </w:r>
            <w:r w:rsidRPr="00C65233">
              <w:rPr>
                <w:b/>
                <w:bCs/>
                <w:spacing w:val="2"/>
                <w:sz w:val="20"/>
                <w:szCs w:val="18"/>
              </w:rPr>
              <w:t xml:space="preserve"> </w:t>
            </w:r>
            <w:r w:rsidRPr="00C65233">
              <w:rPr>
                <w:b/>
                <w:bCs/>
                <w:sz w:val="20"/>
                <w:szCs w:val="18"/>
              </w:rPr>
              <w:t>monetary</w:t>
            </w:r>
            <w:r w:rsidRPr="00C65233">
              <w:rPr>
                <w:b/>
                <w:bCs/>
                <w:spacing w:val="3"/>
                <w:sz w:val="20"/>
                <w:szCs w:val="18"/>
              </w:rPr>
              <w:t xml:space="preserve"> </w:t>
            </w:r>
            <w:r w:rsidRPr="00C65233">
              <w:rPr>
                <w:b/>
                <w:bCs/>
                <w:sz w:val="20"/>
                <w:szCs w:val="18"/>
              </w:rPr>
              <w:t>policy</w:t>
            </w:r>
            <w:r w:rsidRPr="00C65233">
              <w:rPr>
                <w:b/>
                <w:bCs/>
                <w:spacing w:val="3"/>
                <w:sz w:val="20"/>
                <w:szCs w:val="18"/>
              </w:rPr>
              <w:t xml:space="preserve"> </w:t>
            </w:r>
            <w:r w:rsidRPr="00C65233">
              <w:rPr>
                <w:b/>
                <w:bCs/>
                <w:sz w:val="20"/>
                <w:szCs w:val="18"/>
              </w:rPr>
              <w:t>decision</w:t>
            </w:r>
            <w:r w:rsidRPr="00C65233">
              <w:rPr>
                <w:b/>
                <w:bCs/>
                <w:spacing w:val="2"/>
                <w:sz w:val="20"/>
                <w:szCs w:val="18"/>
              </w:rPr>
              <w:t xml:space="preserve"> </w:t>
            </w:r>
            <w:r w:rsidRPr="00C65233">
              <w:rPr>
                <w:b/>
                <w:bCs/>
                <w:sz w:val="20"/>
                <w:szCs w:val="18"/>
              </w:rPr>
              <w:t>making</w:t>
            </w:r>
            <w:r w:rsidRPr="00C65233">
              <w:rPr>
                <w:b/>
                <w:bCs/>
                <w:spacing w:val="3"/>
                <w:sz w:val="20"/>
                <w:szCs w:val="18"/>
              </w:rPr>
              <w:t xml:space="preserve"> </w:t>
            </w:r>
            <w:r w:rsidRPr="00C65233">
              <w:rPr>
                <w:b/>
                <w:bCs/>
                <w:sz w:val="20"/>
                <w:szCs w:val="18"/>
              </w:rPr>
              <w:t>and</w:t>
            </w:r>
            <w:r w:rsidRPr="00C65233">
              <w:rPr>
                <w:b/>
                <w:bCs/>
                <w:spacing w:val="3"/>
                <w:sz w:val="20"/>
                <w:szCs w:val="18"/>
              </w:rPr>
              <w:t xml:space="preserve"> </w:t>
            </w:r>
            <w:r w:rsidRPr="00C65233">
              <w:rPr>
                <w:b/>
                <w:bCs/>
                <w:spacing w:val="-2"/>
                <w:sz w:val="20"/>
                <w:szCs w:val="18"/>
              </w:rPr>
              <w:t>accountability</w:t>
            </w:r>
          </w:p>
          <w:p w14:paraId="721B3ABB" w14:textId="77777777" w:rsidR="00982EEE" w:rsidRPr="00C65233" w:rsidRDefault="00982EEE" w:rsidP="0000278A">
            <w:pPr>
              <w:pStyle w:val="Bullet"/>
              <w:rPr>
                <w:sz w:val="20"/>
                <w:szCs w:val="18"/>
              </w:rPr>
            </w:pPr>
            <w:r w:rsidRPr="00C65233">
              <w:rPr>
                <w:sz w:val="20"/>
                <w:szCs w:val="18"/>
              </w:rPr>
              <w:t>A</w:t>
            </w:r>
            <w:r w:rsidRPr="00C65233">
              <w:rPr>
                <w:spacing w:val="4"/>
                <w:sz w:val="20"/>
                <w:szCs w:val="18"/>
              </w:rPr>
              <w:t xml:space="preserve"> </w:t>
            </w:r>
            <w:r w:rsidRPr="00C65233">
              <w:rPr>
                <w:sz w:val="20"/>
                <w:szCs w:val="18"/>
              </w:rPr>
              <w:t>more</w:t>
            </w:r>
            <w:r w:rsidRPr="00C65233">
              <w:rPr>
                <w:spacing w:val="4"/>
                <w:sz w:val="20"/>
                <w:szCs w:val="18"/>
              </w:rPr>
              <w:t xml:space="preserve"> </w:t>
            </w:r>
            <w:r w:rsidRPr="00C65233">
              <w:rPr>
                <w:sz w:val="20"/>
                <w:szCs w:val="18"/>
              </w:rPr>
              <w:t>expert</w:t>
            </w:r>
            <w:r w:rsidRPr="00C65233">
              <w:rPr>
                <w:spacing w:val="4"/>
                <w:sz w:val="20"/>
                <w:szCs w:val="18"/>
              </w:rPr>
              <w:t xml:space="preserve"> </w:t>
            </w:r>
            <w:r w:rsidRPr="00C65233">
              <w:rPr>
                <w:sz w:val="20"/>
                <w:szCs w:val="18"/>
              </w:rPr>
              <w:t>Monetary</w:t>
            </w:r>
            <w:r w:rsidRPr="00C65233">
              <w:rPr>
                <w:spacing w:val="4"/>
                <w:sz w:val="20"/>
                <w:szCs w:val="18"/>
              </w:rPr>
              <w:t xml:space="preserve"> </w:t>
            </w:r>
            <w:r w:rsidRPr="00C65233">
              <w:rPr>
                <w:sz w:val="20"/>
                <w:szCs w:val="18"/>
              </w:rPr>
              <w:t>Policy</w:t>
            </w:r>
            <w:r w:rsidRPr="00C65233">
              <w:rPr>
                <w:spacing w:val="5"/>
                <w:sz w:val="20"/>
                <w:szCs w:val="18"/>
              </w:rPr>
              <w:t xml:space="preserve"> </w:t>
            </w:r>
            <w:r w:rsidRPr="00C65233">
              <w:rPr>
                <w:sz w:val="20"/>
                <w:szCs w:val="18"/>
              </w:rPr>
              <w:t>Board</w:t>
            </w:r>
            <w:r w:rsidRPr="00C65233">
              <w:rPr>
                <w:spacing w:val="4"/>
                <w:sz w:val="20"/>
                <w:szCs w:val="18"/>
              </w:rPr>
              <w:t xml:space="preserve"> </w:t>
            </w:r>
            <w:r w:rsidRPr="00C65233">
              <w:rPr>
                <w:sz w:val="20"/>
                <w:szCs w:val="18"/>
              </w:rPr>
              <w:t>supported</w:t>
            </w:r>
            <w:r w:rsidRPr="00C65233">
              <w:rPr>
                <w:spacing w:val="4"/>
                <w:sz w:val="20"/>
                <w:szCs w:val="18"/>
              </w:rPr>
              <w:t xml:space="preserve"> </w:t>
            </w:r>
            <w:r w:rsidRPr="00C65233">
              <w:rPr>
                <w:sz w:val="20"/>
                <w:szCs w:val="18"/>
              </w:rPr>
              <w:t>by</w:t>
            </w:r>
            <w:r w:rsidRPr="00C65233">
              <w:rPr>
                <w:spacing w:val="4"/>
                <w:sz w:val="20"/>
                <w:szCs w:val="18"/>
              </w:rPr>
              <w:t xml:space="preserve"> </w:t>
            </w:r>
            <w:r w:rsidRPr="00C65233">
              <w:rPr>
                <w:sz w:val="20"/>
                <w:szCs w:val="18"/>
              </w:rPr>
              <w:t>better</w:t>
            </w:r>
            <w:r w:rsidRPr="00C65233">
              <w:rPr>
                <w:spacing w:val="5"/>
                <w:sz w:val="20"/>
                <w:szCs w:val="18"/>
              </w:rPr>
              <w:t xml:space="preserve"> </w:t>
            </w:r>
            <w:r w:rsidRPr="00C65233">
              <w:rPr>
                <w:spacing w:val="-2"/>
                <w:sz w:val="20"/>
                <w:szCs w:val="18"/>
              </w:rPr>
              <w:t>processes</w:t>
            </w:r>
          </w:p>
          <w:p w14:paraId="19A911B2" w14:textId="77777777" w:rsidR="00982EEE" w:rsidRPr="00C65233" w:rsidRDefault="00982EEE" w:rsidP="0000278A">
            <w:pPr>
              <w:pStyle w:val="Bullet"/>
              <w:rPr>
                <w:sz w:val="20"/>
                <w:szCs w:val="18"/>
              </w:rPr>
            </w:pPr>
            <w:r w:rsidRPr="00C65233">
              <w:rPr>
                <w:sz w:val="20"/>
                <w:szCs w:val="18"/>
              </w:rPr>
              <w:t>Greater</w:t>
            </w:r>
            <w:r w:rsidRPr="00C65233">
              <w:rPr>
                <w:spacing w:val="3"/>
                <w:sz w:val="20"/>
                <w:szCs w:val="18"/>
              </w:rPr>
              <w:t xml:space="preserve"> </w:t>
            </w:r>
            <w:r w:rsidRPr="00C65233">
              <w:rPr>
                <w:sz w:val="20"/>
                <w:szCs w:val="18"/>
              </w:rPr>
              <w:t>transparency</w:t>
            </w:r>
            <w:r w:rsidRPr="00C65233">
              <w:rPr>
                <w:spacing w:val="3"/>
                <w:sz w:val="20"/>
                <w:szCs w:val="18"/>
              </w:rPr>
              <w:t xml:space="preserve"> </w:t>
            </w:r>
            <w:r w:rsidRPr="00C65233">
              <w:rPr>
                <w:sz w:val="20"/>
                <w:szCs w:val="18"/>
              </w:rPr>
              <w:t>and</w:t>
            </w:r>
            <w:r w:rsidRPr="00C65233">
              <w:rPr>
                <w:spacing w:val="3"/>
                <w:sz w:val="20"/>
                <w:szCs w:val="18"/>
              </w:rPr>
              <w:t xml:space="preserve"> </w:t>
            </w:r>
            <w:r w:rsidRPr="00C65233">
              <w:rPr>
                <w:sz w:val="20"/>
                <w:szCs w:val="18"/>
              </w:rPr>
              <w:t>accountability</w:t>
            </w:r>
            <w:r w:rsidRPr="00C65233">
              <w:rPr>
                <w:spacing w:val="3"/>
                <w:sz w:val="20"/>
                <w:szCs w:val="18"/>
              </w:rPr>
              <w:t xml:space="preserve"> </w:t>
            </w:r>
            <w:r w:rsidRPr="00C65233">
              <w:rPr>
                <w:sz w:val="20"/>
                <w:szCs w:val="18"/>
              </w:rPr>
              <w:t>around</w:t>
            </w:r>
            <w:r w:rsidRPr="00C65233">
              <w:rPr>
                <w:spacing w:val="3"/>
                <w:sz w:val="20"/>
                <w:szCs w:val="18"/>
              </w:rPr>
              <w:t xml:space="preserve"> </w:t>
            </w:r>
            <w:r w:rsidRPr="00C65233">
              <w:rPr>
                <w:spacing w:val="-2"/>
                <w:sz w:val="20"/>
                <w:szCs w:val="18"/>
              </w:rPr>
              <w:t>decisions</w:t>
            </w:r>
          </w:p>
        </w:tc>
      </w:tr>
      <w:tr w:rsidR="00982EEE" w14:paraId="3260104C" w14:textId="77777777" w:rsidTr="001D75F6">
        <w:trPr>
          <w:trHeight w:val="2576"/>
        </w:trPr>
        <w:tc>
          <w:tcPr>
            <w:tcW w:w="2101" w:type="dxa"/>
            <w:gridSpan w:val="2"/>
            <w:tcBorders>
              <w:top w:val="single" w:sz="2" w:space="0" w:color="7F859B"/>
            </w:tcBorders>
          </w:tcPr>
          <w:p w14:paraId="77E2A4A0" w14:textId="77777777" w:rsidR="00982EEE" w:rsidRPr="00C65233" w:rsidRDefault="00982EEE" w:rsidP="00956321">
            <w:pPr>
              <w:ind w:left="123"/>
              <w:rPr>
                <w:b/>
                <w:bCs/>
                <w:sz w:val="20"/>
                <w:szCs w:val="18"/>
              </w:rPr>
            </w:pPr>
            <w:r w:rsidRPr="00C65233">
              <w:rPr>
                <w:b/>
                <w:bCs/>
                <w:spacing w:val="-4"/>
                <w:sz w:val="20"/>
                <w:szCs w:val="18"/>
              </w:rPr>
              <w:t xml:space="preserve">High </w:t>
            </w:r>
            <w:r w:rsidRPr="00C65233">
              <w:rPr>
                <w:b/>
                <w:bCs/>
                <w:sz w:val="20"/>
                <w:szCs w:val="18"/>
              </w:rPr>
              <w:t>performing institution</w:t>
            </w:r>
          </w:p>
        </w:tc>
        <w:tc>
          <w:tcPr>
            <w:tcW w:w="5967" w:type="dxa"/>
            <w:tcBorders>
              <w:top w:val="single" w:sz="2" w:space="0" w:color="7F859B"/>
            </w:tcBorders>
          </w:tcPr>
          <w:p w14:paraId="4CD284BC" w14:textId="77777777" w:rsidR="00982EEE" w:rsidRPr="00C65233" w:rsidRDefault="00982EEE" w:rsidP="000D56D9">
            <w:pPr>
              <w:rPr>
                <w:b/>
                <w:bCs/>
                <w:sz w:val="20"/>
                <w:szCs w:val="18"/>
              </w:rPr>
            </w:pPr>
            <w:r w:rsidRPr="00C65233">
              <w:rPr>
                <w:b/>
                <w:bCs/>
                <w:sz w:val="20"/>
                <w:szCs w:val="18"/>
              </w:rPr>
              <w:t>An open</w:t>
            </w:r>
            <w:r w:rsidRPr="00C65233">
              <w:rPr>
                <w:b/>
                <w:bCs/>
                <w:spacing w:val="1"/>
                <w:sz w:val="20"/>
                <w:szCs w:val="18"/>
              </w:rPr>
              <w:t xml:space="preserve"> </w:t>
            </w:r>
            <w:r w:rsidRPr="00C65233">
              <w:rPr>
                <w:b/>
                <w:bCs/>
                <w:sz w:val="20"/>
                <w:szCs w:val="18"/>
              </w:rPr>
              <w:t>and</w:t>
            </w:r>
            <w:r w:rsidRPr="00C65233">
              <w:rPr>
                <w:b/>
                <w:bCs/>
                <w:spacing w:val="1"/>
                <w:sz w:val="20"/>
                <w:szCs w:val="18"/>
              </w:rPr>
              <w:t xml:space="preserve"> </w:t>
            </w:r>
            <w:r w:rsidRPr="00C65233">
              <w:rPr>
                <w:b/>
                <w:bCs/>
                <w:sz w:val="20"/>
                <w:szCs w:val="18"/>
              </w:rPr>
              <w:t>dynamic</w:t>
            </w:r>
            <w:r w:rsidRPr="00C65233">
              <w:rPr>
                <w:b/>
                <w:bCs/>
                <w:spacing w:val="1"/>
                <w:sz w:val="20"/>
                <w:szCs w:val="18"/>
              </w:rPr>
              <w:t xml:space="preserve"> </w:t>
            </w:r>
            <w:r w:rsidRPr="00C65233">
              <w:rPr>
                <w:b/>
                <w:bCs/>
                <w:spacing w:val="-5"/>
                <w:sz w:val="20"/>
                <w:szCs w:val="18"/>
              </w:rPr>
              <w:t>RBA</w:t>
            </w:r>
          </w:p>
          <w:p w14:paraId="433B0ED1" w14:textId="77777777" w:rsidR="00982EEE" w:rsidRPr="00C65233" w:rsidRDefault="00982EEE" w:rsidP="0000278A">
            <w:pPr>
              <w:pStyle w:val="Bullet"/>
              <w:rPr>
                <w:sz w:val="20"/>
                <w:szCs w:val="18"/>
              </w:rPr>
            </w:pPr>
            <w:r w:rsidRPr="00C65233">
              <w:rPr>
                <w:sz w:val="20"/>
                <w:szCs w:val="18"/>
              </w:rPr>
              <w:t>A</w:t>
            </w:r>
            <w:r w:rsidRPr="00C65233">
              <w:rPr>
                <w:spacing w:val="-1"/>
                <w:sz w:val="20"/>
                <w:szCs w:val="18"/>
              </w:rPr>
              <w:t xml:space="preserve"> </w:t>
            </w:r>
            <w:r w:rsidRPr="00C65233">
              <w:rPr>
                <w:sz w:val="20"/>
                <w:szCs w:val="18"/>
              </w:rPr>
              <w:t>more</w:t>
            </w:r>
            <w:r w:rsidRPr="00C65233">
              <w:rPr>
                <w:spacing w:val="-1"/>
                <w:sz w:val="20"/>
                <w:szCs w:val="18"/>
              </w:rPr>
              <w:t xml:space="preserve"> </w:t>
            </w:r>
            <w:r w:rsidRPr="00C65233">
              <w:rPr>
                <w:sz w:val="20"/>
                <w:szCs w:val="18"/>
              </w:rPr>
              <w:t>agile and</w:t>
            </w:r>
            <w:r w:rsidRPr="00C65233">
              <w:rPr>
                <w:spacing w:val="-1"/>
                <w:sz w:val="20"/>
                <w:szCs w:val="18"/>
              </w:rPr>
              <w:t xml:space="preserve"> </w:t>
            </w:r>
            <w:r w:rsidRPr="00C65233">
              <w:rPr>
                <w:sz w:val="20"/>
                <w:szCs w:val="18"/>
              </w:rPr>
              <w:t xml:space="preserve">empowering </w:t>
            </w:r>
            <w:r w:rsidRPr="00C65233">
              <w:rPr>
                <w:spacing w:val="-2"/>
                <w:sz w:val="20"/>
                <w:szCs w:val="18"/>
              </w:rPr>
              <w:t>culture</w:t>
            </w:r>
          </w:p>
          <w:p w14:paraId="4BB43EB1" w14:textId="77777777" w:rsidR="00982EEE" w:rsidRPr="00C65233" w:rsidRDefault="00982EEE" w:rsidP="0000278A">
            <w:pPr>
              <w:pStyle w:val="Bullet"/>
              <w:rPr>
                <w:sz w:val="20"/>
                <w:szCs w:val="18"/>
              </w:rPr>
            </w:pPr>
            <w:r w:rsidRPr="00C65233">
              <w:rPr>
                <w:sz w:val="20"/>
                <w:szCs w:val="18"/>
              </w:rPr>
              <w:t>More</w:t>
            </w:r>
            <w:r w:rsidRPr="00C65233">
              <w:rPr>
                <w:spacing w:val="1"/>
                <w:sz w:val="20"/>
                <w:szCs w:val="18"/>
              </w:rPr>
              <w:t xml:space="preserve"> </w:t>
            </w:r>
            <w:r w:rsidRPr="00C65233">
              <w:rPr>
                <w:sz w:val="20"/>
                <w:szCs w:val="18"/>
              </w:rPr>
              <w:t>open</w:t>
            </w:r>
            <w:r w:rsidRPr="00C65233">
              <w:rPr>
                <w:spacing w:val="4"/>
                <w:sz w:val="20"/>
                <w:szCs w:val="18"/>
              </w:rPr>
              <w:t xml:space="preserve"> </w:t>
            </w:r>
            <w:r w:rsidRPr="00C65233">
              <w:rPr>
                <w:sz w:val="20"/>
                <w:szCs w:val="18"/>
              </w:rPr>
              <w:t>and</w:t>
            </w:r>
            <w:r w:rsidRPr="00C65233">
              <w:rPr>
                <w:spacing w:val="4"/>
                <w:sz w:val="20"/>
                <w:szCs w:val="18"/>
              </w:rPr>
              <w:t xml:space="preserve"> </w:t>
            </w:r>
            <w:r w:rsidRPr="00C65233">
              <w:rPr>
                <w:sz w:val="20"/>
                <w:szCs w:val="18"/>
              </w:rPr>
              <w:t>constructive</w:t>
            </w:r>
            <w:r w:rsidRPr="00C65233">
              <w:rPr>
                <w:spacing w:val="4"/>
                <w:sz w:val="20"/>
                <w:szCs w:val="18"/>
              </w:rPr>
              <w:t xml:space="preserve"> </w:t>
            </w:r>
            <w:r w:rsidRPr="00C65233">
              <w:rPr>
                <w:spacing w:val="-2"/>
                <w:sz w:val="20"/>
                <w:szCs w:val="18"/>
              </w:rPr>
              <w:t>debate</w:t>
            </w:r>
          </w:p>
          <w:p w14:paraId="5CD5F32D" w14:textId="77777777" w:rsidR="00982EEE" w:rsidRPr="00C65233" w:rsidRDefault="00982EEE" w:rsidP="000D56D9">
            <w:pPr>
              <w:rPr>
                <w:b/>
                <w:bCs/>
                <w:sz w:val="20"/>
                <w:szCs w:val="18"/>
              </w:rPr>
            </w:pPr>
            <w:r w:rsidRPr="00C65233">
              <w:rPr>
                <w:b/>
                <w:bCs/>
                <w:sz w:val="20"/>
                <w:szCs w:val="18"/>
              </w:rPr>
              <w:t>More robust corporate</w:t>
            </w:r>
            <w:r w:rsidRPr="00C65233">
              <w:rPr>
                <w:b/>
                <w:bCs/>
                <w:spacing w:val="1"/>
                <w:sz w:val="20"/>
                <w:szCs w:val="18"/>
              </w:rPr>
              <w:t xml:space="preserve"> </w:t>
            </w:r>
            <w:r w:rsidRPr="00C65233">
              <w:rPr>
                <w:b/>
                <w:bCs/>
                <w:spacing w:val="-2"/>
                <w:sz w:val="20"/>
                <w:szCs w:val="18"/>
              </w:rPr>
              <w:t>governance</w:t>
            </w:r>
          </w:p>
          <w:p w14:paraId="16DEEE40" w14:textId="77777777" w:rsidR="00982EEE" w:rsidRPr="00C65233" w:rsidRDefault="00982EEE" w:rsidP="0000278A">
            <w:pPr>
              <w:pStyle w:val="Bullet"/>
              <w:rPr>
                <w:sz w:val="20"/>
                <w:szCs w:val="18"/>
              </w:rPr>
            </w:pPr>
            <w:r w:rsidRPr="00C65233">
              <w:rPr>
                <w:sz w:val="20"/>
                <w:szCs w:val="18"/>
              </w:rPr>
              <w:t>A</w:t>
            </w:r>
            <w:r w:rsidRPr="00C65233">
              <w:rPr>
                <w:spacing w:val="1"/>
                <w:sz w:val="20"/>
                <w:szCs w:val="18"/>
              </w:rPr>
              <w:t xml:space="preserve"> </w:t>
            </w:r>
            <w:r w:rsidRPr="00C65233">
              <w:rPr>
                <w:sz w:val="20"/>
                <w:szCs w:val="18"/>
              </w:rPr>
              <w:t>new</w:t>
            </w:r>
            <w:r w:rsidRPr="00C65233">
              <w:rPr>
                <w:spacing w:val="1"/>
                <w:sz w:val="20"/>
                <w:szCs w:val="18"/>
              </w:rPr>
              <w:t xml:space="preserve"> </w:t>
            </w:r>
            <w:r w:rsidRPr="00C65233">
              <w:rPr>
                <w:sz w:val="20"/>
                <w:szCs w:val="18"/>
              </w:rPr>
              <w:t>Governance</w:t>
            </w:r>
            <w:r w:rsidRPr="00C65233">
              <w:rPr>
                <w:spacing w:val="1"/>
                <w:sz w:val="20"/>
                <w:szCs w:val="18"/>
              </w:rPr>
              <w:t xml:space="preserve"> </w:t>
            </w:r>
            <w:r w:rsidRPr="00C65233">
              <w:rPr>
                <w:sz w:val="20"/>
                <w:szCs w:val="18"/>
              </w:rPr>
              <w:t>Board</w:t>
            </w:r>
            <w:r w:rsidRPr="00C65233">
              <w:rPr>
                <w:spacing w:val="1"/>
                <w:sz w:val="20"/>
                <w:szCs w:val="18"/>
              </w:rPr>
              <w:t xml:space="preserve"> </w:t>
            </w:r>
            <w:r w:rsidRPr="00C65233">
              <w:rPr>
                <w:sz w:val="20"/>
                <w:szCs w:val="18"/>
              </w:rPr>
              <w:t>to</w:t>
            </w:r>
            <w:r w:rsidRPr="00C65233">
              <w:rPr>
                <w:spacing w:val="1"/>
                <w:sz w:val="20"/>
                <w:szCs w:val="18"/>
              </w:rPr>
              <w:t xml:space="preserve"> </w:t>
            </w:r>
            <w:r w:rsidRPr="00C65233">
              <w:rPr>
                <w:sz w:val="20"/>
                <w:szCs w:val="18"/>
              </w:rPr>
              <w:t>support</w:t>
            </w:r>
            <w:r w:rsidRPr="00C65233">
              <w:rPr>
                <w:spacing w:val="1"/>
                <w:sz w:val="20"/>
                <w:szCs w:val="18"/>
              </w:rPr>
              <w:t xml:space="preserve"> </w:t>
            </w:r>
            <w:r w:rsidRPr="00C65233">
              <w:rPr>
                <w:sz w:val="20"/>
                <w:szCs w:val="18"/>
              </w:rPr>
              <w:t>and</w:t>
            </w:r>
            <w:r w:rsidRPr="00C65233">
              <w:rPr>
                <w:spacing w:val="1"/>
                <w:sz w:val="20"/>
                <w:szCs w:val="18"/>
              </w:rPr>
              <w:t xml:space="preserve"> </w:t>
            </w:r>
            <w:r w:rsidRPr="00C65233">
              <w:rPr>
                <w:sz w:val="20"/>
                <w:szCs w:val="18"/>
              </w:rPr>
              <w:t>oversee</w:t>
            </w:r>
            <w:r w:rsidRPr="00C65233">
              <w:rPr>
                <w:spacing w:val="2"/>
                <w:sz w:val="20"/>
                <w:szCs w:val="18"/>
              </w:rPr>
              <w:t xml:space="preserve"> </w:t>
            </w:r>
            <w:r w:rsidRPr="00C65233">
              <w:rPr>
                <w:spacing w:val="-2"/>
                <w:sz w:val="20"/>
                <w:szCs w:val="18"/>
              </w:rPr>
              <w:t>management</w:t>
            </w:r>
          </w:p>
          <w:p w14:paraId="0166CC1E" w14:textId="77777777" w:rsidR="00982EEE" w:rsidRPr="00FB657D" w:rsidRDefault="00982EEE" w:rsidP="00FB657D">
            <w:pPr>
              <w:pStyle w:val="Bullet"/>
              <w:numPr>
                <w:ilvl w:val="0"/>
                <w:numId w:val="0"/>
              </w:numPr>
              <w:rPr>
                <w:b/>
                <w:sz w:val="20"/>
                <w:szCs w:val="18"/>
              </w:rPr>
            </w:pPr>
            <w:r w:rsidRPr="00FB657D">
              <w:rPr>
                <w:b/>
                <w:sz w:val="20"/>
                <w:szCs w:val="18"/>
              </w:rPr>
              <w:t>RBA</w:t>
            </w:r>
            <w:r w:rsidRPr="00FB657D">
              <w:rPr>
                <w:b/>
                <w:spacing w:val="-2"/>
                <w:sz w:val="20"/>
                <w:szCs w:val="18"/>
              </w:rPr>
              <w:t xml:space="preserve"> </w:t>
            </w:r>
            <w:r w:rsidRPr="00FB657D">
              <w:rPr>
                <w:b/>
                <w:sz w:val="20"/>
                <w:szCs w:val="18"/>
              </w:rPr>
              <w:t>leaders</w:t>
            </w:r>
            <w:r w:rsidRPr="00FB657D">
              <w:rPr>
                <w:b/>
                <w:spacing w:val="1"/>
                <w:sz w:val="20"/>
                <w:szCs w:val="18"/>
              </w:rPr>
              <w:t xml:space="preserve"> </w:t>
            </w:r>
            <w:r w:rsidRPr="00FB657D">
              <w:rPr>
                <w:b/>
                <w:sz w:val="20"/>
                <w:szCs w:val="18"/>
              </w:rPr>
              <w:t>drive institutional</w:t>
            </w:r>
            <w:r w:rsidRPr="00FB657D">
              <w:rPr>
                <w:b/>
                <w:spacing w:val="1"/>
                <w:sz w:val="20"/>
                <w:szCs w:val="18"/>
              </w:rPr>
              <w:t xml:space="preserve"> </w:t>
            </w:r>
            <w:r w:rsidRPr="00FB657D">
              <w:rPr>
                <w:b/>
                <w:sz w:val="20"/>
                <w:szCs w:val="18"/>
              </w:rPr>
              <w:t>and cultural</w:t>
            </w:r>
            <w:r w:rsidRPr="00FB657D">
              <w:rPr>
                <w:b/>
                <w:spacing w:val="1"/>
                <w:sz w:val="20"/>
                <w:szCs w:val="18"/>
              </w:rPr>
              <w:t xml:space="preserve"> </w:t>
            </w:r>
            <w:r w:rsidRPr="00FB657D">
              <w:rPr>
                <w:b/>
                <w:spacing w:val="-2"/>
                <w:sz w:val="20"/>
                <w:szCs w:val="18"/>
              </w:rPr>
              <w:t>change</w:t>
            </w:r>
          </w:p>
          <w:p w14:paraId="5FB15D95" w14:textId="77777777" w:rsidR="00982EEE" w:rsidRPr="00C65233" w:rsidRDefault="00982EEE" w:rsidP="0000278A">
            <w:pPr>
              <w:pStyle w:val="Bullet"/>
              <w:rPr>
                <w:sz w:val="20"/>
                <w:szCs w:val="18"/>
              </w:rPr>
            </w:pPr>
            <w:r w:rsidRPr="00C65233">
              <w:rPr>
                <w:sz w:val="20"/>
                <w:szCs w:val="18"/>
              </w:rPr>
              <w:t>RBA leaders drive</w:t>
            </w:r>
            <w:r w:rsidRPr="00C65233">
              <w:rPr>
                <w:spacing w:val="1"/>
                <w:sz w:val="20"/>
                <w:szCs w:val="18"/>
              </w:rPr>
              <w:t xml:space="preserve"> </w:t>
            </w:r>
            <w:r w:rsidRPr="00C65233">
              <w:rPr>
                <w:sz w:val="20"/>
                <w:szCs w:val="18"/>
              </w:rPr>
              <w:t>change and are</w:t>
            </w:r>
            <w:r w:rsidRPr="00C65233">
              <w:rPr>
                <w:spacing w:val="1"/>
                <w:sz w:val="20"/>
                <w:szCs w:val="18"/>
              </w:rPr>
              <w:t xml:space="preserve"> </w:t>
            </w:r>
            <w:r w:rsidRPr="00C65233">
              <w:rPr>
                <w:sz w:val="20"/>
                <w:szCs w:val="18"/>
              </w:rPr>
              <w:t>accountable for</w:t>
            </w:r>
            <w:r w:rsidRPr="00C65233">
              <w:rPr>
                <w:spacing w:val="1"/>
                <w:sz w:val="20"/>
                <w:szCs w:val="18"/>
              </w:rPr>
              <w:t xml:space="preserve"> </w:t>
            </w:r>
            <w:r w:rsidRPr="00C65233">
              <w:rPr>
                <w:spacing w:val="-2"/>
                <w:sz w:val="20"/>
                <w:szCs w:val="18"/>
              </w:rPr>
              <w:t>delivering</w:t>
            </w:r>
          </w:p>
        </w:tc>
      </w:tr>
    </w:tbl>
    <w:p w14:paraId="63B9EE60" w14:textId="77777777" w:rsidR="000D56D9" w:rsidRDefault="000D56D9" w:rsidP="000D56D9"/>
    <w:p w14:paraId="723A28D9" w14:textId="7F25AF10" w:rsidR="00982EEE" w:rsidRDefault="00982EEE" w:rsidP="000D56D9">
      <w:r>
        <w:t>The rest of this executive summary sets out: the Review’s assessment of the RBA’s performance, the Review’s 14 recommendations organised under the five themes, and implementation issues. A full list of recommendations appears at the end of this executive summary.</w:t>
      </w:r>
    </w:p>
    <w:p w14:paraId="224688D3" w14:textId="1AA2832B" w:rsidR="0081749A" w:rsidRPr="0081749A" w:rsidRDefault="0081749A" w:rsidP="0081749A">
      <w:pPr>
        <w:pStyle w:val="Heading2"/>
      </w:pPr>
      <w:bookmarkStart w:id="9" w:name="_Toc134220983"/>
      <w:r w:rsidRPr="0081749A">
        <w:rPr>
          <w:iCs w:val="0"/>
        </w:rPr>
        <w:t>1.</w:t>
      </w:r>
      <w:r>
        <w:t xml:space="preserve"> </w:t>
      </w:r>
      <w:r w:rsidRPr="0081749A">
        <w:t>Monetary policy performance</w:t>
      </w:r>
      <w:bookmarkEnd w:id="9"/>
    </w:p>
    <w:p w14:paraId="22ABC519" w14:textId="77777777" w:rsidR="0081749A" w:rsidRDefault="0081749A" w:rsidP="0081749A"/>
    <w:p w14:paraId="1F39E87C" w14:textId="0E3BC0B6" w:rsidR="0081749A" w:rsidRDefault="0081749A" w:rsidP="0081749A">
      <w:r>
        <w:t>Over</w:t>
      </w:r>
      <w:r>
        <w:rPr>
          <w:spacing w:val="-2"/>
        </w:rPr>
        <w:t xml:space="preserve"> </w:t>
      </w:r>
      <w:r>
        <w:t>the past</w:t>
      </w:r>
      <w:r>
        <w:rPr>
          <w:spacing w:val="1"/>
        </w:rPr>
        <w:t xml:space="preserve"> </w:t>
      </w:r>
      <w:r>
        <w:t>30 years, inflation</w:t>
      </w:r>
      <w:r>
        <w:rPr>
          <w:spacing w:val="1"/>
        </w:rPr>
        <w:t xml:space="preserve"> </w:t>
      </w:r>
      <w:r>
        <w:t>has averaged around</w:t>
      </w:r>
      <w:r>
        <w:rPr>
          <w:spacing w:val="1"/>
        </w:rPr>
        <w:t xml:space="preserve"> </w:t>
      </w:r>
      <w:r>
        <w:t>the midpoint of</w:t>
      </w:r>
      <w:r>
        <w:rPr>
          <w:spacing w:val="1"/>
        </w:rPr>
        <w:t xml:space="preserve"> </w:t>
      </w:r>
      <w:r>
        <w:t>the RBA’s target</w:t>
      </w:r>
      <w:r>
        <w:rPr>
          <w:spacing w:val="1"/>
        </w:rPr>
        <w:t xml:space="preserve"> </w:t>
      </w:r>
      <w:r>
        <w:rPr>
          <w:spacing w:val="-5"/>
        </w:rPr>
        <w:t xml:space="preserve">of </w:t>
      </w:r>
      <w:r>
        <w:t>2 to 3 per cent, and the variability of output and unemployment has been lower than in earlier decades.</w:t>
      </w:r>
      <w:r>
        <w:rPr>
          <w:spacing w:val="-4"/>
        </w:rPr>
        <w:t xml:space="preserve"> </w:t>
      </w:r>
      <w:r>
        <w:t>Australia’s</w:t>
      </w:r>
      <w:r>
        <w:rPr>
          <w:spacing w:val="-4"/>
        </w:rPr>
        <w:t xml:space="preserve"> </w:t>
      </w:r>
      <w:r>
        <w:t>very</w:t>
      </w:r>
      <w:r>
        <w:rPr>
          <w:spacing w:val="-4"/>
        </w:rPr>
        <w:t xml:space="preserve"> </w:t>
      </w:r>
      <w:r>
        <w:t>good</w:t>
      </w:r>
      <w:r>
        <w:rPr>
          <w:spacing w:val="-4"/>
        </w:rPr>
        <w:t xml:space="preserve"> </w:t>
      </w:r>
      <w:r>
        <w:t>performance</w:t>
      </w:r>
      <w:r>
        <w:rPr>
          <w:spacing w:val="-4"/>
        </w:rPr>
        <w:t xml:space="preserve"> </w:t>
      </w:r>
      <w:r>
        <w:t>is</w:t>
      </w:r>
      <w:r>
        <w:rPr>
          <w:spacing w:val="-4"/>
        </w:rPr>
        <w:t xml:space="preserve"> </w:t>
      </w:r>
      <w:r>
        <w:t>at</w:t>
      </w:r>
      <w:r>
        <w:rPr>
          <w:spacing w:val="-4"/>
        </w:rPr>
        <w:t xml:space="preserve"> </w:t>
      </w:r>
      <w:r>
        <w:t>least</w:t>
      </w:r>
      <w:r>
        <w:rPr>
          <w:spacing w:val="-4"/>
        </w:rPr>
        <w:t xml:space="preserve"> </w:t>
      </w:r>
      <w:r>
        <w:t>on</w:t>
      </w:r>
      <w:r>
        <w:rPr>
          <w:spacing w:val="-4"/>
        </w:rPr>
        <w:t xml:space="preserve"> </w:t>
      </w:r>
      <w:r>
        <w:t>par</w:t>
      </w:r>
      <w:r>
        <w:rPr>
          <w:spacing w:val="-4"/>
        </w:rPr>
        <w:t xml:space="preserve"> </w:t>
      </w:r>
      <w:r>
        <w:t>with</w:t>
      </w:r>
      <w:r>
        <w:rPr>
          <w:spacing w:val="-4"/>
        </w:rPr>
        <w:t xml:space="preserve"> </w:t>
      </w:r>
      <w:r>
        <w:t>other</w:t>
      </w:r>
      <w:r>
        <w:rPr>
          <w:spacing w:val="-4"/>
        </w:rPr>
        <w:t xml:space="preserve"> </w:t>
      </w:r>
      <w:r>
        <w:t>comparable</w:t>
      </w:r>
      <w:r>
        <w:rPr>
          <w:spacing w:val="-4"/>
        </w:rPr>
        <w:t xml:space="preserve"> </w:t>
      </w:r>
      <w:r>
        <w:t>economies.</w:t>
      </w:r>
    </w:p>
    <w:p w14:paraId="0B989C97" w14:textId="77777777" w:rsidR="0081749A" w:rsidRDefault="0081749A" w:rsidP="0081749A">
      <w:r>
        <w:t>Flexible inflation targeting, and the RBA’s actions within this framework, have been successful overall. The RBA has played a particularly critical role during crises, where it has acted decisively and effectively to support the economy and protect against severe outcomes.</w:t>
      </w:r>
    </w:p>
    <w:p w14:paraId="78BC0187" w14:textId="77777777" w:rsidR="0081749A" w:rsidRDefault="0081749A" w:rsidP="0081749A">
      <w:r>
        <w:t>In recent years, however, a more challenging environment for policymaking has highlighted areas where</w:t>
      </w:r>
      <w:r>
        <w:rPr>
          <w:spacing w:val="-3"/>
        </w:rPr>
        <w:t xml:space="preserve"> </w:t>
      </w:r>
      <w:r>
        <w:t>Australia’s</w:t>
      </w:r>
      <w:r>
        <w:rPr>
          <w:spacing w:val="-3"/>
        </w:rPr>
        <w:t xml:space="preserve"> </w:t>
      </w:r>
      <w:r>
        <w:t>monetary</w:t>
      </w:r>
      <w:r>
        <w:rPr>
          <w:spacing w:val="-3"/>
        </w:rPr>
        <w:t xml:space="preserve"> </w:t>
      </w:r>
      <w:r>
        <w:t>policy</w:t>
      </w:r>
      <w:r>
        <w:rPr>
          <w:spacing w:val="-3"/>
        </w:rPr>
        <w:t xml:space="preserve"> </w:t>
      </w:r>
      <w:r>
        <w:t>framework</w:t>
      </w:r>
      <w:r>
        <w:rPr>
          <w:spacing w:val="-3"/>
        </w:rPr>
        <w:t xml:space="preserve"> </w:t>
      </w:r>
      <w:r>
        <w:t>could</w:t>
      </w:r>
      <w:r>
        <w:rPr>
          <w:spacing w:val="-3"/>
        </w:rPr>
        <w:t xml:space="preserve"> </w:t>
      </w:r>
      <w:r>
        <w:t>be</w:t>
      </w:r>
      <w:r>
        <w:rPr>
          <w:spacing w:val="-3"/>
        </w:rPr>
        <w:t xml:space="preserve"> </w:t>
      </w:r>
      <w:r>
        <w:t>improved.</w:t>
      </w:r>
      <w:r>
        <w:rPr>
          <w:spacing w:val="-3"/>
        </w:rPr>
        <w:t xml:space="preserve"> </w:t>
      </w:r>
      <w:r>
        <w:t>The</w:t>
      </w:r>
      <w:r>
        <w:rPr>
          <w:spacing w:val="-3"/>
        </w:rPr>
        <w:t xml:space="preserve"> </w:t>
      </w:r>
      <w:r>
        <w:t>Review</w:t>
      </w:r>
      <w:r>
        <w:rPr>
          <w:spacing w:val="-3"/>
        </w:rPr>
        <w:t xml:space="preserve"> </w:t>
      </w:r>
      <w:r>
        <w:t>focuses</w:t>
      </w:r>
      <w:r>
        <w:rPr>
          <w:spacing w:val="-3"/>
        </w:rPr>
        <w:t xml:space="preserve"> </w:t>
      </w:r>
      <w:r>
        <w:t>on</w:t>
      </w:r>
      <w:r>
        <w:rPr>
          <w:spacing w:val="-3"/>
        </w:rPr>
        <w:t xml:space="preserve"> </w:t>
      </w:r>
      <w:r>
        <w:t>3</w:t>
      </w:r>
      <w:r>
        <w:rPr>
          <w:spacing w:val="-3"/>
        </w:rPr>
        <w:t xml:space="preserve"> </w:t>
      </w:r>
      <w:r>
        <w:t>episodes that were raised most frequently in consultations: the low inflation period between 2016 and 2019, the policy response to the COVID-19 pandemic, and the recent increase in inflation.</w:t>
      </w:r>
    </w:p>
    <w:p w14:paraId="5F938C7B" w14:textId="77777777" w:rsidR="0081749A" w:rsidRDefault="0081749A" w:rsidP="0081749A">
      <w:r>
        <w:t>Rather than assess whether the overall stance of monetary policy was appropriate in these episodes, the Review looks at the performance of the monetary policy framework and decision-making</w:t>
      </w:r>
      <w:r>
        <w:rPr>
          <w:spacing w:val="-6"/>
        </w:rPr>
        <w:t xml:space="preserve"> </w:t>
      </w:r>
      <w:r>
        <w:t>processes,</w:t>
      </w:r>
      <w:r>
        <w:rPr>
          <w:spacing w:val="-6"/>
        </w:rPr>
        <w:t xml:space="preserve"> </w:t>
      </w:r>
      <w:r>
        <w:t>and</w:t>
      </w:r>
      <w:r>
        <w:rPr>
          <w:spacing w:val="-6"/>
        </w:rPr>
        <w:t xml:space="preserve"> </w:t>
      </w:r>
      <w:r>
        <w:t>the</w:t>
      </w:r>
      <w:r>
        <w:rPr>
          <w:spacing w:val="-6"/>
        </w:rPr>
        <w:t xml:space="preserve"> </w:t>
      </w:r>
      <w:r>
        <w:t>RBA’s</w:t>
      </w:r>
      <w:r>
        <w:rPr>
          <w:spacing w:val="-6"/>
        </w:rPr>
        <w:t xml:space="preserve"> </w:t>
      </w:r>
      <w:r>
        <w:t>internal</w:t>
      </w:r>
      <w:r>
        <w:rPr>
          <w:spacing w:val="-6"/>
        </w:rPr>
        <w:t xml:space="preserve"> </w:t>
      </w:r>
      <w:r>
        <w:t>processes</w:t>
      </w:r>
      <w:r>
        <w:rPr>
          <w:spacing w:val="-6"/>
        </w:rPr>
        <w:t xml:space="preserve"> </w:t>
      </w:r>
      <w:r>
        <w:t>and</w:t>
      </w:r>
      <w:r>
        <w:rPr>
          <w:spacing w:val="-6"/>
        </w:rPr>
        <w:t xml:space="preserve"> </w:t>
      </w:r>
      <w:r>
        <w:t>governance,</w:t>
      </w:r>
      <w:r>
        <w:rPr>
          <w:spacing w:val="-6"/>
        </w:rPr>
        <w:t xml:space="preserve"> </w:t>
      </w:r>
      <w:r>
        <w:t>to</w:t>
      </w:r>
      <w:r>
        <w:rPr>
          <w:spacing w:val="-6"/>
        </w:rPr>
        <w:t xml:space="preserve"> </w:t>
      </w:r>
      <w:r>
        <w:t>learn</w:t>
      </w:r>
      <w:r>
        <w:rPr>
          <w:spacing w:val="-6"/>
        </w:rPr>
        <w:t xml:space="preserve"> </w:t>
      </w:r>
      <w:r>
        <w:t>lessons for the future.</w:t>
      </w:r>
    </w:p>
    <w:p w14:paraId="450FF324" w14:textId="77777777" w:rsidR="0081749A" w:rsidRDefault="0081749A">
      <w:pPr>
        <w:spacing w:before="0" w:after="160" w:line="259" w:lineRule="auto"/>
      </w:pPr>
      <w:bookmarkStart w:id="10" w:name="2._A_clearer_monetary_policy_framework"/>
      <w:bookmarkEnd w:id="10"/>
      <w:r>
        <w:br w:type="page"/>
      </w:r>
    </w:p>
    <w:p w14:paraId="5D2AD1C1" w14:textId="1AD05314" w:rsidR="0081749A" w:rsidRDefault="0081749A" w:rsidP="0081749A">
      <w:r>
        <w:lastRenderedPageBreak/>
        <w:t>The Review draws</w:t>
      </w:r>
      <w:r>
        <w:rPr>
          <w:spacing w:val="1"/>
        </w:rPr>
        <w:t xml:space="preserve"> </w:t>
      </w:r>
      <w:r>
        <w:t>3 key conclusions</w:t>
      </w:r>
      <w:r>
        <w:rPr>
          <w:spacing w:val="1"/>
        </w:rPr>
        <w:t xml:space="preserve"> </w:t>
      </w:r>
      <w:r>
        <w:t>from this</w:t>
      </w:r>
      <w:r>
        <w:rPr>
          <w:spacing w:val="1"/>
        </w:rPr>
        <w:t xml:space="preserve"> </w:t>
      </w:r>
      <w:r>
        <w:rPr>
          <w:spacing w:val="-2"/>
        </w:rPr>
        <w:t>assessment:</w:t>
      </w:r>
    </w:p>
    <w:p w14:paraId="4EBDC3F6" w14:textId="77777777" w:rsidR="0081749A" w:rsidRPr="004B0982" w:rsidRDefault="0081749A" w:rsidP="0000278A">
      <w:pPr>
        <w:pStyle w:val="Bullet"/>
      </w:pPr>
      <w:r w:rsidRPr="004B0982">
        <w:t>For the low inflation period between 2016 and 2019 there were divergent views among stakeholders on why monetary policy decisions were taken and whether the approach was consistent with the inflation-targeting framework. This highlights that some aspects of the framework and the RBA’s regular communication have not always been clear or detailed enough.</w:t>
      </w:r>
    </w:p>
    <w:p w14:paraId="61138EF4" w14:textId="77777777" w:rsidR="0081749A" w:rsidRPr="004B0982" w:rsidRDefault="0081749A" w:rsidP="0000278A">
      <w:pPr>
        <w:pStyle w:val="Bullet"/>
      </w:pPr>
      <w:r w:rsidRPr="004B0982">
        <w:t>The decisions to implement additional monetary policy tools during COVID-19 would have benefitted from a Reserve Bank Board with more specialist expertise, support and time to fully test the proposed policies. The RBA’s decisive actions at the start of the COVID-19 pandemic were critical in supporting Australia through the crisis. At the same time, stronger decision-making arrangements may have helped mitigate eventual shortcomings in the RBA’s forward guidance, yield target, term funding facility, and bond purchase program.</w:t>
      </w:r>
    </w:p>
    <w:p w14:paraId="466017A2" w14:textId="77777777" w:rsidR="0081749A" w:rsidRPr="004B0982" w:rsidRDefault="0081749A" w:rsidP="0000278A">
      <w:pPr>
        <w:pStyle w:val="Bullet"/>
      </w:pPr>
      <w:r w:rsidRPr="004B0982">
        <w:t>The RBA was initially slow to respond to rising inflation in 2022, along with many other central banks. An overemphasis on wages as a driver of persistent inflation, reliance on forecasting and modelling tools that offered limited insights on the supply side of the economy, and the way forward guidance and the yield target had been designed and used all contributed. Deeper consideration of monetary policy strategy, risks and opposing views, and use of a richer suite of models and data, may have reduced the risk of misjudging inflation.</w:t>
      </w:r>
    </w:p>
    <w:p w14:paraId="5AC4491E" w14:textId="77777777" w:rsidR="0081749A" w:rsidRDefault="0081749A" w:rsidP="000D56D9"/>
    <w:p w14:paraId="640469B3" w14:textId="19DE0315" w:rsidR="005F5D56" w:rsidRDefault="005F5D56" w:rsidP="005F5D56">
      <w:pPr>
        <w:pStyle w:val="Heading2"/>
      </w:pPr>
      <w:bookmarkStart w:id="11" w:name="_Toc134220984"/>
      <w:r w:rsidRPr="005F5D56">
        <w:t>2.</w:t>
      </w:r>
      <w:r>
        <w:t xml:space="preserve"> A</w:t>
      </w:r>
      <w:r>
        <w:rPr>
          <w:spacing w:val="-14"/>
        </w:rPr>
        <w:t xml:space="preserve"> </w:t>
      </w:r>
      <w:r>
        <w:t>clearer</w:t>
      </w:r>
      <w:r>
        <w:rPr>
          <w:spacing w:val="-12"/>
        </w:rPr>
        <w:t xml:space="preserve"> </w:t>
      </w:r>
      <w:r>
        <w:t>monetary</w:t>
      </w:r>
      <w:r>
        <w:rPr>
          <w:spacing w:val="-12"/>
        </w:rPr>
        <w:t xml:space="preserve"> </w:t>
      </w:r>
      <w:r>
        <w:t>policy</w:t>
      </w:r>
      <w:r>
        <w:rPr>
          <w:spacing w:val="-12"/>
        </w:rPr>
        <w:t xml:space="preserve"> </w:t>
      </w:r>
      <w:r>
        <w:t>framework</w:t>
      </w:r>
      <w:bookmarkEnd w:id="11"/>
    </w:p>
    <w:p w14:paraId="31C1BE77" w14:textId="180DDB5B" w:rsidR="000604F5" w:rsidRPr="000604F5" w:rsidRDefault="000604F5" w:rsidP="000604F5">
      <w:r w:rsidRPr="000604F5">
        <w:t>Australia’s</w:t>
      </w:r>
      <w:r w:rsidRPr="000604F5">
        <w:rPr>
          <w:spacing w:val="7"/>
        </w:rPr>
        <w:t xml:space="preserve"> </w:t>
      </w:r>
      <w:r w:rsidRPr="000604F5">
        <w:t>existing</w:t>
      </w:r>
      <w:r w:rsidRPr="000604F5">
        <w:rPr>
          <w:spacing w:val="7"/>
        </w:rPr>
        <w:t xml:space="preserve"> </w:t>
      </w:r>
      <w:r w:rsidRPr="000604F5">
        <w:t>monetary</w:t>
      </w:r>
      <w:r w:rsidRPr="000604F5">
        <w:rPr>
          <w:spacing w:val="7"/>
        </w:rPr>
        <w:t xml:space="preserve"> </w:t>
      </w:r>
      <w:r w:rsidRPr="000604F5">
        <w:t>policy</w:t>
      </w:r>
      <w:r w:rsidRPr="000604F5">
        <w:rPr>
          <w:spacing w:val="7"/>
        </w:rPr>
        <w:t xml:space="preserve"> </w:t>
      </w:r>
      <w:r w:rsidRPr="000604F5">
        <w:t>and</w:t>
      </w:r>
      <w:r w:rsidRPr="000604F5">
        <w:rPr>
          <w:spacing w:val="7"/>
        </w:rPr>
        <w:t xml:space="preserve"> </w:t>
      </w:r>
      <w:r w:rsidRPr="000604F5">
        <w:t>financial</w:t>
      </w:r>
      <w:r w:rsidRPr="000604F5">
        <w:rPr>
          <w:spacing w:val="7"/>
        </w:rPr>
        <w:t xml:space="preserve"> </w:t>
      </w:r>
      <w:r w:rsidRPr="000604F5">
        <w:t>stability</w:t>
      </w:r>
      <w:r w:rsidRPr="000604F5">
        <w:rPr>
          <w:spacing w:val="7"/>
        </w:rPr>
        <w:t xml:space="preserve"> </w:t>
      </w:r>
      <w:r w:rsidRPr="000604F5">
        <w:t>frameworks</w:t>
      </w:r>
      <w:r w:rsidRPr="000604F5">
        <w:rPr>
          <w:spacing w:val="7"/>
        </w:rPr>
        <w:t xml:space="preserve"> </w:t>
      </w:r>
      <w:r w:rsidRPr="000604F5">
        <w:t>have</w:t>
      </w:r>
      <w:r w:rsidRPr="000604F5">
        <w:rPr>
          <w:spacing w:val="7"/>
        </w:rPr>
        <w:t xml:space="preserve"> </w:t>
      </w:r>
      <w:r w:rsidRPr="000604F5">
        <w:t>served</w:t>
      </w:r>
      <w:r w:rsidRPr="000604F5">
        <w:rPr>
          <w:spacing w:val="7"/>
        </w:rPr>
        <w:t xml:space="preserve"> </w:t>
      </w:r>
      <w:r w:rsidRPr="000604F5">
        <w:t>Australia</w:t>
      </w:r>
      <w:r w:rsidRPr="000604F5">
        <w:rPr>
          <w:spacing w:val="7"/>
        </w:rPr>
        <w:t xml:space="preserve"> </w:t>
      </w:r>
      <w:r w:rsidRPr="000604F5">
        <w:t>well</w:t>
      </w:r>
      <w:r w:rsidRPr="000604F5">
        <w:rPr>
          <w:spacing w:val="8"/>
        </w:rPr>
        <w:t xml:space="preserve"> </w:t>
      </w:r>
      <w:r w:rsidRPr="000604F5">
        <w:rPr>
          <w:spacing w:val="-5"/>
        </w:rPr>
        <w:t>in</w:t>
      </w:r>
      <w:r>
        <w:rPr>
          <w:spacing w:val="-5"/>
        </w:rPr>
        <w:t xml:space="preserve"> </w:t>
      </w:r>
      <w:r w:rsidRPr="000604F5">
        <w:t>recent</w:t>
      </w:r>
      <w:r w:rsidRPr="000604F5">
        <w:rPr>
          <w:spacing w:val="-5"/>
        </w:rPr>
        <w:t xml:space="preserve"> </w:t>
      </w:r>
      <w:r w:rsidRPr="000604F5">
        <w:rPr>
          <w:spacing w:val="-2"/>
        </w:rPr>
        <w:t>decades.</w:t>
      </w:r>
    </w:p>
    <w:p w14:paraId="5B4EF65A" w14:textId="436EE201" w:rsidR="000604F5" w:rsidRPr="000604F5" w:rsidRDefault="000604F5" w:rsidP="000604F5">
      <w:r w:rsidRPr="000604F5">
        <w:t>The</w:t>
      </w:r>
      <w:r w:rsidRPr="000604F5">
        <w:rPr>
          <w:spacing w:val="2"/>
        </w:rPr>
        <w:t xml:space="preserve"> </w:t>
      </w:r>
      <w:r w:rsidRPr="000604F5">
        <w:t>monetary</w:t>
      </w:r>
      <w:r w:rsidRPr="000604F5">
        <w:rPr>
          <w:spacing w:val="4"/>
        </w:rPr>
        <w:t xml:space="preserve"> </w:t>
      </w:r>
      <w:r w:rsidRPr="000604F5">
        <w:t>policy</w:t>
      </w:r>
      <w:r w:rsidRPr="000604F5">
        <w:rPr>
          <w:spacing w:val="4"/>
        </w:rPr>
        <w:t xml:space="preserve"> </w:t>
      </w:r>
      <w:r w:rsidRPr="000604F5">
        <w:t>framework</w:t>
      </w:r>
      <w:r w:rsidRPr="000604F5">
        <w:rPr>
          <w:spacing w:val="5"/>
        </w:rPr>
        <w:t xml:space="preserve"> </w:t>
      </w:r>
      <w:r w:rsidRPr="000604F5">
        <w:t>of</w:t>
      </w:r>
      <w:r w:rsidRPr="000604F5">
        <w:rPr>
          <w:spacing w:val="4"/>
        </w:rPr>
        <w:t xml:space="preserve"> </w:t>
      </w:r>
      <w:r w:rsidRPr="000604F5">
        <w:t>an</w:t>
      </w:r>
      <w:r w:rsidRPr="000604F5">
        <w:rPr>
          <w:spacing w:val="4"/>
        </w:rPr>
        <w:t xml:space="preserve"> </w:t>
      </w:r>
      <w:r w:rsidRPr="000604F5">
        <w:t>independent</w:t>
      </w:r>
      <w:r w:rsidRPr="000604F5">
        <w:rPr>
          <w:spacing w:val="4"/>
        </w:rPr>
        <w:t xml:space="preserve"> </w:t>
      </w:r>
      <w:r w:rsidRPr="000604F5">
        <w:t>central</w:t>
      </w:r>
      <w:r w:rsidRPr="000604F5">
        <w:rPr>
          <w:spacing w:val="5"/>
        </w:rPr>
        <w:t xml:space="preserve"> </w:t>
      </w:r>
      <w:r w:rsidRPr="000604F5">
        <w:t>bank</w:t>
      </w:r>
      <w:r w:rsidRPr="000604F5">
        <w:rPr>
          <w:spacing w:val="4"/>
        </w:rPr>
        <w:t xml:space="preserve"> </w:t>
      </w:r>
      <w:r w:rsidRPr="000604F5">
        <w:t>undertaking</w:t>
      </w:r>
      <w:r w:rsidRPr="000604F5">
        <w:rPr>
          <w:spacing w:val="4"/>
        </w:rPr>
        <w:t xml:space="preserve"> </w:t>
      </w:r>
      <w:r w:rsidRPr="000604F5">
        <w:t>flexible</w:t>
      </w:r>
      <w:r w:rsidRPr="000604F5">
        <w:rPr>
          <w:spacing w:val="5"/>
        </w:rPr>
        <w:t xml:space="preserve"> </w:t>
      </w:r>
      <w:r w:rsidRPr="000604F5">
        <w:rPr>
          <w:spacing w:val="-2"/>
        </w:rPr>
        <w:t>inflation</w:t>
      </w:r>
      <w:r>
        <w:rPr>
          <w:spacing w:val="-2"/>
        </w:rPr>
        <w:t xml:space="preserve"> </w:t>
      </w:r>
      <w:r w:rsidRPr="000604F5">
        <w:t>targeting</w:t>
      </w:r>
      <w:r w:rsidRPr="000604F5">
        <w:rPr>
          <w:spacing w:val="-2"/>
        </w:rPr>
        <w:t xml:space="preserve"> </w:t>
      </w:r>
      <w:r w:rsidRPr="000604F5">
        <w:t>is</w:t>
      </w:r>
      <w:r w:rsidRPr="000604F5">
        <w:rPr>
          <w:spacing w:val="1"/>
        </w:rPr>
        <w:t xml:space="preserve"> </w:t>
      </w:r>
      <w:r w:rsidRPr="000604F5">
        <w:t>well</w:t>
      </w:r>
      <w:r w:rsidRPr="000604F5">
        <w:rPr>
          <w:spacing w:val="1"/>
        </w:rPr>
        <w:t xml:space="preserve"> </w:t>
      </w:r>
      <w:r w:rsidRPr="000604F5">
        <w:t>suited</w:t>
      </w:r>
      <w:r w:rsidRPr="000604F5">
        <w:rPr>
          <w:spacing w:val="1"/>
        </w:rPr>
        <w:t xml:space="preserve"> </w:t>
      </w:r>
      <w:r w:rsidRPr="000604F5">
        <w:t>to the</w:t>
      </w:r>
      <w:r w:rsidRPr="000604F5">
        <w:rPr>
          <w:spacing w:val="1"/>
        </w:rPr>
        <w:t xml:space="preserve"> </w:t>
      </w:r>
      <w:r w:rsidRPr="000604F5">
        <w:t>future</w:t>
      </w:r>
      <w:r w:rsidRPr="000604F5">
        <w:rPr>
          <w:spacing w:val="1"/>
        </w:rPr>
        <w:t xml:space="preserve"> </w:t>
      </w:r>
      <w:r w:rsidRPr="000604F5">
        <w:t>challenges</w:t>
      </w:r>
      <w:r w:rsidRPr="000604F5">
        <w:rPr>
          <w:spacing w:val="1"/>
        </w:rPr>
        <w:t xml:space="preserve"> </w:t>
      </w:r>
      <w:r w:rsidRPr="000604F5">
        <w:t>Australia can</w:t>
      </w:r>
      <w:r w:rsidRPr="000604F5">
        <w:rPr>
          <w:spacing w:val="1"/>
        </w:rPr>
        <w:t xml:space="preserve"> </w:t>
      </w:r>
      <w:r w:rsidRPr="000604F5">
        <w:t>expect</w:t>
      </w:r>
      <w:r w:rsidRPr="000604F5">
        <w:rPr>
          <w:spacing w:val="1"/>
        </w:rPr>
        <w:t xml:space="preserve"> </w:t>
      </w:r>
      <w:r w:rsidRPr="000604F5">
        <w:t>to</w:t>
      </w:r>
      <w:r w:rsidRPr="000604F5">
        <w:rPr>
          <w:spacing w:val="1"/>
        </w:rPr>
        <w:t xml:space="preserve"> </w:t>
      </w:r>
      <w:r w:rsidRPr="000604F5">
        <w:rPr>
          <w:spacing w:val="-2"/>
        </w:rPr>
        <w:t>face.</w:t>
      </w:r>
    </w:p>
    <w:p w14:paraId="7F4DD3B3" w14:textId="77777777" w:rsidR="000604F5" w:rsidRPr="000604F5" w:rsidRDefault="000604F5" w:rsidP="000604F5">
      <w:r w:rsidRPr="000604F5">
        <w:t>However, greater clarity in the framework would support greater accountability for the RBA. Relatively modest changes to this framework should be made to:</w:t>
      </w:r>
    </w:p>
    <w:p w14:paraId="39C3841B" w14:textId="1075C3EC" w:rsidR="000604F5" w:rsidRPr="000604F5" w:rsidRDefault="000604F5" w:rsidP="0000278A">
      <w:pPr>
        <w:pStyle w:val="Bullet"/>
      </w:pPr>
      <w:r w:rsidRPr="000604F5">
        <w:t>clarify</w:t>
      </w:r>
      <w:r w:rsidRPr="000604F5">
        <w:rPr>
          <w:spacing w:val="4"/>
        </w:rPr>
        <w:t xml:space="preserve"> </w:t>
      </w:r>
      <w:r w:rsidRPr="000604F5">
        <w:t>the</w:t>
      </w:r>
      <w:r w:rsidRPr="000604F5">
        <w:rPr>
          <w:spacing w:val="4"/>
        </w:rPr>
        <w:t xml:space="preserve"> </w:t>
      </w:r>
      <w:r w:rsidRPr="000604F5">
        <w:t>RBA’s</w:t>
      </w:r>
      <w:r w:rsidRPr="000604F5">
        <w:rPr>
          <w:spacing w:val="5"/>
        </w:rPr>
        <w:t xml:space="preserve"> </w:t>
      </w:r>
      <w:r w:rsidRPr="000604F5">
        <w:t>monetary</w:t>
      </w:r>
      <w:r w:rsidRPr="000604F5">
        <w:rPr>
          <w:spacing w:val="4"/>
        </w:rPr>
        <w:t xml:space="preserve"> </w:t>
      </w:r>
      <w:r w:rsidRPr="000604F5">
        <w:t>policy</w:t>
      </w:r>
      <w:r w:rsidRPr="000604F5">
        <w:rPr>
          <w:spacing w:val="5"/>
        </w:rPr>
        <w:t xml:space="preserve"> </w:t>
      </w:r>
      <w:r w:rsidRPr="000604F5">
        <w:t>objectives</w:t>
      </w:r>
      <w:r w:rsidRPr="000604F5">
        <w:rPr>
          <w:spacing w:val="4"/>
        </w:rPr>
        <w:t xml:space="preserve"> </w:t>
      </w:r>
      <w:r w:rsidRPr="000604F5">
        <w:t>and</w:t>
      </w:r>
      <w:r w:rsidRPr="000604F5">
        <w:rPr>
          <w:spacing w:val="5"/>
        </w:rPr>
        <w:t xml:space="preserve"> </w:t>
      </w:r>
      <w:r w:rsidRPr="000604F5">
        <w:t>toolkit,</w:t>
      </w:r>
      <w:r w:rsidRPr="000604F5">
        <w:rPr>
          <w:spacing w:val="4"/>
        </w:rPr>
        <w:t xml:space="preserve"> </w:t>
      </w:r>
      <w:r w:rsidRPr="000604F5">
        <w:t>how</w:t>
      </w:r>
      <w:r w:rsidRPr="000604F5">
        <w:rPr>
          <w:spacing w:val="5"/>
        </w:rPr>
        <w:t xml:space="preserve"> </w:t>
      </w:r>
      <w:r w:rsidRPr="000604F5">
        <w:t>it</w:t>
      </w:r>
      <w:r w:rsidRPr="000604F5">
        <w:rPr>
          <w:spacing w:val="4"/>
        </w:rPr>
        <w:t xml:space="preserve"> </w:t>
      </w:r>
      <w:r w:rsidRPr="000604F5">
        <w:t>operates</w:t>
      </w:r>
      <w:r w:rsidRPr="000604F5">
        <w:rPr>
          <w:spacing w:val="5"/>
        </w:rPr>
        <w:t xml:space="preserve"> </w:t>
      </w:r>
      <w:r w:rsidRPr="000604F5">
        <w:t>and</w:t>
      </w:r>
      <w:r w:rsidRPr="000604F5">
        <w:rPr>
          <w:spacing w:val="4"/>
        </w:rPr>
        <w:t xml:space="preserve"> </w:t>
      </w:r>
      <w:r w:rsidRPr="000604F5">
        <w:t>explains</w:t>
      </w:r>
      <w:r w:rsidRPr="000604F5">
        <w:rPr>
          <w:spacing w:val="5"/>
        </w:rPr>
        <w:t xml:space="preserve"> </w:t>
      </w:r>
      <w:r w:rsidRPr="000604F5">
        <w:rPr>
          <w:spacing w:val="-5"/>
        </w:rPr>
        <w:t>its</w:t>
      </w:r>
      <w:r w:rsidR="0068598E">
        <w:rPr>
          <w:spacing w:val="-5"/>
        </w:rPr>
        <w:t xml:space="preserve"> </w:t>
      </w:r>
      <w:r w:rsidRPr="000604F5">
        <w:t>framework,</w:t>
      </w:r>
      <w:r w:rsidRPr="000604F5">
        <w:rPr>
          <w:spacing w:val="5"/>
        </w:rPr>
        <w:t xml:space="preserve"> </w:t>
      </w:r>
      <w:r w:rsidRPr="000604F5">
        <w:t>and</w:t>
      </w:r>
      <w:r w:rsidRPr="000604F5">
        <w:rPr>
          <w:spacing w:val="5"/>
        </w:rPr>
        <w:t xml:space="preserve"> </w:t>
      </w:r>
      <w:r w:rsidRPr="000604F5">
        <w:t>how</w:t>
      </w:r>
      <w:r w:rsidRPr="000604F5">
        <w:rPr>
          <w:spacing w:val="5"/>
        </w:rPr>
        <w:t xml:space="preserve"> </w:t>
      </w:r>
      <w:r w:rsidRPr="000604F5">
        <w:t>monetary</w:t>
      </w:r>
      <w:r w:rsidRPr="000604F5">
        <w:rPr>
          <w:spacing w:val="5"/>
        </w:rPr>
        <w:t xml:space="preserve"> </w:t>
      </w:r>
      <w:r w:rsidRPr="000604F5">
        <w:t>policy</w:t>
      </w:r>
      <w:r w:rsidRPr="000604F5">
        <w:rPr>
          <w:spacing w:val="5"/>
        </w:rPr>
        <w:t xml:space="preserve"> </w:t>
      </w:r>
      <w:r w:rsidRPr="000604F5">
        <w:t>interacts</w:t>
      </w:r>
      <w:r w:rsidRPr="000604F5">
        <w:rPr>
          <w:spacing w:val="5"/>
        </w:rPr>
        <w:t xml:space="preserve"> </w:t>
      </w:r>
      <w:r w:rsidRPr="000604F5">
        <w:t>with</w:t>
      </w:r>
      <w:r w:rsidRPr="000604F5">
        <w:rPr>
          <w:spacing w:val="5"/>
        </w:rPr>
        <w:t xml:space="preserve"> </w:t>
      </w:r>
      <w:r w:rsidRPr="000604F5">
        <w:t>other</w:t>
      </w:r>
      <w:r w:rsidRPr="000604F5">
        <w:rPr>
          <w:spacing w:val="5"/>
        </w:rPr>
        <w:t xml:space="preserve"> </w:t>
      </w:r>
      <w:r w:rsidRPr="000604F5">
        <w:t>branches</w:t>
      </w:r>
      <w:r w:rsidRPr="000604F5">
        <w:rPr>
          <w:spacing w:val="5"/>
        </w:rPr>
        <w:t xml:space="preserve"> </w:t>
      </w:r>
      <w:r w:rsidRPr="000604F5">
        <w:t>of</w:t>
      </w:r>
      <w:r w:rsidRPr="000604F5">
        <w:rPr>
          <w:spacing w:val="6"/>
        </w:rPr>
        <w:t xml:space="preserve"> </w:t>
      </w:r>
      <w:r w:rsidRPr="000604F5">
        <w:rPr>
          <w:spacing w:val="-2"/>
        </w:rPr>
        <w:t>policy</w:t>
      </w:r>
    </w:p>
    <w:p w14:paraId="25EC9FA4" w14:textId="64BD98AF" w:rsidR="008A7B5D" w:rsidRPr="00E46B75" w:rsidRDefault="000604F5" w:rsidP="0000278A">
      <w:pPr>
        <w:pStyle w:val="Bullet"/>
        <w:rPr>
          <w:rStyle w:val="Strong"/>
          <w:b w:val="0"/>
          <w:bCs w:val="0"/>
        </w:rPr>
      </w:pPr>
      <w:r w:rsidRPr="000604F5">
        <w:t>put the RBA’s financial stability role on a firmer footing and strengthen cooperation arrangements with other agencies involved in financial stability</w:t>
      </w:r>
    </w:p>
    <w:p w14:paraId="52EEEA8C" w14:textId="77777777" w:rsidR="003A0F8F" w:rsidRDefault="003A0F8F" w:rsidP="003A0F8F">
      <w:pPr>
        <w:pStyle w:val="Heading3"/>
      </w:pPr>
      <w:r w:rsidRPr="003A0F8F">
        <w:t>Clear</w:t>
      </w:r>
      <w:r>
        <w:rPr>
          <w:spacing w:val="-5"/>
        </w:rPr>
        <w:t xml:space="preserve"> </w:t>
      </w:r>
      <w:r>
        <w:t>monetary</w:t>
      </w:r>
      <w:r>
        <w:rPr>
          <w:spacing w:val="-5"/>
        </w:rPr>
        <w:t xml:space="preserve"> </w:t>
      </w:r>
      <w:r>
        <w:t>policy</w:t>
      </w:r>
      <w:r>
        <w:rPr>
          <w:spacing w:val="-5"/>
        </w:rPr>
        <w:t xml:space="preserve"> </w:t>
      </w:r>
      <w:r>
        <w:t>objectives</w:t>
      </w:r>
      <w:r>
        <w:rPr>
          <w:spacing w:val="-5"/>
        </w:rPr>
        <w:t xml:space="preserve"> </w:t>
      </w:r>
      <w:r>
        <w:t>and</w:t>
      </w:r>
      <w:r>
        <w:rPr>
          <w:spacing w:val="-4"/>
        </w:rPr>
        <w:t xml:space="preserve"> </w:t>
      </w:r>
      <w:r>
        <w:rPr>
          <w:spacing w:val="-2"/>
        </w:rPr>
        <w:t>toolkit</w:t>
      </w:r>
    </w:p>
    <w:p w14:paraId="20AE2257" w14:textId="4F97EF51" w:rsidR="003A0F8F" w:rsidRPr="003A0F8F" w:rsidRDefault="003A0F8F" w:rsidP="003A0F8F">
      <w:pPr>
        <w:pStyle w:val="Heading4"/>
      </w:pPr>
      <w:r>
        <w:t>Affirm</w:t>
      </w:r>
      <w:r>
        <w:rPr>
          <w:spacing w:val="3"/>
        </w:rPr>
        <w:t xml:space="preserve"> </w:t>
      </w:r>
      <w:r>
        <w:t>the</w:t>
      </w:r>
      <w:r>
        <w:rPr>
          <w:spacing w:val="3"/>
        </w:rPr>
        <w:t xml:space="preserve"> </w:t>
      </w:r>
      <w:r>
        <w:t>RBA’s</w:t>
      </w:r>
      <w:r>
        <w:rPr>
          <w:spacing w:val="4"/>
        </w:rPr>
        <w:t xml:space="preserve"> </w:t>
      </w:r>
      <w:r>
        <w:t>independence</w:t>
      </w:r>
      <w:r>
        <w:rPr>
          <w:spacing w:val="3"/>
        </w:rPr>
        <w:t xml:space="preserve"> </w:t>
      </w:r>
      <w:r>
        <w:t>and</w:t>
      </w:r>
      <w:r>
        <w:rPr>
          <w:spacing w:val="4"/>
        </w:rPr>
        <w:t xml:space="preserve"> </w:t>
      </w:r>
      <w:r>
        <w:t>clarify</w:t>
      </w:r>
      <w:r>
        <w:rPr>
          <w:spacing w:val="3"/>
        </w:rPr>
        <w:t xml:space="preserve"> </w:t>
      </w:r>
      <w:r>
        <w:t>its</w:t>
      </w:r>
      <w:r>
        <w:rPr>
          <w:spacing w:val="3"/>
        </w:rPr>
        <w:t xml:space="preserve"> </w:t>
      </w:r>
      <w:r>
        <w:t>statutory</w:t>
      </w:r>
      <w:r>
        <w:rPr>
          <w:spacing w:val="4"/>
        </w:rPr>
        <w:t xml:space="preserve"> </w:t>
      </w:r>
      <w:r>
        <w:t>monetary</w:t>
      </w:r>
      <w:r>
        <w:rPr>
          <w:spacing w:val="3"/>
        </w:rPr>
        <w:t xml:space="preserve"> </w:t>
      </w:r>
      <w:r>
        <w:t>policy</w:t>
      </w:r>
      <w:r>
        <w:rPr>
          <w:spacing w:val="4"/>
        </w:rPr>
        <w:t xml:space="preserve"> </w:t>
      </w:r>
      <w:r>
        <w:rPr>
          <w:spacing w:val="-2"/>
        </w:rPr>
        <w:t xml:space="preserve">objectives </w:t>
      </w:r>
      <w:r w:rsidRPr="003A0F8F">
        <w:t>(Recommendation 1)</w:t>
      </w:r>
    </w:p>
    <w:p w14:paraId="536838F3" w14:textId="77777777" w:rsidR="003A0F8F" w:rsidRDefault="003A0F8F" w:rsidP="003A0F8F">
      <w:r>
        <w:t>The</w:t>
      </w:r>
      <w:r>
        <w:rPr>
          <w:spacing w:val="-1"/>
        </w:rPr>
        <w:t xml:space="preserve"> </w:t>
      </w:r>
      <w:r>
        <w:t>role</w:t>
      </w:r>
      <w:r>
        <w:rPr>
          <w:spacing w:val="1"/>
        </w:rPr>
        <w:t xml:space="preserve"> </w:t>
      </w:r>
      <w:r>
        <w:t>and</w:t>
      </w:r>
      <w:r>
        <w:rPr>
          <w:spacing w:val="2"/>
        </w:rPr>
        <w:t xml:space="preserve"> </w:t>
      </w:r>
      <w:r>
        <w:t>objectives</w:t>
      </w:r>
      <w:r>
        <w:rPr>
          <w:spacing w:val="1"/>
        </w:rPr>
        <w:t xml:space="preserve"> </w:t>
      </w:r>
      <w:r>
        <w:t>of</w:t>
      </w:r>
      <w:r>
        <w:rPr>
          <w:spacing w:val="2"/>
        </w:rPr>
        <w:t xml:space="preserve"> </w:t>
      </w:r>
      <w:r>
        <w:t>the</w:t>
      </w:r>
      <w:r>
        <w:rPr>
          <w:spacing w:val="1"/>
        </w:rPr>
        <w:t xml:space="preserve"> </w:t>
      </w:r>
      <w:r>
        <w:t>RBA</w:t>
      </w:r>
      <w:r>
        <w:rPr>
          <w:spacing w:val="2"/>
        </w:rPr>
        <w:t xml:space="preserve"> </w:t>
      </w:r>
      <w:r>
        <w:t>are</w:t>
      </w:r>
      <w:r>
        <w:rPr>
          <w:spacing w:val="1"/>
        </w:rPr>
        <w:t xml:space="preserve"> </w:t>
      </w:r>
      <w:r>
        <w:t>defined</w:t>
      </w:r>
      <w:r>
        <w:rPr>
          <w:spacing w:val="1"/>
        </w:rPr>
        <w:t xml:space="preserve"> </w:t>
      </w:r>
      <w:r>
        <w:t>through</w:t>
      </w:r>
      <w:r>
        <w:rPr>
          <w:spacing w:val="2"/>
        </w:rPr>
        <w:t xml:space="preserve"> </w:t>
      </w:r>
      <w:r>
        <w:t xml:space="preserve">the </w:t>
      </w:r>
      <w:r>
        <w:rPr>
          <w:i/>
        </w:rPr>
        <w:t>Reserve</w:t>
      </w:r>
      <w:r>
        <w:rPr>
          <w:i/>
          <w:spacing w:val="2"/>
        </w:rPr>
        <w:t xml:space="preserve"> </w:t>
      </w:r>
      <w:r>
        <w:rPr>
          <w:i/>
        </w:rPr>
        <w:t>Bank</w:t>
      </w:r>
      <w:r>
        <w:rPr>
          <w:i/>
          <w:spacing w:val="1"/>
        </w:rPr>
        <w:t xml:space="preserve"> </w:t>
      </w:r>
      <w:r>
        <w:rPr>
          <w:i/>
        </w:rPr>
        <w:t>Act</w:t>
      </w:r>
      <w:r>
        <w:rPr>
          <w:i/>
          <w:spacing w:val="2"/>
        </w:rPr>
        <w:t xml:space="preserve"> </w:t>
      </w:r>
      <w:r>
        <w:rPr>
          <w:i/>
          <w:spacing w:val="-2"/>
        </w:rPr>
        <w:t>1959</w:t>
      </w:r>
      <w:r>
        <w:rPr>
          <w:spacing w:val="-2"/>
        </w:rPr>
        <w:t>.</w:t>
      </w:r>
    </w:p>
    <w:p w14:paraId="605D97D8" w14:textId="77777777" w:rsidR="003A0F8F" w:rsidRDefault="003A0F8F" w:rsidP="003A0F8F">
      <w:r>
        <w:t>It is critical that Australia retains the operational independence of the RBA to set monetary policy. Monetary policy decision making must be insulated from short-run political considerations. This independence</w:t>
      </w:r>
      <w:r>
        <w:rPr>
          <w:spacing w:val="-5"/>
        </w:rPr>
        <w:t xml:space="preserve"> </w:t>
      </w:r>
      <w:r>
        <w:t>has</w:t>
      </w:r>
      <w:r>
        <w:rPr>
          <w:spacing w:val="-5"/>
        </w:rPr>
        <w:t xml:space="preserve"> </w:t>
      </w:r>
      <w:r>
        <w:t>been</w:t>
      </w:r>
      <w:r>
        <w:rPr>
          <w:spacing w:val="-5"/>
        </w:rPr>
        <w:t xml:space="preserve"> </w:t>
      </w:r>
      <w:r>
        <w:t>a</w:t>
      </w:r>
      <w:r>
        <w:rPr>
          <w:spacing w:val="-5"/>
        </w:rPr>
        <w:t xml:space="preserve"> </w:t>
      </w:r>
      <w:r>
        <w:t>successful</w:t>
      </w:r>
      <w:r>
        <w:rPr>
          <w:spacing w:val="-5"/>
        </w:rPr>
        <w:t xml:space="preserve"> </w:t>
      </w:r>
      <w:r>
        <w:t>part</w:t>
      </w:r>
      <w:r>
        <w:rPr>
          <w:spacing w:val="-5"/>
        </w:rPr>
        <w:t xml:space="preserve"> </w:t>
      </w:r>
      <w:r>
        <w:t>of</w:t>
      </w:r>
      <w:r>
        <w:rPr>
          <w:spacing w:val="-5"/>
        </w:rPr>
        <w:t xml:space="preserve"> </w:t>
      </w:r>
      <w:r>
        <w:t>Australia’s</w:t>
      </w:r>
      <w:r>
        <w:rPr>
          <w:spacing w:val="-5"/>
        </w:rPr>
        <w:t xml:space="preserve"> </w:t>
      </w:r>
      <w:r>
        <w:t>institutional</w:t>
      </w:r>
      <w:r>
        <w:rPr>
          <w:spacing w:val="-5"/>
        </w:rPr>
        <w:t xml:space="preserve"> </w:t>
      </w:r>
      <w:r>
        <w:t>arrangements</w:t>
      </w:r>
      <w:r>
        <w:rPr>
          <w:spacing w:val="-5"/>
        </w:rPr>
        <w:t xml:space="preserve"> </w:t>
      </w:r>
      <w:r>
        <w:t>since</w:t>
      </w:r>
      <w:r>
        <w:rPr>
          <w:spacing w:val="-5"/>
        </w:rPr>
        <w:t xml:space="preserve"> </w:t>
      </w:r>
      <w:r>
        <w:t>the</w:t>
      </w:r>
      <w:r>
        <w:rPr>
          <w:spacing w:val="-5"/>
        </w:rPr>
        <w:t xml:space="preserve"> </w:t>
      </w:r>
      <w:r>
        <w:t>1990s.</w:t>
      </w:r>
    </w:p>
    <w:p w14:paraId="7741287F" w14:textId="77777777" w:rsidR="00044420" w:rsidRDefault="00044420" w:rsidP="00044420">
      <w:r>
        <w:t>To further support the RBA’s monetary policy independence, the power of the Government to override decisions of the Reserve Bank Board should be repealed. This power detracts from the independent operation of monetary policy and the credibility of the monetary framework.</w:t>
      </w:r>
    </w:p>
    <w:p w14:paraId="19BB7837" w14:textId="77777777" w:rsidR="00044420" w:rsidRDefault="00044420" w:rsidP="00044420">
      <w:r>
        <w:lastRenderedPageBreak/>
        <w:t xml:space="preserve">The Review also recommends the removal of the RBA’s power in the </w:t>
      </w:r>
      <w:r>
        <w:rPr>
          <w:i/>
        </w:rPr>
        <w:t xml:space="preserve">Banking Act 1959 </w:t>
      </w:r>
      <w:r>
        <w:t>to direct commercial banks’ lending. This broad-ranging power is not necessary for the RBA to achieve its core mandate and, in the absence of a clearly specified purpose for its use, it should be removed.</w:t>
      </w:r>
    </w:p>
    <w:p w14:paraId="47FF94FF" w14:textId="77777777" w:rsidR="00044420" w:rsidRDefault="00044420" w:rsidP="00044420">
      <w:r>
        <w:t xml:space="preserve">The delegation of monetary policy to an independent body should be accompanied by </w:t>
      </w:r>
      <w:r w:rsidRPr="00044420">
        <w:rPr>
          <w:rFonts w:cs="Calibri Light"/>
          <w:b/>
        </w:rPr>
        <w:t>clearly defined objectives</w:t>
      </w:r>
      <w:r>
        <w:rPr>
          <w:rFonts w:ascii="Open Sans" w:hAnsi="Open Sans"/>
          <w:b/>
        </w:rPr>
        <w:t xml:space="preserve"> </w:t>
      </w:r>
      <w:r>
        <w:t>for its use. The RBA’s objectives for monetary policy should be clarified as a dual mandate to contribute to price stability and full employment. These objectives matter for the welfare of Australians, are enduring, and are what monetary policy can best affect. Together they require the RBA to strike a balance between controlling inflation and supporting employment, in both the short and longer term.</w:t>
      </w:r>
    </w:p>
    <w:p w14:paraId="3303CB43" w14:textId="77777777" w:rsidR="00044420" w:rsidRDefault="00044420" w:rsidP="00044420">
      <w:r>
        <w:t xml:space="preserve">The economic prosperity and welfare of Australians, now and in the future, should be legislated to be the </w:t>
      </w:r>
      <w:r>
        <w:rPr>
          <w:i/>
        </w:rPr>
        <w:t xml:space="preserve">overarching purpose </w:t>
      </w:r>
      <w:r>
        <w:t>for the RBA in the exercise of all its powers. It is not suited to be an additional objective for monetary policy because this provides too much discretion to the RBA. Monetary policy can best contribute to this overarching purpose by focusing on full employment and price stability.</w:t>
      </w:r>
    </w:p>
    <w:p w14:paraId="33998DE6" w14:textId="77777777" w:rsidR="00044420" w:rsidRDefault="00044420" w:rsidP="00044420">
      <w:r>
        <w:t>These changes are not a substantial departure from the status quo – senior RBA officials have indicated, at times, that they already consider the objectives of monetary policy in these terms. Compared to the RBA’s current monetary policy objectives, this recommendation retains full employment and clarifies the existing objectives by:</w:t>
      </w:r>
    </w:p>
    <w:p w14:paraId="24E5921D" w14:textId="77777777" w:rsidR="00044420" w:rsidRDefault="00044420" w:rsidP="0000278A">
      <w:pPr>
        <w:pStyle w:val="Bullet"/>
      </w:pPr>
      <w:r>
        <w:t>updating</w:t>
      </w:r>
      <w:r>
        <w:rPr>
          <w:spacing w:val="1"/>
        </w:rPr>
        <w:t xml:space="preserve"> </w:t>
      </w:r>
      <w:r>
        <w:t>the</w:t>
      </w:r>
      <w:r>
        <w:rPr>
          <w:spacing w:val="4"/>
        </w:rPr>
        <w:t xml:space="preserve"> </w:t>
      </w:r>
      <w:r>
        <w:t>RBA’s</w:t>
      </w:r>
      <w:r>
        <w:rPr>
          <w:spacing w:val="3"/>
        </w:rPr>
        <w:t xml:space="preserve"> </w:t>
      </w:r>
      <w:r>
        <w:t>current</w:t>
      </w:r>
      <w:r>
        <w:rPr>
          <w:spacing w:val="4"/>
        </w:rPr>
        <w:t xml:space="preserve"> </w:t>
      </w:r>
      <w:r>
        <w:t>objective</w:t>
      </w:r>
      <w:r>
        <w:rPr>
          <w:spacing w:val="3"/>
        </w:rPr>
        <w:t xml:space="preserve"> </w:t>
      </w:r>
      <w:r>
        <w:t>of</w:t>
      </w:r>
      <w:r>
        <w:rPr>
          <w:spacing w:val="4"/>
        </w:rPr>
        <w:t xml:space="preserve"> </w:t>
      </w:r>
      <w:r>
        <w:t>‘the</w:t>
      </w:r>
      <w:r>
        <w:rPr>
          <w:spacing w:val="3"/>
        </w:rPr>
        <w:t xml:space="preserve"> </w:t>
      </w:r>
      <w:r>
        <w:t>stability</w:t>
      </w:r>
      <w:r>
        <w:rPr>
          <w:spacing w:val="4"/>
        </w:rPr>
        <w:t xml:space="preserve"> </w:t>
      </w:r>
      <w:r>
        <w:t>of</w:t>
      </w:r>
      <w:r>
        <w:rPr>
          <w:spacing w:val="3"/>
        </w:rPr>
        <w:t xml:space="preserve"> </w:t>
      </w:r>
      <w:r>
        <w:t>the</w:t>
      </w:r>
      <w:r>
        <w:rPr>
          <w:spacing w:val="4"/>
        </w:rPr>
        <w:t xml:space="preserve"> </w:t>
      </w:r>
      <w:r>
        <w:t>currency’</w:t>
      </w:r>
      <w:r>
        <w:rPr>
          <w:spacing w:val="3"/>
        </w:rPr>
        <w:t xml:space="preserve"> </w:t>
      </w:r>
      <w:r>
        <w:t>to</w:t>
      </w:r>
      <w:r>
        <w:rPr>
          <w:spacing w:val="4"/>
        </w:rPr>
        <w:t xml:space="preserve"> </w:t>
      </w:r>
      <w:r>
        <w:t>‘price</w:t>
      </w:r>
      <w:r>
        <w:rPr>
          <w:spacing w:val="4"/>
        </w:rPr>
        <w:t xml:space="preserve"> </w:t>
      </w:r>
      <w:r>
        <w:rPr>
          <w:spacing w:val="-2"/>
        </w:rPr>
        <w:t>stability’</w:t>
      </w:r>
    </w:p>
    <w:p w14:paraId="1623290C" w14:textId="77777777" w:rsidR="00044420" w:rsidRDefault="00044420" w:rsidP="0000278A">
      <w:pPr>
        <w:pStyle w:val="Bullet"/>
      </w:pPr>
      <w:r>
        <w:t>removing ‘the economic prosperity and welfare of the people of Australia’ as a separate legislated objective of monetary policy and making it an overarching purpose for the RBA, so that monetary policy is focused on price stability and full employment.</w:t>
      </w:r>
    </w:p>
    <w:p w14:paraId="11F7C683" w14:textId="2DBE3672" w:rsidR="00283EA7" w:rsidRPr="009E7DAD" w:rsidRDefault="00283EA7" w:rsidP="009E7DAD">
      <w:pPr>
        <w:pStyle w:val="Heading4"/>
      </w:pPr>
      <w:r w:rsidRPr="009E7DAD">
        <w:t>Keep a flexible inflation-targeting framework but clarify how it operates</w:t>
      </w:r>
      <w:r w:rsidR="00FE159E" w:rsidRPr="009E7DAD">
        <w:t xml:space="preserve"> </w:t>
      </w:r>
      <w:r w:rsidRPr="009E7DAD">
        <w:t>(Recommendation 2)</w:t>
      </w:r>
    </w:p>
    <w:p w14:paraId="69875C17" w14:textId="77777777" w:rsidR="00283EA7" w:rsidRDefault="00283EA7" w:rsidP="00FE159E">
      <w:r>
        <w:t>The</w:t>
      </w:r>
      <w:r>
        <w:rPr>
          <w:spacing w:val="14"/>
        </w:rPr>
        <w:t xml:space="preserve"> </w:t>
      </w:r>
      <w:r>
        <w:t>RBA</w:t>
      </w:r>
      <w:r>
        <w:rPr>
          <w:spacing w:val="14"/>
        </w:rPr>
        <w:t xml:space="preserve"> </w:t>
      </w:r>
      <w:r>
        <w:t>currently</w:t>
      </w:r>
      <w:r>
        <w:rPr>
          <w:spacing w:val="14"/>
        </w:rPr>
        <w:t xml:space="preserve"> </w:t>
      </w:r>
      <w:r>
        <w:t>pursues</w:t>
      </w:r>
      <w:r>
        <w:rPr>
          <w:spacing w:val="14"/>
        </w:rPr>
        <w:t xml:space="preserve"> </w:t>
      </w:r>
      <w:r>
        <w:t>its</w:t>
      </w:r>
      <w:r>
        <w:rPr>
          <w:spacing w:val="14"/>
        </w:rPr>
        <w:t xml:space="preserve"> </w:t>
      </w:r>
      <w:r>
        <w:t>objectives</w:t>
      </w:r>
      <w:r>
        <w:rPr>
          <w:spacing w:val="14"/>
        </w:rPr>
        <w:t xml:space="preserve"> </w:t>
      </w:r>
      <w:r>
        <w:t>through</w:t>
      </w:r>
      <w:r>
        <w:rPr>
          <w:spacing w:val="14"/>
        </w:rPr>
        <w:t xml:space="preserve"> </w:t>
      </w:r>
      <w:r>
        <w:t>a</w:t>
      </w:r>
      <w:r>
        <w:rPr>
          <w:spacing w:val="14"/>
        </w:rPr>
        <w:t xml:space="preserve"> </w:t>
      </w:r>
      <w:r>
        <w:t>flexible</w:t>
      </w:r>
      <w:r>
        <w:rPr>
          <w:spacing w:val="14"/>
        </w:rPr>
        <w:t xml:space="preserve"> </w:t>
      </w:r>
      <w:r>
        <w:t>inflation</w:t>
      </w:r>
      <w:r>
        <w:rPr>
          <w:spacing w:val="14"/>
        </w:rPr>
        <w:t xml:space="preserve"> </w:t>
      </w:r>
      <w:r>
        <w:t>target,</w:t>
      </w:r>
      <w:r>
        <w:rPr>
          <w:spacing w:val="14"/>
        </w:rPr>
        <w:t xml:space="preserve"> </w:t>
      </w:r>
      <w:r>
        <w:t>which</w:t>
      </w:r>
      <w:r>
        <w:rPr>
          <w:spacing w:val="14"/>
        </w:rPr>
        <w:t xml:space="preserve"> </w:t>
      </w:r>
      <w:r>
        <w:t>is</w:t>
      </w:r>
      <w:r>
        <w:rPr>
          <w:spacing w:val="14"/>
        </w:rPr>
        <w:t xml:space="preserve"> </w:t>
      </w:r>
      <w:r>
        <w:t>specified</w:t>
      </w:r>
      <w:r>
        <w:rPr>
          <w:spacing w:val="14"/>
        </w:rPr>
        <w:t xml:space="preserve"> </w:t>
      </w:r>
      <w:r>
        <w:t>in the</w:t>
      </w:r>
      <w:r>
        <w:rPr>
          <w:spacing w:val="-1"/>
        </w:rPr>
        <w:t xml:space="preserve"> </w:t>
      </w:r>
      <w:r>
        <w:rPr>
          <w:i/>
        </w:rPr>
        <w:t>Statement</w:t>
      </w:r>
      <w:r>
        <w:rPr>
          <w:i/>
          <w:spacing w:val="-1"/>
        </w:rPr>
        <w:t xml:space="preserve"> </w:t>
      </w:r>
      <w:r>
        <w:rPr>
          <w:i/>
        </w:rPr>
        <w:t>on</w:t>
      </w:r>
      <w:r>
        <w:rPr>
          <w:i/>
          <w:spacing w:val="-1"/>
        </w:rPr>
        <w:t xml:space="preserve"> </w:t>
      </w:r>
      <w:r>
        <w:rPr>
          <w:i/>
        </w:rPr>
        <w:t>the</w:t>
      </w:r>
      <w:r>
        <w:rPr>
          <w:i/>
          <w:spacing w:val="-1"/>
        </w:rPr>
        <w:t xml:space="preserve"> </w:t>
      </w:r>
      <w:r>
        <w:rPr>
          <w:i/>
        </w:rPr>
        <w:t>Conduct</w:t>
      </w:r>
      <w:r>
        <w:rPr>
          <w:i/>
          <w:spacing w:val="-1"/>
        </w:rPr>
        <w:t xml:space="preserve"> </w:t>
      </w:r>
      <w:r>
        <w:rPr>
          <w:i/>
        </w:rPr>
        <w:t>of</w:t>
      </w:r>
      <w:r>
        <w:rPr>
          <w:i/>
          <w:spacing w:val="-1"/>
        </w:rPr>
        <w:t xml:space="preserve"> </w:t>
      </w:r>
      <w:r>
        <w:rPr>
          <w:i/>
        </w:rPr>
        <w:t>Monetary</w:t>
      </w:r>
      <w:r>
        <w:rPr>
          <w:i/>
          <w:spacing w:val="-1"/>
        </w:rPr>
        <w:t xml:space="preserve"> </w:t>
      </w:r>
      <w:r>
        <w:rPr>
          <w:i/>
        </w:rPr>
        <w:t>Policy</w:t>
      </w:r>
      <w:r>
        <w:rPr>
          <w:i/>
          <w:spacing w:val="-1"/>
        </w:rPr>
        <w:t xml:space="preserve"> </w:t>
      </w:r>
      <w:r>
        <w:t>that</w:t>
      </w:r>
      <w:r>
        <w:rPr>
          <w:spacing w:val="-1"/>
        </w:rPr>
        <w:t xml:space="preserve"> </w:t>
      </w:r>
      <w:r>
        <w:t>is</w:t>
      </w:r>
      <w:r>
        <w:rPr>
          <w:spacing w:val="-1"/>
        </w:rPr>
        <w:t xml:space="preserve"> </w:t>
      </w:r>
      <w:r>
        <w:t>agreed</w:t>
      </w:r>
      <w:r>
        <w:rPr>
          <w:spacing w:val="-1"/>
        </w:rPr>
        <w:t xml:space="preserve"> </w:t>
      </w:r>
      <w:r>
        <w:t>upon</w:t>
      </w:r>
      <w:r>
        <w:rPr>
          <w:spacing w:val="-1"/>
        </w:rPr>
        <w:t xml:space="preserve"> </w:t>
      </w:r>
      <w:r>
        <w:t>between</w:t>
      </w:r>
      <w:r>
        <w:rPr>
          <w:spacing w:val="-1"/>
        </w:rPr>
        <w:t xml:space="preserve"> </w:t>
      </w:r>
      <w:r>
        <w:t>the</w:t>
      </w:r>
      <w:r>
        <w:rPr>
          <w:spacing w:val="-1"/>
        </w:rPr>
        <w:t xml:space="preserve"> </w:t>
      </w:r>
      <w:r>
        <w:t>Treasurer</w:t>
      </w:r>
      <w:r>
        <w:rPr>
          <w:spacing w:val="-1"/>
        </w:rPr>
        <w:t xml:space="preserve"> </w:t>
      </w:r>
      <w:r>
        <w:t>and</w:t>
      </w:r>
      <w:r>
        <w:rPr>
          <w:spacing w:val="-1"/>
        </w:rPr>
        <w:t xml:space="preserve"> </w:t>
      </w:r>
      <w:r>
        <w:t>the RBA</w:t>
      </w:r>
      <w:r>
        <w:rPr>
          <w:spacing w:val="-2"/>
        </w:rPr>
        <w:t xml:space="preserve"> </w:t>
      </w:r>
      <w:r>
        <w:t>Governor.</w:t>
      </w:r>
    </w:p>
    <w:p w14:paraId="08E4C9A8" w14:textId="77777777" w:rsidR="00283EA7" w:rsidRPr="009E7DAD" w:rsidRDefault="00283EA7" w:rsidP="009E7DAD">
      <w:pPr>
        <w:rPr>
          <w:rFonts w:cs="Calibri Light"/>
        </w:rPr>
      </w:pPr>
      <w:r w:rsidRPr="009E7DAD">
        <w:rPr>
          <w:rFonts w:cs="Calibri Light"/>
          <w:b/>
        </w:rPr>
        <w:t xml:space="preserve">Flexible inflation targeting remains the best operational framework for monetary policy </w:t>
      </w:r>
      <w:r w:rsidRPr="009E7DAD">
        <w:rPr>
          <w:rFonts w:cs="Calibri Light"/>
        </w:rPr>
        <w:t>to pursue the dual mandate of price stability and full employment. Flexible inflation targeting has a good track record and is well established and understood in Australia.</w:t>
      </w:r>
    </w:p>
    <w:p w14:paraId="4C18E9B4" w14:textId="77777777" w:rsidR="00283EA7" w:rsidRDefault="00283EA7" w:rsidP="00FE159E">
      <w:r>
        <w:t>A flexible inflation target remains suitable in a future where supply disturbances may be more common. The flexibility allows the RBA to weigh both its objectives, when they are in conflict in</w:t>
      </w:r>
      <w:r>
        <w:rPr>
          <w:spacing w:val="40"/>
        </w:rPr>
        <w:t xml:space="preserve"> </w:t>
      </w:r>
      <w:r>
        <w:t>the short term. For example, if inflation is above target and employment below target following a supply disruption, the RBA can seek to return inflation to target more gradually than otherwise to achieve better employment outcomes. Equal consideration should be given to price stability and full employment in making such judgements.</w:t>
      </w:r>
    </w:p>
    <w:p w14:paraId="72CA76A7" w14:textId="77777777" w:rsidR="00283EA7" w:rsidRDefault="00283EA7" w:rsidP="00FE159E">
      <w:r>
        <w:t>Other frameworks such as price level targeting or nominal income targeting may, in theory, perform as well or better in some circumstances. However, there is currently insufficient evidence that alternative frameworks would outperform flexible inflation targeting in practice. Other jurisdictions that have considered alternative frameworks have also chosen some variation of flexible inflation targeting.</w:t>
      </w:r>
    </w:p>
    <w:p w14:paraId="1ECC3177" w14:textId="77777777" w:rsidR="00253CE0" w:rsidRPr="00AA2532" w:rsidRDefault="00253CE0" w:rsidP="00AA2532">
      <w:pPr>
        <w:rPr>
          <w:rFonts w:cs="Calibri Light"/>
        </w:rPr>
      </w:pPr>
      <w:r w:rsidRPr="00AA2532">
        <w:rPr>
          <w:rFonts w:cs="Calibri Light"/>
        </w:rPr>
        <w:t xml:space="preserve">The price stability objective in the framework should continue to be to keep </w:t>
      </w:r>
      <w:r w:rsidRPr="00AA2532">
        <w:rPr>
          <w:rFonts w:cs="Calibri Light"/>
          <w:b/>
        </w:rPr>
        <w:t>consumer price inflation between 2 and 3 per cent</w:t>
      </w:r>
      <w:r w:rsidRPr="00AA2532">
        <w:rPr>
          <w:rFonts w:cs="Calibri Light"/>
        </w:rPr>
        <w:t>. This target is well understood in the community and keeping the same target over time supports anchored inflation expectations. To strengthen this anchor,</w:t>
      </w:r>
      <w:r w:rsidRPr="00AA2532">
        <w:rPr>
          <w:rFonts w:cs="Calibri Light"/>
          <w:spacing w:val="-1"/>
        </w:rPr>
        <w:t xml:space="preserve"> </w:t>
      </w:r>
      <w:r w:rsidRPr="00AA2532">
        <w:rPr>
          <w:rFonts w:cs="Calibri Light"/>
        </w:rPr>
        <w:t>the</w:t>
      </w:r>
      <w:r w:rsidRPr="00AA2532">
        <w:rPr>
          <w:rFonts w:cs="Calibri Light"/>
          <w:spacing w:val="-1"/>
        </w:rPr>
        <w:t xml:space="preserve"> </w:t>
      </w:r>
      <w:r w:rsidRPr="00AA2532">
        <w:rPr>
          <w:rFonts w:cs="Calibri Light"/>
        </w:rPr>
        <w:t>RBA</w:t>
      </w:r>
      <w:r w:rsidRPr="00AA2532">
        <w:rPr>
          <w:rFonts w:cs="Calibri Light"/>
          <w:spacing w:val="-1"/>
        </w:rPr>
        <w:t xml:space="preserve"> </w:t>
      </w:r>
      <w:r w:rsidRPr="00AA2532">
        <w:rPr>
          <w:rFonts w:cs="Calibri Light"/>
        </w:rPr>
        <w:t>should</w:t>
      </w:r>
      <w:r w:rsidRPr="00AA2532">
        <w:rPr>
          <w:rFonts w:cs="Calibri Light"/>
          <w:spacing w:val="-1"/>
        </w:rPr>
        <w:t xml:space="preserve"> </w:t>
      </w:r>
      <w:r w:rsidRPr="00AA2532">
        <w:rPr>
          <w:rFonts w:cs="Calibri Light"/>
        </w:rPr>
        <w:t>aim</w:t>
      </w:r>
      <w:r w:rsidRPr="00AA2532">
        <w:rPr>
          <w:rFonts w:cs="Calibri Light"/>
          <w:spacing w:val="-1"/>
        </w:rPr>
        <w:t xml:space="preserve"> </w:t>
      </w:r>
      <w:r w:rsidRPr="00AA2532">
        <w:rPr>
          <w:rFonts w:cs="Calibri Light"/>
        </w:rPr>
        <w:t>to</w:t>
      </w:r>
      <w:r w:rsidRPr="00AA2532">
        <w:rPr>
          <w:rFonts w:cs="Calibri Light"/>
          <w:spacing w:val="-1"/>
        </w:rPr>
        <w:t xml:space="preserve"> </w:t>
      </w:r>
      <w:r w:rsidRPr="00AA2532">
        <w:rPr>
          <w:rFonts w:cs="Calibri Light"/>
        </w:rPr>
        <w:t>return</w:t>
      </w:r>
      <w:r w:rsidRPr="00AA2532">
        <w:rPr>
          <w:rFonts w:cs="Calibri Light"/>
          <w:spacing w:val="-1"/>
        </w:rPr>
        <w:t xml:space="preserve"> </w:t>
      </w:r>
      <w:r w:rsidRPr="00AA2532">
        <w:rPr>
          <w:rFonts w:cs="Calibri Light"/>
        </w:rPr>
        <w:t>inflation</w:t>
      </w:r>
      <w:r w:rsidRPr="00AA2532">
        <w:rPr>
          <w:rFonts w:cs="Calibri Light"/>
          <w:spacing w:val="-1"/>
        </w:rPr>
        <w:t xml:space="preserve"> </w:t>
      </w:r>
      <w:r w:rsidRPr="00AA2532">
        <w:rPr>
          <w:rFonts w:cs="Calibri Light"/>
        </w:rPr>
        <w:t>to</w:t>
      </w:r>
      <w:r w:rsidRPr="00AA2532">
        <w:rPr>
          <w:rFonts w:cs="Calibri Light"/>
          <w:spacing w:val="-1"/>
        </w:rPr>
        <w:t xml:space="preserve"> </w:t>
      </w:r>
      <w:r w:rsidRPr="00AA2532">
        <w:rPr>
          <w:rFonts w:cs="Calibri Light"/>
        </w:rPr>
        <w:t>around</w:t>
      </w:r>
      <w:r w:rsidRPr="00AA2532">
        <w:rPr>
          <w:rFonts w:cs="Calibri Light"/>
          <w:spacing w:val="-1"/>
        </w:rPr>
        <w:t xml:space="preserve"> </w:t>
      </w:r>
      <w:r w:rsidRPr="00AA2532">
        <w:rPr>
          <w:rFonts w:cs="Calibri Light"/>
        </w:rPr>
        <w:t>the</w:t>
      </w:r>
      <w:r w:rsidRPr="00AA2532">
        <w:rPr>
          <w:rFonts w:cs="Calibri Light"/>
          <w:spacing w:val="-1"/>
        </w:rPr>
        <w:t xml:space="preserve"> </w:t>
      </w:r>
      <w:r w:rsidRPr="00AA2532">
        <w:rPr>
          <w:rFonts w:cs="Calibri Light"/>
        </w:rPr>
        <w:t>midpoint</w:t>
      </w:r>
      <w:r w:rsidRPr="00AA2532">
        <w:rPr>
          <w:rFonts w:cs="Calibri Light"/>
          <w:spacing w:val="-1"/>
        </w:rPr>
        <w:t xml:space="preserve"> </w:t>
      </w:r>
      <w:r w:rsidRPr="00AA2532">
        <w:rPr>
          <w:rFonts w:cs="Calibri Light"/>
        </w:rPr>
        <w:t>of</w:t>
      </w:r>
      <w:r w:rsidRPr="00AA2532">
        <w:rPr>
          <w:rFonts w:cs="Calibri Light"/>
          <w:spacing w:val="-1"/>
        </w:rPr>
        <w:t xml:space="preserve"> </w:t>
      </w:r>
      <w:r w:rsidRPr="00AA2532">
        <w:rPr>
          <w:rFonts w:cs="Calibri Light"/>
        </w:rPr>
        <w:t>its</w:t>
      </w:r>
      <w:r w:rsidRPr="00AA2532">
        <w:rPr>
          <w:rFonts w:cs="Calibri Light"/>
          <w:spacing w:val="-1"/>
        </w:rPr>
        <w:t xml:space="preserve"> </w:t>
      </w:r>
      <w:r w:rsidRPr="00AA2532">
        <w:rPr>
          <w:rFonts w:cs="Calibri Light"/>
        </w:rPr>
        <w:t>target</w:t>
      </w:r>
      <w:r w:rsidRPr="00AA2532">
        <w:rPr>
          <w:rFonts w:cs="Calibri Light"/>
          <w:spacing w:val="-1"/>
        </w:rPr>
        <w:t xml:space="preserve"> </w:t>
      </w:r>
      <w:r w:rsidRPr="00AA2532">
        <w:rPr>
          <w:rFonts w:cs="Calibri Light"/>
        </w:rPr>
        <w:t>when</w:t>
      </w:r>
      <w:r w:rsidRPr="00AA2532">
        <w:rPr>
          <w:rFonts w:cs="Calibri Light"/>
          <w:spacing w:val="-1"/>
        </w:rPr>
        <w:t xml:space="preserve"> </w:t>
      </w:r>
      <w:r w:rsidRPr="00AA2532">
        <w:rPr>
          <w:rFonts w:cs="Calibri Light"/>
        </w:rPr>
        <w:t>significant deviations occur, as this maximises the chance that the target is met.</w:t>
      </w:r>
    </w:p>
    <w:p w14:paraId="1A925FE6" w14:textId="77777777" w:rsidR="00253CE0" w:rsidRPr="00AA2532" w:rsidRDefault="00253CE0" w:rsidP="00AA2532">
      <w:pPr>
        <w:rPr>
          <w:rFonts w:cs="Calibri Light"/>
        </w:rPr>
      </w:pPr>
      <w:r w:rsidRPr="00AA2532">
        <w:rPr>
          <w:rFonts w:cs="Calibri Light"/>
        </w:rPr>
        <w:lastRenderedPageBreak/>
        <w:t>Flexibility is an important part of the framework. Inflation and employment will vary around their target levels and in conflicting directions at times. Balancing the dual mandate requires judgement about how quickly to try to return inflation to around the middle of the target. This should be the RBA’s judgement to make. The current wording of the inflation target is that inflation should be between 2 and 3 per cent ‘on average, over time’. The reference to ‘on average, over time’ makes it harder</w:t>
      </w:r>
      <w:r w:rsidRPr="00AA2532">
        <w:rPr>
          <w:rFonts w:cs="Calibri Light"/>
          <w:spacing w:val="-6"/>
        </w:rPr>
        <w:t xml:space="preserve"> </w:t>
      </w:r>
      <w:r w:rsidRPr="00AA2532">
        <w:rPr>
          <w:rFonts w:cs="Calibri Light"/>
        </w:rPr>
        <w:t>to</w:t>
      </w:r>
      <w:r w:rsidRPr="00AA2532">
        <w:rPr>
          <w:rFonts w:cs="Calibri Light"/>
          <w:spacing w:val="-5"/>
        </w:rPr>
        <w:t xml:space="preserve"> </w:t>
      </w:r>
      <w:r w:rsidRPr="00AA2532">
        <w:rPr>
          <w:rFonts w:cs="Calibri Light"/>
        </w:rPr>
        <w:t>say</w:t>
      </w:r>
      <w:r w:rsidRPr="00AA2532">
        <w:rPr>
          <w:rFonts w:cs="Calibri Light"/>
          <w:spacing w:val="-5"/>
        </w:rPr>
        <w:t xml:space="preserve"> </w:t>
      </w:r>
      <w:r w:rsidRPr="00AA2532">
        <w:rPr>
          <w:rFonts w:cs="Calibri Light"/>
        </w:rPr>
        <w:t>whether</w:t>
      </w:r>
      <w:r w:rsidRPr="00AA2532">
        <w:rPr>
          <w:rFonts w:cs="Calibri Light"/>
          <w:spacing w:val="-5"/>
        </w:rPr>
        <w:t xml:space="preserve"> </w:t>
      </w:r>
      <w:r w:rsidRPr="00AA2532">
        <w:rPr>
          <w:rFonts w:cs="Calibri Light"/>
        </w:rPr>
        <w:t>or</w:t>
      </w:r>
      <w:r w:rsidRPr="00AA2532">
        <w:rPr>
          <w:rFonts w:cs="Calibri Light"/>
          <w:spacing w:val="-5"/>
        </w:rPr>
        <w:t xml:space="preserve"> </w:t>
      </w:r>
      <w:r w:rsidRPr="00AA2532">
        <w:rPr>
          <w:rFonts w:cs="Calibri Light"/>
        </w:rPr>
        <w:t>not</w:t>
      </w:r>
      <w:r w:rsidRPr="00AA2532">
        <w:rPr>
          <w:rFonts w:cs="Calibri Light"/>
          <w:spacing w:val="-5"/>
        </w:rPr>
        <w:t xml:space="preserve"> </w:t>
      </w:r>
      <w:r w:rsidRPr="00AA2532">
        <w:rPr>
          <w:rFonts w:cs="Calibri Light"/>
        </w:rPr>
        <w:t>the</w:t>
      </w:r>
      <w:r w:rsidRPr="00AA2532">
        <w:rPr>
          <w:rFonts w:cs="Calibri Light"/>
          <w:spacing w:val="-5"/>
        </w:rPr>
        <w:t xml:space="preserve"> </w:t>
      </w:r>
      <w:r w:rsidRPr="00AA2532">
        <w:rPr>
          <w:rFonts w:cs="Calibri Light"/>
        </w:rPr>
        <w:t>target</w:t>
      </w:r>
      <w:r w:rsidRPr="00AA2532">
        <w:rPr>
          <w:rFonts w:cs="Calibri Light"/>
          <w:spacing w:val="-5"/>
        </w:rPr>
        <w:t xml:space="preserve"> </w:t>
      </w:r>
      <w:r w:rsidRPr="00AA2532">
        <w:rPr>
          <w:rFonts w:cs="Calibri Light"/>
        </w:rPr>
        <w:t>is</w:t>
      </w:r>
      <w:r w:rsidRPr="00AA2532">
        <w:rPr>
          <w:rFonts w:cs="Calibri Light"/>
          <w:spacing w:val="-6"/>
        </w:rPr>
        <w:t xml:space="preserve"> </w:t>
      </w:r>
      <w:r w:rsidRPr="00AA2532">
        <w:rPr>
          <w:rFonts w:cs="Calibri Light"/>
        </w:rPr>
        <w:t>being</w:t>
      </w:r>
      <w:r w:rsidRPr="00AA2532">
        <w:rPr>
          <w:rFonts w:cs="Calibri Light"/>
          <w:spacing w:val="-5"/>
        </w:rPr>
        <w:t xml:space="preserve"> </w:t>
      </w:r>
      <w:r w:rsidRPr="00AA2532">
        <w:rPr>
          <w:rFonts w:cs="Calibri Light"/>
        </w:rPr>
        <w:t>met,</w:t>
      </w:r>
      <w:r w:rsidRPr="00AA2532">
        <w:rPr>
          <w:rFonts w:cs="Calibri Light"/>
          <w:spacing w:val="-5"/>
        </w:rPr>
        <w:t xml:space="preserve"> </w:t>
      </w:r>
      <w:r w:rsidRPr="00AA2532">
        <w:rPr>
          <w:rFonts w:cs="Calibri Light"/>
        </w:rPr>
        <w:t>limiting</w:t>
      </w:r>
      <w:r w:rsidRPr="00AA2532">
        <w:rPr>
          <w:rFonts w:cs="Calibri Light"/>
          <w:spacing w:val="-5"/>
        </w:rPr>
        <w:t xml:space="preserve"> </w:t>
      </w:r>
      <w:r w:rsidRPr="00AA2532">
        <w:rPr>
          <w:rFonts w:cs="Calibri Light"/>
        </w:rPr>
        <w:t>accountability,</w:t>
      </w:r>
      <w:r w:rsidRPr="00AA2532">
        <w:rPr>
          <w:rFonts w:cs="Calibri Light"/>
          <w:spacing w:val="-5"/>
        </w:rPr>
        <w:t xml:space="preserve"> </w:t>
      </w:r>
      <w:r w:rsidRPr="00AA2532">
        <w:rPr>
          <w:rFonts w:cs="Calibri Light"/>
        </w:rPr>
        <w:t>and</w:t>
      </w:r>
      <w:r w:rsidRPr="00AA2532">
        <w:rPr>
          <w:rFonts w:cs="Calibri Light"/>
          <w:spacing w:val="-5"/>
        </w:rPr>
        <w:t xml:space="preserve"> </w:t>
      </w:r>
      <w:r w:rsidRPr="00AA2532">
        <w:rPr>
          <w:rFonts w:cs="Calibri Light"/>
        </w:rPr>
        <w:t>should</w:t>
      </w:r>
      <w:r w:rsidRPr="00AA2532">
        <w:rPr>
          <w:rFonts w:cs="Calibri Light"/>
          <w:spacing w:val="-5"/>
        </w:rPr>
        <w:t xml:space="preserve"> </w:t>
      </w:r>
      <w:r w:rsidRPr="00AA2532">
        <w:rPr>
          <w:rFonts w:cs="Calibri Light"/>
        </w:rPr>
        <w:t>be</w:t>
      </w:r>
      <w:r w:rsidRPr="00AA2532">
        <w:rPr>
          <w:rFonts w:cs="Calibri Light"/>
          <w:spacing w:val="-5"/>
        </w:rPr>
        <w:t xml:space="preserve"> </w:t>
      </w:r>
      <w:r w:rsidRPr="00AA2532">
        <w:rPr>
          <w:rFonts w:cs="Calibri Light"/>
          <w:spacing w:val="-2"/>
        </w:rPr>
        <w:t>dropped.</w:t>
      </w:r>
    </w:p>
    <w:p w14:paraId="7C75C0D6" w14:textId="77777777" w:rsidR="00253CE0" w:rsidRPr="00AA2532" w:rsidRDefault="00253CE0" w:rsidP="00AA2532">
      <w:pPr>
        <w:rPr>
          <w:rFonts w:cs="Calibri Light"/>
        </w:rPr>
      </w:pPr>
      <w:r w:rsidRPr="00AA2532">
        <w:rPr>
          <w:rFonts w:cs="Calibri Light"/>
        </w:rPr>
        <w:t>Instead, the RBA should be required to explain how it is using its flexibility. This should include how quickly it is aiming to return inflation to around the midpoint of the target, its assessment of full employment, and how, if at all, financial vulnerabilities or other considerations have factored into</w:t>
      </w:r>
      <w:r w:rsidRPr="00AA2532">
        <w:rPr>
          <w:rFonts w:cs="Calibri Light"/>
          <w:spacing w:val="40"/>
        </w:rPr>
        <w:t xml:space="preserve"> </w:t>
      </w:r>
      <w:r w:rsidRPr="00AA2532">
        <w:rPr>
          <w:rFonts w:cs="Calibri Light"/>
        </w:rPr>
        <w:t>its decision.</w:t>
      </w:r>
    </w:p>
    <w:p w14:paraId="30C6B142" w14:textId="76B781FE" w:rsidR="00C16E86" w:rsidRPr="00C16E86" w:rsidRDefault="00C16E86" w:rsidP="00C16E86">
      <w:pPr>
        <w:pStyle w:val="Heading4"/>
        <w:rPr>
          <w:rFonts w:cs="Calibri Light"/>
          <w:sz w:val="18"/>
        </w:rPr>
      </w:pPr>
      <w:r w:rsidRPr="00C16E86">
        <w:rPr>
          <w:rFonts w:cs="Calibri Light"/>
        </w:rPr>
        <w:t>Promote</w:t>
      </w:r>
      <w:r w:rsidRPr="00C16E86">
        <w:rPr>
          <w:rFonts w:cs="Calibri Light"/>
          <w:spacing w:val="1"/>
        </w:rPr>
        <w:t xml:space="preserve"> </w:t>
      </w:r>
      <w:r w:rsidRPr="00C16E86">
        <w:rPr>
          <w:rFonts w:cs="Calibri Light"/>
        </w:rPr>
        <w:t>a</w:t>
      </w:r>
      <w:r w:rsidRPr="00C16E86">
        <w:rPr>
          <w:rFonts w:cs="Calibri Light"/>
          <w:spacing w:val="1"/>
        </w:rPr>
        <w:t xml:space="preserve"> </w:t>
      </w:r>
      <w:r w:rsidRPr="00C16E86">
        <w:rPr>
          <w:rFonts w:cs="Calibri Light"/>
        </w:rPr>
        <w:t>better</w:t>
      </w:r>
      <w:r w:rsidRPr="00C16E86">
        <w:rPr>
          <w:rFonts w:cs="Calibri Light"/>
          <w:spacing w:val="1"/>
        </w:rPr>
        <w:t xml:space="preserve"> </w:t>
      </w:r>
      <w:r w:rsidRPr="00562009">
        <w:rPr>
          <w:rFonts w:cs="Calibri Light"/>
          <w:szCs w:val="24"/>
        </w:rPr>
        <w:t>understanding</w:t>
      </w:r>
      <w:r w:rsidRPr="00562009">
        <w:rPr>
          <w:rFonts w:cs="Calibri Light"/>
          <w:spacing w:val="1"/>
          <w:szCs w:val="24"/>
        </w:rPr>
        <w:t xml:space="preserve"> </w:t>
      </w:r>
      <w:r w:rsidRPr="00562009">
        <w:rPr>
          <w:rFonts w:cs="Calibri Light"/>
          <w:szCs w:val="24"/>
        </w:rPr>
        <w:t>of</w:t>
      </w:r>
      <w:r w:rsidRPr="00562009">
        <w:rPr>
          <w:rFonts w:cs="Calibri Light"/>
          <w:spacing w:val="2"/>
          <w:szCs w:val="24"/>
        </w:rPr>
        <w:t xml:space="preserve"> </w:t>
      </w:r>
      <w:r w:rsidRPr="00562009">
        <w:rPr>
          <w:rFonts w:cs="Calibri Light"/>
          <w:szCs w:val="24"/>
        </w:rPr>
        <w:t>the</w:t>
      </w:r>
      <w:r w:rsidRPr="00562009">
        <w:rPr>
          <w:rFonts w:cs="Calibri Light"/>
          <w:spacing w:val="1"/>
          <w:szCs w:val="24"/>
        </w:rPr>
        <w:t xml:space="preserve"> </w:t>
      </w:r>
      <w:r w:rsidRPr="00562009">
        <w:rPr>
          <w:rFonts w:cs="Calibri Light"/>
          <w:szCs w:val="24"/>
        </w:rPr>
        <w:t>relative</w:t>
      </w:r>
      <w:r w:rsidRPr="00562009">
        <w:rPr>
          <w:rFonts w:cs="Calibri Light"/>
          <w:spacing w:val="1"/>
          <w:szCs w:val="24"/>
        </w:rPr>
        <w:t xml:space="preserve"> </w:t>
      </w:r>
      <w:r w:rsidRPr="00562009">
        <w:rPr>
          <w:rFonts w:cs="Calibri Light"/>
          <w:szCs w:val="24"/>
        </w:rPr>
        <w:t>roles</w:t>
      </w:r>
      <w:r w:rsidRPr="00562009">
        <w:rPr>
          <w:rFonts w:cs="Calibri Light"/>
          <w:spacing w:val="1"/>
          <w:szCs w:val="24"/>
        </w:rPr>
        <w:t xml:space="preserve"> </w:t>
      </w:r>
      <w:r w:rsidRPr="00562009">
        <w:rPr>
          <w:rFonts w:cs="Calibri Light"/>
          <w:szCs w:val="24"/>
        </w:rPr>
        <w:t>of</w:t>
      </w:r>
      <w:r w:rsidRPr="00562009">
        <w:rPr>
          <w:rFonts w:cs="Calibri Light"/>
          <w:spacing w:val="2"/>
          <w:szCs w:val="24"/>
        </w:rPr>
        <w:t xml:space="preserve"> </w:t>
      </w:r>
      <w:r w:rsidRPr="00562009">
        <w:rPr>
          <w:rFonts w:cs="Calibri Light"/>
          <w:szCs w:val="24"/>
        </w:rPr>
        <w:t>fiscal</w:t>
      </w:r>
      <w:r w:rsidRPr="00562009">
        <w:rPr>
          <w:rFonts w:cs="Calibri Light"/>
          <w:spacing w:val="1"/>
          <w:szCs w:val="24"/>
        </w:rPr>
        <w:t xml:space="preserve"> </w:t>
      </w:r>
      <w:r w:rsidRPr="00562009">
        <w:rPr>
          <w:rFonts w:cs="Calibri Light"/>
          <w:szCs w:val="24"/>
        </w:rPr>
        <w:t>and</w:t>
      </w:r>
      <w:r w:rsidRPr="00562009">
        <w:rPr>
          <w:rFonts w:cs="Calibri Light"/>
          <w:spacing w:val="1"/>
          <w:szCs w:val="24"/>
        </w:rPr>
        <w:t xml:space="preserve"> </w:t>
      </w:r>
      <w:r w:rsidRPr="00562009">
        <w:rPr>
          <w:rFonts w:cs="Calibri Light"/>
          <w:szCs w:val="24"/>
        </w:rPr>
        <w:t>monetary</w:t>
      </w:r>
      <w:r w:rsidRPr="00562009">
        <w:rPr>
          <w:rFonts w:cs="Calibri Light"/>
          <w:spacing w:val="1"/>
          <w:szCs w:val="24"/>
        </w:rPr>
        <w:t xml:space="preserve"> </w:t>
      </w:r>
      <w:r w:rsidRPr="00562009">
        <w:rPr>
          <w:rFonts w:cs="Calibri Light"/>
          <w:spacing w:val="-2"/>
          <w:szCs w:val="24"/>
        </w:rPr>
        <w:t xml:space="preserve">policy </w:t>
      </w:r>
      <w:r w:rsidRPr="00562009">
        <w:rPr>
          <w:rFonts w:cs="Calibri Light"/>
          <w:szCs w:val="24"/>
        </w:rPr>
        <w:t>(Recommendation</w:t>
      </w:r>
      <w:r w:rsidRPr="00562009">
        <w:rPr>
          <w:rFonts w:cs="Calibri Light"/>
          <w:spacing w:val="1"/>
          <w:szCs w:val="24"/>
        </w:rPr>
        <w:t xml:space="preserve"> </w:t>
      </w:r>
      <w:r w:rsidRPr="00562009">
        <w:rPr>
          <w:rFonts w:cs="Calibri Light"/>
          <w:spacing w:val="-5"/>
          <w:szCs w:val="24"/>
        </w:rPr>
        <w:t>3)</w:t>
      </w:r>
    </w:p>
    <w:p w14:paraId="5EC32D21" w14:textId="6140AD16" w:rsidR="00C16E86" w:rsidRPr="00921292" w:rsidRDefault="00C16E86" w:rsidP="00C16E86">
      <w:pPr>
        <w:rPr>
          <w:rFonts w:cs="Calibri Light"/>
        </w:rPr>
      </w:pPr>
      <w:r w:rsidRPr="00921292">
        <w:rPr>
          <w:rFonts w:cs="Calibri Light"/>
        </w:rPr>
        <w:t xml:space="preserve">Both </w:t>
      </w:r>
      <w:r w:rsidRPr="00921292">
        <w:rPr>
          <w:rFonts w:cs="Calibri Light"/>
          <w:b/>
        </w:rPr>
        <w:t xml:space="preserve">fiscal and monetary policy </w:t>
      </w:r>
      <w:r w:rsidRPr="00921292">
        <w:rPr>
          <w:rFonts w:cs="Calibri Light"/>
        </w:rPr>
        <w:t>affect employment and inflation. The RBA and Government must determine their policy settings independently, considering their individual objectives and constraints. However, this independence does not mean fiscal and monetary policy should be set in isolation from each other – dialogue between policy makers supports each having a good understanding of the intentions of the other and informs better policy choices. There should</w:t>
      </w:r>
      <w:r w:rsidRPr="00921292">
        <w:rPr>
          <w:rFonts w:cs="Calibri Light"/>
          <w:spacing w:val="80"/>
          <w:w w:val="150"/>
        </w:rPr>
        <w:t xml:space="preserve"> </w:t>
      </w:r>
      <w:r w:rsidRPr="00921292">
        <w:rPr>
          <w:rFonts w:cs="Calibri Light"/>
        </w:rPr>
        <w:t>be increased information sharing between the RBA and Government on risks, scenarios and</w:t>
      </w:r>
      <w:r w:rsidR="000F7002">
        <w:rPr>
          <w:rFonts w:cs="Calibri Light"/>
        </w:rPr>
        <w:t xml:space="preserve"> </w:t>
      </w:r>
      <w:r w:rsidRPr="00921292">
        <w:rPr>
          <w:rFonts w:cs="Calibri Light"/>
        </w:rPr>
        <w:t>policy constraints. As part of this, the RBA and Treasury should undertake joint scenario analysis exercises to prepare for challenging circumstances.</w:t>
      </w:r>
    </w:p>
    <w:p w14:paraId="00A72B5A" w14:textId="77777777" w:rsidR="00C16E86" w:rsidRPr="00921292" w:rsidRDefault="00C16E86" w:rsidP="00C16E86">
      <w:pPr>
        <w:rPr>
          <w:rFonts w:cs="Calibri Light"/>
        </w:rPr>
      </w:pPr>
      <w:r w:rsidRPr="00921292">
        <w:rPr>
          <w:rFonts w:cs="Calibri Light"/>
        </w:rPr>
        <w:t xml:space="preserve">The RBA and Treasury should also </w:t>
      </w:r>
      <w:r w:rsidRPr="00921292">
        <w:rPr>
          <w:rFonts w:cs="Calibri Light"/>
          <w:b/>
        </w:rPr>
        <w:t xml:space="preserve">work more with outside researchers </w:t>
      </w:r>
      <w:r w:rsidRPr="00921292">
        <w:rPr>
          <w:rFonts w:cs="Calibri Light"/>
        </w:rPr>
        <w:t>to advance understanding of policy interactions by developing a program to promote applied research on monetary, fiscal and financial policy across universities and think tanks.</w:t>
      </w:r>
    </w:p>
    <w:p w14:paraId="2836BF70" w14:textId="77777777" w:rsidR="00C16E86" w:rsidRDefault="00C16E86" w:rsidP="00C16E86">
      <w:r w:rsidRPr="00921292">
        <w:rPr>
          <w:rFonts w:cs="Calibri Light"/>
        </w:rPr>
        <w:t xml:space="preserve">In recent years, the RBA has joined other central banks in using </w:t>
      </w:r>
      <w:r w:rsidRPr="00921292">
        <w:rPr>
          <w:rFonts w:cs="Calibri Light"/>
          <w:b/>
        </w:rPr>
        <w:t>additional monetary policy tools</w:t>
      </w:r>
      <w:r w:rsidRPr="00921292">
        <w:rPr>
          <w:rFonts w:cs="Calibri Light"/>
        </w:rPr>
        <w:t>. While the cash rate should remain the primary tool of monetary policy, the RBA should continue to consider using other monetary policy tools when the cash rate cannot go any lower. However, before deploying such tools, there should be better consideration</w:t>
      </w:r>
      <w:r>
        <w:t xml:space="preserve"> of their costs and benefits, risk analysis and exit planning. The RBA should develop and publish a framework for the use of these tools to embed lessons from its recent experience.</w:t>
      </w:r>
    </w:p>
    <w:p w14:paraId="2721DD11" w14:textId="77777777" w:rsidR="000F7002" w:rsidRDefault="000F7002" w:rsidP="000F7002">
      <w:pPr>
        <w:pStyle w:val="Heading4"/>
      </w:pPr>
      <w:r>
        <w:t>Institute</w:t>
      </w:r>
      <w:r>
        <w:rPr>
          <w:spacing w:val="-13"/>
        </w:rPr>
        <w:t xml:space="preserve"> </w:t>
      </w:r>
      <w:r>
        <w:t>regular</w:t>
      </w:r>
      <w:r>
        <w:rPr>
          <w:spacing w:val="-12"/>
        </w:rPr>
        <w:t xml:space="preserve"> </w:t>
      </w:r>
      <w:r>
        <w:t>reviews</w:t>
      </w:r>
      <w:r>
        <w:rPr>
          <w:spacing w:val="-11"/>
        </w:rPr>
        <w:t xml:space="preserve"> </w:t>
      </w:r>
      <w:r>
        <w:t>of</w:t>
      </w:r>
      <w:r>
        <w:rPr>
          <w:spacing w:val="-12"/>
        </w:rPr>
        <w:t xml:space="preserve"> </w:t>
      </w:r>
      <w:r>
        <w:t>the</w:t>
      </w:r>
      <w:r>
        <w:rPr>
          <w:spacing w:val="-11"/>
        </w:rPr>
        <w:t xml:space="preserve"> </w:t>
      </w:r>
      <w:r>
        <w:t>monetary</w:t>
      </w:r>
      <w:r>
        <w:rPr>
          <w:spacing w:val="-10"/>
        </w:rPr>
        <w:t xml:space="preserve"> </w:t>
      </w:r>
      <w:r>
        <w:t>policy</w:t>
      </w:r>
      <w:r>
        <w:rPr>
          <w:spacing w:val="-11"/>
        </w:rPr>
        <w:t xml:space="preserve"> </w:t>
      </w:r>
      <w:r>
        <w:t>framework</w:t>
      </w:r>
      <w:r>
        <w:rPr>
          <w:spacing w:val="-12"/>
        </w:rPr>
        <w:t xml:space="preserve"> </w:t>
      </w:r>
      <w:r>
        <w:t>and</w:t>
      </w:r>
      <w:r>
        <w:rPr>
          <w:spacing w:val="-10"/>
        </w:rPr>
        <w:t xml:space="preserve"> </w:t>
      </w:r>
      <w:r>
        <w:t>tools</w:t>
      </w:r>
      <w:r>
        <w:rPr>
          <w:spacing w:val="-12"/>
        </w:rPr>
        <w:t xml:space="preserve"> </w:t>
      </w:r>
      <w:r>
        <w:t>(Recommendation</w:t>
      </w:r>
      <w:r>
        <w:rPr>
          <w:spacing w:val="-11"/>
        </w:rPr>
        <w:t xml:space="preserve"> </w:t>
      </w:r>
      <w:r>
        <w:rPr>
          <w:spacing w:val="-5"/>
        </w:rPr>
        <w:t>4)</w:t>
      </w:r>
    </w:p>
    <w:p w14:paraId="537AF5CA" w14:textId="281CB34E" w:rsidR="000F7002" w:rsidRDefault="000F7002" w:rsidP="000F7002">
      <w:r>
        <w:t>To</w:t>
      </w:r>
      <w:r>
        <w:rPr>
          <w:spacing w:val="-1"/>
        </w:rPr>
        <w:t xml:space="preserve"> </w:t>
      </w:r>
      <w:r>
        <w:t>ensure</w:t>
      </w:r>
      <w:r>
        <w:rPr>
          <w:spacing w:val="-1"/>
        </w:rPr>
        <w:t xml:space="preserve"> </w:t>
      </w:r>
      <w:r>
        <w:t>that</w:t>
      </w:r>
      <w:r>
        <w:rPr>
          <w:spacing w:val="-1"/>
        </w:rPr>
        <w:t xml:space="preserve"> </w:t>
      </w:r>
      <w:r>
        <w:t>the</w:t>
      </w:r>
      <w:r>
        <w:rPr>
          <w:spacing w:val="-1"/>
        </w:rPr>
        <w:t xml:space="preserve"> </w:t>
      </w:r>
      <w:r>
        <w:t>RBA’s</w:t>
      </w:r>
      <w:r>
        <w:rPr>
          <w:spacing w:val="-1"/>
        </w:rPr>
        <w:t xml:space="preserve"> </w:t>
      </w:r>
      <w:r>
        <w:t>approach</w:t>
      </w:r>
      <w:r>
        <w:rPr>
          <w:spacing w:val="-1"/>
        </w:rPr>
        <w:t xml:space="preserve"> </w:t>
      </w:r>
      <w:r>
        <w:t>to</w:t>
      </w:r>
      <w:r>
        <w:rPr>
          <w:spacing w:val="-1"/>
        </w:rPr>
        <w:t xml:space="preserve"> </w:t>
      </w:r>
      <w:r>
        <w:t>monetary</w:t>
      </w:r>
      <w:r>
        <w:rPr>
          <w:spacing w:val="-1"/>
        </w:rPr>
        <w:t xml:space="preserve"> </w:t>
      </w:r>
      <w:r>
        <w:t>policy</w:t>
      </w:r>
      <w:r>
        <w:rPr>
          <w:spacing w:val="-1"/>
        </w:rPr>
        <w:t xml:space="preserve"> </w:t>
      </w:r>
      <w:r>
        <w:t>remains</w:t>
      </w:r>
      <w:r>
        <w:rPr>
          <w:spacing w:val="-1"/>
        </w:rPr>
        <w:t xml:space="preserve"> </w:t>
      </w:r>
      <w:r>
        <w:t>appropriate</w:t>
      </w:r>
      <w:r>
        <w:rPr>
          <w:spacing w:val="-1"/>
        </w:rPr>
        <w:t xml:space="preserve"> </w:t>
      </w:r>
      <w:r>
        <w:t>in</w:t>
      </w:r>
      <w:r>
        <w:rPr>
          <w:spacing w:val="-1"/>
        </w:rPr>
        <w:t xml:space="preserve"> </w:t>
      </w:r>
      <w:r>
        <w:t>a</w:t>
      </w:r>
      <w:r>
        <w:rPr>
          <w:spacing w:val="-1"/>
        </w:rPr>
        <w:t xml:space="preserve"> </w:t>
      </w:r>
      <w:r>
        <w:t>changing</w:t>
      </w:r>
      <w:r>
        <w:rPr>
          <w:spacing w:val="-1"/>
        </w:rPr>
        <w:t xml:space="preserve"> </w:t>
      </w:r>
      <w:r>
        <w:t>economic environment, the Review recommends 5-yearly reviews of the monetary policy framework and</w:t>
      </w:r>
      <w:r>
        <w:rPr>
          <w:spacing w:val="40"/>
        </w:rPr>
        <w:t xml:space="preserve"> </w:t>
      </w:r>
      <w:r>
        <w:t>tools. These reviews should be focused on a short list of questions related to the framework and tools, agreed by the Monetary Policy Board and Treasurer. The reviews should be led jointly by the RBA and Treasury, with transparent input from outside experts chosen to ensure a range of viewpoints is considered.</w:t>
      </w:r>
    </w:p>
    <w:p w14:paraId="100671D2" w14:textId="77777777" w:rsidR="00600DDD" w:rsidRDefault="00600DDD" w:rsidP="002F2AA3">
      <w:pPr>
        <w:pStyle w:val="Heading3"/>
      </w:pPr>
      <w:r>
        <w:t>A</w:t>
      </w:r>
      <w:r>
        <w:rPr>
          <w:spacing w:val="-6"/>
        </w:rPr>
        <w:t xml:space="preserve"> </w:t>
      </w:r>
      <w:r>
        <w:t>well-defined</w:t>
      </w:r>
      <w:r>
        <w:rPr>
          <w:spacing w:val="-5"/>
        </w:rPr>
        <w:t xml:space="preserve"> </w:t>
      </w:r>
      <w:r>
        <w:t>financial</w:t>
      </w:r>
      <w:r>
        <w:rPr>
          <w:spacing w:val="-5"/>
        </w:rPr>
        <w:t xml:space="preserve"> </w:t>
      </w:r>
      <w:r>
        <w:t>stability</w:t>
      </w:r>
      <w:r>
        <w:rPr>
          <w:spacing w:val="-6"/>
        </w:rPr>
        <w:t xml:space="preserve"> </w:t>
      </w:r>
      <w:r>
        <w:rPr>
          <w:spacing w:val="-4"/>
        </w:rPr>
        <w:t>role</w:t>
      </w:r>
    </w:p>
    <w:p w14:paraId="31A2BFE1" w14:textId="77777777" w:rsidR="00600DDD" w:rsidRDefault="00600DDD" w:rsidP="002F2AA3">
      <w:pPr>
        <w:pStyle w:val="Heading4"/>
      </w:pPr>
      <w:r>
        <w:t>Legislate the RBA’s financial stability role and reinforce cooperation arrangements for promoting financial stability (Recommendations 5,6)</w:t>
      </w:r>
    </w:p>
    <w:p w14:paraId="04FFC7B6" w14:textId="1684BADA" w:rsidR="00600DDD" w:rsidRDefault="00600DDD" w:rsidP="002F2AA3">
      <w:r>
        <w:t>Responsibility</w:t>
      </w:r>
      <w:r>
        <w:rPr>
          <w:spacing w:val="-1"/>
        </w:rPr>
        <w:t xml:space="preserve"> </w:t>
      </w:r>
      <w:r>
        <w:t>for</w:t>
      </w:r>
      <w:r>
        <w:rPr>
          <w:spacing w:val="2"/>
        </w:rPr>
        <w:t xml:space="preserve"> </w:t>
      </w:r>
      <w:r>
        <w:t>financial</w:t>
      </w:r>
      <w:r>
        <w:rPr>
          <w:spacing w:val="1"/>
        </w:rPr>
        <w:t xml:space="preserve"> </w:t>
      </w:r>
      <w:r>
        <w:t>stability</w:t>
      </w:r>
      <w:r>
        <w:rPr>
          <w:spacing w:val="2"/>
        </w:rPr>
        <w:t xml:space="preserve"> </w:t>
      </w:r>
      <w:r>
        <w:t>in</w:t>
      </w:r>
      <w:r>
        <w:rPr>
          <w:spacing w:val="2"/>
        </w:rPr>
        <w:t xml:space="preserve"> </w:t>
      </w:r>
      <w:r>
        <w:t>Australia</w:t>
      </w:r>
      <w:r>
        <w:rPr>
          <w:spacing w:val="1"/>
        </w:rPr>
        <w:t xml:space="preserve"> </w:t>
      </w:r>
      <w:r>
        <w:t>is</w:t>
      </w:r>
      <w:r>
        <w:rPr>
          <w:spacing w:val="2"/>
        </w:rPr>
        <w:t xml:space="preserve"> </w:t>
      </w:r>
      <w:r>
        <w:t>shared</w:t>
      </w:r>
      <w:r>
        <w:rPr>
          <w:spacing w:val="1"/>
        </w:rPr>
        <w:t xml:space="preserve"> </w:t>
      </w:r>
      <w:r>
        <w:t>by</w:t>
      </w:r>
      <w:r>
        <w:rPr>
          <w:spacing w:val="2"/>
        </w:rPr>
        <w:t xml:space="preserve"> </w:t>
      </w:r>
      <w:r>
        <w:t>a</w:t>
      </w:r>
      <w:r>
        <w:rPr>
          <w:spacing w:val="2"/>
        </w:rPr>
        <w:t xml:space="preserve"> </w:t>
      </w:r>
      <w:r>
        <w:t>small</w:t>
      </w:r>
      <w:r>
        <w:rPr>
          <w:spacing w:val="1"/>
        </w:rPr>
        <w:t xml:space="preserve"> </w:t>
      </w:r>
      <w:r>
        <w:t>number</w:t>
      </w:r>
      <w:r>
        <w:rPr>
          <w:spacing w:val="2"/>
        </w:rPr>
        <w:t xml:space="preserve"> </w:t>
      </w:r>
      <w:r>
        <w:t>of</w:t>
      </w:r>
      <w:r>
        <w:rPr>
          <w:spacing w:val="2"/>
        </w:rPr>
        <w:t xml:space="preserve"> </w:t>
      </w:r>
      <w:r>
        <w:rPr>
          <w:spacing w:val="-2"/>
        </w:rPr>
        <w:t>agencies.</w:t>
      </w:r>
      <w:r w:rsidR="00AF7F9D">
        <w:rPr>
          <w:spacing w:val="-2"/>
        </w:rPr>
        <w:t xml:space="preserve"> </w:t>
      </w:r>
      <w:r>
        <w:t>The</w:t>
      </w:r>
      <w:r>
        <w:rPr>
          <w:spacing w:val="-2"/>
        </w:rPr>
        <w:t xml:space="preserve"> </w:t>
      </w:r>
      <w:r>
        <w:t>Australian</w:t>
      </w:r>
      <w:r>
        <w:rPr>
          <w:spacing w:val="-2"/>
        </w:rPr>
        <w:t xml:space="preserve"> </w:t>
      </w:r>
      <w:r>
        <w:t>Prudential</w:t>
      </w:r>
      <w:r>
        <w:rPr>
          <w:spacing w:val="-2"/>
        </w:rPr>
        <w:t xml:space="preserve"> </w:t>
      </w:r>
      <w:r>
        <w:t>Regulation</w:t>
      </w:r>
      <w:r>
        <w:rPr>
          <w:spacing w:val="-2"/>
        </w:rPr>
        <w:t xml:space="preserve"> </w:t>
      </w:r>
      <w:r>
        <w:t>Authority</w:t>
      </w:r>
      <w:r>
        <w:rPr>
          <w:spacing w:val="-2"/>
        </w:rPr>
        <w:t xml:space="preserve"> </w:t>
      </w:r>
      <w:r>
        <w:t>(APRA)</w:t>
      </w:r>
      <w:r>
        <w:rPr>
          <w:spacing w:val="-2"/>
        </w:rPr>
        <w:t xml:space="preserve"> </w:t>
      </w:r>
      <w:r>
        <w:t>has</w:t>
      </w:r>
      <w:r>
        <w:rPr>
          <w:spacing w:val="-2"/>
        </w:rPr>
        <w:t xml:space="preserve"> </w:t>
      </w:r>
      <w:r>
        <w:t>a</w:t>
      </w:r>
      <w:r>
        <w:rPr>
          <w:spacing w:val="-2"/>
        </w:rPr>
        <w:t xml:space="preserve"> </w:t>
      </w:r>
      <w:r>
        <w:t>legislative</w:t>
      </w:r>
      <w:r>
        <w:rPr>
          <w:spacing w:val="-2"/>
        </w:rPr>
        <w:t xml:space="preserve"> </w:t>
      </w:r>
      <w:r>
        <w:t>mandate</w:t>
      </w:r>
      <w:r>
        <w:rPr>
          <w:spacing w:val="-2"/>
        </w:rPr>
        <w:t xml:space="preserve"> </w:t>
      </w:r>
      <w:r>
        <w:t>for</w:t>
      </w:r>
      <w:r>
        <w:rPr>
          <w:spacing w:val="-2"/>
        </w:rPr>
        <w:t xml:space="preserve"> </w:t>
      </w:r>
      <w:r>
        <w:t>financial</w:t>
      </w:r>
      <w:r>
        <w:rPr>
          <w:spacing w:val="-2"/>
        </w:rPr>
        <w:t xml:space="preserve"> </w:t>
      </w:r>
      <w:r>
        <w:t>stability and manages Australia’s prudential policy levers, including minimum capital ratios and regulatory constraints on lending. The RBA contributes to financial stability by pursuing price stability and</w:t>
      </w:r>
    </w:p>
    <w:p w14:paraId="639D32AF" w14:textId="77777777" w:rsidR="00600DDD" w:rsidRDefault="00600DDD" w:rsidP="00AF7F9D">
      <w:r>
        <w:lastRenderedPageBreak/>
        <w:t>full employment using monetary policy. In addition, it has powers to provide liquidity support</w:t>
      </w:r>
      <w:r>
        <w:rPr>
          <w:spacing w:val="40"/>
        </w:rPr>
        <w:t xml:space="preserve"> </w:t>
      </w:r>
      <w:r>
        <w:t>to markets and institutions, and contributes to financial stability through its responsibilities for payments system oversight and banknotes.</w:t>
      </w:r>
    </w:p>
    <w:p w14:paraId="20AE4BCD" w14:textId="77777777" w:rsidR="00600DDD" w:rsidRPr="00AF7F9D" w:rsidRDefault="00600DDD" w:rsidP="00AF7F9D">
      <w:pPr>
        <w:rPr>
          <w:rFonts w:cs="Calibri Light"/>
        </w:rPr>
      </w:pPr>
      <w:r>
        <w:t xml:space="preserve">While these powers give the RBA an important financial stability role, this does not have a clear legislative basis. The Review seeks a </w:t>
      </w:r>
      <w:r w:rsidRPr="00AF7F9D">
        <w:rPr>
          <w:rFonts w:cs="Calibri Light"/>
          <w:b/>
        </w:rPr>
        <w:t xml:space="preserve">firmer foundation for the RBA’s financial stability role </w:t>
      </w:r>
      <w:r w:rsidRPr="00AF7F9D">
        <w:rPr>
          <w:rFonts w:cs="Calibri Light"/>
        </w:rPr>
        <w:t>and clarification of the scope of its responsibilities.</w:t>
      </w:r>
    </w:p>
    <w:p w14:paraId="599EC459" w14:textId="77777777" w:rsidR="00600DDD" w:rsidRPr="00AF7F9D" w:rsidRDefault="00600DDD" w:rsidP="00AF7F9D">
      <w:pPr>
        <w:rPr>
          <w:rFonts w:cs="Calibri Light"/>
        </w:rPr>
      </w:pPr>
      <w:r w:rsidRPr="00AF7F9D">
        <w:rPr>
          <w:rFonts w:cs="Calibri Light"/>
        </w:rPr>
        <w:t>The complex risks, overlapping responsibilities and distributed tools for financial stability</w:t>
      </w:r>
      <w:r w:rsidRPr="00AF7F9D">
        <w:rPr>
          <w:rFonts w:cs="Calibri Light"/>
          <w:spacing w:val="40"/>
        </w:rPr>
        <w:t xml:space="preserve"> </w:t>
      </w:r>
      <w:r w:rsidRPr="00AF7F9D">
        <w:rPr>
          <w:rFonts w:cs="Calibri Light"/>
        </w:rPr>
        <w:t xml:space="preserve">demand clear accountability for the use of tools, and </w:t>
      </w:r>
      <w:r w:rsidRPr="00AF7F9D">
        <w:rPr>
          <w:rFonts w:cs="Calibri Light"/>
          <w:b/>
        </w:rPr>
        <w:t xml:space="preserve">close cooperation between regulators. </w:t>
      </w:r>
      <w:r w:rsidRPr="00AF7F9D">
        <w:rPr>
          <w:rFonts w:cs="Calibri Light"/>
        </w:rPr>
        <w:t>Cooperation arrangements should be reinforced by:</w:t>
      </w:r>
    </w:p>
    <w:p w14:paraId="3ADF721C" w14:textId="77777777" w:rsidR="00600DDD" w:rsidRDefault="00600DDD" w:rsidP="0000278A">
      <w:pPr>
        <w:pStyle w:val="Bullet"/>
      </w:pPr>
      <w:r>
        <w:t>Making</w:t>
      </w:r>
      <w:r>
        <w:rPr>
          <w:spacing w:val="-1"/>
        </w:rPr>
        <w:t xml:space="preserve"> </w:t>
      </w:r>
      <w:r>
        <w:t>it</w:t>
      </w:r>
      <w:r>
        <w:rPr>
          <w:spacing w:val="-1"/>
        </w:rPr>
        <w:t xml:space="preserve"> </w:t>
      </w:r>
      <w:r>
        <w:t>a</w:t>
      </w:r>
      <w:r>
        <w:rPr>
          <w:spacing w:val="-1"/>
        </w:rPr>
        <w:t xml:space="preserve"> </w:t>
      </w:r>
      <w:r>
        <w:t>clear</w:t>
      </w:r>
      <w:r>
        <w:rPr>
          <w:spacing w:val="-1"/>
        </w:rPr>
        <w:t xml:space="preserve"> </w:t>
      </w:r>
      <w:r>
        <w:t>responsibility</w:t>
      </w:r>
      <w:r>
        <w:rPr>
          <w:spacing w:val="-1"/>
        </w:rPr>
        <w:t xml:space="preserve"> </w:t>
      </w:r>
      <w:r>
        <w:t>of</w:t>
      </w:r>
      <w:r>
        <w:rPr>
          <w:spacing w:val="-1"/>
        </w:rPr>
        <w:t xml:space="preserve"> </w:t>
      </w:r>
      <w:r>
        <w:t>the</w:t>
      </w:r>
      <w:r>
        <w:rPr>
          <w:spacing w:val="-1"/>
        </w:rPr>
        <w:t xml:space="preserve"> </w:t>
      </w:r>
      <w:r>
        <w:t>Council</w:t>
      </w:r>
      <w:r>
        <w:rPr>
          <w:spacing w:val="-1"/>
        </w:rPr>
        <w:t xml:space="preserve"> </w:t>
      </w:r>
      <w:r>
        <w:t>of</w:t>
      </w:r>
      <w:r>
        <w:rPr>
          <w:spacing w:val="-1"/>
        </w:rPr>
        <w:t xml:space="preserve"> </w:t>
      </w:r>
      <w:r>
        <w:t>Financial</w:t>
      </w:r>
      <w:r>
        <w:rPr>
          <w:spacing w:val="-1"/>
        </w:rPr>
        <w:t xml:space="preserve"> </w:t>
      </w:r>
      <w:r>
        <w:t>Regulators</w:t>
      </w:r>
      <w:r>
        <w:rPr>
          <w:spacing w:val="-1"/>
        </w:rPr>
        <w:t xml:space="preserve"> </w:t>
      </w:r>
      <w:r>
        <w:t>to</w:t>
      </w:r>
      <w:r>
        <w:rPr>
          <w:spacing w:val="-1"/>
        </w:rPr>
        <w:t xml:space="preserve"> </w:t>
      </w:r>
      <w:r>
        <w:t>ensure</w:t>
      </w:r>
      <w:r>
        <w:rPr>
          <w:spacing w:val="-1"/>
        </w:rPr>
        <w:t xml:space="preserve"> </w:t>
      </w:r>
      <w:r>
        <w:t>there</w:t>
      </w:r>
      <w:r>
        <w:rPr>
          <w:spacing w:val="-1"/>
        </w:rPr>
        <w:t xml:space="preserve"> </w:t>
      </w:r>
      <w:r>
        <w:t>are</w:t>
      </w:r>
      <w:r>
        <w:rPr>
          <w:spacing w:val="-1"/>
        </w:rPr>
        <w:t xml:space="preserve"> </w:t>
      </w:r>
      <w:r>
        <w:t>no</w:t>
      </w:r>
      <w:r>
        <w:rPr>
          <w:spacing w:val="-1"/>
        </w:rPr>
        <w:t xml:space="preserve"> </w:t>
      </w:r>
      <w:r>
        <w:t>gaps in the framework.</w:t>
      </w:r>
    </w:p>
    <w:p w14:paraId="2929659A" w14:textId="77777777" w:rsidR="00600DDD" w:rsidRDefault="00600DDD" w:rsidP="0000278A">
      <w:pPr>
        <w:pStyle w:val="Bullet"/>
      </w:pPr>
      <w:r>
        <w:t>The RBA and APRA agreeing on mechanisms to ensure the RBA’s assessment of financial stability risks,</w:t>
      </w:r>
      <w:r>
        <w:rPr>
          <w:spacing w:val="19"/>
        </w:rPr>
        <w:t xml:space="preserve"> </w:t>
      </w:r>
      <w:r>
        <w:t>and</w:t>
      </w:r>
      <w:r>
        <w:rPr>
          <w:spacing w:val="19"/>
        </w:rPr>
        <w:t xml:space="preserve"> </w:t>
      </w:r>
      <w:r>
        <w:t>any</w:t>
      </w:r>
      <w:r>
        <w:rPr>
          <w:spacing w:val="19"/>
        </w:rPr>
        <w:t xml:space="preserve"> </w:t>
      </w:r>
      <w:r>
        <w:t>interactions</w:t>
      </w:r>
      <w:r>
        <w:rPr>
          <w:spacing w:val="19"/>
        </w:rPr>
        <w:t xml:space="preserve"> </w:t>
      </w:r>
      <w:r>
        <w:t>with</w:t>
      </w:r>
      <w:r>
        <w:rPr>
          <w:spacing w:val="19"/>
        </w:rPr>
        <w:t xml:space="preserve"> </w:t>
      </w:r>
      <w:r>
        <w:t>monetary</w:t>
      </w:r>
      <w:r>
        <w:rPr>
          <w:spacing w:val="19"/>
        </w:rPr>
        <w:t xml:space="preserve"> </w:t>
      </w:r>
      <w:r>
        <w:t>policy,</w:t>
      </w:r>
      <w:r>
        <w:rPr>
          <w:spacing w:val="19"/>
        </w:rPr>
        <w:t xml:space="preserve"> </w:t>
      </w:r>
      <w:r>
        <w:t>feed</w:t>
      </w:r>
      <w:r>
        <w:rPr>
          <w:spacing w:val="19"/>
        </w:rPr>
        <w:t xml:space="preserve"> </w:t>
      </w:r>
      <w:r>
        <w:t>directly</w:t>
      </w:r>
      <w:r>
        <w:rPr>
          <w:spacing w:val="19"/>
        </w:rPr>
        <w:t xml:space="preserve"> </w:t>
      </w:r>
      <w:r>
        <w:t>into</w:t>
      </w:r>
      <w:r>
        <w:rPr>
          <w:spacing w:val="19"/>
        </w:rPr>
        <w:t xml:space="preserve"> </w:t>
      </w:r>
      <w:r>
        <w:t>APRA’s</w:t>
      </w:r>
      <w:r>
        <w:rPr>
          <w:spacing w:val="19"/>
        </w:rPr>
        <w:t xml:space="preserve"> </w:t>
      </w:r>
      <w:r>
        <w:t>macroprudential policy decisions. This will promote addressing concerns about financial vulnerabilities through macroprudential policy, where possible, so they do not constrain monetary policy.</w:t>
      </w:r>
    </w:p>
    <w:p w14:paraId="00B0954F" w14:textId="77777777" w:rsidR="00FE414B" w:rsidRDefault="00FE414B" w:rsidP="00FE414B">
      <w:pPr>
        <w:pStyle w:val="Heading3"/>
      </w:pPr>
      <w:r>
        <w:t>Promoting</w:t>
      </w:r>
      <w:r>
        <w:rPr>
          <w:spacing w:val="-13"/>
        </w:rPr>
        <w:t xml:space="preserve"> </w:t>
      </w:r>
      <w:r>
        <w:t>understanding</w:t>
      </w:r>
      <w:r>
        <w:rPr>
          <w:spacing w:val="-11"/>
        </w:rPr>
        <w:t xml:space="preserve"> </w:t>
      </w:r>
      <w:r>
        <w:t>of</w:t>
      </w:r>
      <w:r>
        <w:rPr>
          <w:spacing w:val="-10"/>
        </w:rPr>
        <w:t xml:space="preserve"> </w:t>
      </w:r>
      <w:r>
        <w:t>the</w:t>
      </w:r>
      <w:r>
        <w:rPr>
          <w:spacing w:val="-11"/>
        </w:rPr>
        <w:t xml:space="preserve"> </w:t>
      </w:r>
      <w:r>
        <w:t>economic</w:t>
      </w:r>
      <w:r>
        <w:rPr>
          <w:spacing w:val="-11"/>
        </w:rPr>
        <w:t xml:space="preserve"> </w:t>
      </w:r>
      <w:r>
        <w:t>implications</w:t>
      </w:r>
      <w:r>
        <w:rPr>
          <w:spacing w:val="-10"/>
        </w:rPr>
        <w:t xml:space="preserve"> </w:t>
      </w:r>
      <w:r>
        <w:t>of</w:t>
      </w:r>
      <w:r>
        <w:rPr>
          <w:spacing w:val="-11"/>
        </w:rPr>
        <w:t xml:space="preserve"> </w:t>
      </w:r>
      <w:r>
        <w:t>climate</w:t>
      </w:r>
      <w:r>
        <w:rPr>
          <w:spacing w:val="-10"/>
        </w:rPr>
        <w:t xml:space="preserve"> </w:t>
      </w:r>
      <w:r>
        <w:rPr>
          <w:spacing w:val="-2"/>
        </w:rPr>
        <w:t>change</w:t>
      </w:r>
    </w:p>
    <w:p w14:paraId="292E6565" w14:textId="77777777" w:rsidR="00FE414B" w:rsidRDefault="00FE414B" w:rsidP="00FE414B">
      <w:pPr>
        <w:pStyle w:val="Heading4"/>
      </w:pPr>
      <w:r>
        <w:t>The</w:t>
      </w:r>
      <w:r>
        <w:rPr>
          <w:spacing w:val="-8"/>
        </w:rPr>
        <w:t xml:space="preserve"> </w:t>
      </w:r>
      <w:r>
        <w:t>RBA</w:t>
      </w:r>
      <w:r>
        <w:rPr>
          <w:spacing w:val="-8"/>
        </w:rPr>
        <w:t xml:space="preserve"> </w:t>
      </w:r>
      <w:r>
        <w:t>should</w:t>
      </w:r>
      <w:r>
        <w:rPr>
          <w:spacing w:val="-8"/>
        </w:rPr>
        <w:t xml:space="preserve"> </w:t>
      </w:r>
      <w:r>
        <w:t>take</w:t>
      </w:r>
      <w:r>
        <w:rPr>
          <w:spacing w:val="-8"/>
        </w:rPr>
        <w:t xml:space="preserve"> </w:t>
      </w:r>
      <w:r>
        <w:t>account</w:t>
      </w:r>
      <w:r>
        <w:rPr>
          <w:spacing w:val="-8"/>
        </w:rPr>
        <w:t xml:space="preserve"> </w:t>
      </w:r>
      <w:r>
        <w:t>of</w:t>
      </w:r>
      <w:r>
        <w:rPr>
          <w:spacing w:val="-8"/>
        </w:rPr>
        <w:t xml:space="preserve"> </w:t>
      </w:r>
      <w:r>
        <w:t>climate</w:t>
      </w:r>
      <w:r>
        <w:rPr>
          <w:spacing w:val="-8"/>
        </w:rPr>
        <w:t xml:space="preserve"> </w:t>
      </w:r>
      <w:r>
        <w:t>risks</w:t>
      </w:r>
      <w:r>
        <w:rPr>
          <w:spacing w:val="-8"/>
        </w:rPr>
        <w:t xml:space="preserve"> </w:t>
      </w:r>
      <w:r>
        <w:t>but</w:t>
      </w:r>
      <w:r>
        <w:rPr>
          <w:spacing w:val="-8"/>
        </w:rPr>
        <w:t xml:space="preserve"> </w:t>
      </w:r>
      <w:r>
        <w:t>not</w:t>
      </w:r>
      <w:r>
        <w:rPr>
          <w:spacing w:val="-8"/>
        </w:rPr>
        <w:t xml:space="preserve"> </w:t>
      </w:r>
      <w:r>
        <w:t>use</w:t>
      </w:r>
      <w:r>
        <w:rPr>
          <w:spacing w:val="-8"/>
        </w:rPr>
        <w:t xml:space="preserve"> </w:t>
      </w:r>
      <w:r>
        <w:t>monetary</w:t>
      </w:r>
      <w:r>
        <w:rPr>
          <w:spacing w:val="-8"/>
        </w:rPr>
        <w:t xml:space="preserve"> </w:t>
      </w:r>
      <w:r>
        <w:t>policy</w:t>
      </w:r>
      <w:r>
        <w:rPr>
          <w:spacing w:val="-8"/>
        </w:rPr>
        <w:t xml:space="preserve"> </w:t>
      </w:r>
      <w:r>
        <w:t>to</w:t>
      </w:r>
      <w:r>
        <w:rPr>
          <w:spacing w:val="-8"/>
        </w:rPr>
        <w:t xml:space="preserve"> </w:t>
      </w:r>
      <w:r>
        <w:t>address</w:t>
      </w:r>
      <w:r>
        <w:rPr>
          <w:spacing w:val="-8"/>
        </w:rPr>
        <w:t xml:space="preserve"> </w:t>
      </w:r>
      <w:r>
        <w:t>them (Recommendation 7)</w:t>
      </w:r>
    </w:p>
    <w:p w14:paraId="73F4A89F" w14:textId="77777777" w:rsidR="00FE414B" w:rsidRDefault="00FE414B" w:rsidP="00FE414B">
      <w:r>
        <w:t xml:space="preserve">Climate change is a critical global concern and has important implications for the Australian economy and the RBA. The RBA should continue its work to </w:t>
      </w:r>
      <w:r w:rsidRPr="00FE414B">
        <w:rPr>
          <w:rFonts w:cs="Calibri Light"/>
          <w:b/>
        </w:rPr>
        <w:t xml:space="preserve">understand the implications of climate change </w:t>
      </w:r>
      <w:r w:rsidRPr="00FE414B">
        <w:rPr>
          <w:rFonts w:cs="Calibri Light"/>
        </w:rPr>
        <w:t>for the economy and the financial system, taking further steps to incorporate physical and transition risks into RBA analysis and modelling. It should also contribute</w:t>
      </w:r>
      <w:r>
        <w:t xml:space="preserve"> alongside the other Council of Financial Regulators agencies to the adaptation of financial markets and institutions to these risks, including in international rule-setting bodies.</w:t>
      </w:r>
    </w:p>
    <w:p w14:paraId="0BF5C48D" w14:textId="77777777" w:rsidR="00FE414B" w:rsidRDefault="00FE414B" w:rsidP="00FE414B">
      <w:r>
        <w:t>The</w:t>
      </w:r>
      <w:r>
        <w:rPr>
          <w:spacing w:val="12"/>
        </w:rPr>
        <w:t xml:space="preserve"> </w:t>
      </w:r>
      <w:r>
        <w:t>Review</w:t>
      </w:r>
      <w:r>
        <w:rPr>
          <w:spacing w:val="12"/>
        </w:rPr>
        <w:t xml:space="preserve"> </w:t>
      </w:r>
      <w:r>
        <w:t>does</w:t>
      </w:r>
      <w:r>
        <w:rPr>
          <w:spacing w:val="12"/>
        </w:rPr>
        <w:t xml:space="preserve"> </w:t>
      </w:r>
      <w:r>
        <w:t>not,</w:t>
      </w:r>
      <w:r>
        <w:rPr>
          <w:spacing w:val="12"/>
        </w:rPr>
        <w:t xml:space="preserve"> </w:t>
      </w:r>
      <w:r>
        <w:t>however,</w:t>
      </w:r>
      <w:r>
        <w:rPr>
          <w:spacing w:val="12"/>
        </w:rPr>
        <w:t xml:space="preserve"> </w:t>
      </w:r>
      <w:r>
        <w:t>support</w:t>
      </w:r>
      <w:r>
        <w:rPr>
          <w:spacing w:val="12"/>
        </w:rPr>
        <w:t xml:space="preserve"> </w:t>
      </w:r>
      <w:r>
        <w:t>a</w:t>
      </w:r>
      <w:r>
        <w:rPr>
          <w:spacing w:val="12"/>
        </w:rPr>
        <w:t xml:space="preserve"> </w:t>
      </w:r>
      <w:r>
        <w:t>specific</w:t>
      </w:r>
      <w:r>
        <w:rPr>
          <w:spacing w:val="12"/>
        </w:rPr>
        <w:t xml:space="preserve"> </w:t>
      </w:r>
      <w:r>
        <w:t>climate</w:t>
      </w:r>
      <w:r>
        <w:rPr>
          <w:spacing w:val="12"/>
        </w:rPr>
        <w:t xml:space="preserve"> </w:t>
      </w:r>
      <w:r>
        <w:t>transition</w:t>
      </w:r>
      <w:r>
        <w:rPr>
          <w:spacing w:val="12"/>
        </w:rPr>
        <w:t xml:space="preserve"> </w:t>
      </w:r>
      <w:r>
        <w:t>objective</w:t>
      </w:r>
      <w:r>
        <w:rPr>
          <w:spacing w:val="12"/>
        </w:rPr>
        <w:t xml:space="preserve"> </w:t>
      </w:r>
      <w:r>
        <w:t>for</w:t>
      </w:r>
      <w:r>
        <w:rPr>
          <w:spacing w:val="12"/>
        </w:rPr>
        <w:t xml:space="preserve"> </w:t>
      </w:r>
      <w:r>
        <w:t>the</w:t>
      </w:r>
      <w:r>
        <w:rPr>
          <w:spacing w:val="12"/>
        </w:rPr>
        <w:t xml:space="preserve"> </w:t>
      </w:r>
      <w:r>
        <w:t>RBA</w:t>
      </w:r>
      <w:r>
        <w:rPr>
          <w:spacing w:val="12"/>
        </w:rPr>
        <w:t xml:space="preserve"> </w:t>
      </w:r>
      <w:r>
        <w:t>as</w:t>
      </w:r>
      <w:r>
        <w:rPr>
          <w:spacing w:val="12"/>
        </w:rPr>
        <w:t xml:space="preserve"> </w:t>
      </w:r>
      <w:r>
        <w:t>a whole or monetary policy in particular. Monetary policy tools do not provide a targeted response to the issue and using them for this purpose may inadvertently compromise the enduring objectives</w:t>
      </w:r>
      <w:r>
        <w:rPr>
          <w:spacing w:val="80"/>
        </w:rPr>
        <w:t xml:space="preserve"> </w:t>
      </w:r>
      <w:r>
        <w:t>of price stability and full employment. Other government policies are better suited to target climate transition, and public policy choices in this area should be made by elected representatives.</w:t>
      </w:r>
    </w:p>
    <w:p w14:paraId="787BAF44" w14:textId="03E67D26" w:rsidR="007C1F32" w:rsidRPr="007C1F32" w:rsidRDefault="007C1F32" w:rsidP="007C1F32">
      <w:pPr>
        <w:pStyle w:val="Heading2"/>
        <w:rPr>
          <w:rFonts w:ascii="Open Sans"/>
          <w:sz w:val="32"/>
        </w:rPr>
      </w:pPr>
      <w:bookmarkStart w:id="12" w:name="_Toc134220985"/>
      <w:r w:rsidRPr="007C1F32">
        <w:t>3.</w:t>
      </w:r>
      <w:r>
        <w:t xml:space="preserve"> </w:t>
      </w:r>
      <w:r w:rsidRPr="007C1F32">
        <w:t>Stronger</w:t>
      </w:r>
      <w:r w:rsidRPr="007C1F32">
        <w:rPr>
          <w:spacing w:val="-20"/>
        </w:rPr>
        <w:t xml:space="preserve"> </w:t>
      </w:r>
      <w:r w:rsidRPr="007C1F32">
        <w:t>monetary</w:t>
      </w:r>
      <w:r w:rsidRPr="007C1F32">
        <w:rPr>
          <w:spacing w:val="-18"/>
        </w:rPr>
        <w:t xml:space="preserve"> </w:t>
      </w:r>
      <w:r w:rsidRPr="007C1F32">
        <w:t>policy</w:t>
      </w:r>
      <w:r w:rsidRPr="007C1F32">
        <w:rPr>
          <w:spacing w:val="-18"/>
        </w:rPr>
        <w:t xml:space="preserve"> </w:t>
      </w:r>
      <w:r w:rsidRPr="007C1F32">
        <w:t>decision</w:t>
      </w:r>
      <w:r w:rsidRPr="007C1F32">
        <w:rPr>
          <w:spacing w:val="-17"/>
        </w:rPr>
        <w:t xml:space="preserve"> </w:t>
      </w:r>
      <w:r w:rsidRPr="007C1F32">
        <w:t>making and</w:t>
      </w:r>
      <w:r w:rsidRPr="007C1F32">
        <w:rPr>
          <w:rFonts w:ascii="Open Sans"/>
          <w:spacing w:val="-17"/>
          <w:sz w:val="32"/>
        </w:rPr>
        <w:t xml:space="preserve"> </w:t>
      </w:r>
      <w:r w:rsidRPr="007C1F32">
        <w:rPr>
          <w:rFonts w:ascii="Open Sans"/>
          <w:sz w:val="32"/>
        </w:rPr>
        <w:t>accountability</w:t>
      </w:r>
      <w:bookmarkEnd w:id="12"/>
    </w:p>
    <w:p w14:paraId="5A45987B" w14:textId="77777777" w:rsidR="007C1F32" w:rsidRPr="007C1F32" w:rsidRDefault="007C1F32" w:rsidP="007C1F32">
      <w:pPr>
        <w:rPr>
          <w:rFonts w:cs="Calibri Light"/>
        </w:rPr>
      </w:pPr>
      <w:r w:rsidRPr="007C1F32">
        <w:rPr>
          <w:rFonts w:cs="Calibri Light"/>
        </w:rPr>
        <w:t xml:space="preserve">Alongside a clear framework, the RBA needs </w:t>
      </w:r>
      <w:r w:rsidRPr="007C1F32">
        <w:rPr>
          <w:rFonts w:cs="Calibri Light"/>
          <w:b/>
        </w:rPr>
        <w:t xml:space="preserve">effective monetary policy decision-making arrangements </w:t>
      </w:r>
      <w:r w:rsidRPr="007C1F32">
        <w:rPr>
          <w:rFonts w:cs="Calibri Light"/>
        </w:rPr>
        <w:t>to ensure the best possible outcomes for Australians. The Review identifies two key ways in which the current arrangements fall short.</w:t>
      </w:r>
    </w:p>
    <w:p w14:paraId="3AF78AA3" w14:textId="77777777" w:rsidR="007C1F32" w:rsidRDefault="007C1F32" w:rsidP="0000278A">
      <w:pPr>
        <w:pStyle w:val="Bullet"/>
      </w:pPr>
      <w:r>
        <w:t>The Reserve Bank Board’s composition and processes do not enable it to sufficiently scrutinise or challenge the RBA’s underlying economic and financial judgements or policy advice.</w:t>
      </w:r>
    </w:p>
    <w:p w14:paraId="458E74E4" w14:textId="77777777" w:rsidR="007C1F32" w:rsidRDefault="007C1F32" w:rsidP="0000278A">
      <w:pPr>
        <w:pStyle w:val="Bullet"/>
      </w:pPr>
      <w:r>
        <w:t>There is limited information available to the public about the factors driving the Board’s decisions, or how alternative viewpoints or policy options are weighed. Accountability mechanisms for individual Board members are lacking.</w:t>
      </w:r>
    </w:p>
    <w:p w14:paraId="05273B54" w14:textId="77777777" w:rsidR="007C1F32" w:rsidRDefault="007C1F32" w:rsidP="002E01EB">
      <w:r>
        <w:t>These represent opportunities to improve the robustness of the policy process, and public trust and understanding of it. To address these gaps the Review recommends that:</w:t>
      </w:r>
    </w:p>
    <w:p w14:paraId="4D1BB997" w14:textId="77777777" w:rsidR="007C1F32" w:rsidRDefault="007C1F32" w:rsidP="0000278A">
      <w:pPr>
        <w:pStyle w:val="Bullet"/>
      </w:pPr>
      <w:r>
        <w:lastRenderedPageBreak/>
        <w:t>There should be a dedicated Monetary Policy Board with deeper economic and financial expertise,</w:t>
      </w:r>
      <w:r>
        <w:rPr>
          <w:spacing w:val="-7"/>
        </w:rPr>
        <w:t xml:space="preserve"> </w:t>
      </w:r>
      <w:r>
        <w:t>and</w:t>
      </w:r>
      <w:r>
        <w:rPr>
          <w:spacing w:val="-7"/>
        </w:rPr>
        <w:t xml:space="preserve"> </w:t>
      </w:r>
      <w:r>
        <w:t>more</w:t>
      </w:r>
      <w:r>
        <w:rPr>
          <w:spacing w:val="-7"/>
        </w:rPr>
        <w:t xml:space="preserve"> </w:t>
      </w:r>
      <w:r>
        <w:t>information,</w:t>
      </w:r>
      <w:r>
        <w:rPr>
          <w:spacing w:val="-7"/>
        </w:rPr>
        <w:t xml:space="preserve"> </w:t>
      </w:r>
      <w:r>
        <w:t>time</w:t>
      </w:r>
      <w:r>
        <w:rPr>
          <w:spacing w:val="-7"/>
        </w:rPr>
        <w:t xml:space="preserve"> </w:t>
      </w:r>
      <w:r>
        <w:t>and</w:t>
      </w:r>
      <w:r>
        <w:rPr>
          <w:spacing w:val="-7"/>
        </w:rPr>
        <w:t xml:space="preserve"> </w:t>
      </w:r>
      <w:r>
        <w:t>staff</w:t>
      </w:r>
      <w:r>
        <w:rPr>
          <w:spacing w:val="-7"/>
        </w:rPr>
        <w:t xml:space="preserve"> </w:t>
      </w:r>
      <w:r>
        <w:t>support</w:t>
      </w:r>
      <w:r>
        <w:rPr>
          <w:spacing w:val="-7"/>
        </w:rPr>
        <w:t xml:space="preserve"> </w:t>
      </w:r>
      <w:r>
        <w:t>to</w:t>
      </w:r>
      <w:r>
        <w:rPr>
          <w:spacing w:val="-7"/>
        </w:rPr>
        <w:t xml:space="preserve"> </w:t>
      </w:r>
      <w:r>
        <w:t>fully</w:t>
      </w:r>
      <w:r>
        <w:rPr>
          <w:spacing w:val="-7"/>
        </w:rPr>
        <w:t xml:space="preserve"> </w:t>
      </w:r>
      <w:r>
        <w:t>engage</w:t>
      </w:r>
      <w:r>
        <w:rPr>
          <w:spacing w:val="-7"/>
        </w:rPr>
        <w:t xml:space="preserve"> </w:t>
      </w:r>
      <w:r>
        <w:t>in</w:t>
      </w:r>
      <w:r>
        <w:rPr>
          <w:spacing w:val="-7"/>
        </w:rPr>
        <w:t xml:space="preserve"> </w:t>
      </w:r>
      <w:r>
        <w:t>the</w:t>
      </w:r>
      <w:r>
        <w:rPr>
          <w:spacing w:val="-7"/>
        </w:rPr>
        <w:t xml:space="preserve"> </w:t>
      </w:r>
      <w:r>
        <w:t>policy</w:t>
      </w:r>
      <w:r>
        <w:rPr>
          <w:spacing w:val="-7"/>
        </w:rPr>
        <w:t xml:space="preserve"> </w:t>
      </w:r>
      <w:r>
        <w:t>process.</w:t>
      </w:r>
    </w:p>
    <w:p w14:paraId="45E1A16E" w14:textId="61ED6BE1" w:rsidR="007C1F32" w:rsidRDefault="007C1F32" w:rsidP="0000278A">
      <w:pPr>
        <w:pStyle w:val="Bullet"/>
      </w:pPr>
      <w:r>
        <w:t>The</w:t>
      </w:r>
      <w:r>
        <w:rPr>
          <w:spacing w:val="4"/>
        </w:rPr>
        <w:t xml:space="preserve"> </w:t>
      </w:r>
      <w:r>
        <w:t>transparency</w:t>
      </w:r>
      <w:r>
        <w:rPr>
          <w:spacing w:val="6"/>
        </w:rPr>
        <w:t xml:space="preserve"> </w:t>
      </w:r>
      <w:r>
        <w:t>and</w:t>
      </w:r>
      <w:r>
        <w:rPr>
          <w:spacing w:val="7"/>
        </w:rPr>
        <w:t xml:space="preserve"> </w:t>
      </w:r>
      <w:r>
        <w:t>accountability</w:t>
      </w:r>
      <w:r>
        <w:rPr>
          <w:spacing w:val="6"/>
        </w:rPr>
        <w:t xml:space="preserve"> </w:t>
      </w:r>
      <w:r>
        <w:t>arrangements</w:t>
      </w:r>
      <w:r>
        <w:rPr>
          <w:spacing w:val="6"/>
        </w:rPr>
        <w:t xml:space="preserve"> </w:t>
      </w:r>
      <w:r>
        <w:t>around</w:t>
      </w:r>
      <w:r>
        <w:rPr>
          <w:spacing w:val="7"/>
        </w:rPr>
        <w:t xml:space="preserve"> </w:t>
      </w:r>
      <w:r>
        <w:t>monetary</w:t>
      </w:r>
      <w:r>
        <w:rPr>
          <w:spacing w:val="6"/>
        </w:rPr>
        <w:t xml:space="preserve"> </w:t>
      </w:r>
      <w:r>
        <w:t>policy</w:t>
      </w:r>
      <w:r>
        <w:rPr>
          <w:spacing w:val="7"/>
        </w:rPr>
        <w:t xml:space="preserve"> </w:t>
      </w:r>
      <w:r>
        <w:rPr>
          <w:spacing w:val="-2"/>
        </w:rPr>
        <w:t>should</w:t>
      </w:r>
      <w:r w:rsidR="002E01EB">
        <w:rPr>
          <w:spacing w:val="-2"/>
        </w:rPr>
        <w:t xml:space="preserve"> </w:t>
      </w:r>
      <w:r>
        <w:t>be</w:t>
      </w:r>
      <w:r>
        <w:rPr>
          <w:spacing w:val="-1"/>
        </w:rPr>
        <w:t xml:space="preserve"> </w:t>
      </w:r>
      <w:r>
        <w:rPr>
          <w:spacing w:val="-2"/>
        </w:rPr>
        <w:t>strengthened.</w:t>
      </w:r>
    </w:p>
    <w:p w14:paraId="5F2B4304" w14:textId="65EBA090" w:rsidR="007C1F32" w:rsidRDefault="007C1F32" w:rsidP="002E01EB">
      <w:r>
        <w:t>These</w:t>
      </w:r>
      <w:r>
        <w:rPr>
          <w:spacing w:val="-2"/>
        </w:rPr>
        <w:t xml:space="preserve"> </w:t>
      </w:r>
      <w:r>
        <w:t>recommendations aim to</w:t>
      </w:r>
      <w:r>
        <w:rPr>
          <w:spacing w:val="1"/>
        </w:rPr>
        <w:t xml:space="preserve"> </w:t>
      </w:r>
      <w:r>
        <w:t>shift the nature of</w:t>
      </w:r>
      <w:r>
        <w:rPr>
          <w:spacing w:val="1"/>
        </w:rPr>
        <w:t xml:space="preserve"> </w:t>
      </w:r>
      <w:r>
        <w:t>the Board from what</w:t>
      </w:r>
      <w:r>
        <w:rPr>
          <w:spacing w:val="1"/>
        </w:rPr>
        <w:t xml:space="preserve"> </w:t>
      </w:r>
      <w:r>
        <w:t>is in effect an</w:t>
      </w:r>
      <w:r>
        <w:rPr>
          <w:spacing w:val="1"/>
        </w:rPr>
        <w:t xml:space="preserve"> </w:t>
      </w:r>
      <w:r>
        <w:rPr>
          <w:spacing w:val="-2"/>
        </w:rPr>
        <w:t>advisory</w:t>
      </w:r>
      <w:r w:rsidR="002E01EB">
        <w:rPr>
          <w:spacing w:val="-2"/>
        </w:rPr>
        <w:t xml:space="preserve"> </w:t>
      </w:r>
      <w:r>
        <w:t>body</w:t>
      </w:r>
      <w:r>
        <w:rPr>
          <w:spacing w:val="17"/>
        </w:rPr>
        <w:t xml:space="preserve"> </w:t>
      </w:r>
      <w:r>
        <w:t>to</w:t>
      </w:r>
      <w:r>
        <w:rPr>
          <w:spacing w:val="17"/>
        </w:rPr>
        <w:t xml:space="preserve"> </w:t>
      </w:r>
      <w:r>
        <w:t>one</w:t>
      </w:r>
      <w:r>
        <w:rPr>
          <w:spacing w:val="17"/>
        </w:rPr>
        <w:t xml:space="preserve"> </w:t>
      </w:r>
      <w:r>
        <w:t>that</w:t>
      </w:r>
      <w:r>
        <w:rPr>
          <w:spacing w:val="17"/>
        </w:rPr>
        <w:t xml:space="preserve"> </w:t>
      </w:r>
      <w:r>
        <w:t>proactively</w:t>
      </w:r>
      <w:r>
        <w:rPr>
          <w:spacing w:val="17"/>
        </w:rPr>
        <w:t xml:space="preserve"> </w:t>
      </w:r>
      <w:r>
        <w:t>shapes</w:t>
      </w:r>
      <w:r>
        <w:rPr>
          <w:spacing w:val="17"/>
        </w:rPr>
        <w:t xml:space="preserve"> </w:t>
      </w:r>
      <w:r>
        <w:t>policy</w:t>
      </w:r>
      <w:r>
        <w:rPr>
          <w:spacing w:val="17"/>
        </w:rPr>
        <w:t xml:space="preserve"> </w:t>
      </w:r>
      <w:r>
        <w:t>decisions,</w:t>
      </w:r>
      <w:r>
        <w:rPr>
          <w:spacing w:val="17"/>
        </w:rPr>
        <w:t xml:space="preserve"> </w:t>
      </w:r>
      <w:r>
        <w:t>strategy,</w:t>
      </w:r>
      <w:r>
        <w:rPr>
          <w:spacing w:val="17"/>
        </w:rPr>
        <w:t xml:space="preserve"> </w:t>
      </w:r>
      <w:r>
        <w:t>and</w:t>
      </w:r>
      <w:r>
        <w:rPr>
          <w:spacing w:val="17"/>
        </w:rPr>
        <w:t xml:space="preserve"> </w:t>
      </w:r>
      <w:r>
        <w:t>the</w:t>
      </w:r>
      <w:r>
        <w:rPr>
          <w:spacing w:val="17"/>
        </w:rPr>
        <w:t xml:space="preserve"> </w:t>
      </w:r>
      <w:r>
        <w:t>underlying</w:t>
      </w:r>
      <w:r>
        <w:rPr>
          <w:spacing w:val="17"/>
        </w:rPr>
        <w:t xml:space="preserve"> </w:t>
      </w:r>
      <w:r>
        <w:t>analysis and judgements. The Monetary Policy Board and its members should have a clear, strong and independent voice on monetary policy.</w:t>
      </w:r>
    </w:p>
    <w:p w14:paraId="694EC1CE" w14:textId="77777777" w:rsidR="0048381D" w:rsidRDefault="0048381D" w:rsidP="0048381D">
      <w:pPr>
        <w:pStyle w:val="Heading3"/>
      </w:pPr>
      <w:r>
        <w:t>A</w:t>
      </w:r>
      <w:r>
        <w:rPr>
          <w:spacing w:val="-6"/>
        </w:rPr>
        <w:t xml:space="preserve"> </w:t>
      </w:r>
      <w:r>
        <w:t>more</w:t>
      </w:r>
      <w:r>
        <w:rPr>
          <w:spacing w:val="-4"/>
        </w:rPr>
        <w:t xml:space="preserve"> </w:t>
      </w:r>
      <w:r>
        <w:t>expert</w:t>
      </w:r>
      <w:r>
        <w:rPr>
          <w:spacing w:val="-4"/>
        </w:rPr>
        <w:t xml:space="preserve"> </w:t>
      </w:r>
      <w:r>
        <w:t>Monetary</w:t>
      </w:r>
      <w:r>
        <w:rPr>
          <w:spacing w:val="-4"/>
        </w:rPr>
        <w:t xml:space="preserve"> </w:t>
      </w:r>
      <w:r>
        <w:t>Policy</w:t>
      </w:r>
      <w:r>
        <w:rPr>
          <w:spacing w:val="-3"/>
        </w:rPr>
        <w:t xml:space="preserve"> </w:t>
      </w:r>
      <w:r>
        <w:t>Board</w:t>
      </w:r>
      <w:r>
        <w:rPr>
          <w:spacing w:val="-4"/>
        </w:rPr>
        <w:t xml:space="preserve"> </w:t>
      </w:r>
      <w:r>
        <w:t>supported</w:t>
      </w:r>
      <w:r>
        <w:rPr>
          <w:spacing w:val="-4"/>
        </w:rPr>
        <w:t xml:space="preserve"> </w:t>
      </w:r>
      <w:r>
        <w:t>by</w:t>
      </w:r>
      <w:r>
        <w:rPr>
          <w:spacing w:val="-4"/>
        </w:rPr>
        <w:t xml:space="preserve"> </w:t>
      </w:r>
      <w:r>
        <w:t>better</w:t>
      </w:r>
      <w:r>
        <w:rPr>
          <w:spacing w:val="-3"/>
        </w:rPr>
        <w:t xml:space="preserve"> </w:t>
      </w:r>
      <w:r>
        <w:rPr>
          <w:spacing w:val="-2"/>
        </w:rPr>
        <w:t>processes</w:t>
      </w:r>
    </w:p>
    <w:p w14:paraId="4EE6A341" w14:textId="77777777" w:rsidR="0048381D" w:rsidRDefault="0048381D" w:rsidP="0048381D">
      <w:pPr>
        <w:pStyle w:val="Heading4"/>
      </w:pPr>
      <w:r>
        <w:t>Constitute an expert Monetary Policy Board with diverse perspectives and knowledge (Recommendation 8)</w:t>
      </w:r>
    </w:p>
    <w:p w14:paraId="0111CBC2" w14:textId="77777777" w:rsidR="0048381D" w:rsidRDefault="0048381D" w:rsidP="0048381D">
      <w:r>
        <w:t>Currently, the Reserve Bank Board provides only limited challenge to the RBA executive’s view and its skillset is not matched to the complex and uncertain economic environment in which monetary policy will increasingly operate. The external members of the Board have been outstanding leaders in their fields. However, collectively they have less economic and financial market expertise, and spend less time on monetary policy, than decision-making bodies at comparable central banks.</w:t>
      </w:r>
    </w:p>
    <w:p w14:paraId="22C28E78" w14:textId="77777777" w:rsidR="0048381D" w:rsidRDefault="0048381D" w:rsidP="0048381D">
      <w:r>
        <w:t>Monetary policy involves making technical judgements and important trade-offs in an uncertain environment. Combining the judgement of a group of people with deep and relevant expertise provides the best chance of achieving good outcomes.</w:t>
      </w:r>
    </w:p>
    <w:p w14:paraId="67B1A811" w14:textId="1AB1D303" w:rsidR="0048381D" w:rsidRDefault="0048381D" w:rsidP="0048381D">
      <w:r>
        <w:t>The</w:t>
      </w:r>
      <w:r>
        <w:rPr>
          <w:spacing w:val="3"/>
        </w:rPr>
        <w:t xml:space="preserve"> </w:t>
      </w:r>
      <w:r>
        <w:t>Review</w:t>
      </w:r>
      <w:r>
        <w:rPr>
          <w:spacing w:val="3"/>
        </w:rPr>
        <w:t xml:space="preserve"> </w:t>
      </w:r>
      <w:r>
        <w:t>seeks</w:t>
      </w:r>
      <w:r>
        <w:rPr>
          <w:spacing w:val="4"/>
        </w:rPr>
        <w:t xml:space="preserve"> </w:t>
      </w:r>
      <w:r>
        <w:t>to</w:t>
      </w:r>
      <w:r>
        <w:rPr>
          <w:spacing w:val="3"/>
        </w:rPr>
        <w:t xml:space="preserve"> </w:t>
      </w:r>
      <w:r>
        <w:t>raise</w:t>
      </w:r>
      <w:r>
        <w:rPr>
          <w:spacing w:val="4"/>
        </w:rPr>
        <w:t xml:space="preserve"> </w:t>
      </w:r>
      <w:r>
        <w:t>the</w:t>
      </w:r>
      <w:r>
        <w:rPr>
          <w:spacing w:val="3"/>
        </w:rPr>
        <w:t xml:space="preserve"> </w:t>
      </w:r>
      <w:r>
        <w:t>collective</w:t>
      </w:r>
      <w:r>
        <w:rPr>
          <w:spacing w:val="4"/>
        </w:rPr>
        <w:t xml:space="preserve"> </w:t>
      </w:r>
      <w:r>
        <w:t>economic</w:t>
      </w:r>
      <w:r>
        <w:rPr>
          <w:spacing w:val="3"/>
        </w:rPr>
        <w:t xml:space="preserve"> </w:t>
      </w:r>
      <w:r>
        <w:t>and</w:t>
      </w:r>
      <w:r>
        <w:rPr>
          <w:spacing w:val="4"/>
        </w:rPr>
        <w:t xml:space="preserve"> </w:t>
      </w:r>
      <w:r>
        <w:t>financial</w:t>
      </w:r>
      <w:r>
        <w:rPr>
          <w:spacing w:val="3"/>
        </w:rPr>
        <w:t xml:space="preserve"> </w:t>
      </w:r>
      <w:r>
        <w:t>expertise</w:t>
      </w:r>
      <w:r>
        <w:rPr>
          <w:spacing w:val="4"/>
        </w:rPr>
        <w:t xml:space="preserve"> </w:t>
      </w:r>
      <w:r>
        <w:t>of</w:t>
      </w:r>
      <w:r>
        <w:rPr>
          <w:spacing w:val="3"/>
        </w:rPr>
        <w:t xml:space="preserve"> </w:t>
      </w:r>
      <w:r>
        <w:t>monetary</w:t>
      </w:r>
      <w:r>
        <w:rPr>
          <w:spacing w:val="4"/>
        </w:rPr>
        <w:t xml:space="preserve"> </w:t>
      </w:r>
      <w:r>
        <w:rPr>
          <w:spacing w:val="-2"/>
        </w:rPr>
        <w:t xml:space="preserve">policy </w:t>
      </w:r>
      <w:r>
        <w:t>decision</w:t>
      </w:r>
      <w:r>
        <w:rPr>
          <w:spacing w:val="-7"/>
        </w:rPr>
        <w:t xml:space="preserve"> </w:t>
      </w:r>
      <w:r>
        <w:t>makers,</w:t>
      </w:r>
      <w:r>
        <w:rPr>
          <w:spacing w:val="-5"/>
        </w:rPr>
        <w:t xml:space="preserve"> </w:t>
      </w:r>
      <w:r>
        <w:t>while</w:t>
      </w:r>
      <w:r>
        <w:rPr>
          <w:spacing w:val="-4"/>
        </w:rPr>
        <w:t xml:space="preserve"> </w:t>
      </w:r>
      <w:r>
        <w:t>recognising</w:t>
      </w:r>
      <w:r>
        <w:rPr>
          <w:spacing w:val="-5"/>
        </w:rPr>
        <w:t xml:space="preserve"> </w:t>
      </w:r>
      <w:r>
        <w:t>the</w:t>
      </w:r>
      <w:r>
        <w:rPr>
          <w:spacing w:val="-5"/>
        </w:rPr>
        <w:t xml:space="preserve"> </w:t>
      </w:r>
      <w:r>
        <w:t>importance</w:t>
      </w:r>
      <w:r>
        <w:rPr>
          <w:spacing w:val="-4"/>
        </w:rPr>
        <w:t xml:space="preserve"> </w:t>
      </w:r>
      <w:r>
        <w:t>of</w:t>
      </w:r>
      <w:r>
        <w:rPr>
          <w:spacing w:val="-5"/>
        </w:rPr>
        <w:t xml:space="preserve"> </w:t>
      </w:r>
      <w:r>
        <w:t>retaining</w:t>
      </w:r>
      <w:r>
        <w:rPr>
          <w:spacing w:val="-5"/>
        </w:rPr>
        <w:t xml:space="preserve"> </w:t>
      </w:r>
      <w:r>
        <w:t>diverse</w:t>
      </w:r>
      <w:r>
        <w:rPr>
          <w:spacing w:val="-4"/>
        </w:rPr>
        <w:t xml:space="preserve"> </w:t>
      </w:r>
      <w:r>
        <w:t>perspectives</w:t>
      </w:r>
      <w:r>
        <w:rPr>
          <w:spacing w:val="-5"/>
        </w:rPr>
        <w:t xml:space="preserve"> </w:t>
      </w:r>
      <w:r>
        <w:t>and</w:t>
      </w:r>
      <w:r>
        <w:rPr>
          <w:spacing w:val="-4"/>
        </w:rPr>
        <w:t xml:space="preserve"> </w:t>
      </w:r>
      <w:r>
        <w:rPr>
          <w:spacing w:val="-2"/>
        </w:rPr>
        <w:t>knowledge.</w:t>
      </w:r>
    </w:p>
    <w:p w14:paraId="2F132F3D" w14:textId="77777777" w:rsidR="001C42D8" w:rsidRPr="001C42D8" w:rsidRDefault="001C42D8" w:rsidP="001C42D8">
      <w:pPr>
        <w:rPr>
          <w:rFonts w:cs="Calibri Light"/>
        </w:rPr>
      </w:pPr>
      <w:r w:rsidRPr="001C42D8">
        <w:rPr>
          <w:rFonts w:cs="Calibri Light"/>
          <w:b/>
        </w:rPr>
        <w:t xml:space="preserve">Monetary policy should be set by a dedicated Monetary Policy Board </w:t>
      </w:r>
      <w:r w:rsidRPr="001C42D8">
        <w:rPr>
          <w:rFonts w:cs="Calibri Light"/>
        </w:rPr>
        <w:t>whose members bring an independent and informed perspective on monetary policy and are able to robustly challenge</w:t>
      </w:r>
      <w:r w:rsidRPr="001C42D8">
        <w:rPr>
          <w:rFonts w:cs="Calibri Light"/>
          <w:spacing w:val="40"/>
        </w:rPr>
        <w:t xml:space="preserve"> </w:t>
      </w:r>
      <w:r w:rsidRPr="001C42D8">
        <w:rPr>
          <w:rFonts w:cs="Calibri Light"/>
        </w:rPr>
        <w:t>the</w:t>
      </w:r>
      <w:r w:rsidRPr="001C42D8">
        <w:rPr>
          <w:rFonts w:cs="Calibri Light"/>
          <w:spacing w:val="-3"/>
        </w:rPr>
        <w:t xml:space="preserve"> </w:t>
      </w:r>
      <w:r w:rsidRPr="001C42D8">
        <w:rPr>
          <w:rFonts w:cs="Calibri Light"/>
        </w:rPr>
        <w:t>views</w:t>
      </w:r>
      <w:r w:rsidRPr="001C42D8">
        <w:rPr>
          <w:rFonts w:cs="Calibri Light"/>
          <w:spacing w:val="-3"/>
        </w:rPr>
        <w:t xml:space="preserve"> </w:t>
      </w:r>
      <w:r w:rsidRPr="001C42D8">
        <w:rPr>
          <w:rFonts w:cs="Calibri Light"/>
        </w:rPr>
        <w:t>of</w:t>
      </w:r>
      <w:r w:rsidRPr="001C42D8">
        <w:rPr>
          <w:rFonts w:cs="Calibri Light"/>
          <w:spacing w:val="-3"/>
        </w:rPr>
        <w:t xml:space="preserve"> </w:t>
      </w:r>
      <w:r w:rsidRPr="001C42D8">
        <w:rPr>
          <w:rFonts w:cs="Calibri Light"/>
        </w:rPr>
        <w:t>others.</w:t>
      </w:r>
      <w:r w:rsidRPr="001C42D8">
        <w:rPr>
          <w:rFonts w:cs="Calibri Light"/>
          <w:spacing w:val="-3"/>
        </w:rPr>
        <w:t xml:space="preserve"> </w:t>
      </w:r>
      <w:r w:rsidRPr="001C42D8">
        <w:rPr>
          <w:rFonts w:cs="Calibri Light"/>
        </w:rPr>
        <w:t>Members</w:t>
      </w:r>
      <w:r w:rsidRPr="001C42D8">
        <w:rPr>
          <w:rFonts w:cs="Calibri Light"/>
          <w:spacing w:val="-3"/>
        </w:rPr>
        <w:t xml:space="preserve"> </w:t>
      </w:r>
      <w:r w:rsidRPr="001C42D8">
        <w:rPr>
          <w:rFonts w:cs="Calibri Light"/>
        </w:rPr>
        <w:t>should</w:t>
      </w:r>
      <w:r w:rsidRPr="001C42D8">
        <w:rPr>
          <w:rFonts w:cs="Calibri Light"/>
          <w:spacing w:val="-3"/>
        </w:rPr>
        <w:t xml:space="preserve"> </w:t>
      </w:r>
      <w:r w:rsidRPr="001C42D8">
        <w:rPr>
          <w:rFonts w:cs="Calibri Light"/>
        </w:rPr>
        <w:t>be</w:t>
      </w:r>
      <w:r w:rsidRPr="001C42D8">
        <w:rPr>
          <w:rFonts w:cs="Calibri Light"/>
          <w:spacing w:val="-3"/>
        </w:rPr>
        <w:t xml:space="preserve"> </w:t>
      </w:r>
      <w:r w:rsidRPr="001C42D8">
        <w:rPr>
          <w:rFonts w:cs="Calibri Light"/>
        </w:rPr>
        <w:t>able</w:t>
      </w:r>
      <w:r w:rsidRPr="001C42D8">
        <w:rPr>
          <w:rFonts w:cs="Calibri Light"/>
          <w:spacing w:val="-3"/>
        </w:rPr>
        <w:t xml:space="preserve"> </w:t>
      </w:r>
      <w:r w:rsidRPr="001C42D8">
        <w:rPr>
          <w:rFonts w:cs="Calibri Light"/>
        </w:rPr>
        <w:t>to</w:t>
      </w:r>
      <w:r w:rsidRPr="001C42D8">
        <w:rPr>
          <w:rFonts w:cs="Calibri Light"/>
          <w:spacing w:val="-3"/>
        </w:rPr>
        <w:t xml:space="preserve"> </w:t>
      </w:r>
      <w:r w:rsidRPr="001C42D8">
        <w:rPr>
          <w:rFonts w:cs="Calibri Light"/>
        </w:rPr>
        <w:t>make</w:t>
      </w:r>
      <w:r w:rsidRPr="001C42D8">
        <w:rPr>
          <w:rFonts w:cs="Calibri Light"/>
          <w:spacing w:val="-3"/>
        </w:rPr>
        <w:t xml:space="preserve"> </w:t>
      </w:r>
      <w:r w:rsidRPr="001C42D8">
        <w:rPr>
          <w:rFonts w:cs="Calibri Light"/>
        </w:rPr>
        <w:t>a</w:t>
      </w:r>
      <w:r w:rsidRPr="001C42D8">
        <w:rPr>
          <w:rFonts w:cs="Calibri Light"/>
          <w:spacing w:val="-3"/>
        </w:rPr>
        <w:t xml:space="preserve"> </w:t>
      </w:r>
      <w:r w:rsidRPr="001C42D8">
        <w:rPr>
          <w:rFonts w:cs="Calibri Light"/>
        </w:rPr>
        <w:t>significant</w:t>
      </w:r>
      <w:r w:rsidRPr="001C42D8">
        <w:rPr>
          <w:rFonts w:cs="Calibri Light"/>
          <w:spacing w:val="-3"/>
        </w:rPr>
        <w:t xml:space="preserve"> </w:t>
      </w:r>
      <w:r w:rsidRPr="001C42D8">
        <w:rPr>
          <w:rFonts w:cs="Calibri Light"/>
        </w:rPr>
        <w:t>contribution</w:t>
      </w:r>
      <w:r w:rsidRPr="001C42D8">
        <w:rPr>
          <w:rFonts w:cs="Calibri Light"/>
          <w:spacing w:val="-3"/>
        </w:rPr>
        <w:t xml:space="preserve"> </w:t>
      </w:r>
      <w:r w:rsidRPr="001C42D8">
        <w:rPr>
          <w:rFonts w:cs="Calibri Light"/>
        </w:rPr>
        <w:t>to</w:t>
      </w:r>
      <w:r w:rsidRPr="001C42D8">
        <w:rPr>
          <w:rFonts w:cs="Calibri Light"/>
          <w:spacing w:val="-3"/>
        </w:rPr>
        <w:t xml:space="preserve"> </w:t>
      </w:r>
      <w:r w:rsidRPr="001C42D8">
        <w:rPr>
          <w:rFonts w:cs="Calibri Light"/>
        </w:rPr>
        <w:t>decisions</w:t>
      </w:r>
      <w:r w:rsidRPr="001C42D8">
        <w:rPr>
          <w:rFonts w:cs="Calibri Light"/>
          <w:spacing w:val="-3"/>
        </w:rPr>
        <w:t xml:space="preserve"> </w:t>
      </w:r>
      <w:r w:rsidRPr="001C42D8">
        <w:rPr>
          <w:rFonts w:cs="Calibri Light"/>
        </w:rPr>
        <w:t>through expertise in areas such as open-economy macroeconomics, the financial system, labour markets,</w:t>
      </w:r>
      <w:r w:rsidRPr="001C42D8">
        <w:rPr>
          <w:rFonts w:cs="Calibri Light"/>
          <w:spacing w:val="80"/>
          <w:w w:val="150"/>
        </w:rPr>
        <w:t xml:space="preserve"> </w:t>
      </w:r>
      <w:r w:rsidRPr="001C42D8">
        <w:rPr>
          <w:rFonts w:cs="Calibri Light"/>
        </w:rPr>
        <w:t>or the supply side of the economy, and in the context of decision making under uncertainty.</w:t>
      </w:r>
    </w:p>
    <w:p w14:paraId="0E0813A0" w14:textId="77777777" w:rsidR="001C42D8" w:rsidRPr="001C42D8" w:rsidRDefault="001C42D8" w:rsidP="001C42D8">
      <w:pPr>
        <w:rPr>
          <w:rFonts w:cs="Calibri Light"/>
        </w:rPr>
      </w:pPr>
      <w:r w:rsidRPr="001C42D8">
        <w:rPr>
          <w:rFonts w:cs="Calibri Light"/>
        </w:rPr>
        <w:t>The appointments process for Monetary Policy Board members should be made more open, transparent and skills-based to support this. It is expected that members could include business leaders or others with relevant expertise alongside academic and professional economists.</w:t>
      </w:r>
    </w:p>
    <w:p w14:paraId="1157600D" w14:textId="717D3420" w:rsidR="001C42D8" w:rsidRPr="001C42D8" w:rsidRDefault="001C42D8" w:rsidP="001C42D8">
      <w:pPr>
        <w:rPr>
          <w:rFonts w:cs="Calibri Light"/>
        </w:rPr>
      </w:pPr>
      <w:r w:rsidRPr="001C42D8">
        <w:rPr>
          <w:rFonts w:cs="Calibri Light"/>
        </w:rPr>
        <w:t>The</w:t>
      </w:r>
      <w:r w:rsidRPr="001C42D8">
        <w:rPr>
          <w:rFonts w:cs="Calibri Light"/>
          <w:spacing w:val="5"/>
        </w:rPr>
        <w:t xml:space="preserve"> </w:t>
      </w:r>
      <w:r w:rsidRPr="001C42D8">
        <w:rPr>
          <w:rFonts w:cs="Calibri Light"/>
        </w:rPr>
        <w:t>Monetary</w:t>
      </w:r>
      <w:r w:rsidRPr="001C42D8">
        <w:rPr>
          <w:rFonts w:cs="Calibri Light"/>
          <w:spacing w:val="6"/>
        </w:rPr>
        <w:t xml:space="preserve"> </w:t>
      </w:r>
      <w:r w:rsidRPr="001C42D8">
        <w:rPr>
          <w:rFonts w:cs="Calibri Light"/>
        </w:rPr>
        <w:t>Policy</w:t>
      </w:r>
      <w:r w:rsidRPr="001C42D8">
        <w:rPr>
          <w:rFonts w:cs="Calibri Light"/>
          <w:spacing w:val="6"/>
        </w:rPr>
        <w:t xml:space="preserve"> </w:t>
      </w:r>
      <w:r w:rsidRPr="001C42D8">
        <w:rPr>
          <w:rFonts w:cs="Calibri Light"/>
        </w:rPr>
        <w:t>Board</w:t>
      </w:r>
      <w:r w:rsidRPr="001C42D8">
        <w:rPr>
          <w:rFonts w:cs="Calibri Light"/>
          <w:spacing w:val="6"/>
        </w:rPr>
        <w:t xml:space="preserve"> </w:t>
      </w:r>
      <w:r w:rsidRPr="001C42D8">
        <w:rPr>
          <w:rFonts w:cs="Calibri Light"/>
        </w:rPr>
        <w:t>should</w:t>
      </w:r>
      <w:r w:rsidRPr="001C42D8">
        <w:rPr>
          <w:rFonts w:cs="Calibri Light"/>
          <w:spacing w:val="5"/>
        </w:rPr>
        <w:t xml:space="preserve"> </w:t>
      </w:r>
      <w:r w:rsidRPr="001C42D8">
        <w:rPr>
          <w:rFonts w:cs="Calibri Light"/>
        </w:rPr>
        <w:t>oversee</w:t>
      </w:r>
      <w:r w:rsidRPr="001C42D8">
        <w:rPr>
          <w:rFonts w:cs="Calibri Light"/>
          <w:spacing w:val="6"/>
        </w:rPr>
        <w:t xml:space="preserve"> </w:t>
      </w:r>
      <w:r w:rsidRPr="001C42D8">
        <w:rPr>
          <w:rFonts w:cs="Calibri Light"/>
        </w:rPr>
        <w:t>financial</w:t>
      </w:r>
      <w:r w:rsidRPr="001C42D8">
        <w:rPr>
          <w:rFonts w:cs="Calibri Light"/>
          <w:spacing w:val="6"/>
        </w:rPr>
        <w:t xml:space="preserve"> </w:t>
      </w:r>
      <w:r w:rsidRPr="001C42D8">
        <w:rPr>
          <w:rFonts w:cs="Calibri Light"/>
        </w:rPr>
        <w:t>stability</w:t>
      </w:r>
      <w:r w:rsidRPr="001C42D8">
        <w:rPr>
          <w:rFonts w:cs="Calibri Light"/>
          <w:spacing w:val="6"/>
        </w:rPr>
        <w:t xml:space="preserve"> </w:t>
      </w:r>
      <w:r w:rsidRPr="001C42D8">
        <w:rPr>
          <w:rFonts w:cs="Calibri Light"/>
        </w:rPr>
        <w:t>policy</w:t>
      </w:r>
      <w:r w:rsidRPr="001C42D8">
        <w:rPr>
          <w:rFonts w:cs="Calibri Light"/>
          <w:spacing w:val="5"/>
        </w:rPr>
        <w:t xml:space="preserve"> </w:t>
      </w:r>
      <w:r w:rsidRPr="001C42D8">
        <w:rPr>
          <w:rFonts w:cs="Calibri Light"/>
        </w:rPr>
        <w:t>(excluding</w:t>
      </w:r>
      <w:r w:rsidRPr="001C42D8">
        <w:rPr>
          <w:rFonts w:cs="Calibri Light"/>
          <w:spacing w:val="6"/>
        </w:rPr>
        <w:t xml:space="preserve"> </w:t>
      </w:r>
      <w:r w:rsidRPr="001C42D8">
        <w:rPr>
          <w:rFonts w:cs="Calibri Light"/>
        </w:rPr>
        <w:t>payments</w:t>
      </w:r>
      <w:r w:rsidRPr="001C42D8">
        <w:rPr>
          <w:rFonts w:cs="Calibri Light"/>
          <w:spacing w:val="6"/>
        </w:rPr>
        <w:t xml:space="preserve"> </w:t>
      </w:r>
      <w:r w:rsidRPr="001C42D8">
        <w:rPr>
          <w:rFonts w:cs="Calibri Light"/>
        </w:rPr>
        <w:t>policy),</w:t>
      </w:r>
      <w:r w:rsidRPr="001C42D8">
        <w:rPr>
          <w:rFonts w:cs="Calibri Light"/>
          <w:spacing w:val="6"/>
        </w:rPr>
        <w:t xml:space="preserve"> </w:t>
      </w:r>
      <w:r w:rsidRPr="001C42D8">
        <w:rPr>
          <w:rFonts w:cs="Calibri Light"/>
          <w:spacing w:val="-5"/>
        </w:rPr>
        <w:t>but</w:t>
      </w:r>
      <w:r>
        <w:rPr>
          <w:rFonts w:cs="Calibri Light"/>
          <w:spacing w:val="-5"/>
        </w:rPr>
        <w:t xml:space="preserve"> </w:t>
      </w:r>
      <w:r w:rsidRPr="001C42D8">
        <w:rPr>
          <w:rFonts w:cs="Calibri Light"/>
        </w:rPr>
        <w:t>not</w:t>
      </w:r>
      <w:r w:rsidRPr="001C42D8">
        <w:rPr>
          <w:rFonts w:cs="Calibri Light"/>
          <w:spacing w:val="-1"/>
        </w:rPr>
        <w:t xml:space="preserve"> </w:t>
      </w:r>
      <w:r w:rsidRPr="001C42D8">
        <w:rPr>
          <w:rFonts w:cs="Calibri Light"/>
        </w:rPr>
        <w:t>the</w:t>
      </w:r>
      <w:r w:rsidRPr="001C42D8">
        <w:rPr>
          <w:rFonts w:cs="Calibri Light"/>
          <w:spacing w:val="-1"/>
        </w:rPr>
        <w:t xml:space="preserve"> </w:t>
      </w:r>
      <w:r w:rsidRPr="001C42D8">
        <w:rPr>
          <w:rFonts w:cs="Calibri Light"/>
        </w:rPr>
        <w:t>broader</w:t>
      </w:r>
      <w:r w:rsidRPr="001C42D8">
        <w:rPr>
          <w:rFonts w:cs="Calibri Light"/>
          <w:spacing w:val="-1"/>
        </w:rPr>
        <w:t xml:space="preserve"> </w:t>
      </w:r>
      <w:r w:rsidRPr="001C42D8">
        <w:rPr>
          <w:rFonts w:cs="Calibri Light"/>
        </w:rPr>
        <w:t>corporate governance</w:t>
      </w:r>
      <w:r w:rsidRPr="001C42D8">
        <w:rPr>
          <w:rFonts w:cs="Calibri Light"/>
          <w:spacing w:val="-1"/>
        </w:rPr>
        <w:t xml:space="preserve"> </w:t>
      </w:r>
      <w:r w:rsidRPr="001C42D8">
        <w:rPr>
          <w:rFonts w:cs="Calibri Light"/>
        </w:rPr>
        <w:t>of</w:t>
      </w:r>
      <w:r w:rsidRPr="001C42D8">
        <w:rPr>
          <w:rFonts w:cs="Calibri Light"/>
          <w:spacing w:val="-1"/>
        </w:rPr>
        <w:t xml:space="preserve"> </w:t>
      </w:r>
      <w:r w:rsidRPr="001C42D8">
        <w:rPr>
          <w:rFonts w:cs="Calibri Light"/>
        </w:rPr>
        <w:t xml:space="preserve">the </w:t>
      </w:r>
      <w:r w:rsidRPr="001C42D8">
        <w:rPr>
          <w:rFonts w:cs="Calibri Light"/>
          <w:spacing w:val="-4"/>
        </w:rPr>
        <w:t>RBA.</w:t>
      </w:r>
    </w:p>
    <w:p w14:paraId="600C87B2" w14:textId="77777777" w:rsidR="001C42D8" w:rsidRPr="001C42D8" w:rsidRDefault="001C42D8" w:rsidP="001C42D8">
      <w:pPr>
        <w:rPr>
          <w:rFonts w:cs="Calibri Light"/>
        </w:rPr>
      </w:pPr>
      <w:r w:rsidRPr="001C42D8">
        <w:rPr>
          <w:rFonts w:cs="Calibri Light"/>
        </w:rPr>
        <w:t>The Treasury Secretary plays a valuable role on the Reserve Bank Board and should remain a member of the Monetary Policy Board. Although this is unusual by international standards, the Review notes that the Secretary is well positioned to bring a different perspective and plays an important role as an information conduit between monetary and fiscal policy. However, it should be absolutely clear that the Treasury Secretary acts independently of Government in their role on the Monetary Policy Board. The RBA Act should specify that the Secretary cannot be directed by the Treasurer in this regard.</w:t>
      </w:r>
    </w:p>
    <w:p w14:paraId="73C44CBB" w14:textId="77777777" w:rsidR="00312514" w:rsidRDefault="00312514" w:rsidP="00312514">
      <w:pPr>
        <w:pStyle w:val="Heading4"/>
      </w:pPr>
      <w:r>
        <w:t>Improve processes to support deeper consideration of monetary policy decisions, strategy and research (Recommendation 9)</w:t>
      </w:r>
    </w:p>
    <w:p w14:paraId="17971CBB" w14:textId="1BF9773A" w:rsidR="00EE3B1B" w:rsidRDefault="00EE3B1B" w:rsidP="00EE3B1B">
      <w:r>
        <w:t>Effective</w:t>
      </w:r>
      <w:r>
        <w:rPr>
          <w:spacing w:val="2"/>
        </w:rPr>
        <w:t xml:space="preserve"> </w:t>
      </w:r>
      <w:r>
        <w:t>decision-making</w:t>
      </w:r>
      <w:r>
        <w:rPr>
          <w:spacing w:val="4"/>
        </w:rPr>
        <w:t xml:space="preserve"> </w:t>
      </w:r>
      <w:r>
        <w:t>depends</w:t>
      </w:r>
      <w:r>
        <w:rPr>
          <w:spacing w:val="5"/>
        </w:rPr>
        <w:t xml:space="preserve"> </w:t>
      </w:r>
      <w:r>
        <w:t>on</w:t>
      </w:r>
      <w:r>
        <w:rPr>
          <w:spacing w:val="4"/>
        </w:rPr>
        <w:t xml:space="preserve"> </w:t>
      </w:r>
      <w:r>
        <w:t>having</w:t>
      </w:r>
      <w:r>
        <w:rPr>
          <w:spacing w:val="4"/>
        </w:rPr>
        <w:t xml:space="preserve"> </w:t>
      </w:r>
      <w:r>
        <w:t>both</w:t>
      </w:r>
      <w:r>
        <w:rPr>
          <w:spacing w:val="5"/>
        </w:rPr>
        <w:t xml:space="preserve"> </w:t>
      </w:r>
      <w:r>
        <w:t>the</w:t>
      </w:r>
      <w:r>
        <w:rPr>
          <w:spacing w:val="4"/>
        </w:rPr>
        <w:t xml:space="preserve"> </w:t>
      </w:r>
      <w:r>
        <w:t>necessary</w:t>
      </w:r>
      <w:r>
        <w:rPr>
          <w:spacing w:val="4"/>
        </w:rPr>
        <w:t xml:space="preserve"> </w:t>
      </w:r>
      <w:r>
        <w:t>expertise</w:t>
      </w:r>
      <w:r>
        <w:rPr>
          <w:spacing w:val="5"/>
        </w:rPr>
        <w:t xml:space="preserve"> </w:t>
      </w:r>
      <w:r>
        <w:t>and</w:t>
      </w:r>
      <w:r>
        <w:rPr>
          <w:spacing w:val="4"/>
        </w:rPr>
        <w:t xml:space="preserve"> </w:t>
      </w:r>
      <w:r>
        <w:t>the</w:t>
      </w:r>
      <w:r>
        <w:rPr>
          <w:spacing w:val="5"/>
        </w:rPr>
        <w:t xml:space="preserve"> </w:t>
      </w:r>
      <w:r>
        <w:rPr>
          <w:spacing w:val="-2"/>
        </w:rPr>
        <w:t xml:space="preserve">right </w:t>
      </w:r>
      <w:r>
        <w:t>supporting</w:t>
      </w:r>
      <w:r>
        <w:rPr>
          <w:spacing w:val="9"/>
        </w:rPr>
        <w:t xml:space="preserve"> </w:t>
      </w:r>
      <w:r>
        <w:rPr>
          <w:spacing w:val="-2"/>
        </w:rPr>
        <w:t>processes.</w:t>
      </w:r>
    </w:p>
    <w:p w14:paraId="1B35EC9B" w14:textId="77777777" w:rsidR="00EE3B1B" w:rsidRDefault="00EE3B1B" w:rsidP="00EE3B1B">
      <w:r>
        <w:lastRenderedPageBreak/>
        <w:t>The Reserve Bank Board’s current processes do not provide members with enough information, time or support to sufficiently explore policy options and strategies or to challenge RBA views. Moreover,</w:t>
      </w:r>
      <w:r>
        <w:rPr>
          <w:spacing w:val="-1"/>
        </w:rPr>
        <w:t xml:space="preserve"> </w:t>
      </w:r>
      <w:r>
        <w:t>on</w:t>
      </w:r>
      <w:r>
        <w:rPr>
          <w:spacing w:val="-1"/>
        </w:rPr>
        <w:t xml:space="preserve"> </w:t>
      </w:r>
      <w:r>
        <w:t>some</w:t>
      </w:r>
      <w:r>
        <w:rPr>
          <w:spacing w:val="-1"/>
        </w:rPr>
        <w:t xml:space="preserve"> </w:t>
      </w:r>
      <w:r>
        <w:t>occasions</w:t>
      </w:r>
      <w:r>
        <w:rPr>
          <w:spacing w:val="-1"/>
        </w:rPr>
        <w:t xml:space="preserve"> </w:t>
      </w:r>
      <w:r>
        <w:t>the</w:t>
      </w:r>
      <w:r>
        <w:rPr>
          <w:spacing w:val="-1"/>
        </w:rPr>
        <w:t xml:space="preserve"> </w:t>
      </w:r>
      <w:r>
        <w:t>Board</w:t>
      </w:r>
      <w:r>
        <w:rPr>
          <w:spacing w:val="-1"/>
        </w:rPr>
        <w:t xml:space="preserve"> </w:t>
      </w:r>
      <w:r>
        <w:t>has</w:t>
      </w:r>
      <w:r>
        <w:rPr>
          <w:spacing w:val="-1"/>
        </w:rPr>
        <w:t xml:space="preserve"> </w:t>
      </w:r>
      <w:r>
        <w:t>not</w:t>
      </w:r>
      <w:r>
        <w:rPr>
          <w:spacing w:val="-1"/>
        </w:rPr>
        <w:t xml:space="preserve"> </w:t>
      </w:r>
      <w:r>
        <w:t>requested</w:t>
      </w:r>
      <w:r>
        <w:rPr>
          <w:spacing w:val="-1"/>
        </w:rPr>
        <w:t xml:space="preserve"> </w:t>
      </w:r>
      <w:r>
        <w:t>or</w:t>
      </w:r>
      <w:r>
        <w:rPr>
          <w:spacing w:val="-1"/>
        </w:rPr>
        <w:t xml:space="preserve"> </w:t>
      </w:r>
      <w:r>
        <w:t>been</w:t>
      </w:r>
      <w:r>
        <w:rPr>
          <w:spacing w:val="-1"/>
        </w:rPr>
        <w:t xml:space="preserve"> </w:t>
      </w:r>
      <w:r>
        <w:t>given</w:t>
      </w:r>
      <w:r>
        <w:rPr>
          <w:spacing w:val="-1"/>
        </w:rPr>
        <w:t xml:space="preserve"> </w:t>
      </w:r>
      <w:r>
        <w:t>information</w:t>
      </w:r>
      <w:r>
        <w:rPr>
          <w:spacing w:val="-1"/>
        </w:rPr>
        <w:t xml:space="preserve"> </w:t>
      </w:r>
      <w:r>
        <w:t>relevant</w:t>
      </w:r>
      <w:r>
        <w:rPr>
          <w:spacing w:val="-1"/>
        </w:rPr>
        <w:t xml:space="preserve"> </w:t>
      </w:r>
      <w:r>
        <w:t>to its decisions or has not been fully involved in significant policy decisions.</w:t>
      </w:r>
    </w:p>
    <w:p w14:paraId="7CC9BD0D" w14:textId="7EC2B266" w:rsidR="00FE414B" w:rsidRDefault="00EE3B1B" w:rsidP="00EE3B1B">
      <w:pPr>
        <w:rPr>
          <w:rFonts w:cs="Calibri Light"/>
        </w:rPr>
      </w:pPr>
      <w:r w:rsidRPr="00EE3B1B">
        <w:rPr>
          <w:rFonts w:cs="Calibri Light"/>
        </w:rPr>
        <w:t xml:space="preserve">The RBA and Monetary Policy Board should make changes to </w:t>
      </w:r>
      <w:r w:rsidRPr="00EE3B1B">
        <w:rPr>
          <w:rFonts w:cs="Calibri Light"/>
          <w:b/>
        </w:rPr>
        <w:t xml:space="preserve">deepen the Board’s deliberation on monetary policy </w:t>
      </w:r>
      <w:r w:rsidRPr="00EE3B1B">
        <w:rPr>
          <w:rFonts w:cs="Calibri Light"/>
        </w:rPr>
        <w:t>and ensure it is open to a wide range of inputs. These include:</w:t>
      </w:r>
    </w:p>
    <w:p w14:paraId="484A3270" w14:textId="77777777" w:rsidR="001F0C93" w:rsidRDefault="001F0C93" w:rsidP="0000278A">
      <w:pPr>
        <w:pStyle w:val="Bullet"/>
      </w:pPr>
      <w:r>
        <w:t>moving to</w:t>
      </w:r>
      <w:r>
        <w:rPr>
          <w:spacing w:val="2"/>
        </w:rPr>
        <w:t xml:space="preserve"> </w:t>
      </w:r>
      <w:r>
        <w:t>fewer</w:t>
      </w:r>
      <w:r>
        <w:rPr>
          <w:spacing w:val="3"/>
        </w:rPr>
        <w:t xml:space="preserve"> </w:t>
      </w:r>
      <w:r>
        <w:t>policy</w:t>
      </w:r>
      <w:r>
        <w:rPr>
          <w:spacing w:val="2"/>
        </w:rPr>
        <w:t xml:space="preserve"> </w:t>
      </w:r>
      <w:r>
        <w:t>meetings</w:t>
      </w:r>
      <w:r>
        <w:rPr>
          <w:spacing w:val="3"/>
        </w:rPr>
        <w:t xml:space="preserve"> </w:t>
      </w:r>
      <w:r>
        <w:t>but</w:t>
      </w:r>
      <w:r>
        <w:rPr>
          <w:spacing w:val="2"/>
        </w:rPr>
        <w:t xml:space="preserve"> </w:t>
      </w:r>
      <w:r>
        <w:t>increasing</w:t>
      </w:r>
      <w:r>
        <w:rPr>
          <w:spacing w:val="3"/>
        </w:rPr>
        <w:t xml:space="preserve"> </w:t>
      </w:r>
      <w:r>
        <w:t>the</w:t>
      </w:r>
      <w:r>
        <w:rPr>
          <w:spacing w:val="2"/>
        </w:rPr>
        <w:t xml:space="preserve"> </w:t>
      </w:r>
      <w:r>
        <w:t>time</w:t>
      </w:r>
      <w:r>
        <w:rPr>
          <w:spacing w:val="2"/>
        </w:rPr>
        <w:t xml:space="preserve"> </w:t>
      </w:r>
      <w:r>
        <w:t>spent</w:t>
      </w:r>
      <w:r>
        <w:rPr>
          <w:spacing w:val="3"/>
        </w:rPr>
        <w:t xml:space="preserve"> </w:t>
      </w:r>
      <w:r>
        <w:t>on</w:t>
      </w:r>
      <w:r>
        <w:rPr>
          <w:spacing w:val="2"/>
        </w:rPr>
        <w:t xml:space="preserve"> </w:t>
      </w:r>
      <w:r>
        <w:t>monetary</w:t>
      </w:r>
      <w:r>
        <w:rPr>
          <w:spacing w:val="3"/>
        </w:rPr>
        <w:t xml:space="preserve"> </w:t>
      </w:r>
      <w:r>
        <w:t>policy</w:t>
      </w:r>
      <w:r>
        <w:rPr>
          <w:spacing w:val="2"/>
        </w:rPr>
        <w:t xml:space="preserve"> </w:t>
      </w:r>
      <w:r>
        <w:t>and</w:t>
      </w:r>
      <w:r>
        <w:rPr>
          <w:spacing w:val="3"/>
        </w:rPr>
        <w:t xml:space="preserve"> </w:t>
      </w:r>
      <w:r>
        <w:rPr>
          <w:spacing w:val="-2"/>
        </w:rPr>
        <w:t>strategy</w:t>
      </w:r>
    </w:p>
    <w:p w14:paraId="617DD657" w14:textId="77777777" w:rsidR="001F0C93" w:rsidRDefault="001F0C93" w:rsidP="0000278A">
      <w:pPr>
        <w:pStyle w:val="Bullet"/>
      </w:pPr>
      <w:r>
        <w:t>providing opportunities for Board members to hear the views of a wider range of RBA staff and giving external Monetary Policy Board members staff support</w:t>
      </w:r>
    </w:p>
    <w:p w14:paraId="6B5AFD8B" w14:textId="2E0FDBE0" w:rsidR="001F0C93" w:rsidRDefault="001F0C93" w:rsidP="0000278A">
      <w:pPr>
        <w:pStyle w:val="Bullet"/>
      </w:pPr>
      <w:r>
        <w:t>increasing</w:t>
      </w:r>
      <w:r w:rsidRPr="001F0C93">
        <w:rPr>
          <w:spacing w:val="2"/>
        </w:rPr>
        <w:t xml:space="preserve"> </w:t>
      </w:r>
      <w:r>
        <w:t>the</w:t>
      </w:r>
      <w:r w:rsidRPr="001F0C93">
        <w:rPr>
          <w:spacing w:val="3"/>
        </w:rPr>
        <w:t xml:space="preserve"> </w:t>
      </w:r>
      <w:r>
        <w:t>forecasting</w:t>
      </w:r>
      <w:r w:rsidRPr="001F0C93">
        <w:rPr>
          <w:spacing w:val="2"/>
        </w:rPr>
        <w:t xml:space="preserve"> </w:t>
      </w:r>
      <w:r>
        <w:t>and</w:t>
      </w:r>
      <w:r w:rsidRPr="001F0C93">
        <w:rPr>
          <w:spacing w:val="3"/>
        </w:rPr>
        <w:t xml:space="preserve"> </w:t>
      </w:r>
      <w:r>
        <w:t>macroeconometric</w:t>
      </w:r>
      <w:r w:rsidRPr="001F0C93">
        <w:rPr>
          <w:spacing w:val="3"/>
        </w:rPr>
        <w:t xml:space="preserve"> </w:t>
      </w:r>
      <w:r>
        <w:t>modelling</w:t>
      </w:r>
      <w:r w:rsidRPr="001F0C93">
        <w:rPr>
          <w:spacing w:val="2"/>
        </w:rPr>
        <w:t xml:space="preserve"> </w:t>
      </w:r>
      <w:r>
        <w:t>capability</w:t>
      </w:r>
      <w:r w:rsidRPr="001F0C93">
        <w:rPr>
          <w:spacing w:val="3"/>
        </w:rPr>
        <w:t xml:space="preserve"> </w:t>
      </w:r>
      <w:r>
        <w:t>of</w:t>
      </w:r>
      <w:r w:rsidRPr="001F0C93">
        <w:rPr>
          <w:spacing w:val="3"/>
        </w:rPr>
        <w:t xml:space="preserve"> </w:t>
      </w:r>
      <w:r>
        <w:t>RBA</w:t>
      </w:r>
      <w:r w:rsidRPr="001F0C93">
        <w:rPr>
          <w:spacing w:val="2"/>
        </w:rPr>
        <w:t xml:space="preserve"> </w:t>
      </w:r>
      <w:r>
        <w:t>staff</w:t>
      </w:r>
      <w:r w:rsidRPr="001F0C93">
        <w:rPr>
          <w:spacing w:val="3"/>
        </w:rPr>
        <w:t xml:space="preserve"> </w:t>
      </w:r>
      <w:r>
        <w:t>and</w:t>
      </w:r>
      <w:r w:rsidRPr="001F0C93">
        <w:rPr>
          <w:spacing w:val="3"/>
        </w:rPr>
        <w:t xml:space="preserve"> </w:t>
      </w:r>
      <w:r w:rsidRPr="001F0C93">
        <w:rPr>
          <w:spacing w:val="-2"/>
        </w:rPr>
        <w:t>ensuring</w:t>
      </w:r>
      <w:r>
        <w:rPr>
          <w:spacing w:val="-2"/>
        </w:rPr>
        <w:t xml:space="preserve"> </w:t>
      </w:r>
      <w:r>
        <w:t>that decisions</w:t>
      </w:r>
      <w:r w:rsidRPr="001F0C93">
        <w:rPr>
          <w:spacing w:val="1"/>
        </w:rPr>
        <w:t xml:space="preserve"> </w:t>
      </w:r>
      <w:r>
        <w:t>are</w:t>
      </w:r>
      <w:r w:rsidRPr="001F0C93">
        <w:rPr>
          <w:spacing w:val="1"/>
        </w:rPr>
        <w:t xml:space="preserve"> </w:t>
      </w:r>
      <w:r>
        <w:t>informed</w:t>
      </w:r>
      <w:r w:rsidRPr="001F0C93">
        <w:rPr>
          <w:spacing w:val="1"/>
        </w:rPr>
        <w:t xml:space="preserve"> </w:t>
      </w:r>
      <w:r>
        <w:t>by</w:t>
      </w:r>
      <w:r w:rsidRPr="001F0C93">
        <w:rPr>
          <w:spacing w:val="1"/>
        </w:rPr>
        <w:t xml:space="preserve"> </w:t>
      </w:r>
      <w:r>
        <w:t>the</w:t>
      </w:r>
      <w:r w:rsidRPr="001F0C93">
        <w:rPr>
          <w:spacing w:val="1"/>
        </w:rPr>
        <w:t xml:space="preserve"> </w:t>
      </w:r>
      <w:r>
        <w:t>best</w:t>
      </w:r>
      <w:r w:rsidRPr="001F0C93">
        <w:rPr>
          <w:spacing w:val="1"/>
        </w:rPr>
        <w:t xml:space="preserve"> </w:t>
      </w:r>
      <w:r>
        <w:t>possible</w:t>
      </w:r>
      <w:r w:rsidRPr="001F0C93">
        <w:rPr>
          <w:spacing w:val="1"/>
        </w:rPr>
        <w:t xml:space="preserve"> </w:t>
      </w:r>
      <w:r w:rsidRPr="001F0C93">
        <w:rPr>
          <w:spacing w:val="-4"/>
        </w:rPr>
        <w:t>data</w:t>
      </w:r>
    </w:p>
    <w:p w14:paraId="1CBDBCCD" w14:textId="77777777" w:rsidR="001F0C93" w:rsidRDefault="001F0C93" w:rsidP="0000278A">
      <w:pPr>
        <w:pStyle w:val="Bullet"/>
      </w:pPr>
      <w:r>
        <w:t>producing a</w:t>
      </w:r>
      <w:r>
        <w:rPr>
          <w:spacing w:val="2"/>
        </w:rPr>
        <w:t xml:space="preserve"> </w:t>
      </w:r>
      <w:r>
        <w:t>richer</w:t>
      </w:r>
      <w:r>
        <w:rPr>
          <w:spacing w:val="3"/>
        </w:rPr>
        <w:t xml:space="preserve"> </w:t>
      </w:r>
      <w:r>
        <w:t>set</w:t>
      </w:r>
      <w:r>
        <w:rPr>
          <w:spacing w:val="2"/>
        </w:rPr>
        <w:t xml:space="preserve"> </w:t>
      </w:r>
      <w:r>
        <w:t>of</w:t>
      </w:r>
      <w:r>
        <w:rPr>
          <w:spacing w:val="3"/>
        </w:rPr>
        <w:t xml:space="preserve"> </w:t>
      </w:r>
      <w:r>
        <w:t>briefing</w:t>
      </w:r>
      <w:r>
        <w:rPr>
          <w:spacing w:val="2"/>
        </w:rPr>
        <w:t xml:space="preserve"> </w:t>
      </w:r>
      <w:r>
        <w:t>materials</w:t>
      </w:r>
      <w:r>
        <w:rPr>
          <w:spacing w:val="3"/>
        </w:rPr>
        <w:t xml:space="preserve"> </w:t>
      </w:r>
      <w:r>
        <w:t>on</w:t>
      </w:r>
      <w:r>
        <w:rPr>
          <w:spacing w:val="2"/>
        </w:rPr>
        <w:t xml:space="preserve"> </w:t>
      </w:r>
      <w:r>
        <w:t>strategy,</w:t>
      </w:r>
      <w:r>
        <w:rPr>
          <w:spacing w:val="2"/>
        </w:rPr>
        <w:t xml:space="preserve"> </w:t>
      </w:r>
      <w:r>
        <w:t>policy</w:t>
      </w:r>
      <w:r>
        <w:rPr>
          <w:spacing w:val="3"/>
        </w:rPr>
        <w:t xml:space="preserve"> </w:t>
      </w:r>
      <w:r>
        <w:t>options,</w:t>
      </w:r>
      <w:r>
        <w:rPr>
          <w:spacing w:val="2"/>
        </w:rPr>
        <w:t xml:space="preserve"> </w:t>
      </w:r>
      <w:r>
        <w:t>costs,</w:t>
      </w:r>
      <w:r>
        <w:rPr>
          <w:spacing w:val="3"/>
        </w:rPr>
        <w:t xml:space="preserve"> </w:t>
      </w:r>
      <w:r>
        <w:t>benefits</w:t>
      </w:r>
      <w:r>
        <w:rPr>
          <w:spacing w:val="2"/>
        </w:rPr>
        <w:t xml:space="preserve"> </w:t>
      </w:r>
      <w:r>
        <w:t>and</w:t>
      </w:r>
      <w:r>
        <w:rPr>
          <w:spacing w:val="3"/>
        </w:rPr>
        <w:t xml:space="preserve"> </w:t>
      </w:r>
      <w:r>
        <w:rPr>
          <w:spacing w:val="-4"/>
        </w:rPr>
        <w:t>risk</w:t>
      </w:r>
    </w:p>
    <w:p w14:paraId="3600CF54" w14:textId="77777777" w:rsidR="001F0C93" w:rsidRDefault="001F0C93" w:rsidP="0000278A">
      <w:pPr>
        <w:pStyle w:val="Bullet"/>
      </w:pPr>
      <w:r>
        <w:t>convening an expert advisory group to hear external views on the economy and outlook, policy issues and strategy, and research.</w:t>
      </w:r>
    </w:p>
    <w:p w14:paraId="4ECECCD6" w14:textId="77777777" w:rsidR="00D47EFD" w:rsidRDefault="00D47EFD" w:rsidP="00D47EFD">
      <w:r>
        <w:t>The development of improved monthly measures of inflation by the Australian Bureau of Statistics would</w:t>
      </w:r>
      <w:r w:rsidRPr="00D47EFD">
        <w:rPr>
          <w:spacing w:val="-5"/>
        </w:rPr>
        <w:t xml:space="preserve"> </w:t>
      </w:r>
      <w:r>
        <w:t>support</w:t>
      </w:r>
      <w:r w:rsidRPr="00D47EFD">
        <w:rPr>
          <w:spacing w:val="-5"/>
        </w:rPr>
        <w:t xml:space="preserve"> </w:t>
      </w:r>
      <w:r>
        <w:t>these</w:t>
      </w:r>
      <w:r w:rsidRPr="00D47EFD">
        <w:rPr>
          <w:spacing w:val="-5"/>
        </w:rPr>
        <w:t xml:space="preserve"> </w:t>
      </w:r>
      <w:r>
        <w:t>changes,</w:t>
      </w:r>
      <w:r w:rsidRPr="00D47EFD">
        <w:rPr>
          <w:spacing w:val="-5"/>
        </w:rPr>
        <w:t xml:space="preserve"> </w:t>
      </w:r>
      <w:r>
        <w:t>by</w:t>
      </w:r>
      <w:r w:rsidRPr="00D47EFD">
        <w:rPr>
          <w:spacing w:val="-5"/>
        </w:rPr>
        <w:t xml:space="preserve"> </w:t>
      </w:r>
      <w:r>
        <w:t>boosting</w:t>
      </w:r>
      <w:r w:rsidRPr="00D47EFD">
        <w:rPr>
          <w:spacing w:val="-5"/>
        </w:rPr>
        <w:t xml:space="preserve"> </w:t>
      </w:r>
      <w:r>
        <w:t>the</w:t>
      </w:r>
      <w:r w:rsidRPr="00D47EFD">
        <w:rPr>
          <w:spacing w:val="-5"/>
        </w:rPr>
        <w:t xml:space="preserve"> </w:t>
      </w:r>
      <w:r>
        <w:t>RBA’s</w:t>
      </w:r>
      <w:r w:rsidRPr="00D47EFD">
        <w:rPr>
          <w:spacing w:val="-5"/>
        </w:rPr>
        <w:t xml:space="preserve"> </w:t>
      </w:r>
      <w:r>
        <w:t>understanding</w:t>
      </w:r>
      <w:r w:rsidRPr="00D47EFD">
        <w:rPr>
          <w:spacing w:val="-5"/>
        </w:rPr>
        <w:t xml:space="preserve"> </w:t>
      </w:r>
      <w:r>
        <w:t>of</w:t>
      </w:r>
      <w:r w:rsidRPr="00D47EFD">
        <w:rPr>
          <w:spacing w:val="-5"/>
        </w:rPr>
        <w:t xml:space="preserve"> </w:t>
      </w:r>
      <w:r>
        <w:t>current</w:t>
      </w:r>
      <w:r w:rsidRPr="00D47EFD">
        <w:rPr>
          <w:spacing w:val="-5"/>
        </w:rPr>
        <w:t xml:space="preserve"> </w:t>
      </w:r>
      <w:r>
        <w:t>economic</w:t>
      </w:r>
      <w:r w:rsidRPr="00D47EFD">
        <w:rPr>
          <w:spacing w:val="-5"/>
        </w:rPr>
        <w:t xml:space="preserve"> </w:t>
      </w:r>
      <w:r>
        <w:t>conditions.</w:t>
      </w:r>
    </w:p>
    <w:p w14:paraId="6E950721" w14:textId="77777777" w:rsidR="00D47EFD" w:rsidRDefault="00D47EFD" w:rsidP="00D47EFD">
      <w:r>
        <w:t>There is an important link from these changes to the internal culture of the RBA. A more expert group of decision makers, engaging in a deeper consideration of the issues, and interacting more with staff, can be expected to increase the demand for analysis and research as supporting evidence for their policy choices. This will support a stronger culture of research, challenge and debate within the RBA, discussed under Section 4 of the executive summary.</w:t>
      </w:r>
    </w:p>
    <w:p w14:paraId="5C8FBC25" w14:textId="77777777" w:rsidR="000D5DDD" w:rsidRDefault="000D5DDD" w:rsidP="000D5DDD">
      <w:pPr>
        <w:pStyle w:val="Heading3"/>
      </w:pPr>
      <w:r>
        <w:t>Greater</w:t>
      </w:r>
      <w:r>
        <w:rPr>
          <w:spacing w:val="-7"/>
        </w:rPr>
        <w:t xml:space="preserve"> </w:t>
      </w:r>
      <w:r>
        <w:t>transparency</w:t>
      </w:r>
      <w:r>
        <w:rPr>
          <w:spacing w:val="-4"/>
        </w:rPr>
        <w:t xml:space="preserve"> </w:t>
      </w:r>
      <w:r>
        <w:t>and</w:t>
      </w:r>
      <w:r>
        <w:rPr>
          <w:spacing w:val="-5"/>
        </w:rPr>
        <w:t xml:space="preserve"> </w:t>
      </w:r>
      <w:r>
        <w:t>accountability</w:t>
      </w:r>
      <w:r>
        <w:rPr>
          <w:spacing w:val="-4"/>
        </w:rPr>
        <w:t xml:space="preserve"> </w:t>
      </w:r>
      <w:r>
        <w:t>around</w:t>
      </w:r>
      <w:r>
        <w:rPr>
          <w:spacing w:val="-4"/>
        </w:rPr>
        <w:t xml:space="preserve"> </w:t>
      </w:r>
      <w:r>
        <w:t>decisions</w:t>
      </w:r>
    </w:p>
    <w:p w14:paraId="3A738871" w14:textId="77777777" w:rsidR="000D5DDD" w:rsidRDefault="000D5DDD" w:rsidP="000D5DDD">
      <w:pPr>
        <w:pStyle w:val="Heading4"/>
      </w:pPr>
      <w:r>
        <w:t>Strengthen</w:t>
      </w:r>
      <w:r>
        <w:rPr>
          <w:spacing w:val="5"/>
        </w:rPr>
        <w:t xml:space="preserve"> </w:t>
      </w:r>
      <w:r>
        <w:t>monetary</w:t>
      </w:r>
      <w:r>
        <w:rPr>
          <w:spacing w:val="5"/>
        </w:rPr>
        <w:t xml:space="preserve"> </w:t>
      </w:r>
      <w:r>
        <w:t>policy</w:t>
      </w:r>
      <w:r>
        <w:rPr>
          <w:spacing w:val="5"/>
        </w:rPr>
        <w:t xml:space="preserve"> </w:t>
      </w:r>
      <w:r>
        <w:t>transparency</w:t>
      </w:r>
      <w:r>
        <w:rPr>
          <w:spacing w:val="5"/>
        </w:rPr>
        <w:t xml:space="preserve"> </w:t>
      </w:r>
      <w:r>
        <w:t>and</w:t>
      </w:r>
      <w:r>
        <w:rPr>
          <w:spacing w:val="5"/>
        </w:rPr>
        <w:t xml:space="preserve"> </w:t>
      </w:r>
      <w:r>
        <w:t>accountability</w:t>
      </w:r>
      <w:r>
        <w:rPr>
          <w:spacing w:val="5"/>
        </w:rPr>
        <w:t xml:space="preserve"> </w:t>
      </w:r>
      <w:r>
        <w:t>(Recommendation</w:t>
      </w:r>
      <w:r>
        <w:rPr>
          <w:spacing w:val="6"/>
        </w:rPr>
        <w:t xml:space="preserve"> </w:t>
      </w:r>
      <w:r>
        <w:rPr>
          <w:spacing w:val="-5"/>
        </w:rPr>
        <w:t>10)</w:t>
      </w:r>
    </w:p>
    <w:p w14:paraId="7D462413" w14:textId="77777777" w:rsidR="000D5DDD" w:rsidRDefault="000D5DDD" w:rsidP="000D5DDD">
      <w:r>
        <w:t>Effective decisions are more likely where there are clear expectations of decision makers, and they are accountable for their actions. Transparency and clear communication support accountability, policy legitimacy and effectiveness.</w:t>
      </w:r>
    </w:p>
    <w:p w14:paraId="06E2E29E" w14:textId="77777777" w:rsidR="000D5DDD" w:rsidRDefault="000D5DDD" w:rsidP="000D5DDD">
      <w:r>
        <w:t>Current arrangements do not adequately support transparency and accountability of the Reserve Bank Board and its members. The RBA’s regular communications are less transparent than those</w:t>
      </w:r>
      <w:r>
        <w:rPr>
          <w:spacing w:val="40"/>
        </w:rPr>
        <w:t xml:space="preserve"> </w:t>
      </w:r>
      <w:r>
        <w:t>of some other peer central banks, despite significant advances in recent decades. While the frequency of speeches and parliamentary appearances have increased, press conferences are infrequent, explanations of policy strategy lack important detail, and there is limited information available about the range of views within the Board. Accountability mechanisms for external Board members, such as an expectation that they should explain the Board’s decisions in public, are lacking. More broadly, communication with the public is not as effective as it could be.</w:t>
      </w:r>
    </w:p>
    <w:p w14:paraId="491C88A9" w14:textId="77777777" w:rsidR="000D5DDD" w:rsidRPr="000D5DDD" w:rsidRDefault="000D5DDD" w:rsidP="000D5DDD">
      <w:pPr>
        <w:rPr>
          <w:rFonts w:cs="Calibri Light"/>
        </w:rPr>
      </w:pPr>
      <w:r>
        <w:t>The</w:t>
      </w:r>
      <w:r>
        <w:rPr>
          <w:spacing w:val="-2"/>
        </w:rPr>
        <w:t xml:space="preserve"> </w:t>
      </w:r>
      <w:r>
        <w:t>RBA</w:t>
      </w:r>
      <w:r>
        <w:rPr>
          <w:spacing w:val="-2"/>
        </w:rPr>
        <w:t xml:space="preserve"> </w:t>
      </w:r>
      <w:r>
        <w:t>should</w:t>
      </w:r>
      <w:r>
        <w:rPr>
          <w:spacing w:val="-2"/>
        </w:rPr>
        <w:t xml:space="preserve"> </w:t>
      </w:r>
      <w:r>
        <w:t>better</w:t>
      </w:r>
      <w:r>
        <w:rPr>
          <w:spacing w:val="-2"/>
        </w:rPr>
        <w:t xml:space="preserve"> </w:t>
      </w:r>
      <w:r>
        <w:t>explain</w:t>
      </w:r>
      <w:r>
        <w:rPr>
          <w:spacing w:val="-2"/>
        </w:rPr>
        <w:t xml:space="preserve"> </w:t>
      </w:r>
      <w:r>
        <w:t>its</w:t>
      </w:r>
      <w:r>
        <w:rPr>
          <w:spacing w:val="-2"/>
        </w:rPr>
        <w:t xml:space="preserve"> </w:t>
      </w:r>
      <w:r>
        <w:t>policy</w:t>
      </w:r>
      <w:r>
        <w:rPr>
          <w:spacing w:val="-2"/>
        </w:rPr>
        <w:t xml:space="preserve"> </w:t>
      </w:r>
      <w:r>
        <w:t>choices</w:t>
      </w:r>
      <w:r>
        <w:rPr>
          <w:spacing w:val="-2"/>
        </w:rPr>
        <w:t xml:space="preserve"> </w:t>
      </w:r>
      <w:r>
        <w:t>through</w:t>
      </w:r>
      <w:r>
        <w:rPr>
          <w:spacing w:val="-2"/>
        </w:rPr>
        <w:t xml:space="preserve"> </w:t>
      </w:r>
      <w:r>
        <w:t>regular</w:t>
      </w:r>
      <w:r>
        <w:rPr>
          <w:spacing w:val="-2"/>
        </w:rPr>
        <w:t xml:space="preserve"> </w:t>
      </w:r>
      <w:r>
        <w:t>press</w:t>
      </w:r>
      <w:r>
        <w:rPr>
          <w:spacing w:val="-2"/>
        </w:rPr>
        <w:t xml:space="preserve"> </w:t>
      </w:r>
      <w:r>
        <w:t>conferences</w:t>
      </w:r>
      <w:r>
        <w:rPr>
          <w:spacing w:val="-2"/>
        </w:rPr>
        <w:t xml:space="preserve"> </w:t>
      </w:r>
      <w:r>
        <w:t>and</w:t>
      </w:r>
      <w:r>
        <w:rPr>
          <w:spacing w:val="-2"/>
        </w:rPr>
        <w:t xml:space="preserve"> </w:t>
      </w:r>
      <w:r>
        <w:t xml:space="preserve">increasing the amount of information available about policy deliberations, strategy, and the RBA’s forecasts. The RBA’s communications should include the reasoning behind decisions, what alternative policy options were considered, and how current </w:t>
      </w:r>
      <w:r w:rsidRPr="000D5DDD">
        <w:rPr>
          <w:rFonts w:cs="Calibri Light"/>
        </w:rPr>
        <w:t>policy settings fit into a broader strategy.</w:t>
      </w:r>
    </w:p>
    <w:p w14:paraId="66B39D40" w14:textId="77777777" w:rsidR="000D5DDD" w:rsidRPr="000D5DDD" w:rsidRDefault="000D5DDD" w:rsidP="000D5DDD">
      <w:pPr>
        <w:rPr>
          <w:rFonts w:cs="Calibri Light"/>
        </w:rPr>
      </w:pPr>
      <w:r w:rsidRPr="000D5DDD">
        <w:rPr>
          <w:rFonts w:cs="Calibri Light"/>
          <w:b/>
        </w:rPr>
        <w:t xml:space="preserve">Monetary Policy Board members should be more accountable </w:t>
      </w:r>
      <w:r w:rsidRPr="000D5DDD">
        <w:rPr>
          <w:rFonts w:cs="Calibri Light"/>
        </w:rPr>
        <w:t>for their role in setting monetary policy. They should be expected to discuss the Board’s decisions in public from time to time, and statements released after policy meetings should be agreed by them and published in their name.</w:t>
      </w:r>
    </w:p>
    <w:p w14:paraId="13A482A2" w14:textId="77777777" w:rsidR="000D5DDD" w:rsidRDefault="000D5DDD" w:rsidP="000D5DDD">
      <w:r w:rsidRPr="000D5DDD">
        <w:rPr>
          <w:rFonts w:cs="Calibri Light"/>
        </w:rPr>
        <w:t xml:space="preserve">Improved communication by the Monetary Policy Board would be supported by building the RBA’s strategic communications capacity under a </w:t>
      </w:r>
      <w:r w:rsidRPr="000D5DDD">
        <w:rPr>
          <w:rFonts w:cs="Calibri Light"/>
          <w:b/>
        </w:rPr>
        <w:t xml:space="preserve">Chief Communications Officer </w:t>
      </w:r>
      <w:r w:rsidRPr="000D5DDD">
        <w:rPr>
          <w:rFonts w:cs="Calibri Light"/>
        </w:rPr>
        <w:t xml:space="preserve">reporting to the Governor. </w:t>
      </w:r>
      <w:r w:rsidRPr="000D5DDD">
        <w:rPr>
          <w:rFonts w:cs="Calibri Light"/>
        </w:rPr>
        <w:lastRenderedPageBreak/>
        <w:t>This will ensure the RBA has the depth of skills and expertise at a sufficiently senior level to provide strategic communications advice to the RBA’s executive</w:t>
      </w:r>
      <w:r>
        <w:t xml:space="preserve"> and boards.</w:t>
      </w:r>
    </w:p>
    <w:p w14:paraId="75E9E144" w14:textId="29344749" w:rsidR="001F0C93" w:rsidRPr="00EE3B1B" w:rsidRDefault="000D5DDD" w:rsidP="000D5DDD">
      <w:pPr>
        <w:rPr>
          <w:rFonts w:cs="Calibri Light"/>
        </w:rPr>
      </w:pPr>
      <w:r>
        <w:t>The Review envisages that external members of the Monetary Policy Board would serve on a part- time basis, spending the equivalent of around one day a week in the role, and can be expected to have other employment and roles. There are clear benefits to the outside perspectives, networks and skills that external members bring. However, it is important that robust policies are in place to manage any potential conflicts of interest. Existing conflict of interest rules should be strengthened to buttress accountability, through more extensive description of situations where real or perceived conflicts could arise and tighter restrictions on financial transactions.</w:t>
      </w:r>
    </w:p>
    <w:p w14:paraId="79B426CF" w14:textId="59E43661" w:rsidR="00430E6D" w:rsidRPr="00430E6D" w:rsidRDefault="00430E6D" w:rsidP="00430E6D">
      <w:pPr>
        <w:pStyle w:val="Heading2"/>
      </w:pPr>
      <w:bookmarkStart w:id="13" w:name="_Toc134220986"/>
      <w:r w:rsidRPr="00430E6D">
        <w:t>4. An open and dynamic RBA</w:t>
      </w:r>
      <w:bookmarkEnd w:id="13"/>
    </w:p>
    <w:p w14:paraId="6B15CB10" w14:textId="77777777" w:rsidR="00430E6D" w:rsidRDefault="00430E6D" w:rsidP="00430E6D">
      <w:r>
        <w:t>The RBA’s management, culture and operations determine how effectively it can support policy decision making and its other functions. It must recruit, retain and motivate a high-quality staff, organise and lead them in a way that produces outstanding policy advice and well-run financial infrastructure, and be able to reflect, adapt and grow to meet fresh challenges.</w:t>
      </w:r>
    </w:p>
    <w:p w14:paraId="3E1C1043" w14:textId="77777777" w:rsidR="00430E6D" w:rsidRDefault="00430E6D" w:rsidP="00430E6D">
      <w:r>
        <w:t>The Review’s extensive consultations, including with current and former staff, identified many strengths of the RBA. It has a highly motivated and capable staff, with a commitment to rigorous analysis and quality outputs. It has a supportive and collegiate environment and staff are especially driven by their commitment to the public service.</w:t>
      </w:r>
    </w:p>
    <w:p w14:paraId="55A8A019" w14:textId="77777777" w:rsidR="00430E6D" w:rsidRDefault="00430E6D" w:rsidP="00430E6D">
      <w:r>
        <w:t>The Review identified four broad areas in which the RBA could strengthen its management, culture and operations. These are all areas in which the RBA has taken steps over recent years. However, the Review’s consultations indicate further action is needed. The Review’s recommendations propose further concrete steps that are designed to help the RBA build an organisation that:</w:t>
      </w:r>
    </w:p>
    <w:p w14:paraId="6290EC5E" w14:textId="77777777" w:rsidR="008B3CC8" w:rsidRDefault="008B3CC8" w:rsidP="0000278A">
      <w:pPr>
        <w:pStyle w:val="Bullet"/>
      </w:pPr>
      <w:r>
        <w:t>is more dynamic</w:t>
      </w:r>
      <w:r>
        <w:rPr>
          <w:spacing w:val="1"/>
        </w:rPr>
        <w:t xml:space="preserve"> </w:t>
      </w:r>
      <w:r>
        <w:t>and empowering</w:t>
      </w:r>
      <w:r>
        <w:rPr>
          <w:spacing w:val="1"/>
        </w:rPr>
        <w:t xml:space="preserve"> </w:t>
      </w:r>
      <w:r>
        <w:t>of its</w:t>
      </w:r>
      <w:r>
        <w:rPr>
          <w:spacing w:val="1"/>
        </w:rPr>
        <w:t xml:space="preserve"> </w:t>
      </w:r>
      <w:r>
        <w:rPr>
          <w:spacing w:val="-4"/>
        </w:rPr>
        <w:t>staff</w:t>
      </w:r>
    </w:p>
    <w:p w14:paraId="6CC8B8F3" w14:textId="77777777" w:rsidR="008B3CC8" w:rsidRDefault="008B3CC8" w:rsidP="0000278A">
      <w:pPr>
        <w:pStyle w:val="Bullet"/>
      </w:pPr>
      <w:r>
        <w:t>raises</w:t>
      </w:r>
      <w:r>
        <w:rPr>
          <w:spacing w:val="2"/>
        </w:rPr>
        <w:t xml:space="preserve"> </w:t>
      </w:r>
      <w:r>
        <w:t>the</w:t>
      </w:r>
      <w:r>
        <w:rPr>
          <w:spacing w:val="3"/>
        </w:rPr>
        <w:t xml:space="preserve"> </w:t>
      </w:r>
      <w:r>
        <w:t>leadership</w:t>
      </w:r>
      <w:r>
        <w:rPr>
          <w:spacing w:val="2"/>
        </w:rPr>
        <w:t xml:space="preserve"> </w:t>
      </w:r>
      <w:r>
        <w:t>capabilities</w:t>
      </w:r>
      <w:r>
        <w:rPr>
          <w:spacing w:val="3"/>
        </w:rPr>
        <w:t xml:space="preserve"> </w:t>
      </w:r>
      <w:r>
        <w:t>of</w:t>
      </w:r>
      <w:r>
        <w:rPr>
          <w:spacing w:val="2"/>
        </w:rPr>
        <w:t xml:space="preserve"> </w:t>
      </w:r>
      <w:r>
        <w:t>its</w:t>
      </w:r>
      <w:r>
        <w:rPr>
          <w:spacing w:val="3"/>
        </w:rPr>
        <w:t xml:space="preserve"> </w:t>
      </w:r>
      <w:r>
        <w:rPr>
          <w:spacing w:val="-4"/>
        </w:rPr>
        <w:t>staff</w:t>
      </w:r>
    </w:p>
    <w:p w14:paraId="6B6C2435" w14:textId="77777777" w:rsidR="008B3CC8" w:rsidRDefault="008B3CC8" w:rsidP="0000278A">
      <w:pPr>
        <w:pStyle w:val="Bullet"/>
      </w:pPr>
      <w:r>
        <w:t>is</w:t>
      </w:r>
      <w:r>
        <w:rPr>
          <w:spacing w:val="3"/>
        </w:rPr>
        <w:t xml:space="preserve"> </w:t>
      </w:r>
      <w:r>
        <w:t>more</w:t>
      </w:r>
      <w:r>
        <w:rPr>
          <w:spacing w:val="4"/>
        </w:rPr>
        <w:t xml:space="preserve"> </w:t>
      </w:r>
      <w:r>
        <w:t>welcoming</w:t>
      </w:r>
      <w:r>
        <w:rPr>
          <w:spacing w:val="3"/>
        </w:rPr>
        <w:t xml:space="preserve"> </w:t>
      </w:r>
      <w:r>
        <w:t>of</w:t>
      </w:r>
      <w:r>
        <w:rPr>
          <w:spacing w:val="4"/>
        </w:rPr>
        <w:t xml:space="preserve"> </w:t>
      </w:r>
      <w:r>
        <w:t>diverse</w:t>
      </w:r>
      <w:r>
        <w:rPr>
          <w:spacing w:val="4"/>
        </w:rPr>
        <w:t xml:space="preserve"> </w:t>
      </w:r>
      <w:r>
        <w:t>viewpoints</w:t>
      </w:r>
      <w:r>
        <w:rPr>
          <w:spacing w:val="3"/>
        </w:rPr>
        <w:t xml:space="preserve"> </w:t>
      </w:r>
      <w:r>
        <w:t>and</w:t>
      </w:r>
      <w:r>
        <w:rPr>
          <w:spacing w:val="4"/>
        </w:rPr>
        <w:t xml:space="preserve"> </w:t>
      </w:r>
      <w:r>
        <w:t>constructive</w:t>
      </w:r>
      <w:r>
        <w:rPr>
          <w:spacing w:val="4"/>
        </w:rPr>
        <w:t xml:space="preserve"> </w:t>
      </w:r>
      <w:r>
        <w:rPr>
          <w:spacing w:val="-2"/>
        </w:rPr>
        <w:t>challenge</w:t>
      </w:r>
    </w:p>
    <w:p w14:paraId="2EB5EEAE" w14:textId="77777777" w:rsidR="008B3CC8" w:rsidRDefault="008B3CC8" w:rsidP="0000278A">
      <w:pPr>
        <w:pStyle w:val="Bullet"/>
      </w:pPr>
      <w:r>
        <w:t>makes more</w:t>
      </w:r>
      <w:r>
        <w:rPr>
          <w:spacing w:val="3"/>
        </w:rPr>
        <w:t xml:space="preserve"> </w:t>
      </w:r>
      <w:r>
        <w:t>of</w:t>
      </w:r>
      <w:r>
        <w:rPr>
          <w:spacing w:val="3"/>
        </w:rPr>
        <w:t xml:space="preserve"> </w:t>
      </w:r>
      <w:r>
        <w:t>the</w:t>
      </w:r>
      <w:r>
        <w:rPr>
          <w:spacing w:val="2"/>
        </w:rPr>
        <w:t xml:space="preserve"> </w:t>
      </w:r>
      <w:r>
        <w:t>analytical</w:t>
      </w:r>
      <w:r>
        <w:rPr>
          <w:spacing w:val="3"/>
        </w:rPr>
        <w:t xml:space="preserve"> </w:t>
      </w:r>
      <w:r>
        <w:t>and</w:t>
      </w:r>
      <w:r>
        <w:rPr>
          <w:spacing w:val="3"/>
        </w:rPr>
        <w:t xml:space="preserve"> </w:t>
      </w:r>
      <w:r>
        <w:t>research</w:t>
      </w:r>
      <w:r>
        <w:rPr>
          <w:spacing w:val="2"/>
        </w:rPr>
        <w:t xml:space="preserve"> </w:t>
      </w:r>
      <w:r>
        <w:t>capability</w:t>
      </w:r>
      <w:r>
        <w:rPr>
          <w:spacing w:val="3"/>
        </w:rPr>
        <w:t xml:space="preserve"> </w:t>
      </w:r>
      <w:r>
        <w:t>of</w:t>
      </w:r>
      <w:r>
        <w:rPr>
          <w:spacing w:val="3"/>
        </w:rPr>
        <w:t xml:space="preserve"> </w:t>
      </w:r>
      <w:r>
        <w:t>its</w:t>
      </w:r>
      <w:r>
        <w:rPr>
          <w:spacing w:val="2"/>
        </w:rPr>
        <w:t xml:space="preserve"> </w:t>
      </w:r>
      <w:r>
        <w:t>staff</w:t>
      </w:r>
      <w:r>
        <w:rPr>
          <w:spacing w:val="3"/>
        </w:rPr>
        <w:t xml:space="preserve"> </w:t>
      </w:r>
      <w:r>
        <w:t>in</w:t>
      </w:r>
      <w:r>
        <w:rPr>
          <w:spacing w:val="3"/>
        </w:rPr>
        <w:t xml:space="preserve"> </w:t>
      </w:r>
      <w:r>
        <w:t>policy</w:t>
      </w:r>
      <w:r>
        <w:rPr>
          <w:spacing w:val="3"/>
        </w:rPr>
        <w:t xml:space="preserve"> </w:t>
      </w:r>
      <w:r>
        <w:rPr>
          <w:spacing w:val="-2"/>
        </w:rPr>
        <w:t>formulation.</w:t>
      </w:r>
    </w:p>
    <w:p w14:paraId="4C7657D9" w14:textId="77777777" w:rsidR="008B3CC8" w:rsidRDefault="008B3CC8" w:rsidP="008B3CC8">
      <w:pPr>
        <w:pStyle w:val="Heading3"/>
      </w:pPr>
      <w:r>
        <w:t>A</w:t>
      </w:r>
      <w:r>
        <w:rPr>
          <w:spacing w:val="-8"/>
        </w:rPr>
        <w:t xml:space="preserve"> </w:t>
      </w:r>
      <w:r>
        <w:t>more</w:t>
      </w:r>
      <w:r>
        <w:rPr>
          <w:spacing w:val="-8"/>
        </w:rPr>
        <w:t xml:space="preserve"> </w:t>
      </w:r>
      <w:r>
        <w:t>agile</w:t>
      </w:r>
      <w:r>
        <w:rPr>
          <w:spacing w:val="-8"/>
        </w:rPr>
        <w:t xml:space="preserve"> </w:t>
      </w:r>
      <w:r>
        <w:t>and</w:t>
      </w:r>
      <w:r>
        <w:rPr>
          <w:spacing w:val="-8"/>
        </w:rPr>
        <w:t xml:space="preserve"> </w:t>
      </w:r>
      <w:r>
        <w:t>empowering</w:t>
      </w:r>
      <w:r>
        <w:rPr>
          <w:spacing w:val="-8"/>
        </w:rPr>
        <w:t xml:space="preserve"> </w:t>
      </w:r>
      <w:r>
        <w:rPr>
          <w:spacing w:val="-2"/>
        </w:rPr>
        <w:t>culture</w:t>
      </w:r>
    </w:p>
    <w:p w14:paraId="3F985222" w14:textId="27021F46" w:rsidR="008B3CC8" w:rsidRDefault="008B3CC8" w:rsidP="008B3CC8">
      <w:pPr>
        <w:pStyle w:val="Heading4"/>
      </w:pPr>
      <w:r>
        <w:t>The</w:t>
      </w:r>
      <w:r>
        <w:rPr>
          <w:spacing w:val="-5"/>
        </w:rPr>
        <w:t xml:space="preserve"> </w:t>
      </w:r>
      <w:r>
        <w:t>RBA</w:t>
      </w:r>
      <w:r>
        <w:rPr>
          <w:spacing w:val="-4"/>
        </w:rPr>
        <w:t xml:space="preserve"> </w:t>
      </w:r>
      <w:r>
        <w:t>should</w:t>
      </w:r>
      <w:r>
        <w:rPr>
          <w:spacing w:val="-4"/>
        </w:rPr>
        <w:t xml:space="preserve"> </w:t>
      </w:r>
      <w:r>
        <w:t>further</w:t>
      </w:r>
      <w:r>
        <w:rPr>
          <w:spacing w:val="-4"/>
        </w:rPr>
        <w:t xml:space="preserve"> </w:t>
      </w:r>
      <w:r>
        <w:t>empower</w:t>
      </w:r>
      <w:r>
        <w:rPr>
          <w:spacing w:val="-4"/>
        </w:rPr>
        <w:t xml:space="preserve"> </w:t>
      </w:r>
      <w:r>
        <w:t>its</w:t>
      </w:r>
      <w:r>
        <w:rPr>
          <w:spacing w:val="-4"/>
        </w:rPr>
        <w:t xml:space="preserve"> </w:t>
      </w:r>
      <w:r>
        <w:t>staff</w:t>
      </w:r>
      <w:r>
        <w:rPr>
          <w:spacing w:val="-4"/>
        </w:rPr>
        <w:t xml:space="preserve"> </w:t>
      </w:r>
      <w:r>
        <w:t>and</w:t>
      </w:r>
      <w:r>
        <w:rPr>
          <w:spacing w:val="-4"/>
        </w:rPr>
        <w:t xml:space="preserve"> </w:t>
      </w:r>
      <w:r>
        <w:t>raise</w:t>
      </w:r>
      <w:r>
        <w:rPr>
          <w:spacing w:val="-4"/>
        </w:rPr>
        <w:t xml:space="preserve"> </w:t>
      </w:r>
      <w:r>
        <w:t>the</w:t>
      </w:r>
      <w:r>
        <w:rPr>
          <w:spacing w:val="-5"/>
        </w:rPr>
        <w:t xml:space="preserve"> </w:t>
      </w:r>
      <w:r>
        <w:t>dynamism</w:t>
      </w:r>
      <w:r>
        <w:rPr>
          <w:spacing w:val="-4"/>
        </w:rPr>
        <w:t xml:space="preserve"> </w:t>
      </w:r>
      <w:r>
        <w:t>of</w:t>
      </w:r>
      <w:r>
        <w:rPr>
          <w:spacing w:val="-4"/>
        </w:rPr>
        <w:t xml:space="preserve"> </w:t>
      </w:r>
      <w:r>
        <w:t>the</w:t>
      </w:r>
      <w:r>
        <w:rPr>
          <w:spacing w:val="-4"/>
        </w:rPr>
        <w:t xml:space="preserve"> </w:t>
      </w:r>
      <w:r>
        <w:rPr>
          <w:spacing w:val="-2"/>
        </w:rPr>
        <w:t xml:space="preserve">organisation </w:t>
      </w:r>
      <w:r>
        <w:t>(Recommendation</w:t>
      </w:r>
      <w:r>
        <w:rPr>
          <w:spacing w:val="-2"/>
        </w:rPr>
        <w:t xml:space="preserve"> </w:t>
      </w:r>
      <w:r>
        <w:rPr>
          <w:spacing w:val="-4"/>
        </w:rPr>
        <w:t>11.1)</w:t>
      </w:r>
    </w:p>
    <w:p w14:paraId="5193B49F" w14:textId="77777777" w:rsidR="008B3CC8" w:rsidRDefault="008B3CC8" w:rsidP="008B3CC8">
      <w:r>
        <w:t>The RBA has a hierarchical culture which can slow down decision making and limit sensible delegation, and at times has an aversion to risk taking. This has resulted in some staff feeling disempowered. The RBA has invested in strengthening its corporate expertise and sought to improve organisational processes. However, organisational structures, resourcing, and processes are not as flexible as they could be, and so change is not always managed well.</w:t>
      </w:r>
    </w:p>
    <w:p w14:paraId="2A852289" w14:textId="77777777" w:rsidR="008B3CC8" w:rsidRDefault="008B3CC8" w:rsidP="008B3CC8">
      <w:r>
        <w:t>A</w:t>
      </w:r>
      <w:r>
        <w:rPr>
          <w:spacing w:val="-4"/>
        </w:rPr>
        <w:t xml:space="preserve"> </w:t>
      </w:r>
      <w:r>
        <w:t>significant</w:t>
      </w:r>
      <w:r>
        <w:rPr>
          <w:spacing w:val="-3"/>
        </w:rPr>
        <w:t xml:space="preserve"> </w:t>
      </w:r>
      <w:r>
        <w:t>opportunity</w:t>
      </w:r>
      <w:r>
        <w:rPr>
          <w:spacing w:val="-3"/>
        </w:rPr>
        <w:t xml:space="preserve"> </w:t>
      </w:r>
      <w:r>
        <w:t>exists</w:t>
      </w:r>
      <w:r>
        <w:rPr>
          <w:spacing w:val="-3"/>
        </w:rPr>
        <w:t xml:space="preserve"> </w:t>
      </w:r>
      <w:r>
        <w:t>to</w:t>
      </w:r>
      <w:r>
        <w:rPr>
          <w:spacing w:val="-3"/>
        </w:rPr>
        <w:t xml:space="preserve"> </w:t>
      </w:r>
      <w:r>
        <w:t>make</w:t>
      </w:r>
      <w:r>
        <w:rPr>
          <w:spacing w:val="-3"/>
        </w:rPr>
        <w:t xml:space="preserve"> </w:t>
      </w:r>
      <w:r>
        <w:t>the</w:t>
      </w:r>
      <w:r>
        <w:rPr>
          <w:spacing w:val="-3"/>
        </w:rPr>
        <w:t xml:space="preserve"> </w:t>
      </w:r>
      <w:r>
        <w:t>RBA</w:t>
      </w:r>
      <w:r>
        <w:rPr>
          <w:spacing w:val="-3"/>
        </w:rPr>
        <w:t xml:space="preserve"> </w:t>
      </w:r>
      <w:r>
        <w:t>a</w:t>
      </w:r>
      <w:r>
        <w:rPr>
          <w:spacing w:val="-3"/>
        </w:rPr>
        <w:t xml:space="preserve"> </w:t>
      </w:r>
      <w:r>
        <w:t>more</w:t>
      </w:r>
      <w:r>
        <w:rPr>
          <w:spacing w:val="-3"/>
        </w:rPr>
        <w:t xml:space="preserve"> </w:t>
      </w:r>
      <w:r>
        <w:t>empowered</w:t>
      </w:r>
      <w:r>
        <w:rPr>
          <w:spacing w:val="-3"/>
        </w:rPr>
        <w:t xml:space="preserve"> </w:t>
      </w:r>
      <w:r>
        <w:t>and</w:t>
      </w:r>
      <w:r>
        <w:rPr>
          <w:spacing w:val="-3"/>
        </w:rPr>
        <w:t xml:space="preserve"> </w:t>
      </w:r>
      <w:r>
        <w:t>dynamic</w:t>
      </w:r>
      <w:r>
        <w:rPr>
          <w:spacing w:val="-3"/>
        </w:rPr>
        <w:t xml:space="preserve"> </w:t>
      </w:r>
      <w:r>
        <w:rPr>
          <w:spacing w:val="-2"/>
        </w:rPr>
        <w:t>organisation.</w:t>
      </w:r>
    </w:p>
    <w:p w14:paraId="745D8C13" w14:textId="7AAF2018" w:rsidR="008B3CC8" w:rsidRDefault="008B3CC8" w:rsidP="008B3CC8">
      <w:r>
        <w:t>To</w:t>
      </w:r>
      <w:r>
        <w:rPr>
          <w:spacing w:val="-6"/>
        </w:rPr>
        <w:t xml:space="preserve"> </w:t>
      </w:r>
      <w:r>
        <w:t>help</w:t>
      </w:r>
      <w:r>
        <w:rPr>
          <w:spacing w:val="-6"/>
        </w:rPr>
        <w:t xml:space="preserve"> </w:t>
      </w:r>
      <w:r>
        <w:t>realise</w:t>
      </w:r>
      <w:r>
        <w:rPr>
          <w:spacing w:val="-6"/>
        </w:rPr>
        <w:t xml:space="preserve"> </w:t>
      </w:r>
      <w:r>
        <w:t>this</w:t>
      </w:r>
      <w:r>
        <w:rPr>
          <w:spacing w:val="-6"/>
        </w:rPr>
        <w:t xml:space="preserve"> </w:t>
      </w:r>
      <w:r>
        <w:t>the</w:t>
      </w:r>
      <w:r>
        <w:rPr>
          <w:spacing w:val="-6"/>
        </w:rPr>
        <w:t xml:space="preserve"> </w:t>
      </w:r>
      <w:r w:rsidRPr="008B3CC8">
        <w:rPr>
          <w:b/>
          <w:bCs/>
        </w:rPr>
        <w:t>RBA</w:t>
      </w:r>
      <w:r w:rsidRPr="008B3CC8">
        <w:rPr>
          <w:b/>
          <w:bCs/>
          <w:spacing w:val="-6"/>
        </w:rPr>
        <w:t xml:space="preserve"> </w:t>
      </w:r>
      <w:r w:rsidRPr="008B3CC8">
        <w:rPr>
          <w:b/>
          <w:bCs/>
        </w:rPr>
        <w:t>should</w:t>
      </w:r>
      <w:r w:rsidRPr="008B3CC8">
        <w:rPr>
          <w:b/>
          <w:bCs/>
          <w:spacing w:val="-6"/>
        </w:rPr>
        <w:t xml:space="preserve"> </w:t>
      </w:r>
      <w:r w:rsidRPr="008B3CC8">
        <w:rPr>
          <w:b/>
          <w:bCs/>
        </w:rPr>
        <w:t>create</w:t>
      </w:r>
      <w:r w:rsidRPr="008B3CC8">
        <w:rPr>
          <w:b/>
          <w:bCs/>
          <w:spacing w:val="-6"/>
        </w:rPr>
        <w:t xml:space="preserve"> </w:t>
      </w:r>
      <w:r w:rsidRPr="008B3CC8">
        <w:rPr>
          <w:b/>
          <w:bCs/>
        </w:rPr>
        <w:t>a</w:t>
      </w:r>
      <w:r w:rsidRPr="008B3CC8">
        <w:rPr>
          <w:b/>
          <w:bCs/>
          <w:spacing w:val="-6"/>
        </w:rPr>
        <w:t xml:space="preserve"> </w:t>
      </w:r>
      <w:r w:rsidRPr="008B3CC8">
        <w:rPr>
          <w:b/>
          <w:bCs/>
        </w:rPr>
        <w:t>new</w:t>
      </w:r>
      <w:r w:rsidRPr="008B3CC8">
        <w:rPr>
          <w:b/>
          <w:bCs/>
          <w:spacing w:val="-6"/>
        </w:rPr>
        <w:t xml:space="preserve"> </w:t>
      </w:r>
      <w:r w:rsidRPr="008B3CC8">
        <w:rPr>
          <w:b/>
          <w:bCs/>
        </w:rPr>
        <w:t>Chief</w:t>
      </w:r>
      <w:r w:rsidRPr="008B3CC8">
        <w:rPr>
          <w:b/>
          <w:bCs/>
          <w:spacing w:val="-6"/>
        </w:rPr>
        <w:t xml:space="preserve"> </w:t>
      </w:r>
      <w:r w:rsidRPr="008B3CC8">
        <w:rPr>
          <w:b/>
          <w:bCs/>
        </w:rPr>
        <w:t>Operating</w:t>
      </w:r>
      <w:r w:rsidRPr="008B3CC8">
        <w:rPr>
          <w:b/>
          <w:bCs/>
          <w:spacing w:val="-6"/>
        </w:rPr>
        <w:t xml:space="preserve"> </w:t>
      </w:r>
      <w:r w:rsidRPr="008B3CC8">
        <w:rPr>
          <w:b/>
          <w:bCs/>
        </w:rPr>
        <w:t>Officer</w:t>
      </w:r>
      <w:r w:rsidRPr="008B3CC8">
        <w:rPr>
          <w:b/>
          <w:bCs/>
          <w:spacing w:val="-6"/>
        </w:rPr>
        <w:t xml:space="preserve"> </w:t>
      </w:r>
      <w:r w:rsidRPr="008B3CC8">
        <w:rPr>
          <w:b/>
          <w:bCs/>
        </w:rPr>
        <w:t>position</w:t>
      </w:r>
      <w:r>
        <w:t>,</w:t>
      </w:r>
      <w:r>
        <w:rPr>
          <w:spacing w:val="-6"/>
        </w:rPr>
        <w:t xml:space="preserve"> </w:t>
      </w:r>
      <w:r>
        <w:t>at</w:t>
      </w:r>
      <w:r>
        <w:rPr>
          <w:spacing w:val="-6"/>
        </w:rPr>
        <w:t xml:space="preserve"> </w:t>
      </w:r>
      <w:r>
        <w:t>the</w:t>
      </w:r>
      <w:r>
        <w:rPr>
          <w:spacing w:val="-6"/>
        </w:rPr>
        <w:t xml:space="preserve"> </w:t>
      </w:r>
      <w:r>
        <w:rPr>
          <w:spacing w:val="-4"/>
        </w:rPr>
        <w:t xml:space="preserve">same </w:t>
      </w:r>
      <w:r>
        <w:t>level</w:t>
      </w:r>
      <w:r>
        <w:rPr>
          <w:spacing w:val="-8"/>
        </w:rPr>
        <w:t xml:space="preserve"> </w:t>
      </w:r>
      <w:r>
        <w:t>as</w:t>
      </w:r>
      <w:r>
        <w:rPr>
          <w:spacing w:val="-5"/>
        </w:rPr>
        <w:t xml:space="preserve"> </w:t>
      </w:r>
      <w:r>
        <w:t>the</w:t>
      </w:r>
      <w:r>
        <w:rPr>
          <w:spacing w:val="-5"/>
        </w:rPr>
        <w:t xml:space="preserve"> </w:t>
      </w:r>
      <w:r>
        <w:t>Deputy</w:t>
      </w:r>
      <w:r>
        <w:rPr>
          <w:spacing w:val="-5"/>
        </w:rPr>
        <w:t xml:space="preserve"> </w:t>
      </w:r>
      <w:r>
        <w:t>Governor,</w:t>
      </w:r>
      <w:r>
        <w:rPr>
          <w:spacing w:val="-6"/>
        </w:rPr>
        <w:t xml:space="preserve"> </w:t>
      </w:r>
      <w:r>
        <w:t>to</w:t>
      </w:r>
      <w:r>
        <w:rPr>
          <w:spacing w:val="-5"/>
        </w:rPr>
        <w:t xml:space="preserve"> </w:t>
      </w:r>
      <w:r>
        <w:t>bring</w:t>
      </w:r>
      <w:r>
        <w:rPr>
          <w:spacing w:val="-5"/>
        </w:rPr>
        <w:t xml:space="preserve"> </w:t>
      </w:r>
      <w:r>
        <w:t>focus</w:t>
      </w:r>
      <w:r>
        <w:rPr>
          <w:spacing w:val="-5"/>
        </w:rPr>
        <w:t xml:space="preserve"> </w:t>
      </w:r>
      <w:r>
        <w:t>to</w:t>
      </w:r>
      <w:r>
        <w:rPr>
          <w:spacing w:val="-6"/>
        </w:rPr>
        <w:t xml:space="preserve"> </w:t>
      </w:r>
      <w:r>
        <w:t>driving</w:t>
      </w:r>
      <w:r>
        <w:rPr>
          <w:spacing w:val="-5"/>
        </w:rPr>
        <w:t xml:space="preserve"> </w:t>
      </w:r>
      <w:r>
        <w:t>the</w:t>
      </w:r>
      <w:r>
        <w:rPr>
          <w:spacing w:val="-5"/>
        </w:rPr>
        <w:t xml:space="preserve"> </w:t>
      </w:r>
      <w:r>
        <w:t>organisational</w:t>
      </w:r>
      <w:r>
        <w:rPr>
          <w:spacing w:val="-5"/>
        </w:rPr>
        <w:t xml:space="preserve"> </w:t>
      </w:r>
      <w:r>
        <w:t>change</w:t>
      </w:r>
      <w:r>
        <w:rPr>
          <w:spacing w:val="-5"/>
        </w:rPr>
        <w:t xml:space="preserve"> </w:t>
      </w:r>
      <w:r>
        <w:rPr>
          <w:spacing w:val="-2"/>
        </w:rPr>
        <w:t>required.</w:t>
      </w:r>
    </w:p>
    <w:p w14:paraId="2B4AC4F8" w14:textId="3E895C50" w:rsidR="008B3CC8" w:rsidRDefault="008B3CC8" w:rsidP="008B3CC8">
      <w:r>
        <w:t xml:space="preserve">This role should have responsibility for the RBA’s corporate services and enabling functions and should sit on the RBA’s Executive Committee and Governance Board. The Chief Operating Officer should have the seniority to take enterprise-wide decisions, direct resources, and raise the focus on strategic </w:t>
      </w:r>
      <w:r>
        <w:lastRenderedPageBreak/>
        <w:t>operational issues. The creation of this role will also free up more time for the Governor and Deputy Governor to focus on policy issues.</w:t>
      </w:r>
    </w:p>
    <w:p w14:paraId="2BE98059" w14:textId="77777777" w:rsidR="006B1EB8" w:rsidRDefault="006B1EB8" w:rsidP="006B1EB8">
      <w:r>
        <w:t>Ongoing</w:t>
      </w:r>
      <w:r>
        <w:rPr>
          <w:spacing w:val="1"/>
        </w:rPr>
        <w:t xml:space="preserve"> </w:t>
      </w:r>
      <w:r>
        <w:t>priorities</w:t>
      </w:r>
      <w:r>
        <w:rPr>
          <w:spacing w:val="1"/>
        </w:rPr>
        <w:t xml:space="preserve"> </w:t>
      </w:r>
      <w:r>
        <w:t>for</w:t>
      </w:r>
      <w:r>
        <w:rPr>
          <w:spacing w:val="1"/>
        </w:rPr>
        <w:t xml:space="preserve"> </w:t>
      </w:r>
      <w:r>
        <w:t>the</w:t>
      </w:r>
      <w:r>
        <w:rPr>
          <w:spacing w:val="1"/>
        </w:rPr>
        <w:t xml:space="preserve"> </w:t>
      </w:r>
      <w:r>
        <w:t>Chief</w:t>
      </w:r>
      <w:r>
        <w:rPr>
          <w:spacing w:val="1"/>
        </w:rPr>
        <w:t xml:space="preserve"> </w:t>
      </w:r>
      <w:r>
        <w:t>Operating</w:t>
      </w:r>
      <w:r>
        <w:rPr>
          <w:spacing w:val="1"/>
        </w:rPr>
        <w:t xml:space="preserve"> </w:t>
      </w:r>
      <w:r>
        <w:t>Officer</w:t>
      </w:r>
      <w:r>
        <w:rPr>
          <w:spacing w:val="1"/>
        </w:rPr>
        <w:t xml:space="preserve"> </w:t>
      </w:r>
      <w:r>
        <w:t>should</w:t>
      </w:r>
      <w:r>
        <w:rPr>
          <w:spacing w:val="1"/>
        </w:rPr>
        <w:t xml:space="preserve"> </w:t>
      </w:r>
      <w:r>
        <w:t>be</w:t>
      </w:r>
      <w:r>
        <w:rPr>
          <w:spacing w:val="1"/>
        </w:rPr>
        <w:t xml:space="preserve"> </w:t>
      </w:r>
      <w:r>
        <w:rPr>
          <w:spacing w:val="-5"/>
        </w:rPr>
        <w:t>to:</w:t>
      </w:r>
    </w:p>
    <w:p w14:paraId="37EDA515" w14:textId="77777777" w:rsidR="006B1EB8" w:rsidRDefault="006B1EB8" w:rsidP="0000278A">
      <w:pPr>
        <w:pStyle w:val="Bullet"/>
      </w:pPr>
      <w:r>
        <w:t>consider</w:t>
      </w:r>
      <w:r>
        <w:rPr>
          <w:spacing w:val="-4"/>
        </w:rPr>
        <w:t xml:space="preserve"> </w:t>
      </w:r>
      <w:r>
        <w:t>the</w:t>
      </w:r>
      <w:r>
        <w:rPr>
          <w:spacing w:val="-4"/>
        </w:rPr>
        <w:t xml:space="preserve"> </w:t>
      </w:r>
      <w:r>
        <w:t>RBA’s</w:t>
      </w:r>
      <w:r>
        <w:rPr>
          <w:spacing w:val="-4"/>
        </w:rPr>
        <w:t xml:space="preserve"> </w:t>
      </w:r>
      <w:r>
        <w:t>structure</w:t>
      </w:r>
      <w:r>
        <w:rPr>
          <w:spacing w:val="-4"/>
        </w:rPr>
        <w:t xml:space="preserve"> </w:t>
      </w:r>
      <w:r>
        <w:t>and</w:t>
      </w:r>
      <w:r>
        <w:rPr>
          <w:spacing w:val="-4"/>
        </w:rPr>
        <w:t xml:space="preserve"> </w:t>
      </w:r>
      <w:r>
        <w:t>internal</w:t>
      </w:r>
      <w:r>
        <w:rPr>
          <w:spacing w:val="-4"/>
        </w:rPr>
        <w:t xml:space="preserve"> </w:t>
      </w:r>
      <w:r>
        <w:t>processes</w:t>
      </w:r>
      <w:r>
        <w:rPr>
          <w:spacing w:val="-4"/>
        </w:rPr>
        <w:t xml:space="preserve"> </w:t>
      </w:r>
      <w:r>
        <w:t>for</w:t>
      </w:r>
      <w:r>
        <w:rPr>
          <w:spacing w:val="-4"/>
        </w:rPr>
        <w:t xml:space="preserve"> </w:t>
      </w:r>
      <w:r>
        <w:t>collaboration</w:t>
      </w:r>
      <w:r>
        <w:rPr>
          <w:spacing w:val="-4"/>
        </w:rPr>
        <w:t xml:space="preserve"> </w:t>
      </w:r>
      <w:r>
        <w:t>with</w:t>
      </w:r>
      <w:r>
        <w:rPr>
          <w:spacing w:val="-4"/>
        </w:rPr>
        <w:t xml:space="preserve"> </w:t>
      </w:r>
      <w:r>
        <w:t>a</w:t>
      </w:r>
      <w:r>
        <w:rPr>
          <w:spacing w:val="-4"/>
        </w:rPr>
        <w:t xml:space="preserve"> </w:t>
      </w:r>
      <w:r>
        <w:t>view</w:t>
      </w:r>
      <w:r>
        <w:rPr>
          <w:spacing w:val="-4"/>
        </w:rPr>
        <w:t xml:space="preserve"> </w:t>
      </w:r>
      <w:r>
        <w:t>to</w:t>
      </w:r>
      <w:r>
        <w:rPr>
          <w:spacing w:val="-4"/>
        </w:rPr>
        <w:t xml:space="preserve"> </w:t>
      </w:r>
      <w:r>
        <w:t>ensuring</w:t>
      </w:r>
      <w:r>
        <w:rPr>
          <w:spacing w:val="-4"/>
        </w:rPr>
        <w:t xml:space="preserve"> </w:t>
      </w:r>
      <w:r>
        <w:t>the RBA</w:t>
      </w:r>
      <w:r>
        <w:rPr>
          <w:spacing w:val="-5"/>
        </w:rPr>
        <w:t xml:space="preserve"> </w:t>
      </w:r>
      <w:r>
        <w:t>uses</w:t>
      </w:r>
      <w:r>
        <w:rPr>
          <w:spacing w:val="-5"/>
        </w:rPr>
        <w:t xml:space="preserve"> </w:t>
      </w:r>
      <w:r>
        <w:t>its</w:t>
      </w:r>
      <w:r>
        <w:rPr>
          <w:spacing w:val="-5"/>
        </w:rPr>
        <w:t xml:space="preserve"> </w:t>
      </w:r>
      <w:r>
        <w:t>resources</w:t>
      </w:r>
      <w:r>
        <w:rPr>
          <w:spacing w:val="-5"/>
        </w:rPr>
        <w:t xml:space="preserve"> </w:t>
      </w:r>
      <w:r>
        <w:t>effectively</w:t>
      </w:r>
      <w:r>
        <w:rPr>
          <w:spacing w:val="-5"/>
        </w:rPr>
        <w:t xml:space="preserve"> </w:t>
      </w:r>
      <w:r>
        <w:t>and</w:t>
      </w:r>
      <w:r>
        <w:rPr>
          <w:spacing w:val="-5"/>
        </w:rPr>
        <w:t xml:space="preserve"> </w:t>
      </w:r>
      <w:r>
        <w:t>efficiently,</w:t>
      </w:r>
      <w:r>
        <w:rPr>
          <w:spacing w:val="-5"/>
        </w:rPr>
        <w:t xml:space="preserve"> </w:t>
      </w:r>
      <w:r>
        <w:t>and</w:t>
      </w:r>
      <w:r>
        <w:rPr>
          <w:spacing w:val="-5"/>
        </w:rPr>
        <w:t xml:space="preserve"> </w:t>
      </w:r>
      <w:r>
        <w:t>can</w:t>
      </w:r>
      <w:r>
        <w:rPr>
          <w:spacing w:val="-5"/>
        </w:rPr>
        <w:t xml:space="preserve"> </w:t>
      </w:r>
      <w:r>
        <w:t>adapt</w:t>
      </w:r>
      <w:r>
        <w:rPr>
          <w:spacing w:val="-5"/>
        </w:rPr>
        <w:t xml:space="preserve"> </w:t>
      </w:r>
      <w:r>
        <w:t>to</w:t>
      </w:r>
      <w:r>
        <w:rPr>
          <w:spacing w:val="-5"/>
        </w:rPr>
        <w:t xml:space="preserve"> </w:t>
      </w:r>
      <w:r>
        <w:t>emerging</w:t>
      </w:r>
      <w:r>
        <w:rPr>
          <w:spacing w:val="-5"/>
        </w:rPr>
        <w:t xml:space="preserve"> </w:t>
      </w:r>
      <w:r>
        <w:t>risks</w:t>
      </w:r>
      <w:r>
        <w:rPr>
          <w:spacing w:val="-5"/>
        </w:rPr>
        <w:t xml:space="preserve"> </w:t>
      </w:r>
      <w:r>
        <w:t>and</w:t>
      </w:r>
      <w:r>
        <w:rPr>
          <w:spacing w:val="-5"/>
        </w:rPr>
        <w:t xml:space="preserve"> </w:t>
      </w:r>
      <w:r>
        <w:t>challenges</w:t>
      </w:r>
    </w:p>
    <w:p w14:paraId="32E2ECCC" w14:textId="77777777" w:rsidR="006B1EB8" w:rsidRDefault="006B1EB8" w:rsidP="0000278A">
      <w:pPr>
        <w:pStyle w:val="Bullet"/>
      </w:pPr>
      <w:r>
        <w:t>consider</w:t>
      </w:r>
      <w:r>
        <w:rPr>
          <w:spacing w:val="-1"/>
        </w:rPr>
        <w:t xml:space="preserve"> </w:t>
      </w:r>
      <w:r>
        <w:t>spans</w:t>
      </w:r>
      <w:r>
        <w:rPr>
          <w:spacing w:val="-1"/>
        </w:rPr>
        <w:t xml:space="preserve"> </w:t>
      </w:r>
      <w:r>
        <w:t>of</w:t>
      </w:r>
      <w:r>
        <w:rPr>
          <w:spacing w:val="-1"/>
        </w:rPr>
        <w:t xml:space="preserve"> </w:t>
      </w:r>
      <w:r>
        <w:t>control,</w:t>
      </w:r>
      <w:r>
        <w:rPr>
          <w:spacing w:val="-1"/>
        </w:rPr>
        <w:t xml:space="preserve"> </w:t>
      </w:r>
      <w:r>
        <w:t>role</w:t>
      </w:r>
      <w:r>
        <w:rPr>
          <w:spacing w:val="-1"/>
        </w:rPr>
        <w:t xml:space="preserve"> </w:t>
      </w:r>
      <w:r>
        <w:t>responsibilities</w:t>
      </w:r>
      <w:r>
        <w:rPr>
          <w:spacing w:val="-1"/>
        </w:rPr>
        <w:t xml:space="preserve"> </w:t>
      </w:r>
      <w:r>
        <w:t>and</w:t>
      </w:r>
      <w:r>
        <w:rPr>
          <w:spacing w:val="-1"/>
        </w:rPr>
        <w:t xml:space="preserve"> </w:t>
      </w:r>
      <w:r>
        <w:t>accountabilities</w:t>
      </w:r>
      <w:r>
        <w:rPr>
          <w:spacing w:val="-1"/>
        </w:rPr>
        <w:t xml:space="preserve"> </w:t>
      </w:r>
      <w:r>
        <w:t>to</w:t>
      </w:r>
      <w:r>
        <w:rPr>
          <w:spacing w:val="-1"/>
        </w:rPr>
        <w:t xml:space="preserve"> </w:t>
      </w:r>
      <w:r>
        <w:t>ensure</w:t>
      </w:r>
      <w:r>
        <w:rPr>
          <w:spacing w:val="-1"/>
        </w:rPr>
        <w:t xml:space="preserve"> </w:t>
      </w:r>
      <w:r>
        <w:t>decisions</w:t>
      </w:r>
      <w:r>
        <w:rPr>
          <w:spacing w:val="-1"/>
        </w:rPr>
        <w:t xml:space="preserve"> </w:t>
      </w:r>
      <w:r>
        <w:t>are</w:t>
      </w:r>
      <w:r>
        <w:rPr>
          <w:spacing w:val="-1"/>
        </w:rPr>
        <w:t xml:space="preserve"> </w:t>
      </w:r>
      <w:r>
        <w:t>taken at the appropriate level</w:t>
      </w:r>
    </w:p>
    <w:p w14:paraId="46A3239A" w14:textId="77777777" w:rsidR="006B1EB8" w:rsidRDefault="006B1EB8" w:rsidP="0000278A">
      <w:pPr>
        <w:pStyle w:val="Bullet"/>
      </w:pPr>
      <w:r>
        <w:t>oversee improvements to strategic workforce planning capability and people management processes including performance management and development, and succession planning</w:t>
      </w:r>
    </w:p>
    <w:p w14:paraId="7B99AE72" w14:textId="77777777" w:rsidR="006B1EB8" w:rsidRDefault="006B1EB8" w:rsidP="0000278A">
      <w:pPr>
        <w:pStyle w:val="Bullet"/>
      </w:pPr>
      <w:r>
        <w:t>take</w:t>
      </w:r>
      <w:r>
        <w:rPr>
          <w:spacing w:val="-2"/>
        </w:rPr>
        <w:t xml:space="preserve"> </w:t>
      </w:r>
      <w:r>
        <w:t>further steps</w:t>
      </w:r>
      <w:r>
        <w:rPr>
          <w:spacing w:val="1"/>
        </w:rPr>
        <w:t xml:space="preserve"> </w:t>
      </w:r>
      <w:r>
        <w:t>to improve</w:t>
      </w:r>
      <w:r>
        <w:rPr>
          <w:spacing w:val="1"/>
        </w:rPr>
        <w:t xml:space="preserve"> </w:t>
      </w:r>
      <w:r>
        <w:t>the risk</w:t>
      </w:r>
      <w:r>
        <w:rPr>
          <w:spacing w:val="1"/>
        </w:rPr>
        <w:t xml:space="preserve"> </w:t>
      </w:r>
      <w:r>
        <w:t>culture and</w:t>
      </w:r>
      <w:r>
        <w:rPr>
          <w:spacing w:val="1"/>
        </w:rPr>
        <w:t xml:space="preserve"> </w:t>
      </w:r>
      <w:r>
        <w:t>risk management</w:t>
      </w:r>
      <w:r>
        <w:rPr>
          <w:spacing w:val="1"/>
        </w:rPr>
        <w:t xml:space="preserve"> </w:t>
      </w:r>
      <w:r>
        <w:t>across the</w:t>
      </w:r>
      <w:r>
        <w:rPr>
          <w:spacing w:val="1"/>
        </w:rPr>
        <w:t xml:space="preserve"> </w:t>
      </w:r>
      <w:r>
        <w:rPr>
          <w:spacing w:val="-2"/>
        </w:rPr>
        <w:t>organisation</w:t>
      </w:r>
    </w:p>
    <w:p w14:paraId="51C65402" w14:textId="77777777" w:rsidR="006B1EB8" w:rsidRDefault="006B1EB8" w:rsidP="0000278A">
      <w:pPr>
        <w:pStyle w:val="Bullet"/>
      </w:pPr>
      <w:r>
        <w:t>coordinate</w:t>
      </w:r>
      <w:r>
        <w:rPr>
          <w:spacing w:val="-3"/>
        </w:rPr>
        <w:t xml:space="preserve"> </w:t>
      </w:r>
      <w:r>
        <w:t>and help to drive</w:t>
      </w:r>
      <w:r>
        <w:rPr>
          <w:spacing w:val="-1"/>
        </w:rPr>
        <w:t xml:space="preserve"> </w:t>
      </w:r>
      <w:r>
        <w:t>the organisational changes the</w:t>
      </w:r>
      <w:r>
        <w:rPr>
          <w:spacing w:val="-1"/>
        </w:rPr>
        <w:t xml:space="preserve"> </w:t>
      </w:r>
      <w:r>
        <w:t xml:space="preserve">RBA needs to </w:t>
      </w:r>
      <w:r>
        <w:rPr>
          <w:spacing w:val="-2"/>
        </w:rPr>
        <w:t>achieve.</w:t>
      </w:r>
    </w:p>
    <w:p w14:paraId="4113BCB2" w14:textId="77777777" w:rsidR="00335249" w:rsidRDefault="00335249" w:rsidP="00335249">
      <w:pPr>
        <w:pStyle w:val="Heading4"/>
      </w:pPr>
      <w:r>
        <w:t>The</w:t>
      </w:r>
      <w:r>
        <w:rPr>
          <w:spacing w:val="3"/>
        </w:rPr>
        <w:t xml:space="preserve"> </w:t>
      </w:r>
      <w:r>
        <w:t>RBA</w:t>
      </w:r>
      <w:r>
        <w:rPr>
          <w:spacing w:val="3"/>
        </w:rPr>
        <w:t xml:space="preserve"> </w:t>
      </w:r>
      <w:r>
        <w:t>should</w:t>
      </w:r>
      <w:r>
        <w:rPr>
          <w:spacing w:val="3"/>
        </w:rPr>
        <w:t xml:space="preserve"> </w:t>
      </w:r>
      <w:r>
        <w:t>strengthen</w:t>
      </w:r>
      <w:r>
        <w:rPr>
          <w:spacing w:val="3"/>
        </w:rPr>
        <w:t xml:space="preserve"> </w:t>
      </w:r>
      <w:r>
        <w:t>and</w:t>
      </w:r>
      <w:r>
        <w:rPr>
          <w:spacing w:val="4"/>
        </w:rPr>
        <w:t xml:space="preserve"> </w:t>
      </w:r>
      <w:r>
        <w:t>extend</w:t>
      </w:r>
      <w:r>
        <w:rPr>
          <w:spacing w:val="3"/>
        </w:rPr>
        <w:t xml:space="preserve"> </w:t>
      </w:r>
      <w:r>
        <w:t>its</w:t>
      </w:r>
      <w:r>
        <w:rPr>
          <w:spacing w:val="3"/>
        </w:rPr>
        <w:t xml:space="preserve"> </w:t>
      </w:r>
      <w:r>
        <w:t>leadership</w:t>
      </w:r>
      <w:r>
        <w:rPr>
          <w:spacing w:val="3"/>
        </w:rPr>
        <w:t xml:space="preserve"> </w:t>
      </w:r>
      <w:r>
        <w:t>capability</w:t>
      </w:r>
      <w:r>
        <w:rPr>
          <w:spacing w:val="3"/>
        </w:rPr>
        <w:t xml:space="preserve"> </w:t>
      </w:r>
      <w:r>
        <w:t>(Recommendation</w:t>
      </w:r>
      <w:r>
        <w:rPr>
          <w:spacing w:val="4"/>
        </w:rPr>
        <w:t xml:space="preserve"> </w:t>
      </w:r>
      <w:r>
        <w:rPr>
          <w:spacing w:val="-2"/>
        </w:rPr>
        <w:t>11.2)</w:t>
      </w:r>
    </w:p>
    <w:p w14:paraId="2D3ADC8C" w14:textId="77777777" w:rsidR="00335249" w:rsidRDefault="00335249" w:rsidP="00335249">
      <w:r>
        <w:t xml:space="preserve">The Review’s engagement with RBA staff members highlighted that </w:t>
      </w:r>
      <w:r w:rsidRPr="00335249">
        <w:rPr>
          <w:rFonts w:cs="Calibri Light"/>
          <w:b/>
        </w:rPr>
        <w:t xml:space="preserve">the RBA needs to further improve its leadership capability </w:t>
      </w:r>
      <w:r w:rsidRPr="00335249">
        <w:rPr>
          <w:rFonts w:cs="Calibri Light"/>
        </w:rPr>
        <w:t>and better and more consistently recognise the value of leadership and management skills. Accountability for leadership performance and processes for upwards feedback are not sufficiently</w:t>
      </w:r>
      <w:r>
        <w:t xml:space="preserve"> robust or well embedded. A lack of transparency around internal rotations and appointments limits staff members’ agency in career development.</w:t>
      </w:r>
    </w:p>
    <w:p w14:paraId="462B9F35" w14:textId="77777777" w:rsidR="00335249" w:rsidRDefault="00335249" w:rsidP="00335249">
      <w:r>
        <w:t xml:space="preserve">To get the most out of its talented staff, the RBA </w:t>
      </w:r>
      <w:r>
        <w:rPr>
          <w:spacing w:val="-2"/>
        </w:rPr>
        <w:t>should:</w:t>
      </w:r>
    </w:p>
    <w:p w14:paraId="730D1B4A" w14:textId="78EBEA0E" w:rsidR="00335249" w:rsidRDefault="00335249" w:rsidP="0000278A">
      <w:pPr>
        <w:pStyle w:val="Bullet"/>
      </w:pPr>
      <w:r>
        <w:t>implement</w:t>
      </w:r>
      <w:r w:rsidRPr="00335249">
        <w:rPr>
          <w:spacing w:val="-1"/>
        </w:rPr>
        <w:t xml:space="preserve"> </w:t>
      </w:r>
      <w:r>
        <w:t>mandatory</w:t>
      </w:r>
      <w:r w:rsidRPr="00335249">
        <w:rPr>
          <w:spacing w:val="1"/>
        </w:rPr>
        <w:t xml:space="preserve"> </w:t>
      </w:r>
      <w:r>
        <w:t>leadership</w:t>
      </w:r>
      <w:r w:rsidRPr="00335249">
        <w:rPr>
          <w:spacing w:val="1"/>
        </w:rPr>
        <w:t xml:space="preserve"> </w:t>
      </w:r>
      <w:r>
        <w:t>training</w:t>
      </w:r>
      <w:r w:rsidRPr="00335249">
        <w:rPr>
          <w:spacing w:val="1"/>
        </w:rPr>
        <w:t xml:space="preserve"> </w:t>
      </w:r>
      <w:r>
        <w:t>for</w:t>
      </w:r>
      <w:r w:rsidRPr="00335249">
        <w:rPr>
          <w:spacing w:val="1"/>
        </w:rPr>
        <w:t xml:space="preserve"> </w:t>
      </w:r>
      <w:r>
        <w:t>all</w:t>
      </w:r>
      <w:r w:rsidRPr="00335249">
        <w:rPr>
          <w:spacing w:val="2"/>
        </w:rPr>
        <w:t xml:space="preserve"> </w:t>
      </w:r>
      <w:r>
        <w:t>leaders,</w:t>
      </w:r>
      <w:r w:rsidRPr="00335249">
        <w:rPr>
          <w:spacing w:val="1"/>
        </w:rPr>
        <w:t xml:space="preserve"> </w:t>
      </w:r>
      <w:r>
        <w:t>tailored</w:t>
      </w:r>
      <w:r w:rsidRPr="00335249">
        <w:rPr>
          <w:spacing w:val="1"/>
        </w:rPr>
        <w:t xml:space="preserve"> </w:t>
      </w:r>
      <w:r>
        <w:t>to</w:t>
      </w:r>
      <w:r w:rsidRPr="00335249">
        <w:rPr>
          <w:spacing w:val="1"/>
        </w:rPr>
        <w:t xml:space="preserve"> </w:t>
      </w:r>
      <w:r>
        <w:t>different</w:t>
      </w:r>
      <w:r w:rsidRPr="00335249">
        <w:rPr>
          <w:spacing w:val="1"/>
        </w:rPr>
        <w:t xml:space="preserve"> </w:t>
      </w:r>
      <w:r>
        <w:t>levels</w:t>
      </w:r>
      <w:r w:rsidRPr="00335249">
        <w:rPr>
          <w:spacing w:val="2"/>
        </w:rPr>
        <w:t xml:space="preserve"> </w:t>
      </w:r>
      <w:r w:rsidRPr="00335249">
        <w:rPr>
          <w:spacing w:val="-5"/>
        </w:rPr>
        <w:t>of</w:t>
      </w:r>
      <w:r>
        <w:rPr>
          <w:spacing w:val="-5"/>
        </w:rPr>
        <w:t xml:space="preserve"> </w:t>
      </w:r>
      <w:r>
        <w:t>management,</w:t>
      </w:r>
      <w:r w:rsidRPr="00335249">
        <w:rPr>
          <w:spacing w:val="3"/>
        </w:rPr>
        <w:t xml:space="preserve"> </w:t>
      </w:r>
      <w:r>
        <w:t>including</w:t>
      </w:r>
      <w:r w:rsidRPr="00335249">
        <w:rPr>
          <w:spacing w:val="4"/>
        </w:rPr>
        <w:t xml:space="preserve"> </w:t>
      </w:r>
      <w:r>
        <w:t>executive</w:t>
      </w:r>
      <w:r w:rsidRPr="00335249">
        <w:rPr>
          <w:spacing w:val="4"/>
        </w:rPr>
        <w:t xml:space="preserve"> </w:t>
      </w:r>
      <w:r w:rsidRPr="00335249">
        <w:rPr>
          <w:spacing w:val="-2"/>
        </w:rPr>
        <w:t>leaders</w:t>
      </w:r>
    </w:p>
    <w:p w14:paraId="58DCCC75" w14:textId="77777777" w:rsidR="00335249" w:rsidRDefault="00335249" w:rsidP="0000278A">
      <w:pPr>
        <w:pStyle w:val="Bullet"/>
      </w:pPr>
      <w:r>
        <w:t>implement a formalised program of externally administered annual 360-degree feedback to better assess leadership behaviours and performance, followed up with leadership coaching</w:t>
      </w:r>
    </w:p>
    <w:p w14:paraId="777EDB68" w14:textId="076C7655" w:rsidR="00335249" w:rsidRDefault="00335249" w:rsidP="0000278A">
      <w:pPr>
        <w:pStyle w:val="Bullet"/>
      </w:pPr>
      <w:r>
        <w:t>strengthen</w:t>
      </w:r>
      <w:r w:rsidRPr="00335249">
        <w:rPr>
          <w:spacing w:val="3"/>
        </w:rPr>
        <w:t xml:space="preserve"> </w:t>
      </w:r>
      <w:r>
        <w:t>and</w:t>
      </w:r>
      <w:r w:rsidRPr="00335249">
        <w:rPr>
          <w:spacing w:val="4"/>
        </w:rPr>
        <w:t xml:space="preserve"> </w:t>
      </w:r>
      <w:r>
        <w:t>better</w:t>
      </w:r>
      <w:r w:rsidRPr="00335249">
        <w:rPr>
          <w:spacing w:val="4"/>
        </w:rPr>
        <w:t xml:space="preserve"> </w:t>
      </w:r>
      <w:r>
        <w:t>embed</w:t>
      </w:r>
      <w:r w:rsidRPr="00335249">
        <w:rPr>
          <w:spacing w:val="4"/>
        </w:rPr>
        <w:t xml:space="preserve"> </w:t>
      </w:r>
      <w:r>
        <w:t>performance</w:t>
      </w:r>
      <w:r w:rsidRPr="00335249">
        <w:rPr>
          <w:spacing w:val="3"/>
        </w:rPr>
        <w:t xml:space="preserve"> </w:t>
      </w:r>
      <w:r>
        <w:t>management,</w:t>
      </w:r>
      <w:r w:rsidRPr="00335249">
        <w:rPr>
          <w:spacing w:val="4"/>
        </w:rPr>
        <w:t xml:space="preserve"> </w:t>
      </w:r>
      <w:r>
        <w:t>development</w:t>
      </w:r>
      <w:r w:rsidRPr="00335249">
        <w:rPr>
          <w:spacing w:val="4"/>
        </w:rPr>
        <w:t xml:space="preserve"> </w:t>
      </w:r>
      <w:r>
        <w:t>and</w:t>
      </w:r>
      <w:r w:rsidRPr="00335249">
        <w:rPr>
          <w:spacing w:val="4"/>
        </w:rPr>
        <w:t xml:space="preserve"> </w:t>
      </w:r>
      <w:r w:rsidRPr="00335249">
        <w:rPr>
          <w:spacing w:val="-2"/>
        </w:rPr>
        <w:t>career</w:t>
      </w:r>
      <w:r>
        <w:rPr>
          <w:spacing w:val="-2"/>
        </w:rPr>
        <w:t xml:space="preserve"> </w:t>
      </w:r>
      <w:r>
        <w:t>planning</w:t>
      </w:r>
      <w:r w:rsidRPr="00335249">
        <w:rPr>
          <w:spacing w:val="-1"/>
        </w:rPr>
        <w:t xml:space="preserve"> </w:t>
      </w:r>
      <w:r w:rsidRPr="00335249">
        <w:rPr>
          <w:spacing w:val="-2"/>
        </w:rPr>
        <w:t>frameworks</w:t>
      </w:r>
    </w:p>
    <w:p w14:paraId="58B42E93" w14:textId="77777777" w:rsidR="00335249" w:rsidRDefault="00335249" w:rsidP="0000278A">
      <w:pPr>
        <w:pStyle w:val="Bullet"/>
      </w:pPr>
      <w:r>
        <w:t>implement</w:t>
      </w:r>
      <w:r>
        <w:rPr>
          <w:spacing w:val="1"/>
        </w:rPr>
        <w:t xml:space="preserve"> </w:t>
      </w:r>
      <w:r>
        <w:t>greater</w:t>
      </w:r>
      <w:r>
        <w:rPr>
          <w:spacing w:val="3"/>
        </w:rPr>
        <w:t xml:space="preserve"> </w:t>
      </w:r>
      <w:r>
        <w:t>transparency</w:t>
      </w:r>
      <w:r>
        <w:rPr>
          <w:spacing w:val="3"/>
        </w:rPr>
        <w:t xml:space="preserve"> </w:t>
      </w:r>
      <w:r>
        <w:t>for</w:t>
      </w:r>
      <w:r>
        <w:rPr>
          <w:spacing w:val="3"/>
        </w:rPr>
        <w:t xml:space="preserve"> </w:t>
      </w:r>
      <w:r>
        <w:t>internal</w:t>
      </w:r>
      <w:r>
        <w:rPr>
          <w:spacing w:val="3"/>
        </w:rPr>
        <w:t xml:space="preserve"> </w:t>
      </w:r>
      <w:r>
        <w:t>opportunities,</w:t>
      </w:r>
      <w:r>
        <w:rPr>
          <w:spacing w:val="3"/>
        </w:rPr>
        <w:t xml:space="preserve"> </w:t>
      </w:r>
      <w:r>
        <w:t>rotations</w:t>
      </w:r>
      <w:r>
        <w:rPr>
          <w:spacing w:val="3"/>
        </w:rPr>
        <w:t xml:space="preserve"> </w:t>
      </w:r>
      <w:r>
        <w:t>and</w:t>
      </w:r>
      <w:r>
        <w:rPr>
          <w:spacing w:val="3"/>
        </w:rPr>
        <w:t xml:space="preserve"> </w:t>
      </w:r>
      <w:r>
        <w:rPr>
          <w:spacing w:val="-2"/>
        </w:rPr>
        <w:t>appointments.</w:t>
      </w:r>
    </w:p>
    <w:p w14:paraId="3257A8B7" w14:textId="77777777" w:rsidR="002756D7" w:rsidRDefault="002756D7" w:rsidP="002756D7">
      <w:pPr>
        <w:pStyle w:val="Heading3"/>
      </w:pPr>
      <w:r>
        <w:t>More</w:t>
      </w:r>
      <w:r>
        <w:rPr>
          <w:spacing w:val="-7"/>
        </w:rPr>
        <w:t xml:space="preserve"> </w:t>
      </w:r>
      <w:r>
        <w:t>open</w:t>
      </w:r>
      <w:r>
        <w:rPr>
          <w:spacing w:val="-7"/>
        </w:rPr>
        <w:t xml:space="preserve"> </w:t>
      </w:r>
      <w:r>
        <w:t>and</w:t>
      </w:r>
      <w:r>
        <w:rPr>
          <w:spacing w:val="-7"/>
        </w:rPr>
        <w:t xml:space="preserve"> </w:t>
      </w:r>
      <w:r>
        <w:t>constructive</w:t>
      </w:r>
      <w:r>
        <w:rPr>
          <w:spacing w:val="-6"/>
        </w:rPr>
        <w:t xml:space="preserve"> </w:t>
      </w:r>
      <w:r>
        <w:rPr>
          <w:spacing w:val="-2"/>
        </w:rPr>
        <w:t>debate</w:t>
      </w:r>
    </w:p>
    <w:p w14:paraId="06F408BE" w14:textId="77777777" w:rsidR="002756D7" w:rsidRDefault="002756D7" w:rsidP="002756D7">
      <w:pPr>
        <w:pStyle w:val="Heading4"/>
      </w:pPr>
      <w:r>
        <w:t>The RBA should further encourage diverse viewpoints and constructive challenge (Recommendation 11.3)</w:t>
      </w:r>
    </w:p>
    <w:p w14:paraId="2EFC6EB5" w14:textId="4723DDBE" w:rsidR="002756D7" w:rsidRDefault="002756D7" w:rsidP="002756D7">
      <w:r>
        <w:t>The RBA has made extensive efforts in recent years to foster a culture where debate and challenge are encouraged. Nevertheless, many staff members perceive there to be incentives to express views that align with their direct managers and senior leaders. There is a risk of groupthink that</w:t>
      </w:r>
      <w:r>
        <w:rPr>
          <w:spacing w:val="80"/>
        </w:rPr>
        <w:t xml:space="preserve"> </w:t>
      </w:r>
      <w:r>
        <w:t>can be driven by concentrated policy and operational decision-making processes and a lack of meaningful conversations with senior leaders about why decisions are taken. The RBA is also not as open as it could be to external views. While the RBA has introduced initiatives to encourage staff to speak up, these factors continue to inhibit constructive challenge and debate and stifle innovation and creativity.</w:t>
      </w:r>
    </w:p>
    <w:p w14:paraId="252FCF3A" w14:textId="77777777" w:rsidR="002756D7" w:rsidRPr="00611DB1" w:rsidRDefault="002756D7" w:rsidP="002756D7">
      <w:pPr>
        <w:rPr>
          <w:rFonts w:cs="Calibri Light"/>
        </w:rPr>
      </w:pPr>
      <w:r>
        <w:t xml:space="preserve">These issues partly stem from underlying behaviours, such as how supported and safe staff members feel to speak up and challenge the status quo, and how they perceive promotion incentives. Changes in leadership behaviour play an important role in improving perceptions – particularly at the executive level, as discussed in Section 6 of the executive summary. But other factors, such as recruitment, induction and incentives can </w:t>
      </w:r>
      <w:r w:rsidRPr="00611DB1">
        <w:rPr>
          <w:rFonts w:cs="Calibri Light"/>
        </w:rPr>
        <w:t>also make a difference.</w:t>
      </w:r>
    </w:p>
    <w:p w14:paraId="6971EDA7" w14:textId="77777777" w:rsidR="00611DB1" w:rsidRPr="00611DB1" w:rsidRDefault="00611DB1" w:rsidP="00611DB1">
      <w:pPr>
        <w:rPr>
          <w:rFonts w:cs="Calibri Light"/>
          <w:b/>
        </w:rPr>
      </w:pPr>
      <w:r w:rsidRPr="00611DB1">
        <w:rPr>
          <w:rFonts w:cs="Calibri Light"/>
        </w:rPr>
        <w:lastRenderedPageBreak/>
        <w:t>To</w:t>
      </w:r>
      <w:r w:rsidRPr="00611DB1">
        <w:rPr>
          <w:rFonts w:cs="Calibri Light"/>
          <w:spacing w:val="-1"/>
        </w:rPr>
        <w:t xml:space="preserve"> </w:t>
      </w:r>
      <w:r w:rsidRPr="00611DB1">
        <w:rPr>
          <w:rFonts w:cs="Calibri Light"/>
        </w:rPr>
        <w:t xml:space="preserve">foster </w:t>
      </w:r>
      <w:r w:rsidRPr="00611DB1">
        <w:rPr>
          <w:rFonts w:cs="Calibri Light"/>
          <w:b/>
          <w:bCs/>
        </w:rPr>
        <w:t xml:space="preserve">a stronger culture of constructive challenge and openness to diverse </w:t>
      </w:r>
      <w:r w:rsidRPr="00611DB1">
        <w:rPr>
          <w:rFonts w:cs="Calibri Light"/>
          <w:b/>
          <w:bCs/>
          <w:spacing w:val="-2"/>
        </w:rPr>
        <w:t>views</w:t>
      </w:r>
      <w:r w:rsidRPr="00611DB1">
        <w:rPr>
          <w:rFonts w:cs="Calibri Light"/>
          <w:spacing w:val="-2"/>
        </w:rPr>
        <w:t>:</w:t>
      </w:r>
    </w:p>
    <w:p w14:paraId="563D4075" w14:textId="02E52A21" w:rsidR="00611DB1" w:rsidRDefault="00611DB1" w:rsidP="0000278A">
      <w:pPr>
        <w:pStyle w:val="Bullet"/>
      </w:pPr>
      <w:r w:rsidRPr="00611DB1">
        <w:rPr>
          <w:rFonts w:cs="Calibri Light"/>
        </w:rPr>
        <w:t>Leaders</w:t>
      </w:r>
      <w:r w:rsidRPr="00611DB1">
        <w:rPr>
          <w:rFonts w:cs="Calibri Light"/>
          <w:spacing w:val="-1"/>
        </w:rPr>
        <w:t xml:space="preserve"> </w:t>
      </w:r>
      <w:r w:rsidRPr="00611DB1">
        <w:rPr>
          <w:rFonts w:cs="Calibri Light"/>
        </w:rPr>
        <w:t>should</w:t>
      </w:r>
      <w:r w:rsidRPr="00611DB1">
        <w:rPr>
          <w:rFonts w:cs="Calibri Light"/>
          <w:spacing w:val="1"/>
        </w:rPr>
        <w:t xml:space="preserve"> </w:t>
      </w:r>
      <w:r w:rsidRPr="00611DB1">
        <w:rPr>
          <w:rFonts w:cs="Calibri Light"/>
        </w:rPr>
        <w:t>be</w:t>
      </w:r>
      <w:r w:rsidRPr="00611DB1">
        <w:rPr>
          <w:rFonts w:cs="Calibri Light"/>
          <w:spacing w:val="1"/>
        </w:rPr>
        <w:t xml:space="preserve"> </w:t>
      </w:r>
      <w:r w:rsidRPr="00611DB1">
        <w:rPr>
          <w:rFonts w:cs="Calibri Light"/>
        </w:rPr>
        <w:t>assessed</w:t>
      </w:r>
      <w:r w:rsidRPr="00611DB1">
        <w:rPr>
          <w:rFonts w:cs="Calibri Light"/>
          <w:spacing w:val="2"/>
        </w:rPr>
        <w:t xml:space="preserve"> </w:t>
      </w:r>
      <w:r w:rsidRPr="00611DB1">
        <w:rPr>
          <w:rFonts w:cs="Calibri Light"/>
        </w:rPr>
        <w:t>for</w:t>
      </w:r>
      <w:r>
        <w:rPr>
          <w:spacing w:val="1"/>
        </w:rPr>
        <w:t xml:space="preserve"> </w:t>
      </w:r>
      <w:r>
        <w:t>how</w:t>
      </w:r>
      <w:r>
        <w:rPr>
          <w:spacing w:val="1"/>
        </w:rPr>
        <w:t xml:space="preserve"> </w:t>
      </w:r>
      <w:r>
        <w:t>well</w:t>
      </w:r>
      <w:r>
        <w:rPr>
          <w:spacing w:val="1"/>
        </w:rPr>
        <w:t xml:space="preserve"> </w:t>
      </w:r>
      <w:r>
        <w:t>they</w:t>
      </w:r>
      <w:r>
        <w:rPr>
          <w:spacing w:val="2"/>
        </w:rPr>
        <w:t xml:space="preserve"> </w:t>
      </w:r>
      <w:r>
        <w:t>listen</w:t>
      </w:r>
      <w:r>
        <w:rPr>
          <w:spacing w:val="1"/>
        </w:rPr>
        <w:t xml:space="preserve"> </w:t>
      </w:r>
      <w:r>
        <w:t>to</w:t>
      </w:r>
      <w:r>
        <w:rPr>
          <w:spacing w:val="1"/>
        </w:rPr>
        <w:t xml:space="preserve"> </w:t>
      </w:r>
      <w:r>
        <w:t>and</w:t>
      </w:r>
      <w:r>
        <w:rPr>
          <w:spacing w:val="1"/>
        </w:rPr>
        <w:t xml:space="preserve"> </w:t>
      </w:r>
      <w:r>
        <w:t>engage</w:t>
      </w:r>
      <w:r>
        <w:rPr>
          <w:spacing w:val="2"/>
        </w:rPr>
        <w:t xml:space="preserve"> </w:t>
      </w:r>
      <w:r>
        <w:t>with</w:t>
      </w:r>
      <w:r>
        <w:rPr>
          <w:spacing w:val="1"/>
        </w:rPr>
        <w:t xml:space="preserve"> </w:t>
      </w:r>
      <w:r>
        <w:t>staff</w:t>
      </w:r>
      <w:r>
        <w:rPr>
          <w:spacing w:val="1"/>
        </w:rPr>
        <w:t xml:space="preserve"> </w:t>
      </w:r>
      <w:r>
        <w:t>members,</w:t>
      </w:r>
      <w:r>
        <w:rPr>
          <w:spacing w:val="2"/>
        </w:rPr>
        <w:t xml:space="preserve"> </w:t>
      </w:r>
      <w:r>
        <w:rPr>
          <w:spacing w:val="-5"/>
        </w:rPr>
        <w:t>and</w:t>
      </w:r>
      <w:r w:rsidR="0068598E">
        <w:rPr>
          <w:spacing w:val="-5"/>
        </w:rPr>
        <w:t xml:space="preserve"> </w:t>
      </w:r>
      <w:r>
        <w:t>welcome</w:t>
      </w:r>
      <w:r>
        <w:rPr>
          <w:spacing w:val="4"/>
        </w:rPr>
        <w:t xml:space="preserve"> </w:t>
      </w:r>
      <w:r>
        <w:t>alternative</w:t>
      </w:r>
      <w:r>
        <w:rPr>
          <w:spacing w:val="4"/>
        </w:rPr>
        <w:t xml:space="preserve"> </w:t>
      </w:r>
      <w:r>
        <w:rPr>
          <w:spacing w:val="-2"/>
        </w:rPr>
        <w:t>views.</w:t>
      </w:r>
    </w:p>
    <w:p w14:paraId="06DEBAA0" w14:textId="77777777" w:rsidR="00611DB1" w:rsidRDefault="00611DB1" w:rsidP="0000278A">
      <w:pPr>
        <w:pStyle w:val="Bullet"/>
      </w:pPr>
      <w:r>
        <w:t>The RBA should step up its existing efforts to increase hiring of experienced external candidates. It should also improve onboarding support for external hires to ensure they can be successful at the RBA and encourage and incentivise staff to complete external secondments.</w:t>
      </w:r>
    </w:p>
    <w:p w14:paraId="29AA31BE" w14:textId="77777777" w:rsidR="00611DB1" w:rsidRDefault="00611DB1" w:rsidP="0000278A">
      <w:pPr>
        <w:pStyle w:val="Bullet"/>
      </w:pPr>
      <w:r>
        <w:t>The RBA should develop additional targets for diversity in senior leadership positions, including for cultural and linguistic diversity to complement existing gender targets. This will help to ensure that decision-making benefits from a range of perspectives. The RBA should report on progress towards meeting these targets.</w:t>
      </w:r>
    </w:p>
    <w:p w14:paraId="28F0B344" w14:textId="0E28686D" w:rsidR="00495B39" w:rsidRDefault="00495B39" w:rsidP="00495B39">
      <w:pPr>
        <w:pStyle w:val="Heading4"/>
        <w:rPr>
          <w:rFonts w:ascii="Open Sans"/>
          <w:b/>
          <w:sz w:val="18"/>
        </w:rPr>
      </w:pPr>
      <w:r>
        <w:t>The</w:t>
      </w:r>
      <w:r>
        <w:rPr>
          <w:spacing w:val="1"/>
        </w:rPr>
        <w:t xml:space="preserve"> </w:t>
      </w:r>
      <w:r>
        <w:t>RBA</w:t>
      </w:r>
      <w:r>
        <w:rPr>
          <w:spacing w:val="2"/>
        </w:rPr>
        <w:t xml:space="preserve"> </w:t>
      </w:r>
      <w:r>
        <w:t>should</w:t>
      </w:r>
      <w:r>
        <w:rPr>
          <w:spacing w:val="2"/>
        </w:rPr>
        <w:t xml:space="preserve"> </w:t>
      </w:r>
      <w:r>
        <w:t>strengthen</w:t>
      </w:r>
      <w:r>
        <w:rPr>
          <w:spacing w:val="2"/>
        </w:rPr>
        <w:t xml:space="preserve"> </w:t>
      </w:r>
      <w:r>
        <w:t>the</w:t>
      </w:r>
      <w:r>
        <w:rPr>
          <w:spacing w:val="2"/>
        </w:rPr>
        <w:t xml:space="preserve"> </w:t>
      </w:r>
      <w:r>
        <w:t>role</w:t>
      </w:r>
      <w:r>
        <w:rPr>
          <w:spacing w:val="2"/>
        </w:rPr>
        <w:t xml:space="preserve"> </w:t>
      </w:r>
      <w:r>
        <w:t>of</w:t>
      </w:r>
      <w:r>
        <w:rPr>
          <w:spacing w:val="2"/>
        </w:rPr>
        <w:t xml:space="preserve"> </w:t>
      </w:r>
      <w:r>
        <w:t>research</w:t>
      </w:r>
      <w:r>
        <w:rPr>
          <w:spacing w:val="2"/>
        </w:rPr>
        <w:t xml:space="preserve"> </w:t>
      </w:r>
      <w:r>
        <w:t>in</w:t>
      </w:r>
      <w:r>
        <w:rPr>
          <w:spacing w:val="2"/>
        </w:rPr>
        <w:t xml:space="preserve"> </w:t>
      </w:r>
      <w:r>
        <w:t>policy</w:t>
      </w:r>
      <w:r>
        <w:rPr>
          <w:spacing w:val="2"/>
        </w:rPr>
        <w:t xml:space="preserve"> </w:t>
      </w:r>
      <w:r w:rsidRPr="00495B39">
        <w:t>formulation (Recommendation 11.4)</w:t>
      </w:r>
    </w:p>
    <w:p w14:paraId="351A12F8" w14:textId="77777777" w:rsidR="00495B39" w:rsidRPr="00495B39" w:rsidRDefault="00495B39" w:rsidP="00495B39">
      <w:pPr>
        <w:rPr>
          <w:rFonts w:cs="Calibri Light"/>
        </w:rPr>
      </w:pPr>
      <w:r w:rsidRPr="00495B39">
        <w:rPr>
          <w:rFonts w:cs="Calibri Light"/>
        </w:rPr>
        <w:t xml:space="preserve">Monetary policy decisions should as far as possible be informed by sound evidence, analysis and research. That requires a </w:t>
      </w:r>
      <w:r w:rsidRPr="00495B39">
        <w:rPr>
          <w:rFonts w:cs="Calibri Light"/>
          <w:b/>
        </w:rPr>
        <w:t xml:space="preserve">strong research culture </w:t>
      </w:r>
      <w:r w:rsidRPr="00495B39">
        <w:rPr>
          <w:rFonts w:cs="Calibri Light"/>
        </w:rPr>
        <w:t>in the RBA in which policymakers are open to and value research and analysis as an input to their decisions. It also requires the RBA to maintain the technical skills necessary to provide robust well evidenced policy advice that draws on RBA and external research.</w:t>
      </w:r>
    </w:p>
    <w:p w14:paraId="445687B7" w14:textId="77777777" w:rsidR="00495B39" w:rsidRPr="00495B39" w:rsidRDefault="00495B39" w:rsidP="00495B39">
      <w:pPr>
        <w:rPr>
          <w:rFonts w:cs="Calibri Light"/>
        </w:rPr>
      </w:pPr>
      <w:r w:rsidRPr="00495B39">
        <w:rPr>
          <w:rFonts w:cs="Calibri Light"/>
        </w:rPr>
        <w:t>At present, policy-setting does not utilise as fully as it could the RBA’s technical capabilities, or outside views. For example, staff have limited opportunity to contribute to the development of monetary policy strategy, and evidence from research is not always well integrated into the policy process. The largely non-technical nature of the Reserve Bank Board’s discussions and the fact that the Board has no role in endorsing or shaping the RBA’s research agenda contribute to this. On the staffing side, the absence of a non-managerial career track for technical staff may limit their scope</w:t>
      </w:r>
      <w:r w:rsidRPr="00495B39">
        <w:rPr>
          <w:rFonts w:cs="Calibri Light"/>
          <w:spacing w:val="40"/>
        </w:rPr>
        <w:t xml:space="preserve"> </w:t>
      </w:r>
      <w:r w:rsidRPr="00495B39">
        <w:rPr>
          <w:rFonts w:cs="Calibri Light"/>
        </w:rPr>
        <w:t>to contribute.</w:t>
      </w:r>
    </w:p>
    <w:p w14:paraId="46A1463B" w14:textId="77777777" w:rsidR="00495B39" w:rsidRPr="00495B39" w:rsidRDefault="00495B39" w:rsidP="00495B39">
      <w:pPr>
        <w:rPr>
          <w:rFonts w:cs="Calibri Light"/>
        </w:rPr>
      </w:pPr>
      <w:r w:rsidRPr="00495B39">
        <w:rPr>
          <w:rFonts w:cs="Calibri Light"/>
        </w:rPr>
        <w:t>To</w:t>
      </w:r>
      <w:r w:rsidRPr="00495B39">
        <w:rPr>
          <w:rFonts w:cs="Calibri Light"/>
          <w:spacing w:val="-3"/>
        </w:rPr>
        <w:t xml:space="preserve"> </w:t>
      </w:r>
      <w:r w:rsidRPr="00495B39">
        <w:rPr>
          <w:rFonts w:cs="Calibri Light"/>
        </w:rPr>
        <w:t>address</w:t>
      </w:r>
      <w:r w:rsidRPr="00495B39">
        <w:rPr>
          <w:rFonts w:cs="Calibri Light"/>
          <w:spacing w:val="-3"/>
        </w:rPr>
        <w:t xml:space="preserve"> </w:t>
      </w:r>
      <w:r w:rsidRPr="00495B39">
        <w:rPr>
          <w:rFonts w:cs="Calibri Light"/>
        </w:rPr>
        <w:t>these</w:t>
      </w:r>
      <w:r w:rsidRPr="00495B39">
        <w:rPr>
          <w:rFonts w:cs="Calibri Light"/>
          <w:spacing w:val="-3"/>
        </w:rPr>
        <w:t xml:space="preserve"> </w:t>
      </w:r>
      <w:r w:rsidRPr="00495B39">
        <w:rPr>
          <w:rFonts w:cs="Calibri Light"/>
          <w:spacing w:val="-2"/>
        </w:rPr>
        <w:t>issues:</w:t>
      </w:r>
    </w:p>
    <w:p w14:paraId="34101B9A" w14:textId="77777777" w:rsidR="00495B39" w:rsidRDefault="00495B39" w:rsidP="0000278A">
      <w:pPr>
        <w:pStyle w:val="Bullet"/>
      </w:pPr>
      <w:r>
        <w:t>The RBA should establish a new team to advise the Monetary Policy Board on monetary policy strategy. This team should incorporate staff views on different policy options with supporting analysis and draw on relevant internal and external research.</w:t>
      </w:r>
    </w:p>
    <w:p w14:paraId="68FFB870" w14:textId="77777777" w:rsidR="00495B39" w:rsidRDefault="00495B39" w:rsidP="0000278A">
      <w:pPr>
        <w:pStyle w:val="Bullet"/>
      </w:pPr>
      <w:r>
        <w:t>The Monetary Policy Board should oversee the development of a new research strategy which aims to improve the RBA’s research capability, bring research insights more effectively into the policy process, shape a policy-relevant research agenda and promote greater engagement with universities and think tanks.</w:t>
      </w:r>
    </w:p>
    <w:p w14:paraId="35538431" w14:textId="77777777" w:rsidR="00495B39" w:rsidRDefault="00495B39" w:rsidP="0000278A">
      <w:pPr>
        <w:pStyle w:val="Bullet"/>
      </w:pPr>
      <w:r>
        <w:t>To deepen its research and analytical capability the RBA should consider how best to recruit, develop, and incentivise staff with technical expertise. This may include technical career pathways, use of secondments, PhD study support, rewarding publications in peer-reviewed journals and using new channels to disseminate research insights to a wider audience.</w:t>
      </w:r>
    </w:p>
    <w:p w14:paraId="4CB4634E" w14:textId="60032E08" w:rsidR="006B1EB8" w:rsidRDefault="00495B39" w:rsidP="00495B39">
      <w:r>
        <w:t>These recommendations are complementary to increasing the openness to challenge and debate within the RBA and creating a more specialist Monetary Policy Board.</w:t>
      </w:r>
    </w:p>
    <w:p w14:paraId="2F1C1A3F" w14:textId="2A664BF0" w:rsidR="00C07C50" w:rsidRPr="00C07C50" w:rsidRDefault="00C07C50" w:rsidP="00C07C50">
      <w:pPr>
        <w:pStyle w:val="Heading2"/>
      </w:pPr>
      <w:bookmarkStart w:id="14" w:name="_Toc134220987"/>
      <w:r>
        <w:t xml:space="preserve">5. </w:t>
      </w:r>
      <w:r w:rsidRPr="00C07C50">
        <w:t>More robust corporate governance</w:t>
      </w:r>
      <w:bookmarkEnd w:id="14"/>
    </w:p>
    <w:p w14:paraId="6427A964" w14:textId="77777777" w:rsidR="00C07C50" w:rsidRDefault="00C07C50" w:rsidP="00C07C50">
      <w:pPr>
        <w:pStyle w:val="Heading3"/>
      </w:pPr>
      <w:r>
        <w:t>A</w:t>
      </w:r>
      <w:r>
        <w:rPr>
          <w:spacing w:val="-10"/>
        </w:rPr>
        <w:t xml:space="preserve"> </w:t>
      </w:r>
      <w:r>
        <w:t>new</w:t>
      </w:r>
      <w:r>
        <w:rPr>
          <w:spacing w:val="-7"/>
        </w:rPr>
        <w:t xml:space="preserve"> </w:t>
      </w:r>
      <w:r>
        <w:t>Governance</w:t>
      </w:r>
      <w:r>
        <w:rPr>
          <w:spacing w:val="-7"/>
        </w:rPr>
        <w:t xml:space="preserve"> </w:t>
      </w:r>
      <w:r>
        <w:t>Board</w:t>
      </w:r>
      <w:r>
        <w:rPr>
          <w:spacing w:val="-7"/>
        </w:rPr>
        <w:t xml:space="preserve"> </w:t>
      </w:r>
      <w:r>
        <w:t>to</w:t>
      </w:r>
      <w:r>
        <w:rPr>
          <w:spacing w:val="-7"/>
        </w:rPr>
        <w:t xml:space="preserve"> </w:t>
      </w:r>
      <w:r>
        <w:t>support</w:t>
      </w:r>
      <w:r>
        <w:rPr>
          <w:spacing w:val="-7"/>
        </w:rPr>
        <w:t xml:space="preserve"> </w:t>
      </w:r>
      <w:r>
        <w:t>and</w:t>
      </w:r>
      <w:r>
        <w:rPr>
          <w:spacing w:val="-7"/>
        </w:rPr>
        <w:t xml:space="preserve"> </w:t>
      </w:r>
      <w:r>
        <w:t>oversee</w:t>
      </w:r>
      <w:r>
        <w:rPr>
          <w:spacing w:val="-7"/>
        </w:rPr>
        <w:t xml:space="preserve"> </w:t>
      </w:r>
      <w:r>
        <w:rPr>
          <w:spacing w:val="-2"/>
        </w:rPr>
        <w:t>management</w:t>
      </w:r>
    </w:p>
    <w:p w14:paraId="609A5E9B" w14:textId="77777777" w:rsidR="00C07C50" w:rsidRDefault="00C07C50" w:rsidP="00C36063">
      <w:r>
        <w:t>Effective governance and oversight arrangements can support and challenge management, bring</w:t>
      </w:r>
      <w:r>
        <w:rPr>
          <w:spacing w:val="80"/>
        </w:rPr>
        <w:t xml:space="preserve"> </w:t>
      </w:r>
      <w:r>
        <w:t>a</w:t>
      </w:r>
      <w:r>
        <w:rPr>
          <w:spacing w:val="-1"/>
        </w:rPr>
        <w:t xml:space="preserve"> </w:t>
      </w:r>
      <w:r>
        <w:t>breadth</w:t>
      </w:r>
      <w:r>
        <w:rPr>
          <w:spacing w:val="-1"/>
        </w:rPr>
        <w:t xml:space="preserve"> </w:t>
      </w:r>
      <w:r>
        <w:t>of</w:t>
      </w:r>
      <w:r>
        <w:rPr>
          <w:spacing w:val="-1"/>
        </w:rPr>
        <w:t xml:space="preserve"> </w:t>
      </w:r>
      <w:r>
        <w:t>experience</w:t>
      </w:r>
      <w:r>
        <w:rPr>
          <w:spacing w:val="-1"/>
        </w:rPr>
        <w:t xml:space="preserve"> </w:t>
      </w:r>
      <w:r>
        <w:t>into</w:t>
      </w:r>
      <w:r>
        <w:rPr>
          <w:spacing w:val="-1"/>
        </w:rPr>
        <w:t xml:space="preserve"> </w:t>
      </w:r>
      <w:r>
        <w:t>the</w:t>
      </w:r>
      <w:r>
        <w:rPr>
          <w:spacing w:val="-1"/>
        </w:rPr>
        <w:t xml:space="preserve"> </w:t>
      </w:r>
      <w:r>
        <w:t>running</w:t>
      </w:r>
      <w:r>
        <w:rPr>
          <w:spacing w:val="-1"/>
        </w:rPr>
        <w:t xml:space="preserve"> </w:t>
      </w:r>
      <w:r>
        <w:t>of</w:t>
      </w:r>
      <w:r>
        <w:rPr>
          <w:spacing w:val="-1"/>
        </w:rPr>
        <w:t xml:space="preserve"> </w:t>
      </w:r>
      <w:r>
        <w:t>an</w:t>
      </w:r>
      <w:r>
        <w:rPr>
          <w:spacing w:val="-1"/>
        </w:rPr>
        <w:t xml:space="preserve"> </w:t>
      </w:r>
      <w:r>
        <w:t>organisation,</w:t>
      </w:r>
      <w:r>
        <w:rPr>
          <w:spacing w:val="-1"/>
        </w:rPr>
        <w:t xml:space="preserve"> </w:t>
      </w:r>
      <w:r>
        <w:t>and</w:t>
      </w:r>
      <w:r>
        <w:rPr>
          <w:spacing w:val="-1"/>
        </w:rPr>
        <w:t xml:space="preserve"> </w:t>
      </w:r>
      <w:r>
        <w:t>help</w:t>
      </w:r>
      <w:r>
        <w:rPr>
          <w:spacing w:val="-1"/>
        </w:rPr>
        <w:t xml:space="preserve"> </w:t>
      </w:r>
      <w:r>
        <w:t>push</w:t>
      </w:r>
      <w:r>
        <w:rPr>
          <w:spacing w:val="-1"/>
        </w:rPr>
        <w:t xml:space="preserve"> </w:t>
      </w:r>
      <w:r>
        <w:t>it</w:t>
      </w:r>
      <w:r>
        <w:rPr>
          <w:spacing w:val="-1"/>
        </w:rPr>
        <w:t xml:space="preserve"> </w:t>
      </w:r>
      <w:r>
        <w:t>to</w:t>
      </w:r>
      <w:r>
        <w:rPr>
          <w:spacing w:val="-1"/>
        </w:rPr>
        <w:t xml:space="preserve"> </w:t>
      </w:r>
      <w:r>
        <w:t>adapt</w:t>
      </w:r>
      <w:r>
        <w:rPr>
          <w:spacing w:val="-1"/>
        </w:rPr>
        <w:t xml:space="preserve"> </w:t>
      </w:r>
      <w:r>
        <w:t>and</w:t>
      </w:r>
      <w:r>
        <w:rPr>
          <w:spacing w:val="-1"/>
        </w:rPr>
        <w:t xml:space="preserve"> </w:t>
      </w:r>
      <w:r>
        <w:t>change.</w:t>
      </w:r>
    </w:p>
    <w:p w14:paraId="1D2C5520" w14:textId="77777777" w:rsidR="00C07C50" w:rsidRDefault="00C07C50" w:rsidP="00C07C50">
      <w:r>
        <w:lastRenderedPageBreak/>
        <w:t>Within the RBA the responsibility for running the institution is heavily concentrated in the Governor and, to a lesser extent, the Deputy Governor, with the Reserve Bank Board playing a very limited oversight role outside of monetary policy. Some aspects of internal governance – including the proper extent of the role of the Reserve Bank Board and responsibilities for risk management – are unclear.</w:t>
      </w:r>
    </w:p>
    <w:p w14:paraId="48CA66EB" w14:textId="77777777" w:rsidR="00C07C50" w:rsidRDefault="00C07C50" w:rsidP="00C07C50">
      <w:r>
        <w:t>These arrangements fall far short of contemporary good practice for running an organisation of the complexity of the RBA. The concentration of authority creates risk and may unintentionally contribute to institutional inertia and an environment in which debate and challenge are less likely to flourish.</w:t>
      </w:r>
    </w:p>
    <w:p w14:paraId="17DB2B5A" w14:textId="77777777" w:rsidR="00C07C50" w:rsidRDefault="00C07C50" w:rsidP="00C07C50">
      <w:r>
        <w:t>More robust corporate governance arrangements would bring the RBA into line with best practice, reduce risk, clarify and increase accountability and increase its capacity to adapt to future challenges especially around people, technology and cyber risk. That is especially important in light of the significant agenda the Review has identified for strengthening the culture and processes of the RBA.</w:t>
      </w:r>
    </w:p>
    <w:p w14:paraId="76C3EE8F" w14:textId="77777777" w:rsidR="00C07C50" w:rsidRDefault="00C07C50" w:rsidP="00C07C50">
      <w:pPr>
        <w:pStyle w:val="Heading4"/>
      </w:pPr>
      <w:r>
        <w:t>Update RBA oversight and accountability by establishing a Governance Board (Recommendation 12)</w:t>
      </w:r>
    </w:p>
    <w:p w14:paraId="55A3C881" w14:textId="77777777" w:rsidR="00C07C50" w:rsidRDefault="00C07C50" w:rsidP="00C07C50">
      <w:r w:rsidRPr="00C07C50">
        <w:rPr>
          <w:rFonts w:cs="Calibri Light"/>
          <w:b/>
        </w:rPr>
        <w:t xml:space="preserve">A Governance Board should be established </w:t>
      </w:r>
      <w:r w:rsidRPr="00C07C50">
        <w:rPr>
          <w:rFonts w:cs="Calibri Light"/>
        </w:rPr>
        <w:t>to provide guidance and oversight for RBA management in the running of the organisation. In line with corporate governance best practice, it should comprise a majority</w:t>
      </w:r>
      <w:r>
        <w:t xml:space="preserve"> of non-executive members, appointed via a transparent process, and should have a non-executive Chair.</w:t>
      </w:r>
    </w:p>
    <w:p w14:paraId="074FCDB7" w14:textId="77777777" w:rsidR="00C07C50" w:rsidRDefault="00C07C50" w:rsidP="00C07C50">
      <w:r>
        <w:t>The Governance Board’s responsibilities should include oversight of organisational strategy, financial reporting, large IT and other projects, resourcing, strategic staff planning, risk management (including cyber risk) and delivery of banking and banknote services. More broadly, it should be responsible for oversight of the efficient use of the organisation’s resources, holding the executive to account for delivering on the organisational strategy and change priorities (including the changes recommended by this Review), and assessing the performance of the RBA.</w:t>
      </w:r>
    </w:p>
    <w:p w14:paraId="08516153" w14:textId="1EF1EEF8" w:rsidR="00C07C50" w:rsidRDefault="00C07C50" w:rsidP="00C07C50">
      <w:r>
        <w:t>The</w:t>
      </w:r>
      <w:r>
        <w:rPr>
          <w:spacing w:val="-6"/>
        </w:rPr>
        <w:t xml:space="preserve"> </w:t>
      </w:r>
      <w:r>
        <w:t>Governance</w:t>
      </w:r>
      <w:r>
        <w:rPr>
          <w:spacing w:val="-3"/>
        </w:rPr>
        <w:t xml:space="preserve"> </w:t>
      </w:r>
      <w:r>
        <w:t>Board</w:t>
      </w:r>
      <w:r>
        <w:rPr>
          <w:spacing w:val="-4"/>
        </w:rPr>
        <w:t xml:space="preserve"> </w:t>
      </w:r>
      <w:r>
        <w:t>should</w:t>
      </w:r>
      <w:r>
        <w:rPr>
          <w:spacing w:val="-3"/>
        </w:rPr>
        <w:t xml:space="preserve"> </w:t>
      </w:r>
      <w:r>
        <w:t>have</w:t>
      </w:r>
      <w:r>
        <w:rPr>
          <w:spacing w:val="-4"/>
        </w:rPr>
        <w:t xml:space="preserve"> </w:t>
      </w:r>
      <w:r>
        <w:t>no</w:t>
      </w:r>
      <w:r>
        <w:rPr>
          <w:spacing w:val="-3"/>
        </w:rPr>
        <w:t xml:space="preserve"> </w:t>
      </w:r>
      <w:r>
        <w:t>role</w:t>
      </w:r>
      <w:r>
        <w:rPr>
          <w:spacing w:val="-4"/>
        </w:rPr>
        <w:t xml:space="preserve"> </w:t>
      </w:r>
      <w:r>
        <w:t>in</w:t>
      </w:r>
      <w:r>
        <w:rPr>
          <w:spacing w:val="-3"/>
        </w:rPr>
        <w:t xml:space="preserve"> </w:t>
      </w:r>
      <w:r>
        <w:t>monetary,</w:t>
      </w:r>
      <w:r>
        <w:rPr>
          <w:spacing w:val="-4"/>
        </w:rPr>
        <w:t xml:space="preserve"> </w:t>
      </w:r>
      <w:r>
        <w:t>financial</w:t>
      </w:r>
      <w:r>
        <w:rPr>
          <w:spacing w:val="-3"/>
        </w:rPr>
        <w:t xml:space="preserve"> </w:t>
      </w:r>
      <w:r>
        <w:t>stability</w:t>
      </w:r>
      <w:r>
        <w:rPr>
          <w:spacing w:val="-4"/>
        </w:rPr>
        <w:t xml:space="preserve"> </w:t>
      </w:r>
      <w:r>
        <w:t>or</w:t>
      </w:r>
      <w:r>
        <w:rPr>
          <w:spacing w:val="-3"/>
        </w:rPr>
        <w:t xml:space="preserve"> </w:t>
      </w:r>
      <w:r>
        <w:t>payments</w:t>
      </w:r>
      <w:r>
        <w:rPr>
          <w:spacing w:val="-4"/>
        </w:rPr>
        <w:t xml:space="preserve"> </w:t>
      </w:r>
      <w:r>
        <w:t>policy,</w:t>
      </w:r>
      <w:r>
        <w:rPr>
          <w:spacing w:val="-3"/>
        </w:rPr>
        <w:t xml:space="preserve"> </w:t>
      </w:r>
      <w:r>
        <w:rPr>
          <w:spacing w:val="-2"/>
        </w:rPr>
        <w:t xml:space="preserve">which </w:t>
      </w:r>
      <w:r>
        <w:t>would</w:t>
      </w:r>
      <w:r>
        <w:rPr>
          <w:spacing w:val="-5"/>
        </w:rPr>
        <w:t xml:space="preserve"> </w:t>
      </w:r>
      <w:r>
        <w:t>be</w:t>
      </w:r>
      <w:r>
        <w:rPr>
          <w:spacing w:val="-4"/>
        </w:rPr>
        <w:t xml:space="preserve"> </w:t>
      </w:r>
      <w:r>
        <w:t>the</w:t>
      </w:r>
      <w:r>
        <w:rPr>
          <w:spacing w:val="-4"/>
        </w:rPr>
        <w:t xml:space="preserve"> </w:t>
      </w:r>
      <w:r>
        <w:t>responsibility</w:t>
      </w:r>
      <w:r>
        <w:rPr>
          <w:spacing w:val="-5"/>
        </w:rPr>
        <w:t xml:space="preserve"> </w:t>
      </w:r>
      <w:r>
        <w:t>of</w:t>
      </w:r>
      <w:r>
        <w:rPr>
          <w:spacing w:val="-4"/>
        </w:rPr>
        <w:t xml:space="preserve"> </w:t>
      </w:r>
      <w:r>
        <w:t>the</w:t>
      </w:r>
      <w:r>
        <w:rPr>
          <w:spacing w:val="-4"/>
        </w:rPr>
        <w:t xml:space="preserve"> </w:t>
      </w:r>
      <w:r>
        <w:t>dedicated</w:t>
      </w:r>
      <w:r>
        <w:rPr>
          <w:spacing w:val="-5"/>
        </w:rPr>
        <w:t xml:space="preserve"> </w:t>
      </w:r>
      <w:r>
        <w:t>policy</w:t>
      </w:r>
      <w:r>
        <w:rPr>
          <w:spacing w:val="-4"/>
        </w:rPr>
        <w:t xml:space="preserve"> </w:t>
      </w:r>
      <w:r>
        <w:t>boards,</w:t>
      </w:r>
      <w:r>
        <w:rPr>
          <w:spacing w:val="-4"/>
        </w:rPr>
        <w:t xml:space="preserve"> </w:t>
      </w:r>
      <w:r>
        <w:t>or</w:t>
      </w:r>
      <w:r>
        <w:rPr>
          <w:spacing w:val="-5"/>
        </w:rPr>
        <w:t xml:space="preserve"> </w:t>
      </w:r>
      <w:r>
        <w:t>in</w:t>
      </w:r>
      <w:r>
        <w:rPr>
          <w:spacing w:val="-4"/>
        </w:rPr>
        <w:t xml:space="preserve"> </w:t>
      </w:r>
      <w:r>
        <w:t>the</w:t>
      </w:r>
      <w:r>
        <w:rPr>
          <w:spacing w:val="-4"/>
        </w:rPr>
        <w:t xml:space="preserve"> </w:t>
      </w:r>
      <w:r>
        <w:t>day</w:t>
      </w:r>
      <w:r>
        <w:rPr>
          <w:spacing w:val="-5"/>
        </w:rPr>
        <w:t xml:space="preserve"> </w:t>
      </w:r>
      <w:r>
        <w:t>to</w:t>
      </w:r>
      <w:r>
        <w:rPr>
          <w:spacing w:val="-4"/>
        </w:rPr>
        <w:t xml:space="preserve"> </w:t>
      </w:r>
      <w:r>
        <w:t>day</w:t>
      </w:r>
      <w:r>
        <w:rPr>
          <w:spacing w:val="-4"/>
        </w:rPr>
        <w:t xml:space="preserve"> </w:t>
      </w:r>
      <w:r>
        <w:t>running</w:t>
      </w:r>
      <w:r>
        <w:rPr>
          <w:spacing w:val="-5"/>
        </w:rPr>
        <w:t xml:space="preserve"> </w:t>
      </w:r>
      <w:r>
        <w:t>of</w:t>
      </w:r>
      <w:r>
        <w:rPr>
          <w:spacing w:val="-4"/>
        </w:rPr>
        <w:t xml:space="preserve"> </w:t>
      </w:r>
      <w:r>
        <w:t>the</w:t>
      </w:r>
      <w:r>
        <w:rPr>
          <w:spacing w:val="-4"/>
        </w:rPr>
        <w:t xml:space="preserve"> RBA.</w:t>
      </w:r>
    </w:p>
    <w:p w14:paraId="2D000F5F" w14:textId="00FC2B6F" w:rsidR="00C07C50" w:rsidRDefault="00C07C50" w:rsidP="00C07C50">
      <w:r>
        <w:t>An important benefit of creating a Governance Board is to bring outside expertise and knowledge to bear on issues of organisational management. The RBA senior executive group is relatively homogeneous in terms of experience and knowledge. The Review’s recommendation to create a Chief Operating Officer adds capacity for organisational management at a senior level. The Governance Board can provide further expertise, in an oversight capacity, in areas such as technology, human resourcing, and risk and financial reporting, helping to ensure robust organisational performance and importing best practices from other organisations.</w:t>
      </w:r>
    </w:p>
    <w:p w14:paraId="5CF7C928" w14:textId="43622E2C" w:rsidR="005118AB" w:rsidRDefault="005118AB" w:rsidP="005118AB">
      <w:r>
        <w:t>The</w:t>
      </w:r>
      <w:r>
        <w:rPr>
          <w:spacing w:val="-1"/>
        </w:rPr>
        <w:t xml:space="preserve"> </w:t>
      </w:r>
      <w:r>
        <w:t>creation</w:t>
      </w:r>
      <w:r>
        <w:rPr>
          <w:spacing w:val="1"/>
        </w:rPr>
        <w:t xml:space="preserve"> </w:t>
      </w:r>
      <w:r>
        <w:t>of</w:t>
      </w:r>
      <w:r>
        <w:rPr>
          <w:spacing w:val="1"/>
        </w:rPr>
        <w:t xml:space="preserve"> </w:t>
      </w:r>
      <w:r>
        <w:t>a</w:t>
      </w:r>
      <w:r>
        <w:rPr>
          <w:spacing w:val="2"/>
        </w:rPr>
        <w:t xml:space="preserve"> </w:t>
      </w:r>
      <w:r>
        <w:t>Governance</w:t>
      </w:r>
      <w:r>
        <w:rPr>
          <w:spacing w:val="1"/>
        </w:rPr>
        <w:t xml:space="preserve"> </w:t>
      </w:r>
      <w:r>
        <w:t>Board</w:t>
      </w:r>
      <w:r>
        <w:rPr>
          <w:spacing w:val="1"/>
        </w:rPr>
        <w:t xml:space="preserve"> </w:t>
      </w:r>
      <w:r>
        <w:t>complements</w:t>
      </w:r>
      <w:r>
        <w:rPr>
          <w:spacing w:val="1"/>
        </w:rPr>
        <w:t xml:space="preserve"> </w:t>
      </w:r>
      <w:r>
        <w:t>the</w:t>
      </w:r>
      <w:r>
        <w:rPr>
          <w:spacing w:val="2"/>
        </w:rPr>
        <w:t xml:space="preserve"> </w:t>
      </w:r>
      <w:r>
        <w:t>Review’s</w:t>
      </w:r>
      <w:r>
        <w:rPr>
          <w:spacing w:val="1"/>
        </w:rPr>
        <w:t xml:space="preserve"> </w:t>
      </w:r>
      <w:r>
        <w:t>recommendation</w:t>
      </w:r>
      <w:r>
        <w:rPr>
          <w:spacing w:val="1"/>
        </w:rPr>
        <w:t xml:space="preserve"> </w:t>
      </w:r>
      <w:r>
        <w:t>to</w:t>
      </w:r>
      <w:r>
        <w:rPr>
          <w:spacing w:val="2"/>
        </w:rPr>
        <w:t xml:space="preserve"> </w:t>
      </w:r>
      <w:r>
        <w:rPr>
          <w:spacing w:val="-2"/>
        </w:rPr>
        <w:t xml:space="preserve">strengthen </w:t>
      </w:r>
      <w:r>
        <w:t>monetary</w:t>
      </w:r>
      <w:r>
        <w:rPr>
          <w:spacing w:val="4"/>
        </w:rPr>
        <w:t xml:space="preserve"> </w:t>
      </w:r>
      <w:r>
        <w:t>policy</w:t>
      </w:r>
      <w:r>
        <w:rPr>
          <w:spacing w:val="5"/>
        </w:rPr>
        <w:t xml:space="preserve"> </w:t>
      </w:r>
      <w:r>
        <w:t>decision</w:t>
      </w:r>
      <w:r>
        <w:rPr>
          <w:spacing w:val="5"/>
        </w:rPr>
        <w:t xml:space="preserve"> </w:t>
      </w:r>
      <w:r>
        <w:t>making</w:t>
      </w:r>
      <w:r>
        <w:rPr>
          <w:spacing w:val="5"/>
        </w:rPr>
        <w:t xml:space="preserve"> </w:t>
      </w:r>
      <w:r>
        <w:t>in</w:t>
      </w:r>
      <w:r>
        <w:rPr>
          <w:spacing w:val="5"/>
        </w:rPr>
        <w:t xml:space="preserve"> </w:t>
      </w:r>
      <w:r>
        <w:t>two</w:t>
      </w:r>
      <w:r>
        <w:rPr>
          <w:spacing w:val="5"/>
        </w:rPr>
        <w:t xml:space="preserve"> </w:t>
      </w:r>
      <w:r>
        <w:rPr>
          <w:spacing w:val="-4"/>
        </w:rPr>
        <w:t>ways:</w:t>
      </w:r>
    </w:p>
    <w:p w14:paraId="28ECE41E" w14:textId="77777777" w:rsidR="005118AB" w:rsidRDefault="005118AB" w:rsidP="0000278A">
      <w:pPr>
        <w:pStyle w:val="Bullet"/>
      </w:pPr>
      <w:r>
        <w:t>It will contribute to maintaining the RBA as a high performing institution as it faces a complex and challenging environment in the future. A key part of that is overseeing the change program envisaged by this Review (see Recommendation 13).</w:t>
      </w:r>
    </w:p>
    <w:p w14:paraId="22F80B8C" w14:textId="77777777" w:rsidR="005118AB" w:rsidRDefault="005118AB" w:rsidP="0000278A">
      <w:pPr>
        <w:pStyle w:val="Bullet"/>
      </w:pPr>
      <w:r>
        <w:t xml:space="preserve">It will enable the Monetary Policy Board to focus solely on monetary and financial stability policy, and have expertise tailored to that task, without also performing some corporate governance </w:t>
      </w:r>
      <w:r>
        <w:rPr>
          <w:spacing w:val="-2"/>
        </w:rPr>
        <w:t>functions.</w:t>
      </w:r>
    </w:p>
    <w:p w14:paraId="5EB4BFF5" w14:textId="5D1E8895" w:rsidR="002B526D" w:rsidRDefault="002B526D" w:rsidP="002B526D">
      <w:r>
        <w:t xml:space="preserve">There must </w:t>
      </w:r>
      <w:r w:rsidRPr="003864BE">
        <w:rPr>
          <w:rFonts w:cs="Calibri Light"/>
        </w:rPr>
        <w:t xml:space="preserve">be a </w:t>
      </w:r>
      <w:r w:rsidRPr="003864BE">
        <w:rPr>
          <w:rFonts w:cs="Calibri Light"/>
          <w:b/>
        </w:rPr>
        <w:t xml:space="preserve">clear division of responsibilities within the RBA </w:t>
      </w:r>
      <w:r w:rsidRPr="003864BE">
        <w:rPr>
          <w:rFonts w:cs="Calibri Light"/>
        </w:rPr>
        <w:t>between the Governance Board, Monetar</w:t>
      </w:r>
      <w:r>
        <w:t>y Policy Board and Payments System Board. The RBA’s 3 Boards should establish charters setting out their responsibilities and those of the executive. The Governance Board’s charter should restrict its role to oversight and avoid any involvement in the day to day running</w:t>
      </w:r>
      <w:r w:rsidRPr="002B526D">
        <w:rPr>
          <w:spacing w:val="80"/>
        </w:rPr>
        <w:t xml:space="preserve"> </w:t>
      </w:r>
      <w:r>
        <w:t xml:space="preserve">of the RBA. The RBA’s Boards should establish a memorandum of understanding with each other recording the common understanding of their legislative responsibilities and their expectations for information </w:t>
      </w:r>
      <w:r>
        <w:lastRenderedPageBreak/>
        <w:t>exchange and consultation on matters of mutual interest. This should be designed so that the ability of the policy boards to act, including in crises, is enhanced.</w:t>
      </w:r>
    </w:p>
    <w:p w14:paraId="3F4DD1D1" w14:textId="2E0200C7" w:rsidR="00D170D2" w:rsidRPr="00D170D2" w:rsidRDefault="00D170D2" w:rsidP="00D170D2">
      <w:pPr>
        <w:pStyle w:val="Heading2"/>
      </w:pPr>
      <w:bookmarkStart w:id="15" w:name="_Toc134220988"/>
      <w:r>
        <w:t xml:space="preserve">6. </w:t>
      </w:r>
      <w:r w:rsidRPr="00D170D2">
        <w:t>RBA leaders drive institutional and</w:t>
      </w:r>
      <w:r>
        <w:t xml:space="preserve"> </w:t>
      </w:r>
      <w:r w:rsidRPr="00D170D2">
        <w:t>cultural change</w:t>
      </w:r>
      <w:bookmarkEnd w:id="15"/>
    </w:p>
    <w:p w14:paraId="1F3D2608" w14:textId="77777777" w:rsidR="00D170D2" w:rsidRDefault="00D170D2" w:rsidP="005374A8">
      <w:r>
        <w:t>The organisational and cultural changes recommended by the Review will only have their intended impact if:</w:t>
      </w:r>
    </w:p>
    <w:p w14:paraId="07E8CC5D" w14:textId="77777777" w:rsidR="00D170D2" w:rsidRDefault="00D170D2" w:rsidP="0000278A">
      <w:pPr>
        <w:pStyle w:val="Bullet"/>
      </w:pPr>
      <w:r>
        <w:t>the RBA’s leaders drive and model cultural changes, and measure and assess their impact through staff feedback</w:t>
      </w:r>
    </w:p>
    <w:p w14:paraId="08F4BBE5" w14:textId="77777777" w:rsidR="00D170D2" w:rsidRDefault="00D170D2" w:rsidP="0000278A">
      <w:pPr>
        <w:pStyle w:val="Bullet"/>
      </w:pPr>
      <w:r>
        <w:t>the RBA as an institution transparently holds itself to account for achieving change and works to identify opportunities for further growth.</w:t>
      </w:r>
    </w:p>
    <w:p w14:paraId="2ECF9267" w14:textId="77777777" w:rsidR="00D170D2" w:rsidRDefault="00D170D2" w:rsidP="005374A8">
      <w:pPr>
        <w:pStyle w:val="Heading3"/>
      </w:pPr>
      <w:r>
        <w:t>RBA</w:t>
      </w:r>
      <w:r>
        <w:rPr>
          <w:spacing w:val="-17"/>
        </w:rPr>
        <w:t xml:space="preserve"> </w:t>
      </w:r>
      <w:r>
        <w:t>leaders</w:t>
      </w:r>
      <w:r>
        <w:rPr>
          <w:spacing w:val="-14"/>
        </w:rPr>
        <w:t xml:space="preserve"> </w:t>
      </w:r>
      <w:r>
        <w:t>drive</w:t>
      </w:r>
      <w:r>
        <w:rPr>
          <w:spacing w:val="-14"/>
        </w:rPr>
        <w:t xml:space="preserve"> </w:t>
      </w:r>
      <w:r>
        <w:t>change</w:t>
      </w:r>
      <w:r>
        <w:rPr>
          <w:spacing w:val="-14"/>
        </w:rPr>
        <w:t xml:space="preserve"> </w:t>
      </w:r>
      <w:r>
        <w:t>and</w:t>
      </w:r>
      <w:r>
        <w:rPr>
          <w:spacing w:val="-14"/>
        </w:rPr>
        <w:t xml:space="preserve"> </w:t>
      </w:r>
      <w:r>
        <w:t>are</w:t>
      </w:r>
      <w:r>
        <w:rPr>
          <w:spacing w:val="-14"/>
        </w:rPr>
        <w:t xml:space="preserve"> </w:t>
      </w:r>
      <w:r>
        <w:t>accountable</w:t>
      </w:r>
      <w:r>
        <w:rPr>
          <w:spacing w:val="-14"/>
        </w:rPr>
        <w:t xml:space="preserve"> </w:t>
      </w:r>
      <w:r>
        <w:t>for</w:t>
      </w:r>
      <w:r>
        <w:rPr>
          <w:spacing w:val="-14"/>
        </w:rPr>
        <w:t xml:space="preserve"> </w:t>
      </w:r>
      <w:r>
        <w:rPr>
          <w:spacing w:val="-2"/>
        </w:rPr>
        <w:t>delivering</w:t>
      </w:r>
    </w:p>
    <w:p w14:paraId="10B28DCC" w14:textId="77777777" w:rsidR="00D170D2" w:rsidRDefault="00D170D2" w:rsidP="005374A8">
      <w:pPr>
        <w:pStyle w:val="Heading4"/>
      </w:pPr>
      <w:r>
        <w:t>RBA</w:t>
      </w:r>
      <w:r>
        <w:rPr>
          <w:spacing w:val="-2"/>
        </w:rPr>
        <w:t xml:space="preserve"> </w:t>
      </w:r>
      <w:r>
        <w:t>leaders</w:t>
      </w:r>
      <w:r>
        <w:rPr>
          <w:spacing w:val="1"/>
        </w:rPr>
        <w:t xml:space="preserve"> </w:t>
      </w:r>
      <w:r>
        <w:t>should</w:t>
      </w:r>
      <w:r>
        <w:rPr>
          <w:spacing w:val="1"/>
        </w:rPr>
        <w:t xml:space="preserve"> </w:t>
      </w:r>
      <w:r>
        <w:t>drive</w:t>
      </w:r>
      <w:r>
        <w:rPr>
          <w:spacing w:val="1"/>
        </w:rPr>
        <w:t xml:space="preserve"> </w:t>
      </w:r>
      <w:r>
        <w:t>and</w:t>
      </w:r>
      <w:r>
        <w:rPr>
          <w:spacing w:val="1"/>
        </w:rPr>
        <w:t xml:space="preserve"> </w:t>
      </w:r>
      <w:r>
        <w:t>measure</w:t>
      </w:r>
      <w:r>
        <w:rPr>
          <w:spacing w:val="1"/>
        </w:rPr>
        <w:t xml:space="preserve"> </w:t>
      </w:r>
      <w:r>
        <w:t>change</w:t>
      </w:r>
      <w:r>
        <w:rPr>
          <w:spacing w:val="1"/>
        </w:rPr>
        <w:t xml:space="preserve"> </w:t>
      </w:r>
      <w:r>
        <w:t>(Recommendation</w:t>
      </w:r>
      <w:r>
        <w:rPr>
          <w:spacing w:val="1"/>
        </w:rPr>
        <w:t xml:space="preserve"> </w:t>
      </w:r>
      <w:r>
        <w:rPr>
          <w:spacing w:val="-2"/>
        </w:rPr>
        <w:t>13.1)</w:t>
      </w:r>
    </w:p>
    <w:p w14:paraId="2CF67765" w14:textId="77777777" w:rsidR="00D170D2" w:rsidRDefault="00D170D2" w:rsidP="005374A8">
      <w:r>
        <w:t xml:space="preserve">Many of the institutional issues highlighted by the Review have been previously identified by the RBA, and actions have been taken to address them. However, staff members have not always fully felt the intended impact of these changes. </w:t>
      </w:r>
      <w:r w:rsidRPr="005374A8">
        <w:rPr>
          <w:rFonts w:cs="Calibri Light"/>
          <w:b/>
        </w:rPr>
        <w:t>Leaders’ behaviours need to consistently support the culture the RBA needs to perform at its best</w:t>
      </w:r>
      <w:r w:rsidRPr="005374A8">
        <w:rPr>
          <w:rFonts w:cs="Calibri Light"/>
        </w:rPr>
        <w:t>.</w:t>
      </w:r>
    </w:p>
    <w:p w14:paraId="064F1E95" w14:textId="77777777" w:rsidR="00D170D2" w:rsidRDefault="00D170D2" w:rsidP="005374A8">
      <w:r>
        <w:t>To</w:t>
      </w:r>
      <w:r>
        <w:rPr>
          <w:spacing w:val="-1"/>
        </w:rPr>
        <w:t xml:space="preserve"> </w:t>
      </w:r>
      <w:r>
        <w:t>help drive</w:t>
      </w:r>
      <w:r>
        <w:rPr>
          <w:spacing w:val="-1"/>
        </w:rPr>
        <w:t xml:space="preserve"> </w:t>
      </w:r>
      <w:r>
        <w:t>organisational change,</w:t>
      </w:r>
      <w:r>
        <w:rPr>
          <w:spacing w:val="-1"/>
        </w:rPr>
        <w:t xml:space="preserve"> </w:t>
      </w:r>
      <w:r>
        <w:t xml:space="preserve">leaders </w:t>
      </w:r>
      <w:r>
        <w:rPr>
          <w:spacing w:val="-2"/>
        </w:rPr>
        <w:t>should:</w:t>
      </w:r>
    </w:p>
    <w:p w14:paraId="2454F925" w14:textId="77777777" w:rsidR="00D170D2" w:rsidRDefault="00D170D2" w:rsidP="0000278A">
      <w:pPr>
        <w:pStyle w:val="Bullet"/>
      </w:pPr>
      <w:r>
        <w:t>be assessed on how well they model adaptability and openness to change and demonstrate how to engage in constructive two-way challenge and debate</w:t>
      </w:r>
    </w:p>
    <w:p w14:paraId="33EF3DBC" w14:textId="4DEF4AB6" w:rsidR="00D170D2" w:rsidRDefault="00D170D2" w:rsidP="0000278A">
      <w:pPr>
        <w:pStyle w:val="Bullet"/>
      </w:pPr>
      <w:r>
        <w:t>in</w:t>
      </w:r>
      <w:r w:rsidRPr="005374A8">
        <w:rPr>
          <w:spacing w:val="2"/>
        </w:rPr>
        <w:t xml:space="preserve"> </w:t>
      </w:r>
      <w:r>
        <w:t>consultation</w:t>
      </w:r>
      <w:r w:rsidRPr="005374A8">
        <w:rPr>
          <w:spacing w:val="3"/>
        </w:rPr>
        <w:t xml:space="preserve"> </w:t>
      </w:r>
      <w:r>
        <w:t>with</w:t>
      </w:r>
      <w:r w:rsidRPr="005374A8">
        <w:rPr>
          <w:spacing w:val="2"/>
        </w:rPr>
        <w:t xml:space="preserve"> </w:t>
      </w:r>
      <w:r>
        <w:t>staff,</w:t>
      </w:r>
      <w:r w:rsidRPr="005374A8">
        <w:rPr>
          <w:spacing w:val="3"/>
        </w:rPr>
        <w:t xml:space="preserve"> </w:t>
      </w:r>
      <w:r>
        <w:t>develop</w:t>
      </w:r>
      <w:r w:rsidRPr="005374A8">
        <w:rPr>
          <w:spacing w:val="2"/>
        </w:rPr>
        <w:t xml:space="preserve"> </w:t>
      </w:r>
      <w:r>
        <w:t>a</w:t>
      </w:r>
      <w:r w:rsidRPr="005374A8">
        <w:rPr>
          <w:spacing w:val="3"/>
        </w:rPr>
        <w:t xml:space="preserve"> </w:t>
      </w:r>
      <w:r>
        <w:t>statement</w:t>
      </w:r>
      <w:r w:rsidRPr="005374A8">
        <w:rPr>
          <w:spacing w:val="2"/>
        </w:rPr>
        <w:t xml:space="preserve"> </w:t>
      </w:r>
      <w:r>
        <w:t>about</w:t>
      </w:r>
      <w:r w:rsidRPr="005374A8">
        <w:rPr>
          <w:spacing w:val="3"/>
        </w:rPr>
        <w:t xml:space="preserve"> </w:t>
      </w:r>
      <w:r>
        <w:t>the</w:t>
      </w:r>
      <w:r w:rsidRPr="005374A8">
        <w:rPr>
          <w:spacing w:val="2"/>
        </w:rPr>
        <w:t xml:space="preserve"> </w:t>
      </w:r>
      <w:r>
        <w:t>further</w:t>
      </w:r>
      <w:r w:rsidRPr="005374A8">
        <w:rPr>
          <w:spacing w:val="3"/>
        </w:rPr>
        <w:t xml:space="preserve"> </w:t>
      </w:r>
      <w:r>
        <w:t>cultural</w:t>
      </w:r>
      <w:r w:rsidRPr="005374A8">
        <w:rPr>
          <w:spacing w:val="2"/>
        </w:rPr>
        <w:t xml:space="preserve"> </w:t>
      </w:r>
      <w:r>
        <w:t>change</w:t>
      </w:r>
      <w:r w:rsidRPr="005374A8">
        <w:rPr>
          <w:spacing w:val="3"/>
        </w:rPr>
        <w:t xml:space="preserve"> </w:t>
      </w:r>
      <w:r>
        <w:t>they</w:t>
      </w:r>
      <w:r w:rsidRPr="005374A8">
        <w:rPr>
          <w:spacing w:val="2"/>
        </w:rPr>
        <w:t xml:space="preserve"> </w:t>
      </w:r>
      <w:r>
        <w:t>will</w:t>
      </w:r>
      <w:r w:rsidRPr="005374A8">
        <w:rPr>
          <w:spacing w:val="3"/>
        </w:rPr>
        <w:t xml:space="preserve"> </w:t>
      </w:r>
      <w:r w:rsidRPr="005374A8">
        <w:rPr>
          <w:spacing w:val="-2"/>
        </w:rPr>
        <w:t>pursue</w:t>
      </w:r>
      <w:r w:rsidR="005374A8">
        <w:rPr>
          <w:spacing w:val="-2"/>
        </w:rPr>
        <w:t xml:space="preserve"> </w:t>
      </w:r>
      <w:r>
        <w:t xml:space="preserve">and a plan for achieving </w:t>
      </w:r>
      <w:r w:rsidRPr="005374A8">
        <w:rPr>
          <w:spacing w:val="-5"/>
        </w:rPr>
        <w:t>it</w:t>
      </w:r>
    </w:p>
    <w:p w14:paraId="7AE815EF" w14:textId="453FE5D0" w:rsidR="00D170D2" w:rsidRDefault="00D170D2" w:rsidP="0000278A">
      <w:pPr>
        <w:pStyle w:val="Bullet"/>
      </w:pPr>
      <w:r>
        <w:t>seek feedback</w:t>
      </w:r>
      <w:r w:rsidRPr="005374A8">
        <w:rPr>
          <w:spacing w:val="1"/>
        </w:rPr>
        <w:t xml:space="preserve"> </w:t>
      </w:r>
      <w:r>
        <w:t>and</w:t>
      </w:r>
      <w:r w:rsidRPr="005374A8">
        <w:rPr>
          <w:spacing w:val="1"/>
        </w:rPr>
        <w:t xml:space="preserve"> </w:t>
      </w:r>
      <w:r>
        <w:t>measure</w:t>
      </w:r>
      <w:r w:rsidRPr="005374A8">
        <w:rPr>
          <w:spacing w:val="1"/>
        </w:rPr>
        <w:t xml:space="preserve"> </w:t>
      </w:r>
      <w:r>
        <w:t>progress,</w:t>
      </w:r>
      <w:r w:rsidRPr="005374A8">
        <w:rPr>
          <w:spacing w:val="1"/>
        </w:rPr>
        <w:t xml:space="preserve"> </w:t>
      </w:r>
      <w:r>
        <w:t>including</w:t>
      </w:r>
      <w:r w:rsidRPr="005374A8">
        <w:rPr>
          <w:spacing w:val="1"/>
        </w:rPr>
        <w:t xml:space="preserve"> </w:t>
      </w:r>
      <w:r>
        <w:t>through</w:t>
      </w:r>
      <w:r w:rsidRPr="005374A8">
        <w:rPr>
          <w:spacing w:val="1"/>
        </w:rPr>
        <w:t xml:space="preserve"> </w:t>
      </w:r>
      <w:r>
        <w:t>an</w:t>
      </w:r>
      <w:r w:rsidRPr="005374A8">
        <w:rPr>
          <w:spacing w:val="1"/>
        </w:rPr>
        <w:t xml:space="preserve"> </w:t>
      </w:r>
      <w:r>
        <w:t>annual</w:t>
      </w:r>
      <w:r w:rsidRPr="005374A8">
        <w:rPr>
          <w:spacing w:val="1"/>
        </w:rPr>
        <w:t xml:space="preserve"> </w:t>
      </w:r>
      <w:r>
        <w:t>staff</w:t>
      </w:r>
      <w:r w:rsidRPr="005374A8">
        <w:rPr>
          <w:spacing w:val="1"/>
        </w:rPr>
        <w:t xml:space="preserve"> </w:t>
      </w:r>
      <w:r>
        <w:t>engagement</w:t>
      </w:r>
      <w:r w:rsidRPr="005374A8">
        <w:rPr>
          <w:spacing w:val="1"/>
        </w:rPr>
        <w:t xml:space="preserve"> </w:t>
      </w:r>
      <w:r>
        <w:t>survey,</w:t>
      </w:r>
      <w:r w:rsidRPr="005374A8">
        <w:rPr>
          <w:spacing w:val="1"/>
        </w:rPr>
        <w:t xml:space="preserve"> </w:t>
      </w:r>
      <w:r w:rsidRPr="005374A8">
        <w:rPr>
          <w:spacing w:val="-5"/>
        </w:rPr>
        <w:t>and</w:t>
      </w:r>
      <w:r w:rsidR="005374A8">
        <w:rPr>
          <w:spacing w:val="-5"/>
        </w:rPr>
        <w:t xml:space="preserve"> </w:t>
      </w:r>
      <w:r>
        <w:t>address</w:t>
      </w:r>
      <w:r w:rsidRPr="005374A8">
        <w:rPr>
          <w:spacing w:val="-3"/>
        </w:rPr>
        <w:t xml:space="preserve"> </w:t>
      </w:r>
      <w:r>
        <w:t>remaining</w:t>
      </w:r>
      <w:r w:rsidRPr="005374A8">
        <w:rPr>
          <w:spacing w:val="-1"/>
        </w:rPr>
        <w:t xml:space="preserve"> </w:t>
      </w:r>
      <w:r w:rsidRPr="005374A8">
        <w:rPr>
          <w:spacing w:val="-4"/>
        </w:rPr>
        <w:t>gaps.</w:t>
      </w:r>
    </w:p>
    <w:p w14:paraId="032319CF" w14:textId="77777777" w:rsidR="00301C04" w:rsidRDefault="00301C04" w:rsidP="00301C04">
      <w:pPr>
        <w:pStyle w:val="Heading4"/>
      </w:pPr>
      <w:r>
        <w:t>The</w:t>
      </w:r>
      <w:r>
        <w:rPr>
          <w:spacing w:val="-6"/>
        </w:rPr>
        <w:t xml:space="preserve"> </w:t>
      </w:r>
      <w:r>
        <w:t>Governance</w:t>
      </w:r>
      <w:r>
        <w:rPr>
          <w:spacing w:val="-3"/>
        </w:rPr>
        <w:t xml:space="preserve"> </w:t>
      </w:r>
      <w:r>
        <w:t>Board</w:t>
      </w:r>
      <w:r>
        <w:rPr>
          <w:spacing w:val="-3"/>
        </w:rPr>
        <w:t xml:space="preserve"> </w:t>
      </w:r>
      <w:r>
        <w:t>should</w:t>
      </w:r>
      <w:r>
        <w:rPr>
          <w:spacing w:val="-4"/>
        </w:rPr>
        <w:t xml:space="preserve"> </w:t>
      </w:r>
      <w:r>
        <w:t>assess</w:t>
      </w:r>
      <w:r>
        <w:rPr>
          <w:spacing w:val="-3"/>
        </w:rPr>
        <w:t xml:space="preserve"> </w:t>
      </w:r>
      <w:r>
        <w:t>progress</w:t>
      </w:r>
      <w:r>
        <w:rPr>
          <w:spacing w:val="-3"/>
        </w:rPr>
        <w:t xml:space="preserve"> </w:t>
      </w:r>
      <w:r>
        <w:t>and</w:t>
      </w:r>
      <w:r>
        <w:rPr>
          <w:spacing w:val="-4"/>
        </w:rPr>
        <w:t xml:space="preserve"> </w:t>
      </w:r>
      <w:r>
        <w:t>report</w:t>
      </w:r>
      <w:r>
        <w:rPr>
          <w:spacing w:val="-3"/>
        </w:rPr>
        <w:t xml:space="preserve"> </w:t>
      </w:r>
      <w:r>
        <w:t>publicly</w:t>
      </w:r>
      <w:r>
        <w:rPr>
          <w:spacing w:val="-3"/>
        </w:rPr>
        <w:t xml:space="preserve"> </w:t>
      </w:r>
      <w:r>
        <w:t>(Recommendation</w:t>
      </w:r>
      <w:r>
        <w:rPr>
          <w:spacing w:val="-3"/>
        </w:rPr>
        <w:t xml:space="preserve"> </w:t>
      </w:r>
      <w:r>
        <w:rPr>
          <w:spacing w:val="-2"/>
        </w:rPr>
        <w:t>13.2)</w:t>
      </w:r>
    </w:p>
    <w:p w14:paraId="74A1C282" w14:textId="77777777" w:rsidR="00301C04" w:rsidRDefault="00301C04" w:rsidP="00301C04">
      <w:r>
        <w:t xml:space="preserve">While the RBA’s executive leaders have responsibility for delivering organisational and cultural change, the Governance Board should oversee and support the process </w:t>
      </w:r>
      <w:r w:rsidRPr="00301C04">
        <w:rPr>
          <w:rFonts w:cs="Calibri Light"/>
        </w:rPr>
        <w:t xml:space="preserve">and </w:t>
      </w:r>
      <w:r w:rsidRPr="00301C04">
        <w:rPr>
          <w:rFonts w:cs="Calibri Light"/>
          <w:b/>
        </w:rPr>
        <w:t>hold the executive accountable for delivery</w:t>
      </w:r>
      <w:r w:rsidRPr="00301C04">
        <w:rPr>
          <w:rFonts w:cs="Calibri Light"/>
        </w:rPr>
        <w:t xml:space="preserve">. </w:t>
      </w:r>
      <w:r>
        <w:t>This includes supporting leaders in their efforts to effect change, monitoring progress and challenging senior leaders where progress is too slow, and ensuring senior leaders are open and transparent with staff on plans and progress.</w:t>
      </w:r>
    </w:p>
    <w:p w14:paraId="7CAFEACA" w14:textId="77777777" w:rsidR="00301C04" w:rsidRDefault="00301C04" w:rsidP="00301C04">
      <w:r>
        <w:t>A regular part of the Governance Board’s role should be to identify priorities for organisational growth.</w:t>
      </w:r>
    </w:p>
    <w:p w14:paraId="03CF3801" w14:textId="77777777" w:rsidR="00301C04" w:rsidRDefault="00301C04" w:rsidP="00301C04">
      <w:r>
        <w:t>To</w:t>
      </w:r>
      <w:r>
        <w:rPr>
          <w:spacing w:val="-4"/>
        </w:rPr>
        <w:t xml:space="preserve"> </w:t>
      </w:r>
      <w:r>
        <w:t>meet</w:t>
      </w:r>
      <w:r>
        <w:rPr>
          <w:spacing w:val="-3"/>
        </w:rPr>
        <w:t xml:space="preserve"> </w:t>
      </w:r>
      <w:r>
        <w:t>these</w:t>
      </w:r>
      <w:r>
        <w:rPr>
          <w:spacing w:val="-3"/>
        </w:rPr>
        <w:t xml:space="preserve"> </w:t>
      </w:r>
      <w:r>
        <w:rPr>
          <w:spacing w:val="-2"/>
        </w:rPr>
        <w:t>objectives:</w:t>
      </w:r>
    </w:p>
    <w:p w14:paraId="19245643" w14:textId="04A01D96" w:rsidR="00301C04" w:rsidRDefault="00301C04" w:rsidP="0000278A">
      <w:pPr>
        <w:pStyle w:val="Bullet"/>
      </w:pPr>
      <w:r>
        <w:t>the</w:t>
      </w:r>
      <w:r>
        <w:rPr>
          <w:spacing w:val="-2"/>
        </w:rPr>
        <w:t xml:space="preserve"> </w:t>
      </w:r>
      <w:r>
        <w:t>Governance</w:t>
      </w:r>
      <w:r>
        <w:rPr>
          <w:spacing w:val="1"/>
        </w:rPr>
        <w:t xml:space="preserve"> </w:t>
      </w:r>
      <w:r>
        <w:t>Board</w:t>
      </w:r>
      <w:r>
        <w:rPr>
          <w:spacing w:val="1"/>
        </w:rPr>
        <w:t xml:space="preserve"> </w:t>
      </w:r>
      <w:r>
        <w:t>should</w:t>
      </w:r>
      <w:r>
        <w:rPr>
          <w:spacing w:val="1"/>
        </w:rPr>
        <w:t xml:space="preserve"> </w:t>
      </w:r>
      <w:r>
        <w:t>assess</w:t>
      </w:r>
      <w:r>
        <w:rPr>
          <w:spacing w:val="1"/>
        </w:rPr>
        <w:t xml:space="preserve"> </w:t>
      </w:r>
      <w:r>
        <w:t>the</w:t>
      </w:r>
      <w:r>
        <w:rPr>
          <w:spacing w:val="1"/>
        </w:rPr>
        <w:t xml:space="preserve"> </w:t>
      </w:r>
      <w:r>
        <w:t>RBA’s</w:t>
      </w:r>
      <w:r>
        <w:rPr>
          <w:spacing w:val="1"/>
        </w:rPr>
        <w:t xml:space="preserve"> </w:t>
      </w:r>
      <w:r>
        <w:t>progress</w:t>
      </w:r>
      <w:r>
        <w:rPr>
          <w:spacing w:val="1"/>
        </w:rPr>
        <w:t xml:space="preserve"> </w:t>
      </w:r>
      <w:r>
        <w:t>in</w:t>
      </w:r>
      <w:r>
        <w:rPr>
          <w:spacing w:val="1"/>
        </w:rPr>
        <w:t xml:space="preserve"> </w:t>
      </w:r>
      <w:r>
        <w:t>implementing</w:t>
      </w:r>
      <w:r>
        <w:rPr>
          <w:spacing w:val="1"/>
        </w:rPr>
        <w:t xml:space="preserve"> </w:t>
      </w:r>
      <w:r>
        <w:t>the</w:t>
      </w:r>
      <w:r>
        <w:rPr>
          <w:spacing w:val="1"/>
        </w:rPr>
        <w:t xml:space="preserve"> </w:t>
      </w:r>
      <w:r>
        <w:rPr>
          <w:spacing w:val="-2"/>
        </w:rPr>
        <w:t xml:space="preserve">recommendations </w:t>
      </w:r>
      <w:r>
        <w:t>and</w:t>
      </w:r>
      <w:r>
        <w:rPr>
          <w:spacing w:val="1"/>
        </w:rPr>
        <w:t xml:space="preserve"> </w:t>
      </w:r>
      <w:r>
        <w:t>report</w:t>
      </w:r>
      <w:r>
        <w:rPr>
          <w:spacing w:val="2"/>
        </w:rPr>
        <w:t xml:space="preserve"> </w:t>
      </w:r>
      <w:r>
        <w:t>publicly</w:t>
      </w:r>
      <w:r>
        <w:rPr>
          <w:spacing w:val="2"/>
        </w:rPr>
        <w:t xml:space="preserve"> </w:t>
      </w:r>
      <w:r>
        <w:t>by</w:t>
      </w:r>
      <w:r>
        <w:rPr>
          <w:spacing w:val="2"/>
        </w:rPr>
        <w:t xml:space="preserve"> </w:t>
      </w:r>
      <w:r>
        <w:t>June</w:t>
      </w:r>
      <w:r>
        <w:rPr>
          <w:spacing w:val="2"/>
        </w:rPr>
        <w:t xml:space="preserve"> </w:t>
      </w:r>
      <w:r>
        <w:rPr>
          <w:spacing w:val="-4"/>
        </w:rPr>
        <w:t>2025</w:t>
      </w:r>
    </w:p>
    <w:p w14:paraId="10B86D9D" w14:textId="7F82F10D" w:rsidR="00301C04" w:rsidRDefault="00301C04" w:rsidP="0000278A">
      <w:pPr>
        <w:pStyle w:val="Bullet"/>
      </w:pPr>
      <w:r>
        <w:t>the</w:t>
      </w:r>
      <w:r>
        <w:rPr>
          <w:spacing w:val="1"/>
        </w:rPr>
        <w:t xml:space="preserve"> </w:t>
      </w:r>
      <w:r>
        <w:t>RBA</w:t>
      </w:r>
      <w:r>
        <w:rPr>
          <w:spacing w:val="3"/>
        </w:rPr>
        <w:t xml:space="preserve"> </w:t>
      </w:r>
      <w:r>
        <w:t>should</w:t>
      </w:r>
      <w:r>
        <w:rPr>
          <w:spacing w:val="3"/>
        </w:rPr>
        <w:t xml:space="preserve"> </w:t>
      </w:r>
      <w:r>
        <w:t>be</w:t>
      </w:r>
      <w:r>
        <w:rPr>
          <w:spacing w:val="3"/>
        </w:rPr>
        <w:t xml:space="preserve"> </w:t>
      </w:r>
      <w:r>
        <w:t>included</w:t>
      </w:r>
      <w:r>
        <w:rPr>
          <w:spacing w:val="3"/>
        </w:rPr>
        <w:t xml:space="preserve"> </w:t>
      </w:r>
      <w:r>
        <w:t>in</w:t>
      </w:r>
      <w:r>
        <w:rPr>
          <w:spacing w:val="3"/>
        </w:rPr>
        <w:t xml:space="preserve"> </w:t>
      </w:r>
      <w:r>
        <w:t>5-yearly</w:t>
      </w:r>
      <w:r>
        <w:rPr>
          <w:spacing w:val="3"/>
        </w:rPr>
        <w:t xml:space="preserve"> </w:t>
      </w:r>
      <w:r>
        <w:t>Australian</w:t>
      </w:r>
      <w:r>
        <w:rPr>
          <w:spacing w:val="3"/>
        </w:rPr>
        <w:t xml:space="preserve"> </w:t>
      </w:r>
      <w:r>
        <w:t>Public</w:t>
      </w:r>
      <w:r>
        <w:rPr>
          <w:spacing w:val="3"/>
        </w:rPr>
        <w:t xml:space="preserve"> </w:t>
      </w:r>
      <w:r>
        <w:t>Service</w:t>
      </w:r>
      <w:r>
        <w:rPr>
          <w:spacing w:val="3"/>
        </w:rPr>
        <w:t xml:space="preserve"> </w:t>
      </w:r>
      <w:r>
        <w:t>capability</w:t>
      </w:r>
      <w:r>
        <w:rPr>
          <w:spacing w:val="3"/>
        </w:rPr>
        <w:t xml:space="preserve"> </w:t>
      </w:r>
      <w:r>
        <w:t>reviews</w:t>
      </w:r>
      <w:r>
        <w:rPr>
          <w:spacing w:val="3"/>
        </w:rPr>
        <w:t xml:space="preserve"> </w:t>
      </w:r>
      <w:r>
        <w:t>to</w:t>
      </w:r>
      <w:r>
        <w:rPr>
          <w:spacing w:val="3"/>
        </w:rPr>
        <w:t xml:space="preserve"> </w:t>
      </w:r>
      <w:r>
        <w:t>ensure</w:t>
      </w:r>
      <w:r>
        <w:rPr>
          <w:spacing w:val="4"/>
        </w:rPr>
        <w:t xml:space="preserve"> </w:t>
      </w:r>
      <w:r>
        <w:rPr>
          <w:spacing w:val="-5"/>
        </w:rPr>
        <w:t xml:space="preserve">it </w:t>
      </w:r>
      <w:r>
        <w:t>remains</w:t>
      </w:r>
      <w:r>
        <w:rPr>
          <w:spacing w:val="-1"/>
        </w:rPr>
        <w:t xml:space="preserve"> </w:t>
      </w:r>
      <w:r>
        <w:t>fit for purpose</w:t>
      </w:r>
      <w:r>
        <w:rPr>
          <w:spacing w:val="-1"/>
        </w:rPr>
        <w:t xml:space="preserve"> </w:t>
      </w:r>
      <w:r>
        <w:t>and able to</w:t>
      </w:r>
      <w:r>
        <w:rPr>
          <w:spacing w:val="-1"/>
        </w:rPr>
        <w:t xml:space="preserve"> </w:t>
      </w:r>
      <w:r>
        <w:t xml:space="preserve">meet future </w:t>
      </w:r>
      <w:r>
        <w:rPr>
          <w:spacing w:val="-2"/>
        </w:rPr>
        <w:t>challenges.</w:t>
      </w:r>
    </w:p>
    <w:p w14:paraId="72E05BF6" w14:textId="419274EE" w:rsidR="00E01B82" w:rsidRDefault="00E01B82" w:rsidP="00E01B82">
      <w:pPr>
        <w:pStyle w:val="Heading2"/>
      </w:pPr>
      <w:bookmarkStart w:id="16" w:name="_Toc134220989"/>
      <w:r>
        <w:lastRenderedPageBreak/>
        <w:t>7. Implementing</w:t>
      </w:r>
      <w:r>
        <w:rPr>
          <w:spacing w:val="-11"/>
        </w:rPr>
        <w:t xml:space="preserve"> </w:t>
      </w:r>
      <w:r>
        <w:t>the</w:t>
      </w:r>
      <w:r>
        <w:rPr>
          <w:spacing w:val="-10"/>
        </w:rPr>
        <w:t xml:space="preserve"> </w:t>
      </w:r>
      <w:r>
        <w:t>Review</w:t>
      </w:r>
      <w:bookmarkEnd w:id="16"/>
    </w:p>
    <w:p w14:paraId="3B545593" w14:textId="10BBC0B6" w:rsidR="00E01B82" w:rsidRDefault="00E01B82" w:rsidP="00E01B82">
      <w:r>
        <w:t>The</w:t>
      </w:r>
      <w:r>
        <w:rPr>
          <w:spacing w:val="-1"/>
        </w:rPr>
        <w:t xml:space="preserve"> </w:t>
      </w:r>
      <w:r>
        <w:t>Review’s</w:t>
      </w:r>
      <w:r>
        <w:rPr>
          <w:spacing w:val="1"/>
        </w:rPr>
        <w:t xml:space="preserve"> </w:t>
      </w:r>
      <w:r>
        <w:t>recommendations</w:t>
      </w:r>
      <w:r>
        <w:rPr>
          <w:spacing w:val="1"/>
        </w:rPr>
        <w:t xml:space="preserve"> </w:t>
      </w:r>
      <w:r>
        <w:t>aim</w:t>
      </w:r>
      <w:r>
        <w:rPr>
          <w:spacing w:val="1"/>
        </w:rPr>
        <w:t xml:space="preserve"> </w:t>
      </w:r>
      <w:r>
        <w:t>to</w:t>
      </w:r>
      <w:r>
        <w:rPr>
          <w:spacing w:val="1"/>
        </w:rPr>
        <w:t xml:space="preserve"> </w:t>
      </w:r>
      <w:r>
        <w:t>build</w:t>
      </w:r>
      <w:r>
        <w:rPr>
          <w:spacing w:val="1"/>
        </w:rPr>
        <w:t xml:space="preserve"> </w:t>
      </w:r>
      <w:r>
        <w:t>on</w:t>
      </w:r>
      <w:r>
        <w:rPr>
          <w:spacing w:val="1"/>
        </w:rPr>
        <w:t xml:space="preserve"> </w:t>
      </w:r>
      <w:r>
        <w:t>the</w:t>
      </w:r>
      <w:r>
        <w:rPr>
          <w:spacing w:val="2"/>
        </w:rPr>
        <w:t xml:space="preserve"> </w:t>
      </w:r>
      <w:r>
        <w:t>RBA’s</w:t>
      </w:r>
      <w:r>
        <w:rPr>
          <w:spacing w:val="1"/>
        </w:rPr>
        <w:t xml:space="preserve"> </w:t>
      </w:r>
      <w:r>
        <w:t>many</w:t>
      </w:r>
      <w:r>
        <w:rPr>
          <w:spacing w:val="1"/>
        </w:rPr>
        <w:t xml:space="preserve"> </w:t>
      </w:r>
      <w:r>
        <w:t>strengths,</w:t>
      </w:r>
      <w:r>
        <w:rPr>
          <w:spacing w:val="1"/>
        </w:rPr>
        <w:t xml:space="preserve"> </w:t>
      </w:r>
      <w:r>
        <w:t>so</w:t>
      </w:r>
      <w:r>
        <w:rPr>
          <w:spacing w:val="1"/>
        </w:rPr>
        <w:t xml:space="preserve"> </w:t>
      </w:r>
      <w:r>
        <w:t>that</w:t>
      </w:r>
      <w:r>
        <w:rPr>
          <w:spacing w:val="1"/>
        </w:rPr>
        <w:t xml:space="preserve"> </w:t>
      </w:r>
      <w:r>
        <w:t>it</w:t>
      </w:r>
      <w:r>
        <w:rPr>
          <w:spacing w:val="1"/>
        </w:rPr>
        <w:t xml:space="preserve"> </w:t>
      </w:r>
      <w:r>
        <w:t>is</w:t>
      </w:r>
      <w:r>
        <w:rPr>
          <w:spacing w:val="1"/>
        </w:rPr>
        <w:t xml:space="preserve"> </w:t>
      </w:r>
      <w:r>
        <w:t>ready</w:t>
      </w:r>
      <w:r>
        <w:rPr>
          <w:spacing w:val="2"/>
        </w:rPr>
        <w:t xml:space="preserve"> </w:t>
      </w:r>
      <w:r>
        <w:rPr>
          <w:spacing w:val="-5"/>
        </w:rPr>
        <w:t xml:space="preserve">for </w:t>
      </w:r>
      <w:r>
        <w:t>future</w:t>
      </w:r>
      <w:r>
        <w:rPr>
          <w:spacing w:val="-2"/>
        </w:rPr>
        <w:t xml:space="preserve"> </w:t>
      </w:r>
      <w:r>
        <w:t>challenges. They</w:t>
      </w:r>
      <w:r>
        <w:rPr>
          <w:spacing w:val="1"/>
        </w:rPr>
        <w:t xml:space="preserve"> </w:t>
      </w:r>
      <w:r>
        <w:t>should not</w:t>
      </w:r>
      <w:r>
        <w:rPr>
          <w:spacing w:val="1"/>
        </w:rPr>
        <w:t xml:space="preserve"> </w:t>
      </w:r>
      <w:r>
        <w:t>be seen</w:t>
      </w:r>
      <w:r>
        <w:rPr>
          <w:spacing w:val="1"/>
        </w:rPr>
        <w:t xml:space="preserve"> </w:t>
      </w:r>
      <w:r>
        <w:t>as responding</w:t>
      </w:r>
      <w:r>
        <w:rPr>
          <w:spacing w:val="1"/>
        </w:rPr>
        <w:t xml:space="preserve"> </w:t>
      </w:r>
      <w:r>
        <w:t>to immediate</w:t>
      </w:r>
      <w:r>
        <w:rPr>
          <w:spacing w:val="1"/>
        </w:rPr>
        <w:t xml:space="preserve"> </w:t>
      </w:r>
      <w:r>
        <w:t>events and</w:t>
      </w:r>
      <w:r>
        <w:rPr>
          <w:spacing w:val="1"/>
        </w:rPr>
        <w:t xml:space="preserve"> </w:t>
      </w:r>
      <w:r>
        <w:rPr>
          <w:spacing w:val="-2"/>
        </w:rPr>
        <w:t>issues.</w:t>
      </w:r>
    </w:p>
    <w:p w14:paraId="2D63C2B1" w14:textId="77777777" w:rsidR="00E01B82" w:rsidRDefault="00E01B82" w:rsidP="00E01B82">
      <w:r>
        <w:t>Implementing the recommendations is a complex and important task that cannot be completed overnight. Fully implementing the Review’s changes requires legislation, which will take time to put into effect. They will also require important investments on the part of the RBA. These changes should be carefully planned and paced to minimise disruptions to the RBA’s core functions.</w:t>
      </w:r>
    </w:p>
    <w:p w14:paraId="1E24DEA8" w14:textId="77777777" w:rsidR="00631002" w:rsidRDefault="00631002" w:rsidP="00631002">
      <w:pPr>
        <w:pStyle w:val="Heading3"/>
      </w:pPr>
      <w:r>
        <w:t>A</w:t>
      </w:r>
      <w:r>
        <w:rPr>
          <w:spacing w:val="-7"/>
        </w:rPr>
        <w:t xml:space="preserve"> </w:t>
      </w:r>
      <w:r>
        <w:t>roadmap</w:t>
      </w:r>
      <w:r>
        <w:rPr>
          <w:spacing w:val="-6"/>
        </w:rPr>
        <w:t xml:space="preserve"> </w:t>
      </w:r>
      <w:r>
        <w:t>for</w:t>
      </w:r>
      <w:r>
        <w:rPr>
          <w:spacing w:val="-6"/>
        </w:rPr>
        <w:t xml:space="preserve"> </w:t>
      </w:r>
      <w:r>
        <w:t>implementation</w:t>
      </w:r>
    </w:p>
    <w:p w14:paraId="1ED23A2E" w14:textId="77777777" w:rsidR="00631002" w:rsidRDefault="00631002" w:rsidP="00631002">
      <w:pPr>
        <w:pStyle w:val="Heading4"/>
      </w:pPr>
      <w:r>
        <w:t>Ensure</w:t>
      </w:r>
      <w:r>
        <w:rPr>
          <w:spacing w:val="1"/>
        </w:rPr>
        <w:t xml:space="preserve"> </w:t>
      </w:r>
      <w:r>
        <w:t>continuity</w:t>
      </w:r>
      <w:r>
        <w:rPr>
          <w:spacing w:val="2"/>
        </w:rPr>
        <w:t xml:space="preserve"> </w:t>
      </w:r>
      <w:r>
        <w:t>through</w:t>
      </w:r>
      <w:r>
        <w:rPr>
          <w:spacing w:val="2"/>
        </w:rPr>
        <w:t xml:space="preserve"> </w:t>
      </w:r>
      <w:r>
        <w:t>the</w:t>
      </w:r>
      <w:r>
        <w:rPr>
          <w:spacing w:val="1"/>
        </w:rPr>
        <w:t xml:space="preserve"> </w:t>
      </w:r>
      <w:r>
        <w:t>implementation</w:t>
      </w:r>
      <w:r>
        <w:rPr>
          <w:spacing w:val="2"/>
        </w:rPr>
        <w:t xml:space="preserve"> </w:t>
      </w:r>
      <w:r>
        <w:t>process</w:t>
      </w:r>
      <w:r>
        <w:rPr>
          <w:spacing w:val="2"/>
        </w:rPr>
        <w:t xml:space="preserve"> </w:t>
      </w:r>
      <w:r>
        <w:t>(Recommendation</w:t>
      </w:r>
      <w:r>
        <w:rPr>
          <w:spacing w:val="2"/>
        </w:rPr>
        <w:t xml:space="preserve"> </w:t>
      </w:r>
      <w:r>
        <w:rPr>
          <w:spacing w:val="-5"/>
        </w:rPr>
        <w:t>14)</w:t>
      </w:r>
    </w:p>
    <w:p w14:paraId="020EC949" w14:textId="77777777" w:rsidR="00631002" w:rsidRDefault="00631002" w:rsidP="00631002">
      <w:r>
        <w:t>Legislated changes should commence on or after 1 July</w:t>
      </w:r>
      <w:r>
        <w:rPr>
          <w:spacing w:val="1"/>
        </w:rPr>
        <w:t xml:space="preserve"> </w:t>
      </w:r>
      <w:r>
        <w:rPr>
          <w:spacing w:val="-4"/>
        </w:rPr>
        <w:t>2024.</w:t>
      </w:r>
    </w:p>
    <w:p w14:paraId="0C4CAF71" w14:textId="77777777" w:rsidR="00631002" w:rsidRPr="00631002" w:rsidRDefault="00631002" w:rsidP="00631002">
      <w:pPr>
        <w:rPr>
          <w:rFonts w:cs="Calibri Light"/>
        </w:rPr>
      </w:pPr>
      <w:r w:rsidRPr="00631002">
        <w:rPr>
          <w:rFonts w:cs="Calibri Light"/>
        </w:rPr>
        <w:t>Transition arrangements should be put in place to</w:t>
      </w:r>
      <w:r w:rsidRPr="00631002">
        <w:rPr>
          <w:rFonts w:cs="Calibri Light"/>
          <w:spacing w:val="-1"/>
        </w:rPr>
        <w:t xml:space="preserve"> </w:t>
      </w:r>
      <w:r w:rsidRPr="00631002">
        <w:rPr>
          <w:rFonts w:cs="Calibri Light"/>
          <w:b/>
        </w:rPr>
        <w:t xml:space="preserve">ensure the continuity of monetary policy and corporate decision making </w:t>
      </w:r>
      <w:r w:rsidRPr="00631002">
        <w:rPr>
          <w:rFonts w:cs="Calibri Light"/>
        </w:rPr>
        <w:t>through the implementation process:</w:t>
      </w:r>
    </w:p>
    <w:p w14:paraId="74F34530" w14:textId="77777777" w:rsidR="00631002" w:rsidRDefault="00631002" w:rsidP="0000278A">
      <w:pPr>
        <w:pStyle w:val="Bullet"/>
      </w:pPr>
      <w:r>
        <w:t>Interim appointments to the current Reserve Bank Board should have a similar process to that proposed for the two new Boards and should complete their terms on the Monetary Policy Board.</w:t>
      </w:r>
    </w:p>
    <w:p w14:paraId="33B229AE" w14:textId="77777777" w:rsidR="00631002" w:rsidRDefault="00631002" w:rsidP="0000278A">
      <w:pPr>
        <w:pStyle w:val="Bullet"/>
      </w:pPr>
      <w:r>
        <w:t>Other existing Reserve Bank Board members should be asked to consider serving their remaining term on one of the two new Boards.</w:t>
      </w:r>
    </w:p>
    <w:p w14:paraId="54F5CE74" w14:textId="77777777" w:rsidR="00631002" w:rsidRDefault="00631002" w:rsidP="0000278A">
      <w:pPr>
        <w:pStyle w:val="Bullet"/>
      </w:pPr>
      <w:r>
        <w:t>The</w:t>
      </w:r>
      <w:r>
        <w:rPr>
          <w:spacing w:val="-1"/>
        </w:rPr>
        <w:t xml:space="preserve"> </w:t>
      </w:r>
      <w:r>
        <w:t>terms</w:t>
      </w:r>
      <w:r>
        <w:rPr>
          <w:spacing w:val="-1"/>
        </w:rPr>
        <w:t xml:space="preserve"> </w:t>
      </w:r>
      <w:r>
        <w:t>of</w:t>
      </w:r>
      <w:r>
        <w:rPr>
          <w:spacing w:val="-1"/>
        </w:rPr>
        <w:t xml:space="preserve"> </w:t>
      </w:r>
      <w:r>
        <w:t>appointees</w:t>
      </w:r>
      <w:r>
        <w:rPr>
          <w:spacing w:val="-1"/>
        </w:rPr>
        <w:t xml:space="preserve"> </w:t>
      </w:r>
      <w:r>
        <w:t>to</w:t>
      </w:r>
      <w:r>
        <w:rPr>
          <w:spacing w:val="-1"/>
        </w:rPr>
        <w:t xml:space="preserve"> </w:t>
      </w:r>
      <w:r>
        <w:t>the</w:t>
      </w:r>
      <w:r>
        <w:rPr>
          <w:spacing w:val="-1"/>
        </w:rPr>
        <w:t xml:space="preserve"> </w:t>
      </w:r>
      <w:r>
        <w:t>new</w:t>
      </w:r>
      <w:r>
        <w:rPr>
          <w:spacing w:val="-1"/>
        </w:rPr>
        <w:t xml:space="preserve"> </w:t>
      </w:r>
      <w:r>
        <w:t>Boards</w:t>
      </w:r>
      <w:r>
        <w:rPr>
          <w:spacing w:val="-1"/>
        </w:rPr>
        <w:t xml:space="preserve"> </w:t>
      </w:r>
      <w:r>
        <w:t>should</w:t>
      </w:r>
      <w:r>
        <w:rPr>
          <w:spacing w:val="-1"/>
        </w:rPr>
        <w:t xml:space="preserve"> </w:t>
      </w:r>
      <w:r>
        <w:t>be</w:t>
      </w:r>
      <w:r>
        <w:rPr>
          <w:spacing w:val="-1"/>
        </w:rPr>
        <w:t xml:space="preserve"> </w:t>
      </w:r>
      <w:r>
        <w:t>varied</w:t>
      </w:r>
      <w:r>
        <w:rPr>
          <w:spacing w:val="-1"/>
        </w:rPr>
        <w:t xml:space="preserve"> </w:t>
      </w:r>
      <w:r>
        <w:t>as</w:t>
      </w:r>
      <w:r>
        <w:rPr>
          <w:spacing w:val="-1"/>
        </w:rPr>
        <w:t xml:space="preserve"> </w:t>
      </w:r>
      <w:r>
        <w:t>needed</w:t>
      </w:r>
      <w:r>
        <w:rPr>
          <w:spacing w:val="-1"/>
        </w:rPr>
        <w:t xml:space="preserve"> </w:t>
      </w:r>
      <w:r>
        <w:t>to</w:t>
      </w:r>
      <w:r>
        <w:rPr>
          <w:spacing w:val="-1"/>
        </w:rPr>
        <w:t xml:space="preserve"> </w:t>
      </w:r>
      <w:r>
        <w:t>avoid</w:t>
      </w:r>
      <w:r>
        <w:rPr>
          <w:spacing w:val="-1"/>
        </w:rPr>
        <w:t xml:space="preserve"> </w:t>
      </w:r>
      <w:r>
        <w:t>bunching</w:t>
      </w:r>
      <w:r>
        <w:rPr>
          <w:spacing w:val="-1"/>
        </w:rPr>
        <w:t xml:space="preserve"> </w:t>
      </w:r>
      <w:r>
        <w:t>of future appointment dates.</w:t>
      </w:r>
    </w:p>
    <w:p w14:paraId="74FE1499" w14:textId="77777777" w:rsidR="00631002" w:rsidRDefault="00631002" w:rsidP="00631002">
      <w:r>
        <w:t>Bipartisan support for the arrangements is important to ensure the enduring credibility of monetary</w:t>
      </w:r>
      <w:r>
        <w:rPr>
          <w:spacing w:val="-2"/>
        </w:rPr>
        <w:t xml:space="preserve"> </w:t>
      </w:r>
      <w:r>
        <w:t>policy.</w:t>
      </w:r>
      <w:r>
        <w:rPr>
          <w:spacing w:val="-2"/>
        </w:rPr>
        <w:t xml:space="preserve"> </w:t>
      </w:r>
      <w:r>
        <w:t>To</w:t>
      </w:r>
      <w:r>
        <w:rPr>
          <w:spacing w:val="-2"/>
        </w:rPr>
        <w:t xml:space="preserve"> </w:t>
      </w:r>
      <w:r>
        <w:t>support</w:t>
      </w:r>
      <w:r>
        <w:rPr>
          <w:spacing w:val="-2"/>
        </w:rPr>
        <w:t xml:space="preserve"> </w:t>
      </w:r>
      <w:r>
        <w:t>this,</w:t>
      </w:r>
      <w:r>
        <w:rPr>
          <w:spacing w:val="-2"/>
        </w:rPr>
        <w:t xml:space="preserve"> </w:t>
      </w:r>
      <w:r>
        <w:t>the</w:t>
      </w:r>
      <w:r>
        <w:rPr>
          <w:spacing w:val="-2"/>
        </w:rPr>
        <w:t xml:space="preserve"> </w:t>
      </w:r>
      <w:r>
        <w:t>Treasurer</w:t>
      </w:r>
      <w:r>
        <w:rPr>
          <w:spacing w:val="-2"/>
        </w:rPr>
        <w:t xml:space="preserve"> </w:t>
      </w:r>
      <w:r>
        <w:t>should</w:t>
      </w:r>
      <w:r>
        <w:rPr>
          <w:spacing w:val="-2"/>
        </w:rPr>
        <w:t xml:space="preserve"> </w:t>
      </w:r>
      <w:r>
        <w:t>consult</w:t>
      </w:r>
      <w:r>
        <w:rPr>
          <w:spacing w:val="-2"/>
        </w:rPr>
        <w:t xml:space="preserve"> </w:t>
      </w:r>
      <w:r>
        <w:t>the</w:t>
      </w:r>
      <w:r>
        <w:rPr>
          <w:spacing w:val="-2"/>
        </w:rPr>
        <w:t xml:space="preserve"> </w:t>
      </w:r>
      <w:r>
        <w:t>Shadow</w:t>
      </w:r>
      <w:r>
        <w:rPr>
          <w:spacing w:val="-2"/>
        </w:rPr>
        <w:t xml:space="preserve"> </w:t>
      </w:r>
      <w:r>
        <w:t>Treasurer</w:t>
      </w:r>
      <w:r>
        <w:rPr>
          <w:spacing w:val="-2"/>
        </w:rPr>
        <w:t xml:space="preserve"> </w:t>
      </w:r>
      <w:r>
        <w:t>on</w:t>
      </w:r>
      <w:r>
        <w:rPr>
          <w:spacing w:val="-2"/>
        </w:rPr>
        <w:t xml:space="preserve"> </w:t>
      </w:r>
      <w:r>
        <w:t>the implementation of the Review’s recommendations.</w:t>
      </w:r>
    </w:p>
    <w:p w14:paraId="725EECD4" w14:textId="77777777" w:rsidR="00251D3C" w:rsidRDefault="00251D3C" w:rsidP="00251D3C">
      <w:r>
        <w:t xml:space="preserve">Taking account of the </w:t>
      </w:r>
      <w:r w:rsidRPr="00251D3C">
        <w:rPr>
          <w:rFonts w:cs="Calibri Light"/>
        </w:rPr>
        <w:t xml:space="preserve">Government’s legislative plans, </w:t>
      </w:r>
      <w:r w:rsidRPr="00251D3C">
        <w:rPr>
          <w:rFonts w:cs="Calibri Light"/>
          <w:b/>
        </w:rPr>
        <w:t xml:space="preserve">the RBA should develop an implementation roadmap </w:t>
      </w:r>
      <w:r w:rsidRPr="00251D3C">
        <w:rPr>
          <w:rFonts w:cs="Calibri Light"/>
        </w:rPr>
        <w:t>that defines priorities, actions, accountabilities and governance for implementing the recommended changes</w:t>
      </w:r>
      <w:r>
        <w:t>.</w:t>
      </w:r>
    </w:p>
    <w:p w14:paraId="3EB066EB" w14:textId="77777777" w:rsidR="00251D3C" w:rsidRDefault="00251D3C" w:rsidP="00251D3C">
      <w:r>
        <w:t>Among the non-legislative changes, the RBA should in 2023 prioritise the changes that strengthen monetary policy decision making, communications and the RBA’s management, culture and operations.</w:t>
      </w:r>
    </w:p>
    <w:p w14:paraId="1069206A" w14:textId="77777777" w:rsidR="00251D3C" w:rsidRDefault="00251D3C" w:rsidP="00251D3C">
      <w:r>
        <w:t xml:space="preserve">An updated </w:t>
      </w:r>
      <w:r>
        <w:rPr>
          <w:i/>
        </w:rPr>
        <w:t xml:space="preserve">Statement on the Conduct of Monetary Policy </w:t>
      </w:r>
      <w:r>
        <w:t>should be progressed by the Reserve Bank Board and the Government by the end of 2023.</w:t>
      </w:r>
    </w:p>
    <w:p w14:paraId="6F152627" w14:textId="77777777" w:rsidR="006B361A" w:rsidRDefault="006B361A" w:rsidP="006B361A">
      <w:pPr>
        <w:pStyle w:val="Heading3"/>
      </w:pPr>
      <w:r>
        <w:t>Implementing</w:t>
      </w:r>
      <w:r>
        <w:rPr>
          <w:spacing w:val="-11"/>
        </w:rPr>
        <w:t xml:space="preserve"> </w:t>
      </w:r>
      <w:r>
        <w:t>the</w:t>
      </w:r>
      <w:r>
        <w:rPr>
          <w:spacing w:val="-11"/>
        </w:rPr>
        <w:t xml:space="preserve"> </w:t>
      </w:r>
      <w:r>
        <w:t>Review</w:t>
      </w:r>
      <w:r>
        <w:rPr>
          <w:spacing w:val="-11"/>
        </w:rPr>
        <w:t xml:space="preserve"> </w:t>
      </w:r>
      <w:r>
        <w:t>without</w:t>
      </w:r>
      <w:r>
        <w:rPr>
          <w:spacing w:val="-10"/>
        </w:rPr>
        <w:t xml:space="preserve"> </w:t>
      </w:r>
      <w:r>
        <w:rPr>
          <w:spacing w:val="-2"/>
        </w:rPr>
        <w:t>legislation</w:t>
      </w:r>
    </w:p>
    <w:p w14:paraId="196591EB" w14:textId="77777777" w:rsidR="006B361A" w:rsidRDefault="006B361A" w:rsidP="006B361A">
      <w:r>
        <w:t>Implementing</w:t>
      </w:r>
      <w:r>
        <w:rPr>
          <w:spacing w:val="-5"/>
        </w:rPr>
        <w:t xml:space="preserve"> </w:t>
      </w:r>
      <w:r>
        <w:t>4</w:t>
      </w:r>
      <w:r>
        <w:rPr>
          <w:spacing w:val="-3"/>
        </w:rPr>
        <w:t xml:space="preserve"> </w:t>
      </w:r>
      <w:r>
        <w:t>of</w:t>
      </w:r>
      <w:r>
        <w:rPr>
          <w:spacing w:val="-3"/>
        </w:rPr>
        <w:t xml:space="preserve"> </w:t>
      </w:r>
      <w:r>
        <w:t>the</w:t>
      </w:r>
      <w:r>
        <w:rPr>
          <w:spacing w:val="-3"/>
        </w:rPr>
        <w:t xml:space="preserve"> </w:t>
      </w:r>
      <w:r>
        <w:t>Review’s</w:t>
      </w:r>
      <w:r>
        <w:rPr>
          <w:spacing w:val="-3"/>
        </w:rPr>
        <w:t xml:space="preserve"> </w:t>
      </w:r>
      <w:r>
        <w:t>recommendations</w:t>
      </w:r>
      <w:r>
        <w:rPr>
          <w:spacing w:val="-3"/>
        </w:rPr>
        <w:t xml:space="preserve"> </w:t>
      </w:r>
      <w:r>
        <w:t>(1,</w:t>
      </w:r>
      <w:r>
        <w:rPr>
          <w:spacing w:val="-3"/>
        </w:rPr>
        <w:t xml:space="preserve"> </w:t>
      </w:r>
      <w:r>
        <w:t>5,</w:t>
      </w:r>
      <w:r>
        <w:rPr>
          <w:spacing w:val="-3"/>
        </w:rPr>
        <w:t xml:space="preserve"> </w:t>
      </w:r>
      <w:r>
        <w:t>8</w:t>
      </w:r>
      <w:r>
        <w:rPr>
          <w:spacing w:val="-3"/>
        </w:rPr>
        <w:t xml:space="preserve"> </w:t>
      </w:r>
      <w:r>
        <w:t>and</w:t>
      </w:r>
      <w:r>
        <w:rPr>
          <w:spacing w:val="-3"/>
        </w:rPr>
        <w:t xml:space="preserve"> </w:t>
      </w:r>
      <w:r>
        <w:t>12)</w:t>
      </w:r>
      <w:r>
        <w:rPr>
          <w:spacing w:val="-3"/>
        </w:rPr>
        <w:t xml:space="preserve"> </w:t>
      </w:r>
      <w:r>
        <w:t>requires</w:t>
      </w:r>
      <w:r>
        <w:rPr>
          <w:spacing w:val="-2"/>
        </w:rPr>
        <w:t xml:space="preserve"> legislation.</w:t>
      </w:r>
    </w:p>
    <w:p w14:paraId="689B9FA3" w14:textId="77777777" w:rsidR="006B361A" w:rsidRDefault="006B361A" w:rsidP="006B361A">
      <w:r>
        <w:t>The principles of an independent central bank conducting monetary policy, broad bipartisan support for the framework and a high degree of stability in the framework, are of absolute importance. The Review strongly supports legislative change, but only if the process can be expected to proceed without putting these principles at risk.</w:t>
      </w:r>
    </w:p>
    <w:p w14:paraId="2B9BFFE2" w14:textId="0F4E177A" w:rsidR="006B361A" w:rsidRDefault="006B361A" w:rsidP="006B361A">
      <w:r>
        <w:t>The</w:t>
      </w:r>
      <w:r>
        <w:rPr>
          <w:spacing w:val="-2"/>
        </w:rPr>
        <w:t xml:space="preserve"> </w:t>
      </w:r>
      <w:r>
        <w:t>Review has</w:t>
      </w:r>
      <w:r>
        <w:rPr>
          <w:spacing w:val="1"/>
        </w:rPr>
        <w:t xml:space="preserve"> </w:t>
      </w:r>
      <w:r>
        <w:t>considered how those</w:t>
      </w:r>
      <w:r>
        <w:rPr>
          <w:spacing w:val="1"/>
        </w:rPr>
        <w:t xml:space="preserve"> </w:t>
      </w:r>
      <w:r>
        <w:t>recommendations’ intent could</w:t>
      </w:r>
      <w:r>
        <w:rPr>
          <w:spacing w:val="1"/>
        </w:rPr>
        <w:t xml:space="preserve"> </w:t>
      </w:r>
      <w:r>
        <w:t>best be met</w:t>
      </w:r>
      <w:r>
        <w:rPr>
          <w:spacing w:val="1"/>
        </w:rPr>
        <w:t xml:space="preserve"> </w:t>
      </w:r>
      <w:r>
        <w:t>in the</w:t>
      </w:r>
      <w:r>
        <w:rPr>
          <w:spacing w:val="1"/>
        </w:rPr>
        <w:t xml:space="preserve"> </w:t>
      </w:r>
      <w:r>
        <w:rPr>
          <w:spacing w:val="-2"/>
        </w:rPr>
        <w:t xml:space="preserve">absence </w:t>
      </w:r>
      <w:r>
        <w:t>of</w:t>
      </w:r>
      <w:r>
        <w:rPr>
          <w:spacing w:val="-2"/>
        </w:rPr>
        <w:t xml:space="preserve"> </w:t>
      </w:r>
      <w:r>
        <w:t>legislative</w:t>
      </w:r>
      <w:r>
        <w:rPr>
          <w:spacing w:val="1"/>
        </w:rPr>
        <w:t xml:space="preserve"> </w:t>
      </w:r>
      <w:r>
        <w:t>change.</w:t>
      </w:r>
      <w:r>
        <w:rPr>
          <w:spacing w:val="1"/>
        </w:rPr>
        <w:t xml:space="preserve"> </w:t>
      </w:r>
      <w:r>
        <w:t>These</w:t>
      </w:r>
      <w:r>
        <w:rPr>
          <w:spacing w:val="1"/>
        </w:rPr>
        <w:t xml:space="preserve"> </w:t>
      </w:r>
      <w:r>
        <w:t>alternative</w:t>
      </w:r>
      <w:r>
        <w:rPr>
          <w:spacing w:val="1"/>
        </w:rPr>
        <w:t xml:space="preserve"> </w:t>
      </w:r>
      <w:r>
        <w:t>approaches are</w:t>
      </w:r>
      <w:r>
        <w:rPr>
          <w:spacing w:val="1"/>
        </w:rPr>
        <w:t xml:space="preserve"> </w:t>
      </w:r>
      <w:r>
        <w:t>set</w:t>
      </w:r>
      <w:r>
        <w:rPr>
          <w:spacing w:val="1"/>
        </w:rPr>
        <w:t xml:space="preserve"> </w:t>
      </w:r>
      <w:r>
        <w:t>out</w:t>
      </w:r>
      <w:r>
        <w:rPr>
          <w:spacing w:val="1"/>
        </w:rPr>
        <w:t xml:space="preserve"> </w:t>
      </w:r>
      <w:r>
        <w:t>in</w:t>
      </w:r>
      <w:r>
        <w:rPr>
          <w:spacing w:val="1"/>
        </w:rPr>
        <w:t xml:space="preserve"> </w:t>
      </w:r>
      <w:r>
        <w:t>Chapter</w:t>
      </w:r>
      <w:r>
        <w:rPr>
          <w:spacing w:val="1"/>
        </w:rPr>
        <w:t xml:space="preserve"> </w:t>
      </w:r>
      <w:r>
        <w:rPr>
          <w:spacing w:val="-5"/>
        </w:rPr>
        <w:t>7.</w:t>
      </w:r>
    </w:p>
    <w:p w14:paraId="1AB44FEE" w14:textId="77777777" w:rsidR="006B361A" w:rsidRDefault="006B361A" w:rsidP="003B7540">
      <w:r>
        <w:t>In some cases, it may be possible to achieve somewhat similar outcomes without legislation. However, in the absence of legislation, the benefits of a separately constituted Monetary Policy Board and Governance Board can be only very partially realised within the existing Board structure.</w:t>
      </w:r>
    </w:p>
    <w:p w14:paraId="126B143D" w14:textId="77777777" w:rsidR="006B361A" w:rsidRDefault="006B361A" w:rsidP="003B7540">
      <w:r>
        <w:lastRenderedPageBreak/>
        <w:t>The best alternative approach, in this case, would be to focus on deepening the existing</w:t>
      </w:r>
      <w:r>
        <w:rPr>
          <w:spacing w:val="80"/>
        </w:rPr>
        <w:t xml:space="preserve"> </w:t>
      </w:r>
      <w:r>
        <w:t>Reserve Bank Board’s capacity and involvement in monetary policy decision making. A separate corporate governance advisory committee could be formed which would provide some additional assistance to the Governor in discharging their role managing the operations of the RBA, but this would not achieve the benefits of formal changes to governance accountabilities.</w:t>
      </w:r>
    </w:p>
    <w:p w14:paraId="30F4132C" w14:textId="77777777" w:rsidR="006B361A" w:rsidRDefault="006B361A" w:rsidP="003B7540">
      <w:r>
        <w:t>Attempting instead to deepen the existing Reserve Bank Board’s involvement in both corporate governance and monetary policy decision making would compromise the achievement of necessary improvements in both areas.</w:t>
      </w:r>
    </w:p>
    <w:p w14:paraId="1B10B6C1" w14:textId="1E903C81" w:rsidR="00373993" w:rsidRDefault="006B361A" w:rsidP="003B7540">
      <w:pPr>
        <w:rPr>
          <w:rFonts w:ascii="Calibri" w:hAnsi="Calibri" w:cs="Arial"/>
          <w:b/>
          <w:color w:val="204060" w:themeColor="accent1"/>
          <w:kern w:val="32"/>
          <w:sz w:val="44"/>
          <w:szCs w:val="36"/>
        </w:rPr>
      </w:pPr>
      <w:r>
        <w:t xml:space="preserve">Setting the RBA up to face the challenges of the future means implementing the best possible governance </w:t>
      </w:r>
      <w:r w:rsidRPr="003B7540">
        <w:rPr>
          <w:rFonts w:cs="Calibri Light"/>
        </w:rPr>
        <w:t xml:space="preserve">model. </w:t>
      </w:r>
      <w:r w:rsidRPr="003B7540">
        <w:rPr>
          <w:rFonts w:cs="Calibri Light"/>
          <w:b/>
        </w:rPr>
        <w:t>The Review strongly supports legislative change to achieve the full benefits of its recommendations.</w:t>
      </w:r>
      <w:r w:rsidR="00373993">
        <w:br w:type="page"/>
      </w:r>
    </w:p>
    <w:p w14:paraId="38ED9AA9" w14:textId="77777777" w:rsidR="005D4486" w:rsidRDefault="005D4486" w:rsidP="005D4486">
      <w:pPr>
        <w:pStyle w:val="Heading1"/>
      </w:pPr>
      <w:bookmarkStart w:id="17" w:name="_Toc134220990"/>
      <w:r>
        <w:lastRenderedPageBreak/>
        <w:t>Recommendations</w:t>
      </w:r>
      <w:bookmarkEnd w:id="17"/>
    </w:p>
    <w:p w14:paraId="5741C18A" w14:textId="5DF93C5B" w:rsidR="009C7656" w:rsidRPr="009C7656" w:rsidRDefault="009C7656" w:rsidP="009C7656">
      <w:pPr>
        <w:pStyle w:val="Heading2"/>
      </w:pPr>
      <w:bookmarkStart w:id="18" w:name="_Toc134220991"/>
      <w:r>
        <w:t>A</w:t>
      </w:r>
      <w:r>
        <w:rPr>
          <w:spacing w:val="-15"/>
        </w:rPr>
        <w:t xml:space="preserve"> </w:t>
      </w:r>
      <w:r w:rsidRPr="009C7656">
        <w:t>clearer</w:t>
      </w:r>
      <w:r>
        <w:rPr>
          <w:spacing w:val="-12"/>
        </w:rPr>
        <w:t xml:space="preserve"> </w:t>
      </w:r>
      <w:r>
        <w:t>monetary</w:t>
      </w:r>
      <w:r>
        <w:rPr>
          <w:spacing w:val="-12"/>
        </w:rPr>
        <w:t xml:space="preserve"> </w:t>
      </w:r>
      <w:r>
        <w:t>policy</w:t>
      </w:r>
      <w:r>
        <w:rPr>
          <w:spacing w:val="-12"/>
        </w:rPr>
        <w:t xml:space="preserve"> </w:t>
      </w:r>
      <w:r>
        <w:t>framework</w:t>
      </w:r>
      <w:bookmarkEnd w:id="18"/>
    </w:p>
    <w:tbl>
      <w:tblPr>
        <w:tblW w:w="5000" w:type="pct"/>
        <w:tblCellMar>
          <w:left w:w="0" w:type="dxa"/>
          <w:right w:w="0" w:type="dxa"/>
        </w:tblCellMar>
        <w:tblLook w:val="01E0" w:firstRow="1" w:lastRow="1" w:firstColumn="1" w:lastColumn="1" w:noHBand="0" w:noVBand="0"/>
      </w:tblPr>
      <w:tblGrid>
        <w:gridCol w:w="776"/>
        <w:gridCol w:w="8294"/>
      </w:tblGrid>
      <w:tr w:rsidR="005D4486" w14:paraId="249C49FE" w14:textId="77777777" w:rsidTr="001D75F6">
        <w:trPr>
          <w:trHeight w:val="801"/>
        </w:trPr>
        <w:tc>
          <w:tcPr>
            <w:tcW w:w="5000" w:type="pct"/>
            <w:gridSpan w:val="2"/>
            <w:tcBorders>
              <w:bottom w:val="single" w:sz="8" w:space="0" w:color="ECEDE9"/>
            </w:tcBorders>
          </w:tcPr>
          <w:p w14:paraId="57564B86" w14:textId="3AAA4816" w:rsidR="005D4486" w:rsidRDefault="005D4486" w:rsidP="0052089D">
            <w:pPr>
              <w:pStyle w:val="Heading4"/>
              <w:rPr>
                <w:rFonts w:ascii="Open Sans"/>
                <w:sz w:val="18"/>
              </w:rPr>
            </w:pPr>
            <w:r>
              <w:t>Recommendation 1:</w:t>
            </w:r>
            <w:r>
              <w:rPr>
                <w:spacing w:val="1"/>
              </w:rPr>
              <w:t xml:space="preserve"> </w:t>
            </w:r>
            <w:r>
              <w:t>Affirm the</w:t>
            </w:r>
            <w:r>
              <w:rPr>
                <w:spacing w:val="1"/>
              </w:rPr>
              <w:t xml:space="preserve"> </w:t>
            </w:r>
            <w:r>
              <w:t>RBA’s independence</w:t>
            </w:r>
            <w:r>
              <w:rPr>
                <w:spacing w:val="1"/>
              </w:rPr>
              <w:t xml:space="preserve"> </w:t>
            </w:r>
            <w:r>
              <w:t>and clarify</w:t>
            </w:r>
            <w:r>
              <w:rPr>
                <w:spacing w:val="1"/>
              </w:rPr>
              <w:t xml:space="preserve"> </w:t>
            </w:r>
            <w:r>
              <w:t>its</w:t>
            </w:r>
            <w:r>
              <w:rPr>
                <w:spacing w:val="1"/>
              </w:rPr>
              <w:t xml:space="preserve"> </w:t>
            </w:r>
            <w:r w:rsidRPr="005D4486">
              <w:t>statutory</w:t>
            </w:r>
            <w:r>
              <w:t xml:space="preserve"> </w:t>
            </w:r>
            <w:r w:rsidRPr="005D4486">
              <w:t>monetary</w:t>
            </w:r>
            <w:r>
              <w:rPr>
                <w:rFonts w:ascii="Open Sans"/>
                <w:color w:val="204160"/>
                <w:spacing w:val="7"/>
                <w:sz w:val="18"/>
              </w:rPr>
              <w:t xml:space="preserve"> </w:t>
            </w:r>
            <w:r w:rsidRPr="005D4486">
              <w:t>policy objectives</w:t>
            </w:r>
          </w:p>
        </w:tc>
      </w:tr>
      <w:tr w:rsidR="005D4486" w14:paraId="1C05AB80" w14:textId="77777777" w:rsidTr="00D238EE">
        <w:trPr>
          <w:trHeight w:val="801"/>
        </w:trPr>
        <w:tc>
          <w:tcPr>
            <w:tcW w:w="428" w:type="pct"/>
            <w:tcBorders>
              <w:top w:val="single" w:sz="8" w:space="0" w:color="ECEDE9"/>
              <w:bottom w:val="single" w:sz="8" w:space="0" w:color="ECEDE9"/>
            </w:tcBorders>
          </w:tcPr>
          <w:p w14:paraId="1ACF67D9" w14:textId="77777777" w:rsidR="005D4486" w:rsidRDefault="005D4486" w:rsidP="00555C73">
            <w:r>
              <w:t>1.1</w:t>
            </w:r>
          </w:p>
        </w:tc>
        <w:tc>
          <w:tcPr>
            <w:tcW w:w="4572" w:type="pct"/>
            <w:tcBorders>
              <w:top w:val="single" w:sz="8" w:space="0" w:color="ECEDE9"/>
              <w:bottom w:val="single" w:sz="8" w:space="0" w:color="ECEDE9"/>
            </w:tcBorders>
          </w:tcPr>
          <w:p w14:paraId="36B01440" w14:textId="65DC6FE7" w:rsidR="005D4486" w:rsidRDefault="005D4486" w:rsidP="00B454B5">
            <w:r>
              <w:t>The</w:t>
            </w:r>
            <w:r>
              <w:rPr>
                <w:spacing w:val="-1"/>
              </w:rPr>
              <w:t xml:space="preserve"> </w:t>
            </w:r>
            <w:r>
              <w:t>RBA</w:t>
            </w:r>
            <w:r>
              <w:rPr>
                <w:spacing w:val="1"/>
              </w:rPr>
              <w:t xml:space="preserve"> </w:t>
            </w:r>
            <w:r>
              <w:t>should</w:t>
            </w:r>
            <w:r>
              <w:rPr>
                <w:spacing w:val="2"/>
              </w:rPr>
              <w:t xml:space="preserve"> </w:t>
            </w:r>
            <w:r>
              <w:t>continue</w:t>
            </w:r>
            <w:r>
              <w:rPr>
                <w:spacing w:val="1"/>
              </w:rPr>
              <w:t xml:space="preserve"> </w:t>
            </w:r>
            <w:r>
              <w:t>to</w:t>
            </w:r>
            <w:r>
              <w:rPr>
                <w:spacing w:val="2"/>
              </w:rPr>
              <w:t xml:space="preserve"> </w:t>
            </w:r>
            <w:r>
              <w:t>have</w:t>
            </w:r>
            <w:r>
              <w:rPr>
                <w:spacing w:val="1"/>
              </w:rPr>
              <w:t xml:space="preserve"> </w:t>
            </w:r>
            <w:r>
              <w:t>operational</w:t>
            </w:r>
            <w:r>
              <w:rPr>
                <w:spacing w:val="2"/>
              </w:rPr>
              <w:t xml:space="preserve"> </w:t>
            </w:r>
            <w:r>
              <w:t>independence</w:t>
            </w:r>
            <w:r>
              <w:rPr>
                <w:spacing w:val="1"/>
              </w:rPr>
              <w:t xml:space="preserve"> </w:t>
            </w:r>
            <w:r>
              <w:t>for</w:t>
            </w:r>
            <w:r>
              <w:rPr>
                <w:spacing w:val="2"/>
              </w:rPr>
              <w:t xml:space="preserve"> </w:t>
            </w:r>
            <w:r>
              <w:t>monetary</w:t>
            </w:r>
            <w:r>
              <w:rPr>
                <w:spacing w:val="1"/>
              </w:rPr>
              <w:t xml:space="preserve"> </w:t>
            </w:r>
            <w:r>
              <w:t>policy.</w:t>
            </w:r>
            <w:r>
              <w:rPr>
                <w:spacing w:val="2"/>
              </w:rPr>
              <w:t xml:space="preserve"> </w:t>
            </w:r>
            <w:r>
              <w:rPr>
                <w:spacing w:val="-5"/>
              </w:rPr>
              <w:t>The</w:t>
            </w:r>
            <w:r w:rsidR="00B454B5">
              <w:rPr>
                <w:spacing w:val="-5"/>
              </w:rPr>
              <w:t xml:space="preserve"> </w:t>
            </w:r>
            <w:r>
              <w:rPr>
                <w:spacing w:val="-2"/>
              </w:rPr>
              <w:t>Government</w:t>
            </w:r>
            <w:r>
              <w:rPr>
                <w:spacing w:val="-6"/>
              </w:rPr>
              <w:t xml:space="preserve"> </w:t>
            </w:r>
            <w:r>
              <w:rPr>
                <w:spacing w:val="-2"/>
              </w:rPr>
              <w:t>should</w:t>
            </w:r>
            <w:r>
              <w:rPr>
                <w:spacing w:val="-3"/>
              </w:rPr>
              <w:t xml:space="preserve"> </w:t>
            </w:r>
            <w:r>
              <w:rPr>
                <w:spacing w:val="-2"/>
              </w:rPr>
              <w:t>remove</w:t>
            </w:r>
            <w:r>
              <w:rPr>
                <w:spacing w:val="-3"/>
              </w:rPr>
              <w:t xml:space="preserve"> </w:t>
            </w:r>
            <w:r>
              <w:rPr>
                <w:spacing w:val="-2"/>
              </w:rPr>
              <w:t>the</w:t>
            </w:r>
            <w:r>
              <w:rPr>
                <w:spacing w:val="-3"/>
              </w:rPr>
              <w:t xml:space="preserve"> </w:t>
            </w:r>
            <w:r>
              <w:rPr>
                <w:spacing w:val="-2"/>
              </w:rPr>
              <w:t>power</w:t>
            </w:r>
            <w:r>
              <w:rPr>
                <w:spacing w:val="-3"/>
              </w:rPr>
              <w:t xml:space="preserve"> </w:t>
            </w:r>
            <w:r>
              <w:rPr>
                <w:spacing w:val="-2"/>
              </w:rPr>
              <w:t>of</w:t>
            </w:r>
            <w:r>
              <w:rPr>
                <w:spacing w:val="-3"/>
              </w:rPr>
              <w:t xml:space="preserve"> </w:t>
            </w:r>
            <w:r>
              <w:rPr>
                <w:spacing w:val="-2"/>
              </w:rPr>
              <w:t>the</w:t>
            </w:r>
            <w:r>
              <w:rPr>
                <w:spacing w:val="-4"/>
              </w:rPr>
              <w:t xml:space="preserve"> </w:t>
            </w:r>
            <w:r>
              <w:rPr>
                <w:spacing w:val="-2"/>
              </w:rPr>
              <w:t>Treasurer</w:t>
            </w:r>
            <w:r>
              <w:rPr>
                <w:spacing w:val="-3"/>
              </w:rPr>
              <w:t xml:space="preserve"> </w:t>
            </w:r>
            <w:r>
              <w:rPr>
                <w:spacing w:val="-2"/>
              </w:rPr>
              <w:t>to</w:t>
            </w:r>
            <w:r>
              <w:rPr>
                <w:spacing w:val="-3"/>
              </w:rPr>
              <w:t xml:space="preserve"> </w:t>
            </w:r>
            <w:r>
              <w:rPr>
                <w:spacing w:val="-2"/>
              </w:rPr>
              <w:t>overrule</w:t>
            </w:r>
            <w:r>
              <w:rPr>
                <w:spacing w:val="-3"/>
              </w:rPr>
              <w:t xml:space="preserve"> </w:t>
            </w:r>
            <w:r>
              <w:rPr>
                <w:spacing w:val="-2"/>
              </w:rPr>
              <w:t>the</w:t>
            </w:r>
            <w:r>
              <w:rPr>
                <w:spacing w:val="-3"/>
              </w:rPr>
              <w:t xml:space="preserve"> </w:t>
            </w:r>
            <w:r>
              <w:rPr>
                <w:spacing w:val="-2"/>
              </w:rPr>
              <w:t>RBA’s</w:t>
            </w:r>
            <w:r>
              <w:rPr>
                <w:spacing w:val="-3"/>
              </w:rPr>
              <w:t xml:space="preserve"> </w:t>
            </w:r>
            <w:r>
              <w:rPr>
                <w:spacing w:val="-2"/>
              </w:rPr>
              <w:t>decisions.</w:t>
            </w:r>
          </w:p>
        </w:tc>
      </w:tr>
      <w:tr w:rsidR="005D4486" w14:paraId="39220B46" w14:textId="77777777" w:rsidTr="00D238EE">
        <w:trPr>
          <w:trHeight w:val="1718"/>
        </w:trPr>
        <w:tc>
          <w:tcPr>
            <w:tcW w:w="428" w:type="pct"/>
            <w:tcBorders>
              <w:top w:val="single" w:sz="8" w:space="0" w:color="ECEDE9"/>
              <w:bottom w:val="single" w:sz="8" w:space="0" w:color="ECEDE9"/>
            </w:tcBorders>
          </w:tcPr>
          <w:p w14:paraId="20911595" w14:textId="77777777" w:rsidR="005D4486" w:rsidRDefault="005D4486" w:rsidP="00555C73">
            <w:r>
              <w:t>1.2</w:t>
            </w:r>
          </w:p>
        </w:tc>
        <w:tc>
          <w:tcPr>
            <w:tcW w:w="4572" w:type="pct"/>
            <w:tcBorders>
              <w:top w:val="single" w:sz="8" w:space="0" w:color="ECEDE9"/>
              <w:bottom w:val="single" w:sz="8" w:space="0" w:color="ECEDE9"/>
            </w:tcBorders>
          </w:tcPr>
          <w:p w14:paraId="78F5C4ED" w14:textId="77777777" w:rsidR="005D4486" w:rsidRDefault="005D4486" w:rsidP="00B454B5">
            <w:r>
              <w:t>The</w:t>
            </w:r>
            <w:r>
              <w:rPr>
                <w:spacing w:val="-1"/>
              </w:rPr>
              <w:t xml:space="preserve"> </w:t>
            </w:r>
            <w:r>
              <w:t>Government should</w:t>
            </w:r>
            <w:r>
              <w:rPr>
                <w:spacing w:val="-1"/>
              </w:rPr>
              <w:t xml:space="preserve"> </w:t>
            </w:r>
            <w:r>
              <w:t>amend the</w:t>
            </w:r>
            <w:r>
              <w:rPr>
                <w:spacing w:val="-1"/>
              </w:rPr>
              <w:t xml:space="preserve"> </w:t>
            </w:r>
            <w:r>
              <w:rPr>
                <w:i/>
              </w:rPr>
              <w:t>Reserve Bank</w:t>
            </w:r>
            <w:r>
              <w:rPr>
                <w:i/>
                <w:spacing w:val="-1"/>
              </w:rPr>
              <w:t xml:space="preserve"> </w:t>
            </w:r>
            <w:r>
              <w:rPr>
                <w:i/>
              </w:rPr>
              <w:t>Act 1959</w:t>
            </w:r>
            <w:r>
              <w:rPr>
                <w:i/>
                <w:spacing w:val="-1"/>
              </w:rPr>
              <w:t xml:space="preserve"> </w:t>
            </w:r>
            <w:r>
              <w:t xml:space="preserve">such </w:t>
            </w:r>
            <w:r>
              <w:rPr>
                <w:spacing w:val="-2"/>
              </w:rPr>
              <w:t>that:</w:t>
            </w:r>
          </w:p>
          <w:p w14:paraId="0790A319" w14:textId="77777777" w:rsidR="005D4486" w:rsidRDefault="005D4486" w:rsidP="0000278A">
            <w:pPr>
              <w:pStyle w:val="Bullet"/>
            </w:pPr>
            <w:r>
              <w:t>The</w:t>
            </w:r>
            <w:r>
              <w:rPr>
                <w:spacing w:val="-5"/>
              </w:rPr>
              <w:t xml:space="preserve"> </w:t>
            </w:r>
            <w:r>
              <w:t>RBA</w:t>
            </w:r>
            <w:r>
              <w:rPr>
                <w:spacing w:val="-2"/>
              </w:rPr>
              <w:t xml:space="preserve"> </w:t>
            </w:r>
            <w:r>
              <w:t>has</w:t>
            </w:r>
            <w:r>
              <w:rPr>
                <w:spacing w:val="-2"/>
              </w:rPr>
              <w:t xml:space="preserve"> </w:t>
            </w:r>
            <w:r>
              <w:t>dual</w:t>
            </w:r>
            <w:r>
              <w:rPr>
                <w:spacing w:val="-3"/>
              </w:rPr>
              <w:t xml:space="preserve"> </w:t>
            </w:r>
            <w:r>
              <w:t>monetary</w:t>
            </w:r>
            <w:r>
              <w:rPr>
                <w:spacing w:val="-2"/>
              </w:rPr>
              <w:t xml:space="preserve"> </w:t>
            </w:r>
            <w:r>
              <w:t>policy</w:t>
            </w:r>
            <w:r>
              <w:rPr>
                <w:spacing w:val="-2"/>
              </w:rPr>
              <w:t xml:space="preserve"> </w:t>
            </w:r>
            <w:r>
              <w:t>objectives</w:t>
            </w:r>
            <w:r>
              <w:rPr>
                <w:spacing w:val="-3"/>
              </w:rPr>
              <w:t xml:space="preserve"> </w:t>
            </w:r>
            <w:r>
              <w:t>of</w:t>
            </w:r>
            <w:r>
              <w:rPr>
                <w:spacing w:val="-2"/>
              </w:rPr>
              <w:t xml:space="preserve"> </w:t>
            </w:r>
            <w:r>
              <w:t>price</w:t>
            </w:r>
            <w:r>
              <w:rPr>
                <w:spacing w:val="-2"/>
              </w:rPr>
              <w:t xml:space="preserve"> </w:t>
            </w:r>
            <w:r>
              <w:t>stability</w:t>
            </w:r>
            <w:r>
              <w:rPr>
                <w:spacing w:val="-3"/>
              </w:rPr>
              <w:t xml:space="preserve"> </w:t>
            </w:r>
            <w:r>
              <w:t>and</w:t>
            </w:r>
            <w:r>
              <w:rPr>
                <w:spacing w:val="-2"/>
              </w:rPr>
              <w:t xml:space="preserve"> </w:t>
            </w:r>
            <w:r>
              <w:t>full</w:t>
            </w:r>
            <w:r>
              <w:rPr>
                <w:spacing w:val="-2"/>
              </w:rPr>
              <w:t xml:space="preserve"> employment.</w:t>
            </w:r>
          </w:p>
          <w:p w14:paraId="52CDB83E" w14:textId="77777777" w:rsidR="005D4486" w:rsidRDefault="005D4486" w:rsidP="0000278A">
            <w:pPr>
              <w:pStyle w:val="Bullet"/>
            </w:pPr>
            <w:r>
              <w:t>The ‘economic prosperity and welfare of the people of Australia now and in the future’ is an overarching purpose for the RBA rather than a separate objective for monetary policy.</w:t>
            </w:r>
          </w:p>
        </w:tc>
      </w:tr>
      <w:tr w:rsidR="005D4486" w14:paraId="6DF929C4" w14:textId="77777777" w:rsidTr="00D238EE">
        <w:trPr>
          <w:trHeight w:val="923"/>
        </w:trPr>
        <w:tc>
          <w:tcPr>
            <w:tcW w:w="428" w:type="pct"/>
            <w:tcBorders>
              <w:top w:val="single" w:sz="8" w:space="0" w:color="ECEDE9"/>
            </w:tcBorders>
          </w:tcPr>
          <w:p w14:paraId="6A1753B8" w14:textId="77777777" w:rsidR="005D4486" w:rsidRDefault="005D4486" w:rsidP="00555C73">
            <w:r>
              <w:t>1.3</w:t>
            </w:r>
          </w:p>
        </w:tc>
        <w:tc>
          <w:tcPr>
            <w:tcW w:w="4572" w:type="pct"/>
            <w:tcBorders>
              <w:top w:val="single" w:sz="8" w:space="0" w:color="ECEDE9"/>
            </w:tcBorders>
          </w:tcPr>
          <w:p w14:paraId="1BF3AB23" w14:textId="77777777" w:rsidR="005D4486" w:rsidRDefault="005D4486" w:rsidP="00B454B5">
            <w:r>
              <w:t>The</w:t>
            </w:r>
            <w:r>
              <w:rPr>
                <w:spacing w:val="-3"/>
              </w:rPr>
              <w:t xml:space="preserve"> </w:t>
            </w:r>
            <w:r>
              <w:t>Government</w:t>
            </w:r>
            <w:r>
              <w:rPr>
                <w:spacing w:val="-3"/>
              </w:rPr>
              <w:t xml:space="preserve"> </w:t>
            </w:r>
            <w:r>
              <w:t>should</w:t>
            </w:r>
            <w:r>
              <w:rPr>
                <w:spacing w:val="-3"/>
              </w:rPr>
              <w:t xml:space="preserve"> </w:t>
            </w:r>
            <w:r>
              <w:t>remove</w:t>
            </w:r>
            <w:r>
              <w:rPr>
                <w:spacing w:val="-3"/>
              </w:rPr>
              <w:t xml:space="preserve"> </w:t>
            </w:r>
            <w:r>
              <w:t>the</w:t>
            </w:r>
            <w:r>
              <w:rPr>
                <w:spacing w:val="-3"/>
              </w:rPr>
              <w:t xml:space="preserve"> </w:t>
            </w:r>
            <w:r>
              <w:t>RBA’s</w:t>
            </w:r>
            <w:r>
              <w:rPr>
                <w:spacing w:val="-3"/>
              </w:rPr>
              <w:t xml:space="preserve"> </w:t>
            </w:r>
            <w:r>
              <w:t>power</w:t>
            </w:r>
            <w:r>
              <w:rPr>
                <w:spacing w:val="-3"/>
              </w:rPr>
              <w:t xml:space="preserve"> </w:t>
            </w:r>
            <w:r>
              <w:t>(in</w:t>
            </w:r>
            <w:r>
              <w:rPr>
                <w:spacing w:val="-3"/>
              </w:rPr>
              <w:t xml:space="preserve"> </w:t>
            </w:r>
            <w:r>
              <w:t>the</w:t>
            </w:r>
            <w:r>
              <w:rPr>
                <w:spacing w:val="-4"/>
              </w:rPr>
              <w:t xml:space="preserve"> </w:t>
            </w:r>
            <w:r>
              <w:rPr>
                <w:i/>
              </w:rPr>
              <w:t>Banking</w:t>
            </w:r>
            <w:r>
              <w:rPr>
                <w:i/>
                <w:spacing w:val="-3"/>
              </w:rPr>
              <w:t xml:space="preserve"> </w:t>
            </w:r>
            <w:r>
              <w:rPr>
                <w:i/>
              </w:rPr>
              <w:t>Act</w:t>
            </w:r>
            <w:r>
              <w:rPr>
                <w:i/>
                <w:spacing w:val="-3"/>
              </w:rPr>
              <w:t xml:space="preserve"> </w:t>
            </w:r>
            <w:r>
              <w:rPr>
                <w:i/>
              </w:rPr>
              <w:t>1959</w:t>
            </w:r>
            <w:r>
              <w:t>)</w:t>
            </w:r>
            <w:r>
              <w:rPr>
                <w:spacing w:val="-3"/>
              </w:rPr>
              <w:t xml:space="preserve"> </w:t>
            </w:r>
            <w:r>
              <w:t>to determine the lending policy of banks.</w:t>
            </w:r>
          </w:p>
        </w:tc>
      </w:tr>
      <w:tr w:rsidR="005D4486" w14:paraId="42A85BCE" w14:textId="77777777" w:rsidTr="001D75F6">
        <w:trPr>
          <w:trHeight w:val="644"/>
        </w:trPr>
        <w:tc>
          <w:tcPr>
            <w:tcW w:w="5000" w:type="pct"/>
            <w:gridSpan w:val="2"/>
            <w:tcBorders>
              <w:bottom w:val="single" w:sz="8" w:space="0" w:color="ECEDE9"/>
            </w:tcBorders>
          </w:tcPr>
          <w:p w14:paraId="22DAE5A3" w14:textId="77777777" w:rsidR="005D4486" w:rsidRDefault="005D4486" w:rsidP="0052089D">
            <w:pPr>
              <w:pStyle w:val="Heading4"/>
            </w:pPr>
            <w:r w:rsidRPr="001D75F6">
              <w:t>Recommendation 2:</w:t>
            </w:r>
            <w:r>
              <w:t xml:space="preserve"> Keep a flexible inflation targeting framework but clarify how it operates</w:t>
            </w:r>
          </w:p>
        </w:tc>
      </w:tr>
      <w:tr w:rsidR="005D4486" w14:paraId="76DDE03D" w14:textId="77777777" w:rsidTr="00D238EE">
        <w:trPr>
          <w:trHeight w:val="3734"/>
        </w:trPr>
        <w:tc>
          <w:tcPr>
            <w:tcW w:w="428" w:type="pct"/>
            <w:tcBorders>
              <w:top w:val="single" w:sz="8" w:space="0" w:color="ECEDE9"/>
            </w:tcBorders>
          </w:tcPr>
          <w:p w14:paraId="4FD6D383" w14:textId="77777777" w:rsidR="005D4486" w:rsidRDefault="005D4486" w:rsidP="00555C73">
            <w:r>
              <w:t>2.1</w:t>
            </w:r>
          </w:p>
        </w:tc>
        <w:tc>
          <w:tcPr>
            <w:tcW w:w="4572" w:type="pct"/>
            <w:tcBorders>
              <w:top w:val="single" w:sz="8" w:space="0" w:color="ECEDE9"/>
            </w:tcBorders>
          </w:tcPr>
          <w:p w14:paraId="016A676F" w14:textId="75825BC5" w:rsidR="005D4486" w:rsidRPr="0052089D" w:rsidRDefault="005D4486" w:rsidP="0052089D">
            <w:pPr>
              <w:rPr>
                <w:szCs w:val="22"/>
              </w:rPr>
            </w:pPr>
            <w:r w:rsidRPr="0052089D">
              <w:rPr>
                <w:szCs w:val="22"/>
              </w:rPr>
              <w:t>The</w:t>
            </w:r>
            <w:r w:rsidRPr="0052089D">
              <w:rPr>
                <w:spacing w:val="-1"/>
                <w:szCs w:val="22"/>
              </w:rPr>
              <w:t xml:space="preserve"> </w:t>
            </w:r>
            <w:r w:rsidRPr="0052089D">
              <w:rPr>
                <w:szCs w:val="22"/>
              </w:rPr>
              <w:t>RBA</w:t>
            </w:r>
            <w:r w:rsidRPr="0052089D">
              <w:rPr>
                <w:spacing w:val="2"/>
                <w:szCs w:val="22"/>
              </w:rPr>
              <w:t xml:space="preserve"> </w:t>
            </w:r>
            <w:r w:rsidRPr="0052089D">
              <w:rPr>
                <w:szCs w:val="22"/>
              </w:rPr>
              <w:t>Monetary</w:t>
            </w:r>
            <w:r w:rsidRPr="0052089D">
              <w:rPr>
                <w:spacing w:val="1"/>
                <w:szCs w:val="22"/>
              </w:rPr>
              <w:t xml:space="preserve"> </w:t>
            </w:r>
            <w:r w:rsidRPr="0052089D">
              <w:rPr>
                <w:szCs w:val="22"/>
              </w:rPr>
              <w:t>Policy</w:t>
            </w:r>
            <w:r w:rsidRPr="0052089D">
              <w:rPr>
                <w:spacing w:val="2"/>
                <w:szCs w:val="22"/>
              </w:rPr>
              <w:t xml:space="preserve"> </w:t>
            </w:r>
            <w:r w:rsidRPr="0052089D">
              <w:rPr>
                <w:szCs w:val="22"/>
              </w:rPr>
              <w:t>Board</w:t>
            </w:r>
            <w:r w:rsidRPr="0052089D">
              <w:rPr>
                <w:spacing w:val="1"/>
                <w:szCs w:val="22"/>
              </w:rPr>
              <w:t xml:space="preserve"> </w:t>
            </w:r>
            <w:r w:rsidRPr="0052089D">
              <w:rPr>
                <w:szCs w:val="22"/>
              </w:rPr>
              <w:t>(see</w:t>
            </w:r>
            <w:r w:rsidRPr="0052089D">
              <w:rPr>
                <w:spacing w:val="2"/>
                <w:szCs w:val="22"/>
              </w:rPr>
              <w:t xml:space="preserve"> </w:t>
            </w:r>
            <w:r w:rsidRPr="0052089D">
              <w:rPr>
                <w:szCs w:val="22"/>
              </w:rPr>
              <w:t>Recommendation</w:t>
            </w:r>
            <w:r w:rsidRPr="0052089D">
              <w:rPr>
                <w:spacing w:val="1"/>
                <w:szCs w:val="22"/>
              </w:rPr>
              <w:t xml:space="preserve"> </w:t>
            </w:r>
            <w:r w:rsidRPr="0052089D">
              <w:rPr>
                <w:szCs w:val="22"/>
              </w:rPr>
              <w:t>8)</w:t>
            </w:r>
            <w:r w:rsidRPr="0052089D">
              <w:rPr>
                <w:spacing w:val="2"/>
                <w:szCs w:val="22"/>
              </w:rPr>
              <w:t xml:space="preserve"> </w:t>
            </w:r>
            <w:r w:rsidRPr="0052089D">
              <w:rPr>
                <w:szCs w:val="22"/>
              </w:rPr>
              <w:t>and</w:t>
            </w:r>
            <w:r w:rsidRPr="0052089D">
              <w:rPr>
                <w:spacing w:val="1"/>
                <w:szCs w:val="22"/>
              </w:rPr>
              <w:t xml:space="preserve"> </w:t>
            </w:r>
            <w:r w:rsidRPr="0052089D">
              <w:rPr>
                <w:szCs w:val="22"/>
              </w:rPr>
              <w:t>the</w:t>
            </w:r>
            <w:r w:rsidRPr="0052089D">
              <w:rPr>
                <w:spacing w:val="2"/>
                <w:szCs w:val="22"/>
              </w:rPr>
              <w:t xml:space="preserve"> </w:t>
            </w:r>
            <w:r w:rsidRPr="0052089D">
              <w:rPr>
                <w:spacing w:val="-2"/>
                <w:szCs w:val="22"/>
              </w:rPr>
              <w:t>Government</w:t>
            </w:r>
            <w:r w:rsidR="0052089D" w:rsidRPr="0052089D">
              <w:rPr>
                <w:spacing w:val="-2"/>
                <w:szCs w:val="22"/>
              </w:rPr>
              <w:t xml:space="preserve"> </w:t>
            </w:r>
            <w:r w:rsidRPr="0052089D">
              <w:rPr>
                <w:szCs w:val="22"/>
              </w:rPr>
              <w:t>should</w:t>
            </w:r>
            <w:r w:rsidRPr="0052089D">
              <w:rPr>
                <w:spacing w:val="-1"/>
                <w:szCs w:val="22"/>
              </w:rPr>
              <w:t xml:space="preserve"> </w:t>
            </w:r>
            <w:r w:rsidRPr="0052089D">
              <w:rPr>
                <w:szCs w:val="22"/>
              </w:rPr>
              <w:t>agree</w:t>
            </w:r>
            <w:r w:rsidRPr="0052089D">
              <w:rPr>
                <w:spacing w:val="-1"/>
                <w:szCs w:val="22"/>
              </w:rPr>
              <w:t xml:space="preserve"> </w:t>
            </w:r>
            <w:r w:rsidRPr="0052089D">
              <w:rPr>
                <w:szCs w:val="22"/>
              </w:rPr>
              <w:t>in the</w:t>
            </w:r>
            <w:r w:rsidRPr="0052089D">
              <w:rPr>
                <w:spacing w:val="-1"/>
                <w:szCs w:val="22"/>
              </w:rPr>
              <w:t xml:space="preserve"> </w:t>
            </w:r>
            <w:r w:rsidRPr="0052089D">
              <w:rPr>
                <w:i/>
                <w:szCs w:val="22"/>
              </w:rPr>
              <w:t>Statement</w:t>
            </w:r>
            <w:r w:rsidRPr="0052089D">
              <w:rPr>
                <w:i/>
                <w:spacing w:val="-1"/>
                <w:szCs w:val="22"/>
              </w:rPr>
              <w:t xml:space="preserve"> </w:t>
            </w:r>
            <w:r w:rsidRPr="0052089D">
              <w:rPr>
                <w:i/>
                <w:szCs w:val="22"/>
              </w:rPr>
              <w:t>on the</w:t>
            </w:r>
            <w:r w:rsidRPr="0052089D">
              <w:rPr>
                <w:i/>
                <w:spacing w:val="-1"/>
                <w:szCs w:val="22"/>
              </w:rPr>
              <w:t xml:space="preserve"> </w:t>
            </w:r>
            <w:r w:rsidRPr="0052089D">
              <w:rPr>
                <w:i/>
                <w:szCs w:val="22"/>
              </w:rPr>
              <w:t>Conduct</w:t>
            </w:r>
            <w:r w:rsidRPr="0052089D">
              <w:rPr>
                <w:i/>
                <w:spacing w:val="-1"/>
                <w:szCs w:val="22"/>
              </w:rPr>
              <w:t xml:space="preserve"> </w:t>
            </w:r>
            <w:r w:rsidRPr="0052089D">
              <w:rPr>
                <w:i/>
                <w:szCs w:val="22"/>
              </w:rPr>
              <w:t>of Monetary</w:t>
            </w:r>
            <w:r w:rsidRPr="0052089D">
              <w:rPr>
                <w:i/>
                <w:spacing w:val="-1"/>
                <w:szCs w:val="22"/>
              </w:rPr>
              <w:t xml:space="preserve"> </w:t>
            </w:r>
            <w:r w:rsidRPr="0052089D">
              <w:rPr>
                <w:i/>
                <w:szCs w:val="22"/>
              </w:rPr>
              <w:t xml:space="preserve">Policy </w:t>
            </w:r>
            <w:r w:rsidRPr="0052089D">
              <w:rPr>
                <w:spacing w:val="-2"/>
                <w:szCs w:val="22"/>
              </w:rPr>
              <w:t>that:</w:t>
            </w:r>
          </w:p>
          <w:p w14:paraId="546BBA1C" w14:textId="50E11A12" w:rsidR="005D4486" w:rsidRDefault="005D4486" w:rsidP="0000278A">
            <w:pPr>
              <w:pStyle w:val="Bullet"/>
            </w:pPr>
            <w:r w:rsidRPr="0052089D">
              <w:t>Equal</w:t>
            </w:r>
            <w:r w:rsidRPr="0052089D">
              <w:rPr>
                <w:spacing w:val="2"/>
              </w:rPr>
              <w:t xml:space="preserve"> </w:t>
            </w:r>
            <w:r w:rsidRPr="0052089D">
              <w:t>consideration</w:t>
            </w:r>
            <w:r w:rsidRPr="0052089D">
              <w:rPr>
                <w:spacing w:val="2"/>
              </w:rPr>
              <w:t xml:space="preserve"> </w:t>
            </w:r>
            <w:r w:rsidRPr="0052089D">
              <w:t>should</w:t>
            </w:r>
            <w:r w:rsidRPr="0052089D">
              <w:rPr>
                <w:spacing w:val="2"/>
              </w:rPr>
              <w:t xml:space="preserve"> </w:t>
            </w:r>
            <w:r w:rsidRPr="0052089D">
              <w:t>be</w:t>
            </w:r>
            <w:r w:rsidRPr="0052089D">
              <w:rPr>
                <w:spacing w:val="2"/>
              </w:rPr>
              <w:t xml:space="preserve"> </w:t>
            </w:r>
            <w:r w:rsidRPr="0052089D">
              <w:t>given</w:t>
            </w:r>
            <w:r w:rsidRPr="0052089D">
              <w:rPr>
                <w:spacing w:val="2"/>
              </w:rPr>
              <w:t xml:space="preserve"> </w:t>
            </w:r>
            <w:r w:rsidRPr="0052089D">
              <w:t>to</w:t>
            </w:r>
            <w:r w:rsidRPr="0052089D">
              <w:rPr>
                <w:spacing w:val="3"/>
              </w:rPr>
              <w:t xml:space="preserve"> </w:t>
            </w:r>
            <w:r w:rsidRPr="0052089D">
              <w:t>price</w:t>
            </w:r>
            <w:r w:rsidRPr="0052089D">
              <w:rPr>
                <w:spacing w:val="2"/>
              </w:rPr>
              <w:t xml:space="preserve"> </w:t>
            </w:r>
            <w:r w:rsidRPr="0052089D">
              <w:t>stability</w:t>
            </w:r>
            <w:r w:rsidRPr="0052089D">
              <w:rPr>
                <w:spacing w:val="2"/>
              </w:rPr>
              <w:t xml:space="preserve"> </w:t>
            </w:r>
            <w:r w:rsidRPr="0052089D">
              <w:t>and</w:t>
            </w:r>
            <w:r w:rsidRPr="0052089D">
              <w:rPr>
                <w:spacing w:val="2"/>
              </w:rPr>
              <w:t xml:space="preserve"> </w:t>
            </w:r>
            <w:r w:rsidRPr="0052089D">
              <w:t>full</w:t>
            </w:r>
            <w:r w:rsidRPr="0052089D">
              <w:rPr>
                <w:spacing w:val="2"/>
              </w:rPr>
              <w:t xml:space="preserve"> </w:t>
            </w:r>
            <w:r w:rsidRPr="0052089D">
              <w:t>employment</w:t>
            </w:r>
            <w:r w:rsidRPr="0052089D">
              <w:rPr>
                <w:spacing w:val="3"/>
              </w:rPr>
              <w:t xml:space="preserve"> </w:t>
            </w:r>
            <w:r w:rsidRPr="0052089D">
              <w:rPr>
                <w:spacing w:val="-5"/>
              </w:rPr>
              <w:t>in</w:t>
            </w:r>
            <w:r w:rsidR="0052089D">
              <w:rPr>
                <w:spacing w:val="-5"/>
              </w:rPr>
              <w:t xml:space="preserve"> </w:t>
            </w:r>
            <w:r>
              <w:t>setting</w:t>
            </w:r>
            <w:r w:rsidRPr="0052089D">
              <w:rPr>
                <w:spacing w:val="11"/>
              </w:rPr>
              <w:t xml:space="preserve"> </w:t>
            </w:r>
            <w:r>
              <w:t>monetary</w:t>
            </w:r>
            <w:r w:rsidRPr="0052089D">
              <w:rPr>
                <w:spacing w:val="12"/>
              </w:rPr>
              <w:t xml:space="preserve"> </w:t>
            </w:r>
            <w:r w:rsidRPr="0052089D">
              <w:rPr>
                <w:spacing w:val="-2"/>
              </w:rPr>
              <w:t>policy.</w:t>
            </w:r>
          </w:p>
          <w:p w14:paraId="43CF9CBD" w14:textId="77777777" w:rsidR="005D4486" w:rsidRDefault="005D4486" w:rsidP="0000278A">
            <w:pPr>
              <w:pStyle w:val="Bullet"/>
            </w:pPr>
            <w:r>
              <w:t>There</w:t>
            </w:r>
            <w:r>
              <w:rPr>
                <w:spacing w:val="-2"/>
              </w:rPr>
              <w:t xml:space="preserve"> </w:t>
            </w:r>
            <w:r>
              <w:t>should</w:t>
            </w:r>
            <w:r>
              <w:rPr>
                <w:spacing w:val="-1"/>
              </w:rPr>
              <w:t xml:space="preserve"> </w:t>
            </w:r>
            <w:r>
              <w:t>be</w:t>
            </w:r>
            <w:r>
              <w:rPr>
                <w:spacing w:val="-1"/>
              </w:rPr>
              <w:t xml:space="preserve"> </w:t>
            </w:r>
            <w:r>
              <w:t>a</w:t>
            </w:r>
            <w:r>
              <w:rPr>
                <w:spacing w:val="-1"/>
              </w:rPr>
              <w:t xml:space="preserve"> </w:t>
            </w:r>
            <w:r>
              <w:t>flexible</w:t>
            </w:r>
            <w:r>
              <w:rPr>
                <w:spacing w:val="-1"/>
              </w:rPr>
              <w:t xml:space="preserve"> </w:t>
            </w:r>
            <w:r>
              <w:t>inflation</w:t>
            </w:r>
            <w:r>
              <w:rPr>
                <w:spacing w:val="-1"/>
              </w:rPr>
              <w:t xml:space="preserve"> </w:t>
            </w:r>
            <w:r>
              <w:t>target</w:t>
            </w:r>
            <w:r>
              <w:rPr>
                <w:spacing w:val="-1"/>
              </w:rPr>
              <w:t xml:space="preserve"> </w:t>
            </w:r>
            <w:r>
              <w:t>of</w:t>
            </w:r>
            <w:r>
              <w:rPr>
                <w:spacing w:val="-1"/>
              </w:rPr>
              <w:t xml:space="preserve"> </w:t>
            </w:r>
            <w:r>
              <w:t>2-3</w:t>
            </w:r>
            <w:r>
              <w:rPr>
                <w:spacing w:val="-1"/>
              </w:rPr>
              <w:t xml:space="preserve"> </w:t>
            </w:r>
            <w:r>
              <w:t>per</w:t>
            </w:r>
            <w:r>
              <w:rPr>
                <w:spacing w:val="-1"/>
              </w:rPr>
              <w:t xml:space="preserve"> </w:t>
            </w:r>
            <w:r>
              <w:rPr>
                <w:spacing w:val="-4"/>
              </w:rPr>
              <w:t>cent.</w:t>
            </w:r>
          </w:p>
          <w:p w14:paraId="0EBCCCF7" w14:textId="77777777" w:rsidR="005D4486" w:rsidRDefault="005D4486" w:rsidP="0000278A">
            <w:pPr>
              <w:pStyle w:val="Bullet"/>
            </w:pPr>
            <w:r>
              <w:t>The</w:t>
            </w:r>
            <w:r>
              <w:rPr>
                <w:spacing w:val="15"/>
              </w:rPr>
              <w:t xml:space="preserve"> </w:t>
            </w:r>
            <w:r>
              <w:t>Monetary</w:t>
            </w:r>
            <w:r>
              <w:rPr>
                <w:spacing w:val="15"/>
              </w:rPr>
              <w:t xml:space="preserve"> </w:t>
            </w:r>
            <w:r>
              <w:t>Policy</w:t>
            </w:r>
            <w:r>
              <w:rPr>
                <w:spacing w:val="15"/>
              </w:rPr>
              <w:t xml:space="preserve"> </w:t>
            </w:r>
            <w:r>
              <w:t>Board</w:t>
            </w:r>
            <w:r>
              <w:rPr>
                <w:spacing w:val="15"/>
              </w:rPr>
              <w:t xml:space="preserve"> </w:t>
            </w:r>
            <w:r>
              <w:t>should</w:t>
            </w:r>
            <w:r>
              <w:rPr>
                <w:spacing w:val="15"/>
              </w:rPr>
              <w:t xml:space="preserve"> </w:t>
            </w:r>
            <w:r>
              <w:t>aim</w:t>
            </w:r>
            <w:r>
              <w:rPr>
                <w:spacing w:val="15"/>
              </w:rPr>
              <w:t xml:space="preserve"> </w:t>
            </w:r>
            <w:r>
              <w:t>for</w:t>
            </w:r>
            <w:r>
              <w:rPr>
                <w:spacing w:val="15"/>
              </w:rPr>
              <w:t xml:space="preserve"> </w:t>
            </w:r>
            <w:r>
              <w:t>the</w:t>
            </w:r>
            <w:r>
              <w:rPr>
                <w:spacing w:val="15"/>
              </w:rPr>
              <w:t xml:space="preserve"> </w:t>
            </w:r>
            <w:r>
              <w:t>midpoint</w:t>
            </w:r>
            <w:r>
              <w:rPr>
                <w:spacing w:val="15"/>
              </w:rPr>
              <w:t xml:space="preserve"> </w:t>
            </w:r>
            <w:r>
              <w:t>of</w:t>
            </w:r>
            <w:r>
              <w:rPr>
                <w:spacing w:val="15"/>
              </w:rPr>
              <w:t xml:space="preserve"> </w:t>
            </w:r>
            <w:r>
              <w:t>the</w:t>
            </w:r>
            <w:r>
              <w:rPr>
                <w:spacing w:val="15"/>
              </w:rPr>
              <w:t xml:space="preserve"> </w:t>
            </w:r>
            <w:r>
              <w:t>inflation</w:t>
            </w:r>
            <w:r>
              <w:rPr>
                <w:spacing w:val="15"/>
              </w:rPr>
              <w:t xml:space="preserve"> </w:t>
            </w:r>
            <w:r>
              <w:t>target in</w:t>
            </w:r>
            <w:r>
              <w:rPr>
                <w:spacing w:val="-1"/>
              </w:rPr>
              <w:t xml:space="preserve"> </w:t>
            </w:r>
            <w:r>
              <w:t>order</w:t>
            </w:r>
            <w:r>
              <w:rPr>
                <w:spacing w:val="-1"/>
              </w:rPr>
              <w:t xml:space="preserve"> </w:t>
            </w:r>
            <w:r>
              <w:t>to</w:t>
            </w:r>
            <w:r>
              <w:rPr>
                <w:spacing w:val="-1"/>
              </w:rPr>
              <w:t xml:space="preserve"> </w:t>
            </w:r>
            <w:r>
              <w:t>maximise</w:t>
            </w:r>
            <w:r>
              <w:rPr>
                <w:spacing w:val="-1"/>
              </w:rPr>
              <w:t xml:space="preserve"> </w:t>
            </w:r>
            <w:r>
              <w:t>the</w:t>
            </w:r>
            <w:r>
              <w:rPr>
                <w:spacing w:val="-1"/>
              </w:rPr>
              <w:t xml:space="preserve"> </w:t>
            </w:r>
            <w:r>
              <w:t>chance</w:t>
            </w:r>
            <w:r>
              <w:rPr>
                <w:spacing w:val="-1"/>
              </w:rPr>
              <w:t xml:space="preserve"> </w:t>
            </w:r>
            <w:r>
              <w:t>that</w:t>
            </w:r>
            <w:r>
              <w:rPr>
                <w:spacing w:val="-1"/>
              </w:rPr>
              <w:t xml:space="preserve"> </w:t>
            </w:r>
            <w:r>
              <w:t>the</w:t>
            </w:r>
            <w:r>
              <w:rPr>
                <w:spacing w:val="-1"/>
              </w:rPr>
              <w:t xml:space="preserve"> </w:t>
            </w:r>
            <w:r>
              <w:t>target</w:t>
            </w:r>
            <w:r>
              <w:rPr>
                <w:spacing w:val="-1"/>
              </w:rPr>
              <w:t xml:space="preserve"> </w:t>
            </w:r>
            <w:r>
              <w:t>is</w:t>
            </w:r>
            <w:r>
              <w:rPr>
                <w:spacing w:val="-1"/>
              </w:rPr>
              <w:t xml:space="preserve"> </w:t>
            </w:r>
            <w:r>
              <w:t>met</w:t>
            </w:r>
            <w:r>
              <w:rPr>
                <w:spacing w:val="-1"/>
              </w:rPr>
              <w:t xml:space="preserve"> </w:t>
            </w:r>
            <w:r>
              <w:t>and</w:t>
            </w:r>
            <w:r>
              <w:rPr>
                <w:spacing w:val="-1"/>
              </w:rPr>
              <w:t xml:space="preserve"> </w:t>
            </w:r>
            <w:r>
              <w:t>best</w:t>
            </w:r>
            <w:r>
              <w:rPr>
                <w:spacing w:val="-1"/>
              </w:rPr>
              <w:t xml:space="preserve"> </w:t>
            </w:r>
            <w:r>
              <w:t>anchor</w:t>
            </w:r>
            <w:r>
              <w:rPr>
                <w:spacing w:val="-1"/>
              </w:rPr>
              <w:t xml:space="preserve"> </w:t>
            </w:r>
            <w:r>
              <w:t xml:space="preserve">inflation </w:t>
            </w:r>
            <w:r>
              <w:rPr>
                <w:spacing w:val="-2"/>
              </w:rPr>
              <w:t>expectations.</w:t>
            </w:r>
          </w:p>
          <w:p w14:paraId="05155637" w14:textId="767AC033" w:rsidR="005D4486" w:rsidRPr="0052089D" w:rsidRDefault="005D4486" w:rsidP="0000278A">
            <w:pPr>
              <w:pStyle w:val="Bullet"/>
            </w:pPr>
            <w:r w:rsidRPr="0052089D">
              <w:t>The</w:t>
            </w:r>
            <w:r w:rsidRPr="0052089D">
              <w:rPr>
                <w:spacing w:val="-1"/>
              </w:rPr>
              <w:t xml:space="preserve"> </w:t>
            </w:r>
            <w:r w:rsidRPr="0052089D">
              <w:t>Monetary</w:t>
            </w:r>
            <w:r w:rsidRPr="0052089D">
              <w:rPr>
                <w:spacing w:val="1"/>
              </w:rPr>
              <w:t xml:space="preserve"> </w:t>
            </w:r>
            <w:r w:rsidRPr="0052089D">
              <w:t>Policy</w:t>
            </w:r>
            <w:r w:rsidRPr="0052089D">
              <w:rPr>
                <w:spacing w:val="2"/>
              </w:rPr>
              <w:t xml:space="preserve"> </w:t>
            </w:r>
            <w:r w:rsidRPr="0052089D">
              <w:t>Board</w:t>
            </w:r>
            <w:r w:rsidRPr="0052089D">
              <w:rPr>
                <w:spacing w:val="1"/>
              </w:rPr>
              <w:t xml:space="preserve"> </w:t>
            </w:r>
            <w:r w:rsidRPr="0052089D">
              <w:t>should</w:t>
            </w:r>
            <w:r w:rsidRPr="0052089D">
              <w:rPr>
                <w:spacing w:val="1"/>
              </w:rPr>
              <w:t xml:space="preserve"> </w:t>
            </w:r>
            <w:r w:rsidRPr="0052089D">
              <w:t>set</w:t>
            </w:r>
            <w:r w:rsidRPr="0052089D">
              <w:rPr>
                <w:spacing w:val="2"/>
              </w:rPr>
              <w:t xml:space="preserve"> </w:t>
            </w:r>
            <w:r w:rsidRPr="0052089D">
              <w:t>out</w:t>
            </w:r>
            <w:r w:rsidRPr="0052089D">
              <w:rPr>
                <w:spacing w:val="1"/>
              </w:rPr>
              <w:t xml:space="preserve"> </w:t>
            </w:r>
            <w:r w:rsidRPr="0052089D">
              <w:t>its</w:t>
            </w:r>
            <w:r w:rsidRPr="0052089D">
              <w:rPr>
                <w:spacing w:val="1"/>
              </w:rPr>
              <w:t xml:space="preserve"> </w:t>
            </w:r>
            <w:r w:rsidRPr="0052089D">
              <w:t>assessment</w:t>
            </w:r>
            <w:r w:rsidRPr="0052089D">
              <w:rPr>
                <w:spacing w:val="2"/>
              </w:rPr>
              <w:t xml:space="preserve"> </w:t>
            </w:r>
            <w:r w:rsidRPr="0052089D">
              <w:t>of</w:t>
            </w:r>
            <w:r w:rsidRPr="0052089D">
              <w:rPr>
                <w:spacing w:val="1"/>
              </w:rPr>
              <w:t xml:space="preserve"> </w:t>
            </w:r>
            <w:r w:rsidRPr="0052089D">
              <w:t>its</w:t>
            </w:r>
            <w:r w:rsidRPr="0052089D">
              <w:rPr>
                <w:spacing w:val="1"/>
              </w:rPr>
              <w:t xml:space="preserve"> </w:t>
            </w:r>
            <w:r w:rsidRPr="0052089D">
              <w:t>full</w:t>
            </w:r>
            <w:r w:rsidRPr="0052089D">
              <w:rPr>
                <w:spacing w:val="2"/>
              </w:rPr>
              <w:t xml:space="preserve"> </w:t>
            </w:r>
            <w:r w:rsidRPr="0052089D">
              <w:rPr>
                <w:spacing w:val="-2"/>
              </w:rPr>
              <w:t>employment</w:t>
            </w:r>
            <w:r w:rsidR="0052089D">
              <w:rPr>
                <w:spacing w:val="-2"/>
              </w:rPr>
              <w:t xml:space="preserve"> </w:t>
            </w:r>
            <w:r w:rsidRPr="0052089D">
              <w:t>objective,</w:t>
            </w:r>
            <w:r w:rsidRPr="0052089D">
              <w:rPr>
                <w:spacing w:val="-4"/>
              </w:rPr>
              <w:t xml:space="preserve"> </w:t>
            </w:r>
            <w:r w:rsidRPr="0052089D">
              <w:t>as</w:t>
            </w:r>
            <w:r w:rsidRPr="0052089D">
              <w:rPr>
                <w:spacing w:val="-1"/>
              </w:rPr>
              <w:t xml:space="preserve"> </w:t>
            </w:r>
            <w:r w:rsidRPr="0052089D">
              <w:t>reflected</w:t>
            </w:r>
            <w:r w:rsidRPr="0052089D">
              <w:rPr>
                <w:spacing w:val="-1"/>
              </w:rPr>
              <w:t xml:space="preserve"> </w:t>
            </w:r>
            <w:r w:rsidRPr="0052089D">
              <w:t>in</w:t>
            </w:r>
            <w:r w:rsidRPr="0052089D">
              <w:rPr>
                <w:spacing w:val="-1"/>
              </w:rPr>
              <w:t xml:space="preserve"> </w:t>
            </w:r>
            <w:r w:rsidRPr="0052089D">
              <w:t>a</w:t>
            </w:r>
            <w:r w:rsidRPr="0052089D">
              <w:rPr>
                <w:spacing w:val="-1"/>
              </w:rPr>
              <w:t xml:space="preserve"> </w:t>
            </w:r>
            <w:r w:rsidRPr="0052089D">
              <w:t>range</w:t>
            </w:r>
            <w:r w:rsidRPr="0052089D">
              <w:rPr>
                <w:spacing w:val="-1"/>
              </w:rPr>
              <w:t xml:space="preserve"> </w:t>
            </w:r>
            <w:r w:rsidRPr="0052089D">
              <w:t>of</w:t>
            </w:r>
            <w:r w:rsidRPr="0052089D">
              <w:rPr>
                <w:spacing w:val="-2"/>
              </w:rPr>
              <w:t xml:space="preserve"> </w:t>
            </w:r>
            <w:r w:rsidRPr="0052089D">
              <w:t>relevant</w:t>
            </w:r>
            <w:r w:rsidRPr="0052089D">
              <w:rPr>
                <w:spacing w:val="-1"/>
              </w:rPr>
              <w:t xml:space="preserve"> </w:t>
            </w:r>
            <w:r w:rsidRPr="0052089D">
              <w:t>indicators</w:t>
            </w:r>
            <w:r w:rsidRPr="0052089D">
              <w:rPr>
                <w:spacing w:val="-1"/>
              </w:rPr>
              <w:t xml:space="preserve"> </w:t>
            </w:r>
            <w:r w:rsidRPr="0052089D">
              <w:t>of</w:t>
            </w:r>
            <w:r w:rsidRPr="0052089D">
              <w:rPr>
                <w:spacing w:val="-1"/>
              </w:rPr>
              <w:t xml:space="preserve"> </w:t>
            </w:r>
            <w:r w:rsidRPr="0052089D">
              <w:t>labour</w:t>
            </w:r>
            <w:r w:rsidRPr="0052089D">
              <w:rPr>
                <w:spacing w:val="-1"/>
              </w:rPr>
              <w:t xml:space="preserve"> </w:t>
            </w:r>
            <w:r w:rsidRPr="0052089D">
              <w:t>market</w:t>
            </w:r>
            <w:r w:rsidRPr="0052089D">
              <w:rPr>
                <w:spacing w:val="-1"/>
              </w:rPr>
              <w:t xml:space="preserve"> </w:t>
            </w:r>
            <w:r w:rsidRPr="0052089D">
              <w:rPr>
                <w:spacing w:val="-2"/>
              </w:rPr>
              <w:t>conditions.</w:t>
            </w:r>
          </w:p>
          <w:p w14:paraId="1E9936F4" w14:textId="77777777" w:rsidR="005D4486" w:rsidRDefault="005D4486" w:rsidP="0000278A">
            <w:pPr>
              <w:pStyle w:val="Bullet"/>
            </w:pPr>
            <w:r>
              <w:t>The Monetary Policy Board has the flexibility to vary the timeframes over which it aims to bring inflation back to around the midpoint of the target, taking into account the full employment objective, when significant deviations occur.</w:t>
            </w:r>
          </w:p>
        </w:tc>
      </w:tr>
    </w:tbl>
    <w:p w14:paraId="6DBC8EAF" w14:textId="77777777" w:rsidR="003B7540" w:rsidRPr="001D75F6" w:rsidRDefault="003B7540" w:rsidP="001D75F6">
      <w:pPr>
        <w:pStyle w:val="NoSpacing"/>
      </w:pPr>
    </w:p>
    <w:tbl>
      <w:tblPr>
        <w:tblW w:w="5000" w:type="pct"/>
        <w:tblCellMar>
          <w:left w:w="0" w:type="dxa"/>
          <w:right w:w="0" w:type="dxa"/>
        </w:tblCellMar>
        <w:tblLook w:val="01E0" w:firstRow="1" w:lastRow="1" w:firstColumn="1" w:lastColumn="1" w:noHBand="0" w:noVBand="0"/>
      </w:tblPr>
      <w:tblGrid>
        <w:gridCol w:w="183"/>
        <w:gridCol w:w="568"/>
        <w:gridCol w:w="105"/>
        <w:gridCol w:w="8199"/>
        <w:gridCol w:w="15"/>
      </w:tblGrid>
      <w:tr w:rsidR="00555C73" w14:paraId="39B18124" w14:textId="77777777" w:rsidTr="00523E3C">
        <w:trPr>
          <w:gridBefore w:val="1"/>
          <w:wBefore w:w="101" w:type="pct"/>
          <w:trHeight w:val="1141"/>
        </w:trPr>
        <w:tc>
          <w:tcPr>
            <w:tcW w:w="371" w:type="pct"/>
            <w:gridSpan w:val="2"/>
            <w:tcBorders>
              <w:top w:val="single" w:sz="4" w:space="0" w:color="EEEEEE" w:themeColor="background2"/>
            </w:tcBorders>
          </w:tcPr>
          <w:p w14:paraId="190001CD" w14:textId="77777777" w:rsidR="00555C73" w:rsidRDefault="00555C73" w:rsidP="00555C73">
            <w:r>
              <w:t>2.2</w:t>
            </w:r>
          </w:p>
        </w:tc>
        <w:tc>
          <w:tcPr>
            <w:tcW w:w="4529" w:type="pct"/>
            <w:gridSpan w:val="2"/>
            <w:tcBorders>
              <w:top w:val="single" w:sz="4" w:space="0" w:color="EEEEEE" w:themeColor="background2"/>
            </w:tcBorders>
          </w:tcPr>
          <w:p w14:paraId="3051C354" w14:textId="77777777" w:rsidR="00555C73" w:rsidRDefault="00555C73" w:rsidP="00555C73">
            <w:r>
              <w:t xml:space="preserve">The </w:t>
            </w:r>
            <w:r>
              <w:rPr>
                <w:i/>
              </w:rPr>
              <w:t>Statement on the Conduct of Monetary Policy</w:t>
            </w:r>
            <w:r>
              <w:rPr>
                <w:i/>
                <w:spacing w:val="-1"/>
              </w:rPr>
              <w:t xml:space="preserve"> </w:t>
            </w:r>
            <w:r>
              <w:t>should outline how the RBA Monetary Policy Board will communicate its use of the framework’s flexibility including expectations that the RBA will, in its regular communications:</w:t>
            </w:r>
          </w:p>
          <w:p w14:paraId="4BBF4DA6" w14:textId="77777777" w:rsidR="00555C73" w:rsidRDefault="00555C73" w:rsidP="0000278A">
            <w:pPr>
              <w:pStyle w:val="Bullet"/>
            </w:pPr>
            <w:r>
              <w:t>explain</w:t>
            </w:r>
            <w:r>
              <w:rPr>
                <w:spacing w:val="-1"/>
              </w:rPr>
              <w:t xml:space="preserve"> </w:t>
            </w:r>
            <w:r>
              <w:t>how</w:t>
            </w:r>
            <w:r>
              <w:rPr>
                <w:spacing w:val="-1"/>
              </w:rPr>
              <w:t xml:space="preserve"> </w:t>
            </w:r>
            <w:r>
              <w:t>long</w:t>
            </w:r>
            <w:r>
              <w:rPr>
                <w:spacing w:val="-1"/>
              </w:rPr>
              <w:t xml:space="preserve"> </w:t>
            </w:r>
            <w:r>
              <w:t>inflation</w:t>
            </w:r>
            <w:r>
              <w:rPr>
                <w:spacing w:val="-1"/>
              </w:rPr>
              <w:t xml:space="preserve"> </w:t>
            </w:r>
            <w:r>
              <w:t>is</w:t>
            </w:r>
            <w:r>
              <w:rPr>
                <w:spacing w:val="-1"/>
              </w:rPr>
              <w:t xml:space="preserve"> </w:t>
            </w:r>
            <w:r>
              <w:t>expected</w:t>
            </w:r>
            <w:r>
              <w:rPr>
                <w:spacing w:val="-1"/>
              </w:rPr>
              <w:t xml:space="preserve"> </w:t>
            </w:r>
            <w:r>
              <w:t>to</w:t>
            </w:r>
            <w:r>
              <w:rPr>
                <w:spacing w:val="-1"/>
              </w:rPr>
              <w:t xml:space="preserve"> </w:t>
            </w:r>
            <w:r>
              <w:t>be</w:t>
            </w:r>
            <w:r>
              <w:rPr>
                <w:spacing w:val="-1"/>
              </w:rPr>
              <w:t xml:space="preserve"> </w:t>
            </w:r>
            <w:r>
              <w:t>materially</w:t>
            </w:r>
            <w:r>
              <w:rPr>
                <w:spacing w:val="-1"/>
              </w:rPr>
              <w:t xml:space="preserve"> </w:t>
            </w:r>
            <w:r>
              <w:t>away</w:t>
            </w:r>
            <w:r>
              <w:rPr>
                <w:spacing w:val="-1"/>
              </w:rPr>
              <w:t xml:space="preserve"> </w:t>
            </w:r>
            <w:r>
              <w:t>from</w:t>
            </w:r>
            <w:r>
              <w:rPr>
                <w:spacing w:val="-1"/>
              </w:rPr>
              <w:t xml:space="preserve"> </w:t>
            </w:r>
            <w:r>
              <w:t>the</w:t>
            </w:r>
            <w:r>
              <w:rPr>
                <w:spacing w:val="-1"/>
              </w:rPr>
              <w:t xml:space="preserve"> </w:t>
            </w:r>
            <w:r>
              <w:t>midpoint</w:t>
            </w:r>
            <w:r>
              <w:rPr>
                <w:spacing w:val="-1"/>
              </w:rPr>
              <w:t xml:space="preserve"> </w:t>
            </w:r>
            <w:r>
              <w:t>of the target and why, how long labour market conditions are expected to deviate from full employment and why, and how it is balancing its two objectives</w:t>
            </w:r>
          </w:p>
          <w:p w14:paraId="0512B4DF" w14:textId="77777777" w:rsidR="00555C73" w:rsidRDefault="00555C73" w:rsidP="0000278A">
            <w:pPr>
              <w:pStyle w:val="Bullet"/>
            </w:pPr>
            <w:r>
              <w:t>explain the key factors affecting its decision making, such as financial stability risks which should be a consideration in monetary policy decisions to the extent that they may influence the price stability and full employment objectives.</w:t>
            </w:r>
          </w:p>
        </w:tc>
      </w:tr>
      <w:tr w:rsidR="00555C73" w14:paraId="7490FD1B" w14:textId="77777777" w:rsidTr="00D238EE">
        <w:trPr>
          <w:gridBefore w:val="1"/>
          <w:wBefore w:w="101" w:type="pct"/>
          <w:trHeight w:val="925"/>
        </w:trPr>
        <w:tc>
          <w:tcPr>
            <w:tcW w:w="4899" w:type="pct"/>
            <w:gridSpan w:val="4"/>
            <w:tcBorders>
              <w:bottom w:val="single" w:sz="8" w:space="0" w:color="ECEDE9"/>
            </w:tcBorders>
          </w:tcPr>
          <w:p w14:paraId="523FCC64" w14:textId="0F08228B" w:rsidR="00555C73" w:rsidRDefault="00555C73" w:rsidP="00555C73">
            <w:pPr>
              <w:pStyle w:val="Heading4"/>
            </w:pPr>
            <w:r>
              <w:lastRenderedPageBreak/>
              <w:t>Recommendation 3:</w:t>
            </w:r>
            <w:r>
              <w:rPr>
                <w:spacing w:val="1"/>
              </w:rPr>
              <w:t xml:space="preserve"> </w:t>
            </w:r>
            <w:r>
              <w:t>Promote a</w:t>
            </w:r>
            <w:r>
              <w:rPr>
                <w:spacing w:val="1"/>
              </w:rPr>
              <w:t xml:space="preserve"> </w:t>
            </w:r>
            <w:r>
              <w:t>better understanding</w:t>
            </w:r>
            <w:r>
              <w:rPr>
                <w:spacing w:val="1"/>
              </w:rPr>
              <w:t xml:space="preserve"> </w:t>
            </w:r>
            <w:r>
              <w:t>of the</w:t>
            </w:r>
            <w:r>
              <w:rPr>
                <w:spacing w:val="1"/>
              </w:rPr>
              <w:t xml:space="preserve"> </w:t>
            </w:r>
            <w:r>
              <w:t>relative roles</w:t>
            </w:r>
            <w:r>
              <w:rPr>
                <w:spacing w:val="1"/>
              </w:rPr>
              <w:t xml:space="preserve"> </w:t>
            </w:r>
            <w:r>
              <w:t>of</w:t>
            </w:r>
            <w:r>
              <w:rPr>
                <w:spacing w:val="1"/>
              </w:rPr>
              <w:t xml:space="preserve"> </w:t>
            </w:r>
            <w:r>
              <w:rPr>
                <w:spacing w:val="-2"/>
              </w:rPr>
              <w:t xml:space="preserve">fiscal </w:t>
            </w:r>
            <w:r>
              <w:t>and</w:t>
            </w:r>
            <w:r>
              <w:rPr>
                <w:spacing w:val="3"/>
              </w:rPr>
              <w:t xml:space="preserve"> </w:t>
            </w:r>
            <w:r>
              <w:t>monetary</w:t>
            </w:r>
            <w:r>
              <w:rPr>
                <w:spacing w:val="4"/>
              </w:rPr>
              <w:t xml:space="preserve"> </w:t>
            </w:r>
            <w:r>
              <w:rPr>
                <w:spacing w:val="-2"/>
              </w:rPr>
              <w:t>policy</w:t>
            </w:r>
          </w:p>
        </w:tc>
      </w:tr>
      <w:tr w:rsidR="00555C73" w14:paraId="72A0C613" w14:textId="77777777" w:rsidTr="003E3A78">
        <w:trPr>
          <w:gridBefore w:val="1"/>
          <w:wBefore w:w="101" w:type="pct"/>
          <w:trHeight w:val="4014"/>
        </w:trPr>
        <w:tc>
          <w:tcPr>
            <w:tcW w:w="371" w:type="pct"/>
            <w:gridSpan w:val="2"/>
            <w:tcBorders>
              <w:top w:val="single" w:sz="8" w:space="0" w:color="ECEDE9"/>
              <w:bottom w:val="single" w:sz="8" w:space="0" w:color="ECEDE9"/>
            </w:tcBorders>
          </w:tcPr>
          <w:p w14:paraId="794ADA68" w14:textId="77777777" w:rsidR="00555C73" w:rsidRDefault="00555C73" w:rsidP="009774A4">
            <w:r>
              <w:t>3.1</w:t>
            </w:r>
          </w:p>
        </w:tc>
        <w:tc>
          <w:tcPr>
            <w:tcW w:w="4529" w:type="pct"/>
            <w:gridSpan w:val="2"/>
            <w:tcBorders>
              <w:top w:val="single" w:sz="8" w:space="0" w:color="ECEDE9"/>
              <w:bottom w:val="single" w:sz="8" w:space="0" w:color="ECEDE9"/>
            </w:tcBorders>
          </w:tcPr>
          <w:p w14:paraId="47A9D3AC" w14:textId="77777777" w:rsidR="00555C73" w:rsidRDefault="00555C73" w:rsidP="009774A4">
            <w:r>
              <w:t xml:space="preserve">The </w:t>
            </w:r>
            <w:r>
              <w:rPr>
                <w:i/>
              </w:rPr>
              <w:t xml:space="preserve">Statement on the Conduct of Monetary Policy </w:t>
            </w:r>
            <w:r>
              <w:t>should acknowledge the importance of both monetary policy and fiscal policy for macroeconomic outcomes. The Government (in particular Treasury) and the RBA should commit to:</w:t>
            </w:r>
          </w:p>
          <w:p w14:paraId="592A4C1E" w14:textId="77777777" w:rsidR="00555C73" w:rsidRDefault="00555C73" w:rsidP="0000278A">
            <w:pPr>
              <w:pStyle w:val="Bullet"/>
            </w:pPr>
            <w:r>
              <w:t>continue to regularly share information about the economic outlook, risks and policy constraints</w:t>
            </w:r>
          </w:p>
          <w:p w14:paraId="46B7048C" w14:textId="77777777" w:rsidR="00555C73" w:rsidRDefault="00555C73" w:rsidP="0000278A">
            <w:pPr>
              <w:pStyle w:val="Bullet"/>
            </w:pPr>
            <w:r>
              <w:t>work together to analyse the impacts of monetary policy decisions on fiscal policy, and the impacts of fiscal policy decisions on monetary policy</w:t>
            </w:r>
          </w:p>
          <w:p w14:paraId="76364D0B" w14:textId="77777777" w:rsidR="00555C73" w:rsidRDefault="00555C73" w:rsidP="0000278A">
            <w:pPr>
              <w:pStyle w:val="Bullet"/>
            </w:pPr>
            <w:r>
              <w:t>jointly develop scenario analysis that identifies the best combination of policy responses to economic challenges, in ways that do not compromise monetary policy independence</w:t>
            </w:r>
          </w:p>
          <w:p w14:paraId="1C368533" w14:textId="77777777" w:rsidR="00555C73" w:rsidRDefault="00555C73" w:rsidP="0000278A">
            <w:pPr>
              <w:pStyle w:val="Bullet"/>
            </w:pPr>
            <w:r>
              <w:t>identify how the RBA’s monetary policy framework and the Government’s fiscal approach can together best support good economic outcomes and acknowledge that fiscal policy may have a larger role in some circumstances, for example when the cash rate is at its effective lower bound.</w:t>
            </w:r>
          </w:p>
        </w:tc>
      </w:tr>
      <w:tr w:rsidR="009774A4" w14:paraId="4512451C" w14:textId="77777777" w:rsidTr="00523E3C">
        <w:trPr>
          <w:gridBefore w:val="1"/>
          <w:wBefore w:w="101" w:type="pct"/>
          <w:trHeight w:val="1191"/>
        </w:trPr>
        <w:tc>
          <w:tcPr>
            <w:tcW w:w="371" w:type="pct"/>
            <w:gridSpan w:val="2"/>
            <w:tcBorders>
              <w:top w:val="single" w:sz="8" w:space="0" w:color="ECEDE9"/>
              <w:bottom w:val="single" w:sz="8" w:space="0" w:color="ECEDE9"/>
            </w:tcBorders>
          </w:tcPr>
          <w:p w14:paraId="618CB355" w14:textId="77777777" w:rsidR="009774A4" w:rsidRPr="009774A4" w:rsidRDefault="009774A4" w:rsidP="009774A4">
            <w:r>
              <w:t>3.2</w:t>
            </w:r>
          </w:p>
        </w:tc>
        <w:tc>
          <w:tcPr>
            <w:tcW w:w="4529" w:type="pct"/>
            <w:gridSpan w:val="2"/>
            <w:tcBorders>
              <w:top w:val="single" w:sz="8" w:space="0" w:color="ECEDE9"/>
              <w:bottom w:val="single" w:sz="8" w:space="0" w:color="ECEDE9"/>
            </w:tcBorders>
          </w:tcPr>
          <w:p w14:paraId="6DC8A296" w14:textId="5C54714A" w:rsidR="005D2150" w:rsidRDefault="009774A4" w:rsidP="005D2150">
            <w:r>
              <w:t>The RBA and Treasury should develop an Australian Macroeconomic Policy Research Program</w:t>
            </w:r>
            <w:r w:rsidRPr="009774A4">
              <w:t xml:space="preserve"> </w:t>
            </w:r>
            <w:r>
              <w:t>to</w:t>
            </w:r>
            <w:r w:rsidRPr="009774A4">
              <w:t xml:space="preserve"> </w:t>
            </w:r>
            <w:r>
              <w:t>promote</w:t>
            </w:r>
            <w:r w:rsidRPr="009774A4">
              <w:t xml:space="preserve"> </w:t>
            </w:r>
            <w:r>
              <w:t>applied</w:t>
            </w:r>
            <w:r w:rsidRPr="009774A4">
              <w:t xml:space="preserve"> </w:t>
            </w:r>
            <w:r>
              <w:t>research</w:t>
            </w:r>
            <w:r w:rsidRPr="009774A4">
              <w:t xml:space="preserve"> </w:t>
            </w:r>
            <w:r>
              <w:t>and</w:t>
            </w:r>
            <w:r w:rsidRPr="009774A4">
              <w:t xml:space="preserve"> </w:t>
            </w:r>
            <w:r>
              <w:t>analytics</w:t>
            </w:r>
            <w:r w:rsidRPr="009774A4">
              <w:t xml:space="preserve"> </w:t>
            </w:r>
            <w:r>
              <w:t>on</w:t>
            </w:r>
            <w:r w:rsidRPr="009774A4">
              <w:t xml:space="preserve"> </w:t>
            </w:r>
            <w:r>
              <w:t>Australian</w:t>
            </w:r>
            <w:r w:rsidRPr="009774A4">
              <w:t xml:space="preserve"> </w:t>
            </w:r>
            <w:r>
              <w:t>monetary,</w:t>
            </w:r>
            <w:r w:rsidRPr="009774A4">
              <w:t xml:space="preserve"> </w:t>
            </w:r>
            <w:r>
              <w:t>fiscal</w:t>
            </w:r>
            <w:r w:rsidRPr="009774A4">
              <w:t xml:space="preserve"> </w:t>
            </w:r>
            <w:r>
              <w:t>and financial policy, working with universities and think tanks that have such programs.</w:t>
            </w:r>
          </w:p>
        </w:tc>
      </w:tr>
      <w:tr w:rsidR="009774A4" w14:paraId="0B4B0260" w14:textId="77777777" w:rsidTr="00523E3C">
        <w:trPr>
          <w:gridBefore w:val="1"/>
          <w:wBefore w:w="101" w:type="pct"/>
          <w:trHeight w:val="4014"/>
        </w:trPr>
        <w:tc>
          <w:tcPr>
            <w:tcW w:w="371" w:type="pct"/>
            <w:gridSpan w:val="2"/>
            <w:tcBorders>
              <w:top w:val="single" w:sz="8" w:space="0" w:color="ECEDE9"/>
            </w:tcBorders>
          </w:tcPr>
          <w:p w14:paraId="68F21D4F" w14:textId="77777777" w:rsidR="009774A4" w:rsidRPr="009774A4" w:rsidRDefault="009774A4" w:rsidP="005D2150">
            <w:r>
              <w:t>3.3</w:t>
            </w:r>
          </w:p>
        </w:tc>
        <w:tc>
          <w:tcPr>
            <w:tcW w:w="4529" w:type="pct"/>
            <w:gridSpan w:val="2"/>
            <w:tcBorders>
              <w:top w:val="single" w:sz="8" w:space="0" w:color="ECEDE9"/>
            </w:tcBorders>
          </w:tcPr>
          <w:p w14:paraId="2B5B4D3F" w14:textId="77777777" w:rsidR="009774A4" w:rsidRDefault="009774A4" w:rsidP="005D2150">
            <w:r>
              <w:t>The RBA should publish a framework for the use of additional monetary policy tools</w:t>
            </w:r>
            <w:r w:rsidRPr="009774A4">
              <w:t xml:space="preserve"> </w:t>
            </w:r>
            <w:r>
              <w:t xml:space="preserve">in the future. The </w:t>
            </w:r>
            <w:r w:rsidRPr="009774A4">
              <w:t xml:space="preserve">Statement on the Conduct of Monetary Policy </w:t>
            </w:r>
            <w:r>
              <w:t>should set out what the framework</w:t>
            </w:r>
            <w:r w:rsidRPr="009774A4">
              <w:t xml:space="preserve"> </w:t>
            </w:r>
            <w:r>
              <w:t>will</w:t>
            </w:r>
            <w:r w:rsidRPr="009774A4">
              <w:t xml:space="preserve"> </w:t>
            </w:r>
            <w:r>
              <w:t>cover,</w:t>
            </w:r>
            <w:r w:rsidRPr="009774A4">
              <w:t xml:space="preserve"> </w:t>
            </w:r>
            <w:r>
              <w:t>including</w:t>
            </w:r>
            <w:r w:rsidRPr="009774A4">
              <w:t xml:space="preserve"> </w:t>
            </w:r>
            <w:r>
              <w:t>the</w:t>
            </w:r>
            <w:r w:rsidRPr="009774A4">
              <w:t xml:space="preserve"> </w:t>
            </w:r>
            <w:r>
              <w:t>expectations</w:t>
            </w:r>
            <w:r w:rsidRPr="009774A4">
              <w:t xml:space="preserve"> </w:t>
            </w:r>
            <w:r>
              <w:t>of</w:t>
            </w:r>
            <w:r w:rsidRPr="009774A4">
              <w:t xml:space="preserve"> </w:t>
            </w:r>
            <w:r>
              <w:t>the</w:t>
            </w:r>
            <w:r w:rsidRPr="009774A4">
              <w:t xml:space="preserve"> </w:t>
            </w:r>
            <w:r>
              <w:t>Government</w:t>
            </w:r>
            <w:r w:rsidRPr="009774A4">
              <w:t xml:space="preserve"> </w:t>
            </w:r>
            <w:r>
              <w:t>and</w:t>
            </w:r>
            <w:r w:rsidRPr="009774A4">
              <w:t xml:space="preserve"> </w:t>
            </w:r>
            <w:r>
              <w:t>RBA</w:t>
            </w:r>
            <w:r w:rsidRPr="009774A4">
              <w:t xml:space="preserve"> </w:t>
            </w:r>
            <w:r>
              <w:t>Monetary Policy Board around:</w:t>
            </w:r>
          </w:p>
          <w:p w14:paraId="68AF32CA" w14:textId="77777777" w:rsidR="009774A4" w:rsidRDefault="009774A4" w:rsidP="0000278A">
            <w:pPr>
              <w:pStyle w:val="Bullet"/>
            </w:pPr>
            <w:r w:rsidRPr="009774A4">
              <w:t>transparency</w:t>
            </w:r>
          </w:p>
          <w:p w14:paraId="243C6579" w14:textId="77777777" w:rsidR="009774A4" w:rsidRDefault="009774A4" w:rsidP="0000278A">
            <w:pPr>
              <w:pStyle w:val="Bullet"/>
            </w:pPr>
            <w:r>
              <w:t>assessing</w:t>
            </w:r>
            <w:r w:rsidRPr="009774A4">
              <w:t xml:space="preserve"> </w:t>
            </w:r>
            <w:r>
              <w:t>costs</w:t>
            </w:r>
            <w:r w:rsidRPr="009774A4">
              <w:t xml:space="preserve"> </w:t>
            </w:r>
            <w:r>
              <w:t>and</w:t>
            </w:r>
            <w:r w:rsidRPr="009774A4">
              <w:t xml:space="preserve"> benefits</w:t>
            </w:r>
          </w:p>
          <w:p w14:paraId="3C0D90A0" w14:textId="77777777" w:rsidR="009774A4" w:rsidRDefault="009774A4" w:rsidP="0000278A">
            <w:pPr>
              <w:pStyle w:val="Bullet"/>
            </w:pPr>
            <w:r>
              <w:t xml:space="preserve">managing </w:t>
            </w:r>
            <w:r w:rsidRPr="009774A4">
              <w:t>risks</w:t>
            </w:r>
          </w:p>
          <w:p w14:paraId="6F721068" w14:textId="77777777" w:rsidR="009774A4" w:rsidRDefault="009774A4" w:rsidP="0000278A">
            <w:pPr>
              <w:pStyle w:val="Bullet"/>
            </w:pPr>
            <w:r>
              <w:t>considering</w:t>
            </w:r>
            <w:r w:rsidRPr="009774A4">
              <w:t xml:space="preserve"> </w:t>
            </w:r>
            <w:r>
              <w:t>exit</w:t>
            </w:r>
            <w:r w:rsidRPr="009774A4">
              <w:t xml:space="preserve"> </w:t>
            </w:r>
            <w:r>
              <w:t>strategies</w:t>
            </w:r>
            <w:r w:rsidRPr="009774A4">
              <w:t xml:space="preserve"> </w:t>
            </w:r>
            <w:r>
              <w:t>at</w:t>
            </w:r>
            <w:r w:rsidRPr="009774A4">
              <w:t xml:space="preserve"> </w:t>
            </w:r>
            <w:r>
              <w:t>the</w:t>
            </w:r>
            <w:r w:rsidRPr="009774A4">
              <w:t xml:space="preserve"> </w:t>
            </w:r>
            <w:r>
              <w:t>outset</w:t>
            </w:r>
            <w:r w:rsidRPr="009774A4">
              <w:t xml:space="preserve"> </w:t>
            </w:r>
            <w:r>
              <w:t>for</w:t>
            </w:r>
            <w:r w:rsidRPr="009774A4">
              <w:t xml:space="preserve"> </w:t>
            </w:r>
            <w:r>
              <w:t>different</w:t>
            </w:r>
            <w:r w:rsidRPr="009774A4">
              <w:t xml:space="preserve"> scenarios</w:t>
            </w:r>
          </w:p>
          <w:p w14:paraId="05EC4E29" w14:textId="77777777" w:rsidR="009774A4" w:rsidRDefault="009774A4" w:rsidP="0000278A">
            <w:pPr>
              <w:pStyle w:val="Bullet"/>
            </w:pPr>
            <w:r>
              <w:t>discussions</w:t>
            </w:r>
            <w:r w:rsidRPr="009774A4">
              <w:t xml:space="preserve"> </w:t>
            </w:r>
            <w:r>
              <w:t>on</w:t>
            </w:r>
            <w:r w:rsidRPr="009774A4">
              <w:t xml:space="preserve"> </w:t>
            </w:r>
            <w:r>
              <w:t>the</w:t>
            </w:r>
            <w:r w:rsidRPr="009774A4">
              <w:t xml:space="preserve"> </w:t>
            </w:r>
            <w:r>
              <w:t>appropriateness</w:t>
            </w:r>
            <w:r w:rsidRPr="009774A4">
              <w:t xml:space="preserve"> </w:t>
            </w:r>
            <w:r>
              <w:t>of</w:t>
            </w:r>
            <w:r w:rsidRPr="009774A4">
              <w:t xml:space="preserve"> </w:t>
            </w:r>
            <w:r>
              <w:t>fiscal</w:t>
            </w:r>
            <w:r w:rsidRPr="009774A4">
              <w:t xml:space="preserve"> </w:t>
            </w:r>
            <w:r>
              <w:t>policy</w:t>
            </w:r>
            <w:r w:rsidRPr="009774A4">
              <w:t xml:space="preserve"> </w:t>
            </w:r>
            <w:r>
              <w:t>as</w:t>
            </w:r>
            <w:r w:rsidRPr="009774A4">
              <w:t xml:space="preserve"> </w:t>
            </w:r>
            <w:r>
              <w:t>an</w:t>
            </w:r>
            <w:r w:rsidRPr="009774A4">
              <w:t xml:space="preserve"> </w:t>
            </w:r>
            <w:r>
              <w:t>alternative</w:t>
            </w:r>
            <w:r w:rsidRPr="009774A4">
              <w:t xml:space="preserve"> </w:t>
            </w:r>
            <w:r>
              <w:t>policy</w:t>
            </w:r>
            <w:r w:rsidRPr="009774A4">
              <w:t xml:space="preserve"> lever.</w:t>
            </w:r>
          </w:p>
          <w:p w14:paraId="557F2F6B" w14:textId="77777777" w:rsidR="009774A4" w:rsidRDefault="009774A4" w:rsidP="005D2150">
            <w:r>
              <w:t>Within</w:t>
            </w:r>
            <w:r w:rsidRPr="009774A4">
              <w:t xml:space="preserve"> </w:t>
            </w:r>
            <w:r>
              <w:t>the</w:t>
            </w:r>
            <w:r w:rsidRPr="009774A4">
              <w:t xml:space="preserve"> </w:t>
            </w:r>
            <w:r>
              <w:t>agreed</w:t>
            </w:r>
            <w:r w:rsidRPr="009774A4">
              <w:t xml:space="preserve"> </w:t>
            </w:r>
            <w:r>
              <w:t>framework,</w:t>
            </w:r>
            <w:r w:rsidRPr="009774A4">
              <w:t xml:space="preserve"> </w:t>
            </w:r>
            <w:r>
              <w:t>the</w:t>
            </w:r>
            <w:r w:rsidRPr="009774A4">
              <w:t xml:space="preserve"> </w:t>
            </w:r>
            <w:r>
              <w:t>RBA</w:t>
            </w:r>
            <w:r w:rsidRPr="009774A4">
              <w:t xml:space="preserve"> </w:t>
            </w:r>
            <w:r>
              <w:t>should</w:t>
            </w:r>
            <w:r w:rsidRPr="009774A4">
              <w:t xml:space="preserve"> </w:t>
            </w:r>
            <w:r>
              <w:t>retain</w:t>
            </w:r>
            <w:r w:rsidRPr="009774A4">
              <w:t xml:space="preserve"> </w:t>
            </w:r>
            <w:r>
              <w:t>instrument</w:t>
            </w:r>
            <w:r w:rsidRPr="009774A4">
              <w:t xml:space="preserve"> independence.</w:t>
            </w:r>
          </w:p>
        </w:tc>
      </w:tr>
      <w:tr w:rsidR="00E025B3" w14:paraId="433AA835" w14:textId="77777777" w:rsidTr="001D75F6">
        <w:trPr>
          <w:gridAfter w:val="1"/>
          <w:wAfter w:w="8" w:type="pct"/>
          <w:trHeight w:val="639"/>
        </w:trPr>
        <w:tc>
          <w:tcPr>
            <w:tcW w:w="4992" w:type="pct"/>
            <w:gridSpan w:val="4"/>
            <w:tcBorders>
              <w:bottom w:val="single" w:sz="8" w:space="0" w:color="ECEDE9"/>
            </w:tcBorders>
          </w:tcPr>
          <w:p w14:paraId="19112EBC" w14:textId="331FCAC7" w:rsidR="00E025B3" w:rsidRDefault="00E025B3" w:rsidP="009457C2">
            <w:pPr>
              <w:pStyle w:val="Heading4"/>
              <w:rPr>
                <w:rFonts w:ascii="Open Sans"/>
                <w:b/>
                <w:sz w:val="18"/>
              </w:rPr>
            </w:pPr>
            <w:r w:rsidRPr="009457C2">
              <w:t>Recommendation 4: Institute regular reviews of the monetary policy framework</w:t>
            </w:r>
            <w:r w:rsidR="009457C2">
              <w:t xml:space="preserve"> </w:t>
            </w:r>
            <w:r w:rsidRPr="009457C2">
              <w:t>and tools</w:t>
            </w:r>
          </w:p>
        </w:tc>
      </w:tr>
      <w:tr w:rsidR="00E025B3" w14:paraId="1FBA3445" w14:textId="77777777" w:rsidTr="001D75F6">
        <w:trPr>
          <w:gridAfter w:val="1"/>
          <w:wAfter w:w="8" w:type="pct"/>
          <w:trHeight w:val="1721"/>
        </w:trPr>
        <w:tc>
          <w:tcPr>
            <w:tcW w:w="414" w:type="pct"/>
            <w:gridSpan w:val="2"/>
            <w:tcBorders>
              <w:top w:val="single" w:sz="8" w:space="0" w:color="ECEDE9"/>
            </w:tcBorders>
          </w:tcPr>
          <w:p w14:paraId="3C53BECA" w14:textId="7E69656A" w:rsidR="00E025B3" w:rsidRDefault="009457C2" w:rsidP="009457C2">
            <w:r>
              <w:t>4</w:t>
            </w:r>
            <w:r w:rsidR="00E025B3">
              <w:t>.1</w:t>
            </w:r>
          </w:p>
        </w:tc>
        <w:tc>
          <w:tcPr>
            <w:tcW w:w="4578" w:type="pct"/>
            <w:gridSpan w:val="2"/>
            <w:tcBorders>
              <w:top w:val="single" w:sz="8" w:space="0" w:color="ECEDE9"/>
            </w:tcBorders>
          </w:tcPr>
          <w:p w14:paraId="50DBEA59" w14:textId="76991F90" w:rsidR="00E025B3" w:rsidRDefault="00E025B3" w:rsidP="009457C2">
            <w:r>
              <w:t>The</w:t>
            </w:r>
            <w:r>
              <w:rPr>
                <w:spacing w:val="17"/>
              </w:rPr>
              <w:t xml:space="preserve"> </w:t>
            </w:r>
            <w:r>
              <w:t>Government</w:t>
            </w:r>
            <w:r>
              <w:rPr>
                <w:spacing w:val="17"/>
              </w:rPr>
              <w:t xml:space="preserve"> </w:t>
            </w:r>
            <w:r>
              <w:t>and</w:t>
            </w:r>
            <w:r>
              <w:rPr>
                <w:spacing w:val="17"/>
              </w:rPr>
              <w:t xml:space="preserve"> </w:t>
            </w:r>
            <w:r>
              <w:t>RBA</w:t>
            </w:r>
            <w:r>
              <w:rPr>
                <w:spacing w:val="17"/>
              </w:rPr>
              <w:t xml:space="preserve"> </w:t>
            </w:r>
            <w:r>
              <w:t>Monetary</w:t>
            </w:r>
            <w:r>
              <w:rPr>
                <w:spacing w:val="17"/>
              </w:rPr>
              <w:t xml:space="preserve"> </w:t>
            </w:r>
            <w:r>
              <w:t>Policy</w:t>
            </w:r>
            <w:r>
              <w:rPr>
                <w:spacing w:val="17"/>
              </w:rPr>
              <w:t xml:space="preserve"> </w:t>
            </w:r>
            <w:r>
              <w:t>Board</w:t>
            </w:r>
            <w:r>
              <w:rPr>
                <w:spacing w:val="17"/>
              </w:rPr>
              <w:t xml:space="preserve"> </w:t>
            </w:r>
            <w:r>
              <w:t>should</w:t>
            </w:r>
            <w:r>
              <w:rPr>
                <w:spacing w:val="17"/>
              </w:rPr>
              <w:t xml:space="preserve"> </w:t>
            </w:r>
            <w:r>
              <w:t>instigate</w:t>
            </w:r>
            <w:r>
              <w:rPr>
                <w:spacing w:val="17"/>
              </w:rPr>
              <w:t xml:space="preserve"> </w:t>
            </w:r>
            <w:r>
              <w:t>a</w:t>
            </w:r>
            <w:r>
              <w:rPr>
                <w:spacing w:val="17"/>
              </w:rPr>
              <w:t xml:space="preserve"> </w:t>
            </w:r>
            <w:r>
              <w:t>formal</w:t>
            </w:r>
            <w:r>
              <w:rPr>
                <w:spacing w:val="17"/>
              </w:rPr>
              <w:t xml:space="preserve"> </w:t>
            </w:r>
            <w:r>
              <w:t>review of the monetary policy framework and tools every 5 years, jointly led by the RBA and Treasury and including formal and transparent input from independent domestic</w:t>
            </w:r>
            <w:r w:rsidR="009457C2">
              <w:t xml:space="preserve"> </w:t>
            </w:r>
            <w:r>
              <w:t xml:space="preserve">and international experts with a wide range of viewpoints. The purpose of the review should be to ensure the monetary policy framework and tools remain appropriate, and it should inform the renewal of the </w:t>
            </w:r>
            <w:r>
              <w:rPr>
                <w:i/>
              </w:rPr>
              <w:t>Statement on the Conduct of Monetary Policy</w:t>
            </w:r>
            <w:r>
              <w:t>.</w:t>
            </w:r>
          </w:p>
        </w:tc>
      </w:tr>
      <w:tr w:rsidR="00E025B3" w14:paraId="2AAC091F" w14:textId="77777777" w:rsidTr="001D75F6">
        <w:trPr>
          <w:gridAfter w:val="1"/>
          <w:wAfter w:w="8" w:type="pct"/>
          <w:trHeight w:val="571"/>
        </w:trPr>
        <w:tc>
          <w:tcPr>
            <w:tcW w:w="4992" w:type="pct"/>
            <w:gridSpan w:val="4"/>
            <w:tcBorders>
              <w:bottom w:val="single" w:sz="8" w:space="0" w:color="ECEDE9"/>
            </w:tcBorders>
          </w:tcPr>
          <w:p w14:paraId="269E86F4" w14:textId="77777777" w:rsidR="00E025B3" w:rsidRDefault="00E025B3" w:rsidP="009457C2">
            <w:pPr>
              <w:pStyle w:val="Heading4"/>
            </w:pPr>
            <w:r>
              <w:lastRenderedPageBreak/>
              <w:t>Recommendation</w:t>
            </w:r>
            <w:r>
              <w:rPr>
                <w:spacing w:val="1"/>
              </w:rPr>
              <w:t xml:space="preserve"> </w:t>
            </w:r>
            <w:r>
              <w:t>5:</w:t>
            </w:r>
            <w:r>
              <w:rPr>
                <w:spacing w:val="1"/>
              </w:rPr>
              <w:t xml:space="preserve"> </w:t>
            </w:r>
            <w:r>
              <w:t>Legislate</w:t>
            </w:r>
            <w:r>
              <w:rPr>
                <w:spacing w:val="1"/>
              </w:rPr>
              <w:t xml:space="preserve"> </w:t>
            </w:r>
            <w:r>
              <w:t>the</w:t>
            </w:r>
            <w:r>
              <w:rPr>
                <w:spacing w:val="2"/>
              </w:rPr>
              <w:t xml:space="preserve"> </w:t>
            </w:r>
            <w:r>
              <w:t>RBA’s</w:t>
            </w:r>
            <w:r>
              <w:rPr>
                <w:spacing w:val="1"/>
              </w:rPr>
              <w:t xml:space="preserve"> </w:t>
            </w:r>
            <w:r>
              <w:t>financial</w:t>
            </w:r>
            <w:r>
              <w:rPr>
                <w:spacing w:val="1"/>
              </w:rPr>
              <w:t xml:space="preserve"> </w:t>
            </w:r>
            <w:r>
              <w:t>stability</w:t>
            </w:r>
            <w:r>
              <w:rPr>
                <w:spacing w:val="1"/>
              </w:rPr>
              <w:t xml:space="preserve"> </w:t>
            </w:r>
            <w:r>
              <w:rPr>
                <w:spacing w:val="-4"/>
              </w:rPr>
              <w:t>role</w:t>
            </w:r>
          </w:p>
        </w:tc>
      </w:tr>
      <w:tr w:rsidR="00E025B3" w14:paraId="6BEE946F" w14:textId="77777777" w:rsidTr="001D75F6">
        <w:trPr>
          <w:gridAfter w:val="1"/>
          <w:wAfter w:w="8" w:type="pct"/>
          <w:trHeight w:val="1097"/>
        </w:trPr>
        <w:tc>
          <w:tcPr>
            <w:tcW w:w="414" w:type="pct"/>
            <w:gridSpan w:val="2"/>
            <w:tcBorders>
              <w:top w:val="single" w:sz="8" w:space="0" w:color="ECEDE9"/>
            </w:tcBorders>
          </w:tcPr>
          <w:p w14:paraId="24E6B2DF" w14:textId="77777777" w:rsidR="00E025B3" w:rsidRDefault="00E025B3" w:rsidP="009457C2">
            <w:r>
              <w:t>5.1</w:t>
            </w:r>
          </w:p>
        </w:tc>
        <w:tc>
          <w:tcPr>
            <w:tcW w:w="4578" w:type="pct"/>
            <w:gridSpan w:val="2"/>
            <w:tcBorders>
              <w:top w:val="single" w:sz="8" w:space="0" w:color="ECEDE9"/>
            </w:tcBorders>
          </w:tcPr>
          <w:p w14:paraId="4168C8DD" w14:textId="77777777" w:rsidR="00E025B3" w:rsidRDefault="00E025B3" w:rsidP="009457C2">
            <w:r>
              <w:t>The</w:t>
            </w:r>
            <w:r>
              <w:rPr>
                <w:spacing w:val="-1"/>
              </w:rPr>
              <w:t xml:space="preserve"> </w:t>
            </w:r>
            <w:r>
              <w:t>Government</w:t>
            </w:r>
            <w:r>
              <w:rPr>
                <w:spacing w:val="-1"/>
              </w:rPr>
              <w:t xml:space="preserve"> </w:t>
            </w:r>
            <w:r>
              <w:t>should</w:t>
            </w:r>
            <w:r>
              <w:rPr>
                <w:spacing w:val="-1"/>
              </w:rPr>
              <w:t xml:space="preserve"> </w:t>
            </w:r>
            <w:r>
              <w:t>specify</w:t>
            </w:r>
            <w:r>
              <w:rPr>
                <w:spacing w:val="-1"/>
              </w:rPr>
              <w:t xml:space="preserve"> </w:t>
            </w:r>
            <w:r>
              <w:t>in</w:t>
            </w:r>
            <w:r>
              <w:rPr>
                <w:spacing w:val="-1"/>
              </w:rPr>
              <w:t xml:space="preserve"> </w:t>
            </w:r>
            <w:r>
              <w:t>the</w:t>
            </w:r>
            <w:r>
              <w:rPr>
                <w:spacing w:val="-1"/>
              </w:rPr>
              <w:t xml:space="preserve"> </w:t>
            </w:r>
            <w:r>
              <w:rPr>
                <w:i/>
              </w:rPr>
              <w:t>Reserve</w:t>
            </w:r>
            <w:r>
              <w:rPr>
                <w:i/>
                <w:spacing w:val="-1"/>
              </w:rPr>
              <w:t xml:space="preserve"> </w:t>
            </w:r>
            <w:r>
              <w:rPr>
                <w:i/>
              </w:rPr>
              <w:t>Bank</w:t>
            </w:r>
            <w:r>
              <w:rPr>
                <w:i/>
                <w:spacing w:val="-1"/>
              </w:rPr>
              <w:t xml:space="preserve"> </w:t>
            </w:r>
            <w:r>
              <w:rPr>
                <w:i/>
              </w:rPr>
              <w:t>Act</w:t>
            </w:r>
            <w:r>
              <w:rPr>
                <w:i/>
                <w:spacing w:val="-1"/>
              </w:rPr>
              <w:t xml:space="preserve"> </w:t>
            </w:r>
            <w:r>
              <w:rPr>
                <w:i/>
              </w:rPr>
              <w:t>1959</w:t>
            </w:r>
            <w:r>
              <w:rPr>
                <w:i/>
                <w:spacing w:val="-1"/>
              </w:rPr>
              <w:t xml:space="preserve"> </w:t>
            </w:r>
            <w:r>
              <w:t>that</w:t>
            </w:r>
            <w:r>
              <w:rPr>
                <w:spacing w:val="-1"/>
              </w:rPr>
              <w:t xml:space="preserve"> </w:t>
            </w:r>
            <w:r>
              <w:t>the</w:t>
            </w:r>
            <w:r>
              <w:rPr>
                <w:spacing w:val="-1"/>
              </w:rPr>
              <w:t xml:space="preserve"> </w:t>
            </w:r>
            <w:r>
              <w:t>RBA</w:t>
            </w:r>
            <w:r>
              <w:rPr>
                <w:spacing w:val="-1"/>
              </w:rPr>
              <w:t xml:space="preserve"> </w:t>
            </w:r>
            <w:r>
              <w:t>has a responsibility to contribute to financial system stability, in cooperation with other government agencies, especially the Australian Prudential Regulation Authority (APRA).</w:t>
            </w:r>
          </w:p>
        </w:tc>
      </w:tr>
      <w:tr w:rsidR="00575CA8" w14:paraId="4A7FB7EF" w14:textId="77777777" w:rsidTr="001D75F6">
        <w:trPr>
          <w:gridAfter w:val="1"/>
          <w:wAfter w:w="8" w:type="pct"/>
          <w:trHeight w:val="1097"/>
        </w:trPr>
        <w:tc>
          <w:tcPr>
            <w:tcW w:w="4992" w:type="pct"/>
            <w:gridSpan w:val="4"/>
            <w:tcBorders>
              <w:bottom w:val="single" w:sz="8" w:space="0" w:color="ECEDE9"/>
            </w:tcBorders>
          </w:tcPr>
          <w:tbl>
            <w:tblPr>
              <w:tblW w:w="5000" w:type="pct"/>
              <w:tblCellMar>
                <w:left w:w="0" w:type="dxa"/>
                <w:right w:w="0" w:type="dxa"/>
              </w:tblCellMar>
              <w:tblLook w:val="01E0" w:firstRow="1" w:lastRow="1" w:firstColumn="1" w:lastColumn="1" w:noHBand="0" w:noVBand="0"/>
            </w:tblPr>
            <w:tblGrid>
              <w:gridCol w:w="795"/>
              <w:gridCol w:w="8260"/>
            </w:tblGrid>
            <w:tr w:rsidR="00575CA8" w14:paraId="390DEF7B" w14:textId="77777777" w:rsidTr="00D238EE">
              <w:trPr>
                <w:trHeight w:val="639"/>
              </w:trPr>
              <w:tc>
                <w:tcPr>
                  <w:tcW w:w="5000" w:type="pct"/>
                  <w:gridSpan w:val="2"/>
                  <w:tcBorders>
                    <w:bottom w:val="single" w:sz="8" w:space="0" w:color="ECEDE9"/>
                  </w:tcBorders>
                </w:tcPr>
                <w:p w14:paraId="5241956A" w14:textId="2171F7CC" w:rsidR="00575CA8" w:rsidRPr="009457C2" w:rsidRDefault="00575CA8" w:rsidP="009457C2">
                  <w:pPr>
                    <w:pStyle w:val="Heading4"/>
                  </w:pPr>
                  <w:r w:rsidRPr="009457C2">
                    <w:t>Recommendation 6: Reinforce cooperation arrangements for promoting</w:t>
                  </w:r>
                  <w:r w:rsidR="009457C2" w:rsidRPr="009457C2">
                    <w:t xml:space="preserve"> </w:t>
                  </w:r>
                  <w:r w:rsidRPr="009457C2">
                    <w:t>financial stability</w:t>
                  </w:r>
                </w:p>
              </w:tc>
            </w:tr>
            <w:tr w:rsidR="00575CA8" w14:paraId="3BBE5CCD" w14:textId="77777777" w:rsidTr="00D238EE">
              <w:trPr>
                <w:trHeight w:val="2061"/>
              </w:trPr>
              <w:tc>
                <w:tcPr>
                  <w:tcW w:w="439" w:type="pct"/>
                  <w:tcBorders>
                    <w:top w:val="single" w:sz="8" w:space="0" w:color="ECEDE9"/>
                    <w:bottom w:val="single" w:sz="8" w:space="0" w:color="ECEDE9"/>
                  </w:tcBorders>
                </w:tcPr>
                <w:p w14:paraId="66A911B4" w14:textId="77777777" w:rsidR="00575CA8" w:rsidRDefault="00575CA8" w:rsidP="009457C2">
                  <w:r>
                    <w:t>6.1</w:t>
                  </w:r>
                </w:p>
              </w:tc>
              <w:tc>
                <w:tcPr>
                  <w:tcW w:w="4561" w:type="pct"/>
                  <w:tcBorders>
                    <w:top w:val="single" w:sz="8" w:space="0" w:color="ECEDE9"/>
                    <w:bottom w:val="single" w:sz="8" w:space="0" w:color="ECEDE9"/>
                  </w:tcBorders>
                </w:tcPr>
                <w:p w14:paraId="7F19264A" w14:textId="77777777" w:rsidR="00575CA8" w:rsidRDefault="00575CA8" w:rsidP="009457C2">
                  <w:r>
                    <w:t>The Council of Financial Regulators should renew memorandums of understanding between its members so that there is:</w:t>
                  </w:r>
                </w:p>
                <w:p w14:paraId="3C606ACE" w14:textId="5FCCB5D3" w:rsidR="00575CA8" w:rsidRPr="009457C2" w:rsidRDefault="00575CA8" w:rsidP="0000278A">
                  <w:pPr>
                    <w:pStyle w:val="Bullet"/>
                  </w:pPr>
                  <w:r w:rsidRPr="009457C2">
                    <w:t>clarity</w:t>
                  </w:r>
                  <w:r w:rsidRPr="009457C2">
                    <w:rPr>
                      <w:spacing w:val="-2"/>
                    </w:rPr>
                    <w:t xml:space="preserve"> </w:t>
                  </w:r>
                  <w:r w:rsidRPr="009457C2">
                    <w:t>on</w:t>
                  </w:r>
                  <w:r w:rsidRPr="009457C2">
                    <w:rPr>
                      <w:spacing w:val="1"/>
                    </w:rPr>
                    <w:t xml:space="preserve"> </w:t>
                  </w:r>
                  <w:r w:rsidRPr="009457C2">
                    <w:t>the</w:t>
                  </w:r>
                  <w:r w:rsidRPr="009457C2">
                    <w:rPr>
                      <w:spacing w:val="1"/>
                    </w:rPr>
                    <w:t xml:space="preserve"> </w:t>
                  </w:r>
                  <w:r w:rsidRPr="009457C2">
                    <w:t>outcomes</w:t>
                  </w:r>
                  <w:r w:rsidRPr="009457C2">
                    <w:rPr>
                      <w:spacing w:val="1"/>
                    </w:rPr>
                    <w:t xml:space="preserve"> </w:t>
                  </w:r>
                  <w:r w:rsidRPr="009457C2">
                    <w:t>the</w:t>
                  </w:r>
                  <w:r w:rsidRPr="009457C2">
                    <w:rPr>
                      <w:spacing w:val="1"/>
                    </w:rPr>
                    <w:t xml:space="preserve"> </w:t>
                  </w:r>
                  <w:r w:rsidRPr="009457C2">
                    <w:t>group</w:t>
                  </w:r>
                  <w:r w:rsidRPr="009457C2">
                    <w:rPr>
                      <w:spacing w:val="1"/>
                    </w:rPr>
                    <w:t xml:space="preserve"> </w:t>
                  </w:r>
                  <w:r w:rsidRPr="009457C2">
                    <w:t>is</w:t>
                  </w:r>
                  <w:r w:rsidRPr="009457C2">
                    <w:rPr>
                      <w:spacing w:val="1"/>
                    </w:rPr>
                    <w:t xml:space="preserve"> </w:t>
                  </w:r>
                  <w:r w:rsidRPr="009457C2">
                    <w:t>responsible</w:t>
                  </w:r>
                  <w:r w:rsidRPr="009457C2">
                    <w:rPr>
                      <w:spacing w:val="1"/>
                    </w:rPr>
                    <w:t xml:space="preserve"> </w:t>
                  </w:r>
                  <w:r w:rsidRPr="009457C2">
                    <w:t>for</w:t>
                  </w:r>
                  <w:r w:rsidRPr="009457C2">
                    <w:rPr>
                      <w:spacing w:val="1"/>
                    </w:rPr>
                    <w:t xml:space="preserve"> </w:t>
                  </w:r>
                  <w:r w:rsidRPr="009457C2">
                    <w:t>delivering</w:t>
                  </w:r>
                  <w:r w:rsidRPr="009457C2">
                    <w:rPr>
                      <w:spacing w:val="1"/>
                    </w:rPr>
                    <w:t xml:space="preserve"> </w:t>
                  </w:r>
                  <w:r w:rsidRPr="009457C2">
                    <w:t>and</w:t>
                  </w:r>
                  <w:r w:rsidRPr="009457C2">
                    <w:rPr>
                      <w:spacing w:val="1"/>
                    </w:rPr>
                    <w:t xml:space="preserve"> </w:t>
                  </w:r>
                  <w:r w:rsidRPr="009457C2">
                    <w:t>the</w:t>
                  </w:r>
                  <w:r w:rsidRPr="009457C2">
                    <w:rPr>
                      <w:spacing w:val="1"/>
                    </w:rPr>
                    <w:t xml:space="preserve"> </w:t>
                  </w:r>
                  <w:r w:rsidRPr="009457C2">
                    <w:rPr>
                      <w:spacing w:val="-2"/>
                    </w:rPr>
                    <w:t>specific</w:t>
                  </w:r>
                  <w:r w:rsidR="009457C2">
                    <w:rPr>
                      <w:spacing w:val="-2"/>
                    </w:rPr>
                    <w:t xml:space="preserve"> </w:t>
                  </w:r>
                  <w:r w:rsidRPr="009457C2">
                    <w:t>roles</w:t>
                  </w:r>
                  <w:r w:rsidRPr="009457C2">
                    <w:rPr>
                      <w:spacing w:val="-2"/>
                    </w:rPr>
                    <w:t xml:space="preserve"> </w:t>
                  </w:r>
                  <w:r w:rsidRPr="009457C2">
                    <w:t>of</w:t>
                  </w:r>
                  <w:r w:rsidRPr="009457C2">
                    <w:rPr>
                      <w:spacing w:val="-1"/>
                    </w:rPr>
                    <w:t xml:space="preserve"> </w:t>
                  </w:r>
                  <w:r w:rsidRPr="009457C2">
                    <w:t>each</w:t>
                  </w:r>
                  <w:r w:rsidRPr="009457C2">
                    <w:rPr>
                      <w:spacing w:val="-1"/>
                    </w:rPr>
                    <w:t xml:space="preserve"> </w:t>
                  </w:r>
                  <w:r w:rsidRPr="009457C2">
                    <w:rPr>
                      <w:spacing w:val="-2"/>
                    </w:rPr>
                    <w:t>agency</w:t>
                  </w:r>
                </w:p>
                <w:p w14:paraId="59EE3B80" w14:textId="77777777" w:rsidR="00575CA8" w:rsidRDefault="00575CA8" w:rsidP="0000278A">
                  <w:pPr>
                    <w:pStyle w:val="Bullet"/>
                  </w:pPr>
                  <w:r>
                    <w:t>a</w:t>
                  </w:r>
                  <w:r>
                    <w:rPr>
                      <w:spacing w:val="4"/>
                    </w:rPr>
                    <w:t xml:space="preserve"> </w:t>
                  </w:r>
                  <w:r>
                    <w:t>shared</w:t>
                  </w:r>
                  <w:r>
                    <w:rPr>
                      <w:spacing w:val="4"/>
                    </w:rPr>
                    <w:t xml:space="preserve"> </w:t>
                  </w:r>
                  <w:r>
                    <w:t>responsibility</w:t>
                  </w:r>
                  <w:r>
                    <w:rPr>
                      <w:spacing w:val="4"/>
                    </w:rPr>
                    <w:t xml:space="preserve"> </w:t>
                  </w:r>
                  <w:r>
                    <w:t>for</w:t>
                  </w:r>
                  <w:r>
                    <w:rPr>
                      <w:spacing w:val="4"/>
                    </w:rPr>
                    <w:t xml:space="preserve"> </w:t>
                  </w:r>
                  <w:r>
                    <w:t>identifying</w:t>
                  </w:r>
                  <w:r>
                    <w:rPr>
                      <w:spacing w:val="4"/>
                    </w:rPr>
                    <w:t xml:space="preserve"> </w:t>
                  </w:r>
                  <w:r>
                    <w:t>regulatory</w:t>
                  </w:r>
                  <w:r>
                    <w:rPr>
                      <w:spacing w:val="4"/>
                    </w:rPr>
                    <w:t xml:space="preserve"> </w:t>
                  </w:r>
                  <w:r>
                    <w:t>gaps</w:t>
                  </w:r>
                  <w:r>
                    <w:rPr>
                      <w:spacing w:val="4"/>
                    </w:rPr>
                    <w:t xml:space="preserve"> </w:t>
                  </w:r>
                  <w:r>
                    <w:t>at</w:t>
                  </w:r>
                  <w:r>
                    <w:rPr>
                      <w:spacing w:val="4"/>
                    </w:rPr>
                    <w:t xml:space="preserve"> </w:t>
                  </w:r>
                  <w:r>
                    <w:t>a</w:t>
                  </w:r>
                  <w:r>
                    <w:rPr>
                      <w:spacing w:val="4"/>
                    </w:rPr>
                    <w:t xml:space="preserve"> </w:t>
                  </w:r>
                  <w:r>
                    <w:t>‘whole</w:t>
                  </w:r>
                  <w:r>
                    <w:rPr>
                      <w:spacing w:val="4"/>
                    </w:rPr>
                    <w:t xml:space="preserve"> </w:t>
                  </w:r>
                  <w:r>
                    <w:t>of</w:t>
                  </w:r>
                  <w:r>
                    <w:rPr>
                      <w:spacing w:val="4"/>
                    </w:rPr>
                    <w:t xml:space="preserve"> </w:t>
                  </w:r>
                  <w:r>
                    <w:t>system’</w:t>
                  </w:r>
                  <w:r>
                    <w:rPr>
                      <w:spacing w:val="4"/>
                    </w:rPr>
                    <w:t xml:space="preserve"> </w:t>
                  </w:r>
                  <w:r>
                    <w:rPr>
                      <w:spacing w:val="-2"/>
                    </w:rPr>
                    <w:t>level</w:t>
                  </w:r>
                </w:p>
                <w:p w14:paraId="236D861A" w14:textId="77777777" w:rsidR="00575CA8" w:rsidRDefault="00575CA8" w:rsidP="0000278A">
                  <w:pPr>
                    <w:pStyle w:val="Bullet"/>
                  </w:pPr>
                  <w:r>
                    <w:t>a</w:t>
                  </w:r>
                  <w:r>
                    <w:rPr>
                      <w:spacing w:val="-1"/>
                    </w:rPr>
                    <w:t xml:space="preserve"> </w:t>
                  </w:r>
                  <w:r>
                    <w:t>shared commitment</w:t>
                  </w:r>
                  <w:r>
                    <w:rPr>
                      <w:spacing w:val="-1"/>
                    </w:rPr>
                    <w:t xml:space="preserve"> </w:t>
                  </w:r>
                  <w:r>
                    <w:t>to reduce the</w:t>
                  </w:r>
                  <w:r>
                    <w:rPr>
                      <w:spacing w:val="-1"/>
                    </w:rPr>
                    <w:t xml:space="preserve"> </w:t>
                  </w:r>
                  <w:r>
                    <w:t>risks posed</w:t>
                  </w:r>
                  <w:r>
                    <w:rPr>
                      <w:spacing w:val="-1"/>
                    </w:rPr>
                    <w:t xml:space="preserve"> </w:t>
                  </w:r>
                  <w:r>
                    <w:t xml:space="preserve">by such </w:t>
                  </w:r>
                  <w:r>
                    <w:rPr>
                      <w:spacing w:val="-4"/>
                    </w:rPr>
                    <w:t>gaps.</w:t>
                  </w:r>
                </w:p>
              </w:tc>
            </w:tr>
            <w:tr w:rsidR="00575CA8" w14:paraId="6FDC796A" w14:textId="77777777" w:rsidTr="00D238EE">
              <w:trPr>
                <w:trHeight w:val="1261"/>
              </w:trPr>
              <w:tc>
                <w:tcPr>
                  <w:tcW w:w="439" w:type="pct"/>
                  <w:tcBorders>
                    <w:top w:val="single" w:sz="8" w:space="0" w:color="ECEDE9"/>
                    <w:bottom w:val="single" w:sz="8" w:space="0" w:color="ECEDE9"/>
                  </w:tcBorders>
                </w:tcPr>
                <w:p w14:paraId="10FAF7A5" w14:textId="77777777" w:rsidR="00575CA8" w:rsidRDefault="00575CA8" w:rsidP="009457C2">
                  <w:r>
                    <w:t>6.2</w:t>
                  </w:r>
                </w:p>
              </w:tc>
              <w:tc>
                <w:tcPr>
                  <w:tcW w:w="4561" w:type="pct"/>
                  <w:tcBorders>
                    <w:top w:val="single" w:sz="8" w:space="0" w:color="ECEDE9"/>
                    <w:bottom w:val="single" w:sz="8" w:space="0" w:color="ECEDE9"/>
                  </w:tcBorders>
                </w:tcPr>
                <w:p w14:paraId="06FB4040" w14:textId="77777777" w:rsidR="00575CA8" w:rsidRDefault="00575CA8" w:rsidP="009457C2">
                  <w:r>
                    <w:t>The RBA Monetary Policy Board should commit to inform the Council of Financial Regulators when monetary policy is likely to affect, or be affected by, risks to financial stability. This should include formal advice from the RBA to APRA on its use of macroprudential</w:t>
                  </w:r>
                  <w:r>
                    <w:rPr>
                      <w:spacing w:val="-7"/>
                    </w:rPr>
                    <w:t xml:space="preserve"> </w:t>
                  </w:r>
                  <w:r>
                    <w:t>tools.</w:t>
                  </w:r>
                  <w:r>
                    <w:rPr>
                      <w:spacing w:val="-7"/>
                    </w:rPr>
                    <w:t xml:space="preserve"> </w:t>
                  </w:r>
                  <w:r>
                    <w:t>This</w:t>
                  </w:r>
                  <w:r>
                    <w:rPr>
                      <w:spacing w:val="-7"/>
                    </w:rPr>
                    <w:t xml:space="preserve"> </w:t>
                  </w:r>
                  <w:r>
                    <w:t>advice</w:t>
                  </w:r>
                  <w:r>
                    <w:rPr>
                      <w:spacing w:val="-7"/>
                    </w:rPr>
                    <w:t xml:space="preserve"> </w:t>
                  </w:r>
                  <w:r>
                    <w:t>to</w:t>
                  </w:r>
                  <w:r>
                    <w:rPr>
                      <w:spacing w:val="-7"/>
                    </w:rPr>
                    <w:t xml:space="preserve"> </w:t>
                  </w:r>
                  <w:r>
                    <w:t>CFR</w:t>
                  </w:r>
                  <w:r>
                    <w:rPr>
                      <w:spacing w:val="-7"/>
                    </w:rPr>
                    <w:t xml:space="preserve"> </w:t>
                  </w:r>
                  <w:r>
                    <w:t>and</w:t>
                  </w:r>
                  <w:r>
                    <w:rPr>
                      <w:spacing w:val="-7"/>
                    </w:rPr>
                    <w:t xml:space="preserve"> </w:t>
                  </w:r>
                  <w:r>
                    <w:t>APRA</w:t>
                  </w:r>
                  <w:r>
                    <w:rPr>
                      <w:spacing w:val="-7"/>
                    </w:rPr>
                    <w:t xml:space="preserve"> </w:t>
                  </w:r>
                  <w:r>
                    <w:t>should</w:t>
                  </w:r>
                  <w:r>
                    <w:rPr>
                      <w:spacing w:val="-7"/>
                    </w:rPr>
                    <w:t xml:space="preserve"> </w:t>
                  </w:r>
                  <w:r>
                    <w:t>be</w:t>
                  </w:r>
                  <w:r>
                    <w:rPr>
                      <w:spacing w:val="-7"/>
                    </w:rPr>
                    <w:t xml:space="preserve"> </w:t>
                  </w:r>
                  <w:r>
                    <w:t>published</w:t>
                  </w:r>
                  <w:r>
                    <w:rPr>
                      <w:spacing w:val="-7"/>
                    </w:rPr>
                    <w:t xml:space="preserve"> </w:t>
                  </w:r>
                  <w:r>
                    <w:t>after</w:t>
                  </w:r>
                  <w:r>
                    <w:rPr>
                      <w:spacing w:val="-7"/>
                    </w:rPr>
                    <w:t xml:space="preserve"> </w:t>
                  </w:r>
                  <w:r>
                    <w:t>5</w:t>
                  </w:r>
                  <w:r>
                    <w:rPr>
                      <w:spacing w:val="-7"/>
                    </w:rPr>
                    <w:t xml:space="preserve"> </w:t>
                  </w:r>
                  <w:r>
                    <w:t>years.</w:t>
                  </w:r>
                </w:p>
              </w:tc>
            </w:tr>
            <w:tr w:rsidR="00575CA8" w14:paraId="6751C256" w14:textId="77777777" w:rsidTr="00D238EE">
              <w:trPr>
                <w:trHeight w:val="867"/>
              </w:trPr>
              <w:tc>
                <w:tcPr>
                  <w:tcW w:w="439" w:type="pct"/>
                  <w:tcBorders>
                    <w:top w:val="single" w:sz="8" w:space="0" w:color="ECEDE9"/>
                  </w:tcBorders>
                </w:tcPr>
                <w:p w14:paraId="782AD11D" w14:textId="77777777" w:rsidR="00575CA8" w:rsidRDefault="00575CA8" w:rsidP="009457C2">
                  <w:r>
                    <w:t>6.3</w:t>
                  </w:r>
                </w:p>
              </w:tc>
              <w:tc>
                <w:tcPr>
                  <w:tcW w:w="4561" w:type="pct"/>
                  <w:tcBorders>
                    <w:top w:val="single" w:sz="8" w:space="0" w:color="ECEDE9"/>
                  </w:tcBorders>
                </w:tcPr>
                <w:p w14:paraId="1DA53E3F" w14:textId="77777777" w:rsidR="00575CA8" w:rsidRDefault="00575CA8" w:rsidP="009457C2">
                  <w:r>
                    <w:t>The RBA and APRA should update their public memorandum of understanding so</w:t>
                  </w:r>
                  <w:r>
                    <w:rPr>
                      <w:spacing w:val="40"/>
                    </w:rPr>
                    <w:t xml:space="preserve"> </w:t>
                  </w:r>
                  <w:r>
                    <w:t>that it sets out clear and specific commitments to cooperation in promoting financial stability, including the way APRA consults the RBA on macroprudential policy settings.</w:t>
                  </w:r>
                </w:p>
              </w:tc>
            </w:tr>
          </w:tbl>
          <w:p w14:paraId="3ED69E32" w14:textId="77777777" w:rsidR="00575CA8" w:rsidRDefault="00575CA8" w:rsidP="00E025B3">
            <w:pPr>
              <w:pStyle w:val="TableParagraph"/>
              <w:spacing w:before="157" w:line="230" w:lineRule="exact"/>
              <w:ind w:left="232" w:right="879"/>
              <w:rPr>
                <w:sz w:val="18"/>
              </w:rPr>
            </w:pPr>
          </w:p>
        </w:tc>
      </w:tr>
      <w:tr w:rsidR="009457C2" w14:paraId="4B8B1627" w14:textId="77777777" w:rsidTr="00D238EE">
        <w:trPr>
          <w:gridBefore w:val="1"/>
          <w:wBefore w:w="101" w:type="pct"/>
          <w:trHeight w:val="639"/>
        </w:trPr>
        <w:tc>
          <w:tcPr>
            <w:tcW w:w="4899" w:type="pct"/>
            <w:gridSpan w:val="4"/>
            <w:tcBorders>
              <w:bottom w:val="single" w:sz="8" w:space="0" w:color="ECEDE9"/>
            </w:tcBorders>
          </w:tcPr>
          <w:p w14:paraId="7B2813C3" w14:textId="77777777" w:rsidR="009457C2" w:rsidRDefault="009457C2" w:rsidP="009457C2">
            <w:pPr>
              <w:pStyle w:val="Heading4"/>
            </w:pPr>
            <w:r>
              <w:t>Recommendation</w:t>
            </w:r>
            <w:r>
              <w:rPr>
                <w:spacing w:val="-1"/>
              </w:rPr>
              <w:t xml:space="preserve"> </w:t>
            </w:r>
            <w:r>
              <w:t>7:</w:t>
            </w:r>
            <w:r>
              <w:rPr>
                <w:spacing w:val="-1"/>
              </w:rPr>
              <w:t xml:space="preserve"> </w:t>
            </w:r>
            <w:r>
              <w:t>The</w:t>
            </w:r>
            <w:r>
              <w:rPr>
                <w:spacing w:val="-1"/>
              </w:rPr>
              <w:t xml:space="preserve"> </w:t>
            </w:r>
            <w:r>
              <w:t>RBA</w:t>
            </w:r>
            <w:r>
              <w:rPr>
                <w:spacing w:val="-1"/>
              </w:rPr>
              <w:t xml:space="preserve"> </w:t>
            </w:r>
            <w:r>
              <w:t>should</w:t>
            </w:r>
            <w:r>
              <w:rPr>
                <w:spacing w:val="-1"/>
              </w:rPr>
              <w:t xml:space="preserve"> </w:t>
            </w:r>
            <w:r>
              <w:t>take</w:t>
            </w:r>
            <w:r>
              <w:rPr>
                <w:spacing w:val="-1"/>
              </w:rPr>
              <w:t xml:space="preserve"> </w:t>
            </w:r>
            <w:r>
              <w:t>account</w:t>
            </w:r>
            <w:r>
              <w:rPr>
                <w:spacing w:val="-1"/>
              </w:rPr>
              <w:t xml:space="preserve"> </w:t>
            </w:r>
            <w:r>
              <w:t>of</w:t>
            </w:r>
            <w:r>
              <w:rPr>
                <w:spacing w:val="-1"/>
              </w:rPr>
              <w:t xml:space="preserve"> </w:t>
            </w:r>
            <w:r>
              <w:t>climate</w:t>
            </w:r>
            <w:r>
              <w:rPr>
                <w:spacing w:val="-1"/>
              </w:rPr>
              <w:t xml:space="preserve"> </w:t>
            </w:r>
            <w:r>
              <w:t>risks</w:t>
            </w:r>
            <w:r>
              <w:rPr>
                <w:spacing w:val="-1"/>
              </w:rPr>
              <w:t xml:space="preserve"> </w:t>
            </w:r>
            <w:r>
              <w:t>but</w:t>
            </w:r>
            <w:r>
              <w:rPr>
                <w:spacing w:val="-1"/>
              </w:rPr>
              <w:t xml:space="preserve"> </w:t>
            </w:r>
            <w:r>
              <w:t>not</w:t>
            </w:r>
            <w:r>
              <w:rPr>
                <w:spacing w:val="-1"/>
              </w:rPr>
              <w:t xml:space="preserve"> </w:t>
            </w:r>
            <w:r>
              <w:t>use monetary policy to address them</w:t>
            </w:r>
          </w:p>
        </w:tc>
      </w:tr>
      <w:tr w:rsidR="009457C2" w14:paraId="51DC47E9" w14:textId="77777777" w:rsidTr="003E3A78">
        <w:trPr>
          <w:gridBefore w:val="1"/>
          <w:wBefore w:w="101" w:type="pct"/>
          <w:trHeight w:val="1948"/>
        </w:trPr>
        <w:tc>
          <w:tcPr>
            <w:tcW w:w="371" w:type="pct"/>
            <w:gridSpan w:val="2"/>
            <w:tcBorders>
              <w:top w:val="single" w:sz="8" w:space="0" w:color="ECEDE9"/>
              <w:bottom w:val="single" w:sz="8" w:space="0" w:color="ECEDE9"/>
            </w:tcBorders>
          </w:tcPr>
          <w:p w14:paraId="31DDA8D1" w14:textId="77777777" w:rsidR="009457C2" w:rsidRDefault="009457C2" w:rsidP="009457C2">
            <w:r>
              <w:t>7.1</w:t>
            </w:r>
          </w:p>
        </w:tc>
        <w:tc>
          <w:tcPr>
            <w:tcW w:w="4529" w:type="pct"/>
            <w:gridSpan w:val="2"/>
            <w:tcBorders>
              <w:top w:val="single" w:sz="8" w:space="0" w:color="ECEDE9"/>
              <w:bottom w:val="single" w:sz="8" w:space="0" w:color="ECEDE9"/>
            </w:tcBorders>
          </w:tcPr>
          <w:p w14:paraId="1FA21AD1" w14:textId="77777777" w:rsidR="009457C2" w:rsidRDefault="009457C2" w:rsidP="009457C2">
            <w:r>
              <w:t>The RBA</w:t>
            </w:r>
            <w:r>
              <w:rPr>
                <w:spacing w:val="1"/>
              </w:rPr>
              <w:t xml:space="preserve"> </w:t>
            </w:r>
            <w:r>
              <w:t>should</w:t>
            </w:r>
            <w:r>
              <w:rPr>
                <w:spacing w:val="1"/>
              </w:rPr>
              <w:t xml:space="preserve"> </w:t>
            </w:r>
            <w:r>
              <w:t>continue</w:t>
            </w:r>
            <w:r>
              <w:rPr>
                <w:spacing w:val="1"/>
              </w:rPr>
              <w:t xml:space="preserve"> </w:t>
            </w:r>
            <w:r>
              <w:t>to:</w:t>
            </w:r>
          </w:p>
          <w:p w14:paraId="6E0B282C" w14:textId="575FAE8A" w:rsidR="009457C2" w:rsidRDefault="009457C2" w:rsidP="0000278A">
            <w:pPr>
              <w:pStyle w:val="Bullet"/>
            </w:pPr>
            <w:r>
              <w:t>integrate the implications of climate</w:t>
            </w:r>
            <w:r>
              <w:rPr>
                <w:spacing w:val="1"/>
              </w:rPr>
              <w:t xml:space="preserve"> </w:t>
            </w:r>
            <w:r>
              <w:t>change for the Australian economy</w:t>
            </w:r>
            <w:r>
              <w:rPr>
                <w:spacing w:val="1"/>
              </w:rPr>
              <w:t xml:space="preserve"> </w:t>
            </w:r>
            <w:r>
              <w:t>and financial</w:t>
            </w:r>
            <w:r>
              <w:rPr>
                <w:spacing w:val="3"/>
              </w:rPr>
              <w:t xml:space="preserve"> </w:t>
            </w:r>
            <w:r>
              <w:t>system</w:t>
            </w:r>
            <w:r>
              <w:rPr>
                <w:spacing w:val="4"/>
              </w:rPr>
              <w:t xml:space="preserve"> </w:t>
            </w:r>
            <w:r>
              <w:t>into</w:t>
            </w:r>
            <w:r>
              <w:rPr>
                <w:spacing w:val="3"/>
              </w:rPr>
              <w:t xml:space="preserve"> </w:t>
            </w:r>
            <w:r>
              <w:t>its</w:t>
            </w:r>
            <w:r>
              <w:rPr>
                <w:spacing w:val="4"/>
              </w:rPr>
              <w:t xml:space="preserve"> </w:t>
            </w:r>
            <w:r>
              <w:rPr>
                <w:spacing w:val="-2"/>
              </w:rPr>
              <w:t>analysis</w:t>
            </w:r>
          </w:p>
          <w:p w14:paraId="3D110AE8" w14:textId="77777777" w:rsidR="009457C2" w:rsidRDefault="009457C2" w:rsidP="0000278A">
            <w:pPr>
              <w:pStyle w:val="Bullet"/>
            </w:pPr>
            <w:r>
              <w:t>contribute more generally to the effective regulation of banking and finance on climate risk and natural capital management through the Council of Financial Regulators and international forums.</w:t>
            </w:r>
          </w:p>
        </w:tc>
      </w:tr>
      <w:tr w:rsidR="009457C2" w14:paraId="2620494C" w14:textId="77777777" w:rsidTr="003E3A78">
        <w:trPr>
          <w:gridBefore w:val="1"/>
          <w:wBefore w:w="101" w:type="pct"/>
          <w:trHeight w:val="1390"/>
        </w:trPr>
        <w:tc>
          <w:tcPr>
            <w:tcW w:w="371" w:type="pct"/>
            <w:gridSpan w:val="2"/>
            <w:tcBorders>
              <w:top w:val="single" w:sz="8" w:space="0" w:color="ECEDE9"/>
            </w:tcBorders>
          </w:tcPr>
          <w:p w14:paraId="0ABFA97D" w14:textId="77777777" w:rsidR="009457C2" w:rsidRDefault="009457C2" w:rsidP="009457C2">
            <w:r>
              <w:t>7.2</w:t>
            </w:r>
          </w:p>
        </w:tc>
        <w:tc>
          <w:tcPr>
            <w:tcW w:w="4529" w:type="pct"/>
            <w:gridSpan w:val="2"/>
            <w:tcBorders>
              <w:top w:val="single" w:sz="8" w:space="0" w:color="ECEDE9"/>
            </w:tcBorders>
          </w:tcPr>
          <w:p w14:paraId="75D5CCD7" w14:textId="77777777" w:rsidR="009457C2" w:rsidRDefault="009457C2" w:rsidP="009457C2">
            <w:r>
              <w:t>The Government should not make transition to a low carbon economy an explicit objective of monetary policy. The Government should set the mix of policies to pursue and manage the transition, rather than the RBA using its balance sheet or directing private lending to accelerate transition.</w:t>
            </w:r>
          </w:p>
        </w:tc>
      </w:tr>
    </w:tbl>
    <w:p w14:paraId="4EC59CF1" w14:textId="34CD868F" w:rsidR="00E36661" w:rsidRDefault="00E36661" w:rsidP="006D6D55">
      <w:pPr>
        <w:pStyle w:val="Heading2"/>
      </w:pPr>
      <w:bookmarkStart w:id="19" w:name="_Toc134220992"/>
      <w:r>
        <w:lastRenderedPageBreak/>
        <w:t>Stronger</w:t>
      </w:r>
      <w:r>
        <w:rPr>
          <w:spacing w:val="-19"/>
        </w:rPr>
        <w:t xml:space="preserve"> </w:t>
      </w:r>
      <w:r w:rsidRPr="006D6D55">
        <w:t>monetary</w:t>
      </w:r>
      <w:r>
        <w:rPr>
          <w:spacing w:val="-19"/>
        </w:rPr>
        <w:t xml:space="preserve"> </w:t>
      </w:r>
      <w:r>
        <w:t>policy</w:t>
      </w:r>
      <w:r>
        <w:rPr>
          <w:spacing w:val="-19"/>
        </w:rPr>
        <w:t xml:space="preserve"> </w:t>
      </w:r>
      <w:r>
        <w:t>decision</w:t>
      </w:r>
      <w:r>
        <w:rPr>
          <w:spacing w:val="-19"/>
        </w:rPr>
        <w:t xml:space="preserve"> </w:t>
      </w:r>
      <w:r>
        <w:t>making and accountability</w:t>
      </w:r>
      <w:bookmarkEnd w:id="19"/>
    </w:p>
    <w:tbl>
      <w:tblPr>
        <w:tblW w:w="5000" w:type="pct"/>
        <w:tblCellMar>
          <w:left w:w="0" w:type="dxa"/>
          <w:right w:w="0" w:type="dxa"/>
        </w:tblCellMar>
        <w:tblLook w:val="01E0" w:firstRow="1" w:lastRow="1" w:firstColumn="1" w:lastColumn="1" w:noHBand="0" w:noVBand="0"/>
      </w:tblPr>
      <w:tblGrid>
        <w:gridCol w:w="796"/>
        <w:gridCol w:w="51"/>
        <w:gridCol w:w="8223"/>
      </w:tblGrid>
      <w:tr w:rsidR="00415203" w14:paraId="738F80B2" w14:textId="77777777" w:rsidTr="00D238EE">
        <w:trPr>
          <w:trHeight w:val="791"/>
        </w:trPr>
        <w:tc>
          <w:tcPr>
            <w:tcW w:w="5000" w:type="pct"/>
            <w:gridSpan w:val="3"/>
            <w:tcBorders>
              <w:bottom w:val="single" w:sz="8" w:space="0" w:color="ECEDE9"/>
            </w:tcBorders>
          </w:tcPr>
          <w:p w14:paraId="54C0627F" w14:textId="77777777" w:rsidR="00415203" w:rsidRDefault="00415203" w:rsidP="008709A2">
            <w:pPr>
              <w:pStyle w:val="Heading4"/>
            </w:pPr>
            <w:r>
              <w:t>Recommendation 8: Constitute an expert Monetary Policy Board with diverse perspectives and knowledge</w:t>
            </w:r>
          </w:p>
        </w:tc>
      </w:tr>
      <w:tr w:rsidR="00415203" w14:paraId="67AE9420" w14:textId="77777777" w:rsidTr="00D238EE">
        <w:trPr>
          <w:trHeight w:val="1031"/>
        </w:trPr>
        <w:tc>
          <w:tcPr>
            <w:tcW w:w="439" w:type="pct"/>
            <w:tcBorders>
              <w:top w:val="single" w:sz="8" w:space="0" w:color="ECEDE9"/>
              <w:bottom w:val="single" w:sz="8" w:space="0" w:color="ECEDE9"/>
            </w:tcBorders>
          </w:tcPr>
          <w:p w14:paraId="63490F58" w14:textId="77777777" w:rsidR="00415203" w:rsidRDefault="00415203" w:rsidP="006D6D55">
            <w:r>
              <w:t>8.1</w:t>
            </w:r>
          </w:p>
        </w:tc>
        <w:tc>
          <w:tcPr>
            <w:tcW w:w="4561" w:type="pct"/>
            <w:gridSpan w:val="2"/>
            <w:tcBorders>
              <w:top w:val="single" w:sz="8" w:space="0" w:color="ECEDE9"/>
              <w:bottom w:val="single" w:sz="8" w:space="0" w:color="ECEDE9"/>
            </w:tcBorders>
          </w:tcPr>
          <w:p w14:paraId="04DE855B" w14:textId="77777777" w:rsidR="00415203" w:rsidRDefault="00415203" w:rsidP="006D6D55">
            <w:r>
              <w:t>The Government should constitute a Monetary Policy Board with responsibility for monetary policy decisions and oversight of the RBA’s contribution to financial system stability (except payments system policy), but not broader corporate governance.</w:t>
            </w:r>
          </w:p>
        </w:tc>
      </w:tr>
      <w:tr w:rsidR="00415203" w14:paraId="7B2F64C2" w14:textId="77777777" w:rsidTr="00D238EE">
        <w:trPr>
          <w:trHeight w:val="801"/>
        </w:trPr>
        <w:tc>
          <w:tcPr>
            <w:tcW w:w="439" w:type="pct"/>
            <w:tcBorders>
              <w:top w:val="single" w:sz="8" w:space="0" w:color="ECEDE9"/>
              <w:bottom w:val="single" w:sz="8" w:space="0" w:color="ECEDE9"/>
            </w:tcBorders>
          </w:tcPr>
          <w:p w14:paraId="2F7585F0" w14:textId="77777777" w:rsidR="00415203" w:rsidRDefault="00415203" w:rsidP="006D6D55">
            <w:r>
              <w:t>8.2</w:t>
            </w:r>
          </w:p>
        </w:tc>
        <w:tc>
          <w:tcPr>
            <w:tcW w:w="4561" w:type="pct"/>
            <w:gridSpan w:val="2"/>
            <w:tcBorders>
              <w:top w:val="single" w:sz="8" w:space="0" w:color="ECEDE9"/>
              <w:bottom w:val="single" w:sz="8" w:space="0" w:color="ECEDE9"/>
            </w:tcBorders>
          </w:tcPr>
          <w:p w14:paraId="4AA01AC2" w14:textId="77777777" w:rsidR="00415203" w:rsidRDefault="00415203" w:rsidP="006D6D55">
            <w:r>
              <w:t>The Monetary Policy Board should comprise the Governor, Deputy Governor, Treasury Secretary and 6 external members, with the Governor as chair.</w:t>
            </w:r>
          </w:p>
        </w:tc>
      </w:tr>
      <w:tr w:rsidR="00415203" w14:paraId="642F4C9E" w14:textId="77777777" w:rsidTr="00D238EE">
        <w:trPr>
          <w:trHeight w:val="1491"/>
        </w:trPr>
        <w:tc>
          <w:tcPr>
            <w:tcW w:w="439" w:type="pct"/>
            <w:tcBorders>
              <w:top w:val="single" w:sz="8" w:space="0" w:color="ECEDE9"/>
              <w:bottom w:val="single" w:sz="8" w:space="0" w:color="ECEDE9"/>
            </w:tcBorders>
          </w:tcPr>
          <w:p w14:paraId="64394FF9" w14:textId="77777777" w:rsidR="00415203" w:rsidRDefault="00415203" w:rsidP="006D6D55">
            <w:r>
              <w:t>8.3</w:t>
            </w:r>
          </w:p>
        </w:tc>
        <w:tc>
          <w:tcPr>
            <w:tcW w:w="4561" w:type="pct"/>
            <w:gridSpan w:val="2"/>
            <w:tcBorders>
              <w:top w:val="single" w:sz="8" w:space="0" w:color="ECEDE9"/>
              <w:bottom w:val="single" w:sz="8" w:space="0" w:color="ECEDE9"/>
            </w:tcBorders>
          </w:tcPr>
          <w:p w14:paraId="05BDFA13" w14:textId="77777777" w:rsidR="00415203" w:rsidRDefault="00415203" w:rsidP="006D6D55">
            <w:r>
              <w:t xml:space="preserve">The Government should clarify in the </w:t>
            </w:r>
            <w:r>
              <w:rPr>
                <w:i/>
              </w:rPr>
              <w:t xml:space="preserve">Reserve Bank Act 1959 </w:t>
            </w:r>
            <w:r>
              <w:t xml:space="preserve">that the Treasury Secretary acts on the Monetary Policy Board in their individual capacity not at the direction of the Treasurer. The </w:t>
            </w:r>
            <w:r>
              <w:rPr>
                <w:i/>
              </w:rPr>
              <w:t xml:space="preserve">Statement on the Conduct of Monetary Policy </w:t>
            </w:r>
            <w:r>
              <w:t>should state that the Treasury Secretary has a responsibility to provide insight on the outlook for the economy and for fiscal policy.</w:t>
            </w:r>
          </w:p>
        </w:tc>
      </w:tr>
      <w:tr w:rsidR="00415203" w14:paraId="15229B71" w14:textId="77777777" w:rsidTr="00D238EE">
        <w:trPr>
          <w:trHeight w:val="1327"/>
        </w:trPr>
        <w:tc>
          <w:tcPr>
            <w:tcW w:w="439" w:type="pct"/>
            <w:tcBorders>
              <w:top w:val="single" w:sz="8" w:space="0" w:color="ECEDE9"/>
              <w:bottom w:val="single" w:sz="8" w:space="0" w:color="ECEDE9"/>
            </w:tcBorders>
          </w:tcPr>
          <w:p w14:paraId="059B3F90" w14:textId="77777777" w:rsidR="00415203" w:rsidRDefault="00415203" w:rsidP="006D6D55">
            <w:r>
              <w:t>8.4</w:t>
            </w:r>
          </w:p>
        </w:tc>
        <w:tc>
          <w:tcPr>
            <w:tcW w:w="4561" w:type="pct"/>
            <w:gridSpan w:val="2"/>
            <w:tcBorders>
              <w:top w:val="single" w:sz="8" w:space="0" w:color="ECEDE9"/>
              <w:bottom w:val="single" w:sz="8" w:space="0" w:color="ECEDE9"/>
            </w:tcBorders>
          </w:tcPr>
          <w:p w14:paraId="2FE23BF3" w14:textId="77777777" w:rsidR="00415203" w:rsidRDefault="00415203" w:rsidP="006D6D55">
            <w:r>
              <w:t>The Monetary Policy Board’s external members should be able to make a significant contribution to monetary policy setting through expertise in areas such as open-economy macroeconomics, the financial system, labour markets, or the supply side of the economy, and in the context of decision making</w:t>
            </w:r>
            <w:r>
              <w:rPr>
                <w:spacing w:val="80"/>
              </w:rPr>
              <w:t xml:space="preserve"> </w:t>
            </w:r>
            <w:r>
              <w:t>under uncertainty.</w:t>
            </w:r>
          </w:p>
        </w:tc>
      </w:tr>
      <w:tr w:rsidR="00CD76E3" w14:paraId="0D54EFBC" w14:textId="77777777" w:rsidTr="001D75F6">
        <w:trPr>
          <w:trHeight w:val="1327"/>
        </w:trPr>
        <w:tc>
          <w:tcPr>
            <w:tcW w:w="439" w:type="pct"/>
            <w:tcBorders>
              <w:top w:val="single" w:sz="8" w:space="0" w:color="ECEDE9"/>
              <w:bottom w:val="single" w:sz="8" w:space="0" w:color="ECEDE9"/>
            </w:tcBorders>
          </w:tcPr>
          <w:p w14:paraId="0B7126EF" w14:textId="57D89177" w:rsidR="00CD76E3" w:rsidRDefault="00CD76E3" w:rsidP="006D6D55">
            <w:r>
              <w:t>8.5</w:t>
            </w:r>
          </w:p>
        </w:tc>
        <w:tc>
          <w:tcPr>
            <w:tcW w:w="4561" w:type="pct"/>
            <w:gridSpan w:val="2"/>
            <w:tcBorders>
              <w:top w:val="single" w:sz="8" w:space="0" w:color="ECEDE9"/>
              <w:bottom w:val="single" w:sz="8" w:space="0" w:color="ECEDE9"/>
            </w:tcBorders>
          </w:tcPr>
          <w:p w14:paraId="0EEF4C75" w14:textId="2A51642A" w:rsidR="00CD76E3" w:rsidRDefault="00CD76E3" w:rsidP="006D6D55">
            <w:r>
              <w:t>External Monetary Policy Board members should be appointed through a transparent process. Positions should be advertised for expressions of interest, drawing on a matrix of required skills and experience. A panel comprising the Treasury Secretary, the Governor and a third party should recommend options for suitable candidates to the Treasurer.</w:t>
            </w:r>
          </w:p>
        </w:tc>
      </w:tr>
      <w:tr w:rsidR="00CD76E3" w14:paraId="7BABA390" w14:textId="77777777" w:rsidTr="001D75F6">
        <w:trPr>
          <w:trHeight w:val="1327"/>
        </w:trPr>
        <w:tc>
          <w:tcPr>
            <w:tcW w:w="439" w:type="pct"/>
            <w:tcBorders>
              <w:top w:val="single" w:sz="8" w:space="0" w:color="ECEDE9"/>
            </w:tcBorders>
          </w:tcPr>
          <w:p w14:paraId="58B9EDD9" w14:textId="02AEB6D7" w:rsidR="00CD76E3" w:rsidRDefault="00CD76E3" w:rsidP="006D6D55">
            <w:r>
              <w:t>8.6</w:t>
            </w:r>
          </w:p>
        </w:tc>
        <w:tc>
          <w:tcPr>
            <w:tcW w:w="4561" w:type="pct"/>
            <w:gridSpan w:val="2"/>
            <w:tcBorders>
              <w:top w:val="single" w:sz="8" w:space="0" w:color="ECEDE9"/>
            </w:tcBorders>
          </w:tcPr>
          <w:p w14:paraId="6FE6933E" w14:textId="03A8FC66" w:rsidR="00CD76E3" w:rsidRDefault="00CD76E3" w:rsidP="006D6D55">
            <w:r>
              <w:t>External members of the Monetary Policy Board should be appointed for a term of 5 years, with the possibility of reappointment for up to one year, if flexibility is needed. End dates should be staggered.</w:t>
            </w:r>
          </w:p>
        </w:tc>
      </w:tr>
      <w:tr w:rsidR="00AB2CE9" w14:paraId="7FE795E2" w14:textId="77777777" w:rsidTr="001D75F6">
        <w:trPr>
          <w:trHeight w:val="996"/>
        </w:trPr>
        <w:tc>
          <w:tcPr>
            <w:tcW w:w="5000" w:type="pct"/>
            <w:gridSpan w:val="3"/>
            <w:tcBorders>
              <w:bottom w:val="single" w:sz="8" w:space="0" w:color="ECEDE9"/>
            </w:tcBorders>
          </w:tcPr>
          <w:p w14:paraId="76359023" w14:textId="161EE077" w:rsidR="00AB2CE9" w:rsidRDefault="00AB2CE9" w:rsidP="006A543B">
            <w:pPr>
              <w:pStyle w:val="Heading4"/>
            </w:pPr>
            <w:r>
              <w:t>Recommendation 9: Improve processes to support deeper consideration of monetary policy decisions, strategy and research</w:t>
            </w:r>
          </w:p>
        </w:tc>
      </w:tr>
      <w:tr w:rsidR="00AB2CE9" w14:paraId="7C026C30" w14:textId="77777777" w:rsidTr="00D238EE">
        <w:trPr>
          <w:trHeight w:val="1327"/>
        </w:trPr>
        <w:tc>
          <w:tcPr>
            <w:tcW w:w="439" w:type="pct"/>
            <w:tcBorders>
              <w:top w:val="single" w:sz="8" w:space="0" w:color="ECEDE9"/>
            </w:tcBorders>
          </w:tcPr>
          <w:p w14:paraId="24807753" w14:textId="3995FA64" w:rsidR="00AB2CE9" w:rsidRDefault="00AB2CE9" w:rsidP="006A543B">
            <w:pPr>
              <w:keepNext/>
            </w:pPr>
            <w:r>
              <w:t>9.1</w:t>
            </w:r>
          </w:p>
        </w:tc>
        <w:tc>
          <w:tcPr>
            <w:tcW w:w="4561" w:type="pct"/>
            <w:gridSpan w:val="2"/>
            <w:tcBorders>
              <w:top w:val="single" w:sz="8" w:space="0" w:color="ECEDE9"/>
            </w:tcBorders>
          </w:tcPr>
          <w:p w14:paraId="49B39AE8" w14:textId="77777777" w:rsidR="00AB2CE9" w:rsidRDefault="00AB2CE9" w:rsidP="006A543B">
            <w:pPr>
              <w:keepNext/>
            </w:pPr>
            <w:r>
              <w:t>The Monetary Policy Board should meet 8 rather than 11 times a year to allow for more in-depth discussions including of the forecast, strategy and other monetary policy issues. The meeting cycles should:</w:t>
            </w:r>
          </w:p>
          <w:p w14:paraId="0A4A8230" w14:textId="77777777" w:rsidR="00AB2CE9" w:rsidRDefault="00AB2CE9" w:rsidP="006A543B">
            <w:pPr>
              <w:pStyle w:val="Bullet"/>
              <w:keepNext/>
            </w:pPr>
            <w:r>
              <w:t>allow sufficient time between initial discussion of the issues and the final decision for members to reflect on the issues and request follow-up analysis as necessary</w:t>
            </w:r>
          </w:p>
          <w:p w14:paraId="6F6E781A" w14:textId="69D47649" w:rsidR="00AB2CE9" w:rsidRDefault="00AB2CE9" w:rsidP="006A543B">
            <w:pPr>
              <w:pStyle w:val="Bullet"/>
              <w:keepNext/>
            </w:pPr>
            <w:r>
              <w:t>provide</w:t>
            </w:r>
            <w:r>
              <w:rPr>
                <w:spacing w:val="2"/>
              </w:rPr>
              <w:t xml:space="preserve"> </w:t>
            </w:r>
            <w:r>
              <w:t>opportunities</w:t>
            </w:r>
            <w:r>
              <w:rPr>
                <w:spacing w:val="3"/>
              </w:rPr>
              <w:t xml:space="preserve"> </w:t>
            </w:r>
            <w:r>
              <w:t>for</w:t>
            </w:r>
            <w:r>
              <w:rPr>
                <w:spacing w:val="2"/>
              </w:rPr>
              <w:t xml:space="preserve"> </w:t>
            </w:r>
            <w:r>
              <w:t>the</w:t>
            </w:r>
            <w:r>
              <w:rPr>
                <w:spacing w:val="3"/>
              </w:rPr>
              <w:t xml:space="preserve"> </w:t>
            </w:r>
            <w:r>
              <w:t>Monetary</w:t>
            </w:r>
            <w:r>
              <w:rPr>
                <w:spacing w:val="2"/>
              </w:rPr>
              <w:t xml:space="preserve"> </w:t>
            </w:r>
            <w:r>
              <w:t>Policy</w:t>
            </w:r>
            <w:r>
              <w:rPr>
                <w:spacing w:val="3"/>
              </w:rPr>
              <w:t xml:space="preserve"> </w:t>
            </w:r>
            <w:r>
              <w:t>Board</w:t>
            </w:r>
            <w:r>
              <w:rPr>
                <w:spacing w:val="2"/>
              </w:rPr>
              <w:t xml:space="preserve"> </w:t>
            </w:r>
            <w:r>
              <w:t>to</w:t>
            </w:r>
            <w:r>
              <w:rPr>
                <w:spacing w:val="3"/>
              </w:rPr>
              <w:t xml:space="preserve"> </w:t>
            </w:r>
            <w:r>
              <w:t>hear</w:t>
            </w:r>
            <w:r>
              <w:rPr>
                <w:spacing w:val="2"/>
              </w:rPr>
              <w:t xml:space="preserve"> </w:t>
            </w:r>
            <w:r>
              <w:t>the</w:t>
            </w:r>
            <w:r>
              <w:rPr>
                <w:spacing w:val="3"/>
              </w:rPr>
              <w:t xml:space="preserve"> </w:t>
            </w:r>
            <w:r>
              <w:t>views</w:t>
            </w:r>
            <w:r>
              <w:rPr>
                <w:spacing w:val="2"/>
              </w:rPr>
              <w:t xml:space="preserve"> </w:t>
            </w:r>
            <w:r>
              <w:t>of</w:t>
            </w:r>
            <w:r>
              <w:rPr>
                <w:spacing w:val="3"/>
              </w:rPr>
              <w:t xml:space="preserve"> </w:t>
            </w:r>
            <w:r>
              <w:t>a</w:t>
            </w:r>
            <w:r>
              <w:rPr>
                <w:spacing w:val="3"/>
              </w:rPr>
              <w:t xml:space="preserve"> </w:t>
            </w:r>
            <w:r>
              <w:rPr>
                <w:spacing w:val="-2"/>
              </w:rPr>
              <w:t>wider</w:t>
            </w:r>
            <w:r w:rsidR="006D6D55">
              <w:rPr>
                <w:spacing w:val="-2"/>
              </w:rPr>
              <w:t xml:space="preserve"> </w:t>
            </w:r>
            <w:r>
              <w:t>range of RBA</w:t>
            </w:r>
            <w:r>
              <w:rPr>
                <w:spacing w:val="1"/>
              </w:rPr>
              <w:t xml:space="preserve"> </w:t>
            </w:r>
            <w:r>
              <w:t>staff on</w:t>
            </w:r>
            <w:r>
              <w:rPr>
                <w:spacing w:val="1"/>
              </w:rPr>
              <w:t xml:space="preserve"> </w:t>
            </w:r>
            <w:r>
              <w:t>issues that would</w:t>
            </w:r>
            <w:r>
              <w:rPr>
                <w:spacing w:val="1"/>
              </w:rPr>
              <w:t xml:space="preserve"> </w:t>
            </w:r>
            <w:r>
              <w:t>inform the</w:t>
            </w:r>
            <w:r>
              <w:rPr>
                <w:spacing w:val="1"/>
              </w:rPr>
              <w:t xml:space="preserve"> </w:t>
            </w:r>
            <w:r>
              <w:rPr>
                <w:spacing w:val="-2"/>
              </w:rPr>
              <w:t>decision.</w:t>
            </w:r>
          </w:p>
        </w:tc>
      </w:tr>
      <w:tr w:rsidR="00AB2CE9" w14:paraId="383C8DA8" w14:textId="77777777" w:rsidTr="00D238EE">
        <w:trPr>
          <w:trHeight w:val="802"/>
        </w:trPr>
        <w:tc>
          <w:tcPr>
            <w:tcW w:w="439" w:type="pct"/>
            <w:tcBorders>
              <w:top w:val="single" w:sz="8" w:space="0" w:color="ECEDE9"/>
            </w:tcBorders>
          </w:tcPr>
          <w:p w14:paraId="600548D8" w14:textId="06134844" w:rsidR="00AB2CE9" w:rsidRDefault="00AB2CE9" w:rsidP="006D6D55">
            <w:r>
              <w:t>9.2</w:t>
            </w:r>
          </w:p>
        </w:tc>
        <w:tc>
          <w:tcPr>
            <w:tcW w:w="4561" w:type="pct"/>
            <w:gridSpan w:val="2"/>
            <w:tcBorders>
              <w:top w:val="single" w:sz="8" w:space="0" w:color="ECEDE9"/>
            </w:tcBorders>
          </w:tcPr>
          <w:p w14:paraId="45C88253" w14:textId="270DBA31" w:rsidR="00AB2CE9" w:rsidRDefault="00AB2CE9" w:rsidP="006D6D55">
            <w:r>
              <w:t>The 6</w:t>
            </w:r>
            <w:r>
              <w:rPr>
                <w:spacing w:val="3"/>
              </w:rPr>
              <w:t xml:space="preserve"> </w:t>
            </w:r>
            <w:r>
              <w:t>external</w:t>
            </w:r>
            <w:r>
              <w:rPr>
                <w:spacing w:val="3"/>
              </w:rPr>
              <w:t xml:space="preserve"> </w:t>
            </w:r>
            <w:r>
              <w:t>Monetary</w:t>
            </w:r>
            <w:r>
              <w:rPr>
                <w:spacing w:val="2"/>
              </w:rPr>
              <w:t xml:space="preserve"> </w:t>
            </w:r>
            <w:r>
              <w:t>Policy</w:t>
            </w:r>
            <w:r>
              <w:rPr>
                <w:spacing w:val="3"/>
              </w:rPr>
              <w:t xml:space="preserve"> </w:t>
            </w:r>
            <w:r>
              <w:t>Board</w:t>
            </w:r>
            <w:r>
              <w:rPr>
                <w:spacing w:val="3"/>
              </w:rPr>
              <w:t xml:space="preserve"> </w:t>
            </w:r>
            <w:r>
              <w:t>members</w:t>
            </w:r>
            <w:r>
              <w:rPr>
                <w:spacing w:val="2"/>
              </w:rPr>
              <w:t xml:space="preserve"> </w:t>
            </w:r>
            <w:r>
              <w:t>should</w:t>
            </w:r>
            <w:r>
              <w:rPr>
                <w:spacing w:val="3"/>
              </w:rPr>
              <w:t xml:space="preserve"> </w:t>
            </w:r>
            <w:r>
              <w:t>have</w:t>
            </w:r>
            <w:r>
              <w:rPr>
                <w:spacing w:val="3"/>
              </w:rPr>
              <w:t xml:space="preserve"> </w:t>
            </w:r>
            <w:r>
              <w:t>direct</w:t>
            </w:r>
            <w:r>
              <w:rPr>
                <w:spacing w:val="2"/>
              </w:rPr>
              <w:t xml:space="preserve"> </w:t>
            </w:r>
            <w:r>
              <w:t>access</w:t>
            </w:r>
            <w:r>
              <w:rPr>
                <w:spacing w:val="3"/>
              </w:rPr>
              <w:t xml:space="preserve"> </w:t>
            </w:r>
            <w:r>
              <w:t>to</w:t>
            </w:r>
            <w:r>
              <w:rPr>
                <w:spacing w:val="3"/>
              </w:rPr>
              <w:t xml:space="preserve"> </w:t>
            </w:r>
            <w:r>
              <w:t>RBA</w:t>
            </w:r>
            <w:r w:rsidR="006D6D55">
              <w:t xml:space="preserve"> </w:t>
            </w:r>
            <w:r>
              <w:t>staff</w:t>
            </w:r>
            <w:r>
              <w:rPr>
                <w:spacing w:val="1"/>
              </w:rPr>
              <w:t xml:space="preserve"> </w:t>
            </w:r>
            <w:r>
              <w:t>for</w:t>
            </w:r>
            <w:r>
              <w:rPr>
                <w:spacing w:val="3"/>
              </w:rPr>
              <w:t xml:space="preserve"> </w:t>
            </w:r>
            <w:r>
              <w:t>support</w:t>
            </w:r>
            <w:r>
              <w:rPr>
                <w:spacing w:val="3"/>
              </w:rPr>
              <w:t xml:space="preserve"> </w:t>
            </w:r>
            <w:r>
              <w:t>on</w:t>
            </w:r>
            <w:r>
              <w:rPr>
                <w:spacing w:val="3"/>
              </w:rPr>
              <w:t xml:space="preserve"> </w:t>
            </w:r>
            <w:r>
              <w:t>technical</w:t>
            </w:r>
            <w:r>
              <w:rPr>
                <w:spacing w:val="3"/>
              </w:rPr>
              <w:t xml:space="preserve"> </w:t>
            </w:r>
            <w:r>
              <w:t>matters</w:t>
            </w:r>
            <w:r>
              <w:rPr>
                <w:spacing w:val="3"/>
              </w:rPr>
              <w:t xml:space="preserve"> </w:t>
            </w:r>
            <w:r>
              <w:t>and</w:t>
            </w:r>
            <w:r>
              <w:rPr>
                <w:spacing w:val="3"/>
              </w:rPr>
              <w:t xml:space="preserve"> </w:t>
            </w:r>
            <w:r>
              <w:t>additional</w:t>
            </w:r>
            <w:r>
              <w:rPr>
                <w:spacing w:val="3"/>
              </w:rPr>
              <w:t xml:space="preserve"> </w:t>
            </w:r>
            <w:r>
              <w:t>analysis</w:t>
            </w:r>
            <w:r>
              <w:rPr>
                <w:spacing w:val="3"/>
              </w:rPr>
              <w:t xml:space="preserve"> </w:t>
            </w:r>
            <w:r>
              <w:t>when</w:t>
            </w:r>
            <w:r>
              <w:rPr>
                <w:spacing w:val="3"/>
              </w:rPr>
              <w:t xml:space="preserve"> </w:t>
            </w:r>
            <w:r>
              <w:rPr>
                <w:spacing w:val="-2"/>
              </w:rPr>
              <w:t>requested.</w:t>
            </w:r>
          </w:p>
        </w:tc>
      </w:tr>
      <w:tr w:rsidR="00AB2CE9" w14:paraId="4795E316" w14:textId="77777777" w:rsidTr="00D238EE">
        <w:trPr>
          <w:trHeight w:val="1327"/>
        </w:trPr>
        <w:tc>
          <w:tcPr>
            <w:tcW w:w="439" w:type="pct"/>
            <w:tcBorders>
              <w:top w:val="single" w:sz="8" w:space="0" w:color="ECEDE9"/>
            </w:tcBorders>
          </w:tcPr>
          <w:p w14:paraId="55651FF9" w14:textId="5C35A107" w:rsidR="00AB2CE9" w:rsidRDefault="00AB2CE9" w:rsidP="006D6D55">
            <w:r>
              <w:lastRenderedPageBreak/>
              <w:t>9.3</w:t>
            </w:r>
          </w:p>
        </w:tc>
        <w:tc>
          <w:tcPr>
            <w:tcW w:w="4561" w:type="pct"/>
            <w:gridSpan w:val="2"/>
            <w:tcBorders>
              <w:top w:val="single" w:sz="8" w:space="0" w:color="ECEDE9"/>
            </w:tcBorders>
          </w:tcPr>
          <w:p w14:paraId="23888653" w14:textId="106F61D0" w:rsidR="00AB2CE9" w:rsidRDefault="00AB2CE9" w:rsidP="006D6D55">
            <w:r>
              <w:t>The RBA should increase its forecasting and macroeconometric modelling capability, for</w:t>
            </w:r>
            <w:r>
              <w:rPr>
                <w:spacing w:val="-1"/>
              </w:rPr>
              <w:t xml:space="preserve"> </w:t>
            </w:r>
            <w:r>
              <w:t>example</w:t>
            </w:r>
            <w:r>
              <w:rPr>
                <w:spacing w:val="-1"/>
              </w:rPr>
              <w:t xml:space="preserve"> </w:t>
            </w:r>
            <w:r>
              <w:t>around</w:t>
            </w:r>
            <w:r>
              <w:rPr>
                <w:spacing w:val="-1"/>
              </w:rPr>
              <w:t xml:space="preserve"> </w:t>
            </w:r>
            <w:r>
              <w:t>the</w:t>
            </w:r>
            <w:r>
              <w:rPr>
                <w:spacing w:val="-1"/>
              </w:rPr>
              <w:t xml:space="preserve"> </w:t>
            </w:r>
            <w:r>
              <w:t>supply</w:t>
            </w:r>
            <w:r>
              <w:rPr>
                <w:spacing w:val="-1"/>
              </w:rPr>
              <w:t xml:space="preserve"> </w:t>
            </w:r>
            <w:r>
              <w:t>side</w:t>
            </w:r>
            <w:r>
              <w:rPr>
                <w:spacing w:val="-1"/>
              </w:rPr>
              <w:t xml:space="preserve"> </w:t>
            </w:r>
            <w:r>
              <w:t>of</w:t>
            </w:r>
            <w:r>
              <w:rPr>
                <w:spacing w:val="-1"/>
              </w:rPr>
              <w:t xml:space="preserve"> </w:t>
            </w:r>
            <w:r>
              <w:t>the</w:t>
            </w:r>
            <w:r>
              <w:rPr>
                <w:spacing w:val="-1"/>
              </w:rPr>
              <w:t xml:space="preserve"> </w:t>
            </w:r>
            <w:r>
              <w:t>economy</w:t>
            </w:r>
            <w:r>
              <w:rPr>
                <w:spacing w:val="-1"/>
              </w:rPr>
              <w:t xml:space="preserve"> </w:t>
            </w:r>
            <w:r>
              <w:t>and</w:t>
            </w:r>
            <w:r>
              <w:rPr>
                <w:spacing w:val="-1"/>
              </w:rPr>
              <w:t xml:space="preserve"> </w:t>
            </w:r>
            <w:r>
              <w:t>fiscal</w:t>
            </w:r>
            <w:r>
              <w:rPr>
                <w:spacing w:val="-1"/>
              </w:rPr>
              <w:t xml:space="preserve"> </w:t>
            </w:r>
            <w:r>
              <w:t>policy</w:t>
            </w:r>
            <w:r>
              <w:rPr>
                <w:spacing w:val="-1"/>
              </w:rPr>
              <w:t xml:space="preserve"> </w:t>
            </w:r>
            <w:r>
              <w:t>and</w:t>
            </w:r>
            <w:r>
              <w:rPr>
                <w:spacing w:val="-1"/>
              </w:rPr>
              <w:t xml:space="preserve"> </w:t>
            </w:r>
            <w:r>
              <w:t>continue</w:t>
            </w:r>
            <w:r>
              <w:rPr>
                <w:spacing w:val="-1"/>
              </w:rPr>
              <w:t xml:space="preserve"> </w:t>
            </w:r>
            <w:r>
              <w:t>to build on its use of new data sets. This will support better consideration of monetary policy strategy under uncertainty.</w:t>
            </w:r>
          </w:p>
        </w:tc>
      </w:tr>
      <w:tr w:rsidR="00AB2CE9" w14:paraId="5FB25191" w14:textId="77777777" w:rsidTr="001D75F6">
        <w:trPr>
          <w:trHeight w:val="904"/>
        </w:trPr>
        <w:tc>
          <w:tcPr>
            <w:tcW w:w="439" w:type="pct"/>
            <w:tcBorders>
              <w:top w:val="single" w:sz="8" w:space="0" w:color="ECEDE9"/>
              <w:bottom w:val="single" w:sz="8" w:space="0" w:color="ECEDE9"/>
            </w:tcBorders>
          </w:tcPr>
          <w:p w14:paraId="6A822841" w14:textId="56F00376" w:rsidR="00AB2CE9" w:rsidRDefault="00AB2CE9" w:rsidP="006D6D55">
            <w:r>
              <w:t>9.4</w:t>
            </w:r>
          </w:p>
        </w:tc>
        <w:tc>
          <w:tcPr>
            <w:tcW w:w="4561" w:type="pct"/>
            <w:gridSpan w:val="2"/>
            <w:tcBorders>
              <w:top w:val="single" w:sz="8" w:space="0" w:color="ECEDE9"/>
              <w:bottom w:val="single" w:sz="8" w:space="0" w:color="ECEDE9"/>
            </w:tcBorders>
          </w:tcPr>
          <w:p w14:paraId="1E4F3509" w14:textId="50C1B343" w:rsidR="00AB2CE9" w:rsidRDefault="00AB2CE9" w:rsidP="006D6D55">
            <w:r>
              <w:t>The Monetary Policy Board should convene and engage with an expert advisory group on monetary policy.</w:t>
            </w:r>
          </w:p>
        </w:tc>
      </w:tr>
      <w:tr w:rsidR="00AB2CE9" w14:paraId="242DF227" w14:textId="77777777" w:rsidTr="001D75F6">
        <w:trPr>
          <w:trHeight w:val="1327"/>
        </w:trPr>
        <w:tc>
          <w:tcPr>
            <w:tcW w:w="439" w:type="pct"/>
            <w:tcBorders>
              <w:top w:val="single" w:sz="8" w:space="0" w:color="ECEDE9"/>
            </w:tcBorders>
          </w:tcPr>
          <w:p w14:paraId="29B7870F" w14:textId="11AF993D" w:rsidR="00AB2CE9" w:rsidRDefault="00AB2CE9" w:rsidP="006D6D55">
            <w:r>
              <w:t>9.5</w:t>
            </w:r>
          </w:p>
        </w:tc>
        <w:tc>
          <w:tcPr>
            <w:tcW w:w="4561" w:type="pct"/>
            <w:gridSpan w:val="2"/>
            <w:tcBorders>
              <w:top w:val="single" w:sz="8" w:space="0" w:color="ECEDE9"/>
            </w:tcBorders>
          </w:tcPr>
          <w:p w14:paraId="00C517C8" w14:textId="18967AB0" w:rsidR="00AB2CE9" w:rsidRDefault="00AB2CE9" w:rsidP="006D6D55">
            <w:r>
              <w:t>The Monetary Policy Board should receive, and request as necessary, briefings that more fully consider monetary policy strategy, alternate policy options, costs, benefits and risks.</w:t>
            </w:r>
          </w:p>
        </w:tc>
      </w:tr>
      <w:tr w:rsidR="008709A2" w:rsidRPr="007D532F" w14:paraId="47A20ED7" w14:textId="77777777" w:rsidTr="001D75F6">
        <w:trPr>
          <w:trHeight w:val="409"/>
        </w:trPr>
        <w:tc>
          <w:tcPr>
            <w:tcW w:w="5000" w:type="pct"/>
            <w:gridSpan w:val="3"/>
            <w:tcBorders>
              <w:bottom w:val="single" w:sz="8" w:space="0" w:color="ECEDE9"/>
            </w:tcBorders>
          </w:tcPr>
          <w:p w14:paraId="629D4D0E" w14:textId="77777777" w:rsidR="008709A2" w:rsidRPr="007D532F" w:rsidRDefault="008709A2" w:rsidP="008709A2">
            <w:pPr>
              <w:pStyle w:val="Heading4"/>
            </w:pPr>
            <w:r w:rsidRPr="007D532F">
              <w:t>Recommendation</w:t>
            </w:r>
            <w:r w:rsidRPr="007D532F">
              <w:rPr>
                <w:spacing w:val="2"/>
              </w:rPr>
              <w:t xml:space="preserve"> </w:t>
            </w:r>
            <w:r w:rsidRPr="007D532F">
              <w:t>10:</w:t>
            </w:r>
            <w:r w:rsidRPr="007D532F">
              <w:rPr>
                <w:spacing w:val="4"/>
              </w:rPr>
              <w:t xml:space="preserve"> </w:t>
            </w:r>
            <w:r w:rsidRPr="007D532F">
              <w:t>Strengthen</w:t>
            </w:r>
            <w:r w:rsidRPr="007D532F">
              <w:rPr>
                <w:spacing w:val="4"/>
              </w:rPr>
              <w:t xml:space="preserve"> </w:t>
            </w:r>
            <w:r w:rsidRPr="007D532F">
              <w:t>monetary</w:t>
            </w:r>
            <w:r w:rsidRPr="007D532F">
              <w:rPr>
                <w:spacing w:val="4"/>
              </w:rPr>
              <w:t xml:space="preserve"> </w:t>
            </w:r>
            <w:r w:rsidRPr="007D532F">
              <w:t>policy</w:t>
            </w:r>
            <w:r w:rsidRPr="007D532F">
              <w:rPr>
                <w:spacing w:val="4"/>
              </w:rPr>
              <w:t xml:space="preserve"> </w:t>
            </w:r>
            <w:r w:rsidRPr="007D532F">
              <w:t>transparency</w:t>
            </w:r>
            <w:r w:rsidRPr="007D532F">
              <w:rPr>
                <w:spacing w:val="4"/>
              </w:rPr>
              <w:t xml:space="preserve"> </w:t>
            </w:r>
            <w:r w:rsidRPr="007D532F">
              <w:t>and</w:t>
            </w:r>
            <w:r w:rsidRPr="007D532F">
              <w:rPr>
                <w:spacing w:val="4"/>
              </w:rPr>
              <w:t xml:space="preserve"> </w:t>
            </w:r>
            <w:r w:rsidRPr="007D532F">
              <w:rPr>
                <w:spacing w:val="-2"/>
              </w:rPr>
              <w:t>accountability</w:t>
            </w:r>
          </w:p>
        </w:tc>
      </w:tr>
      <w:tr w:rsidR="008709A2" w:rsidRPr="007D532F" w14:paraId="7E5A5023" w14:textId="77777777" w:rsidTr="00D238EE">
        <w:trPr>
          <w:trHeight w:val="801"/>
        </w:trPr>
        <w:tc>
          <w:tcPr>
            <w:tcW w:w="467" w:type="pct"/>
            <w:gridSpan w:val="2"/>
            <w:tcBorders>
              <w:top w:val="single" w:sz="8" w:space="0" w:color="ECEDE9"/>
              <w:bottom w:val="single" w:sz="8" w:space="0" w:color="ECEDE9"/>
            </w:tcBorders>
          </w:tcPr>
          <w:p w14:paraId="2F203881" w14:textId="77777777" w:rsidR="008709A2" w:rsidRPr="007D532F" w:rsidRDefault="008709A2" w:rsidP="008709A2">
            <w:r w:rsidRPr="007D532F">
              <w:t>10.1</w:t>
            </w:r>
          </w:p>
        </w:tc>
        <w:tc>
          <w:tcPr>
            <w:tcW w:w="4533" w:type="pct"/>
            <w:tcBorders>
              <w:top w:val="single" w:sz="8" w:space="0" w:color="ECEDE9"/>
              <w:bottom w:val="single" w:sz="8" w:space="0" w:color="ECEDE9"/>
            </w:tcBorders>
          </w:tcPr>
          <w:p w14:paraId="4DE8FDB8" w14:textId="44846D9F" w:rsidR="008709A2" w:rsidRPr="007D532F" w:rsidRDefault="008709A2" w:rsidP="008709A2">
            <w:r w:rsidRPr="007D532F">
              <w:t>The</w:t>
            </w:r>
            <w:r w:rsidRPr="007D532F">
              <w:rPr>
                <w:spacing w:val="-1"/>
              </w:rPr>
              <w:t xml:space="preserve"> </w:t>
            </w:r>
            <w:r w:rsidRPr="007D532F">
              <w:t>Governor</w:t>
            </w:r>
            <w:r w:rsidRPr="007D532F">
              <w:rPr>
                <w:spacing w:val="1"/>
              </w:rPr>
              <w:t xml:space="preserve"> </w:t>
            </w:r>
            <w:r w:rsidRPr="007D532F">
              <w:t>should</w:t>
            </w:r>
            <w:r w:rsidRPr="007D532F">
              <w:rPr>
                <w:spacing w:val="1"/>
              </w:rPr>
              <w:t xml:space="preserve"> </w:t>
            </w:r>
            <w:r w:rsidRPr="007D532F">
              <w:t>hold</w:t>
            </w:r>
            <w:r w:rsidRPr="007D532F">
              <w:rPr>
                <w:spacing w:val="1"/>
              </w:rPr>
              <w:t xml:space="preserve"> </w:t>
            </w:r>
            <w:r w:rsidRPr="007D532F">
              <w:t>a</w:t>
            </w:r>
            <w:r w:rsidRPr="007D532F">
              <w:rPr>
                <w:spacing w:val="1"/>
              </w:rPr>
              <w:t xml:space="preserve"> </w:t>
            </w:r>
            <w:r w:rsidRPr="007D532F">
              <w:t>press</w:t>
            </w:r>
            <w:r w:rsidRPr="007D532F">
              <w:rPr>
                <w:spacing w:val="1"/>
              </w:rPr>
              <w:t xml:space="preserve"> </w:t>
            </w:r>
            <w:r w:rsidRPr="007D532F">
              <w:t>conference</w:t>
            </w:r>
            <w:r w:rsidRPr="007D532F">
              <w:rPr>
                <w:spacing w:val="1"/>
              </w:rPr>
              <w:t xml:space="preserve"> </w:t>
            </w:r>
            <w:r w:rsidRPr="007D532F">
              <w:t>after</w:t>
            </w:r>
            <w:r w:rsidRPr="007D532F">
              <w:rPr>
                <w:spacing w:val="1"/>
              </w:rPr>
              <w:t xml:space="preserve"> </w:t>
            </w:r>
            <w:r w:rsidRPr="007D532F">
              <w:t>each</w:t>
            </w:r>
            <w:r w:rsidRPr="007D532F">
              <w:rPr>
                <w:spacing w:val="1"/>
              </w:rPr>
              <w:t xml:space="preserve"> </w:t>
            </w:r>
            <w:r w:rsidRPr="007D532F">
              <w:t>decision</w:t>
            </w:r>
            <w:r w:rsidRPr="007D532F">
              <w:rPr>
                <w:spacing w:val="1"/>
              </w:rPr>
              <w:t xml:space="preserve"> </w:t>
            </w:r>
            <w:r w:rsidRPr="007D532F">
              <w:t>meeting</w:t>
            </w:r>
            <w:r w:rsidRPr="007D532F">
              <w:rPr>
                <w:spacing w:val="2"/>
              </w:rPr>
              <w:t xml:space="preserve"> </w:t>
            </w:r>
            <w:r w:rsidRPr="007D532F">
              <w:rPr>
                <w:spacing w:val="-5"/>
              </w:rPr>
              <w:t>to</w:t>
            </w:r>
            <w:r w:rsidR="00A1102C">
              <w:rPr>
                <w:spacing w:val="-5"/>
              </w:rPr>
              <w:t xml:space="preserve"> </w:t>
            </w:r>
            <w:r w:rsidRPr="007D532F">
              <w:t>explain</w:t>
            </w:r>
            <w:r w:rsidRPr="007D532F">
              <w:rPr>
                <w:spacing w:val="1"/>
              </w:rPr>
              <w:t xml:space="preserve"> </w:t>
            </w:r>
            <w:r w:rsidRPr="007D532F">
              <w:t>the</w:t>
            </w:r>
            <w:r w:rsidRPr="007D532F">
              <w:rPr>
                <w:spacing w:val="3"/>
              </w:rPr>
              <w:t xml:space="preserve"> </w:t>
            </w:r>
            <w:r w:rsidRPr="007D532F">
              <w:t>Monetary</w:t>
            </w:r>
            <w:r w:rsidRPr="007D532F">
              <w:rPr>
                <w:spacing w:val="4"/>
              </w:rPr>
              <w:t xml:space="preserve"> </w:t>
            </w:r>
            <w:r w:rsidRPr="007D532F">
              <w:t>Policy</w:t>
            </w:r>
            <w:r w:rsidRPr="007D532F">
              <w:rPr>
                <w:spacing w:val="3"/>
              </w:rPr>
              <w:t xml:space="preserve"> </w:t>
            </w:r>
            <w:r w:rsidRPr="007D532F">
              <w:t>Board’s</w:t>
            </w:r>
            <w:r w:rsidRPr="007D532F">
              <w:rPr>
                <w:spacing w:val="4"/>
              </w:rPr>
              <w:t xml:space="preserve"> </w:t>
            </w:r>
            <w:r w:rsidRPr="007D532F">
              <w:t>view</w:t>
            </w:r>
            <w:r w:rsidRPr="007D532F">
              <w:rPr>
                <w:spacing w:val="3"/>
              </w:rPr>
              <w:t xml:space="preserve"> </w:t>
            </w:r>
            <w:r w:rsidRPr="007D532F">
              <w:t>of</w:t>
            </w:r>
            <w:r w:rsidRPr="007D532F">
              <w:rPr>
                <w:spacing w:val="3"/>
              </w:rPr>
              <w:t xml:space="preserve"> </w:t>
            </w:r>
            <w:r w:rsidRPr="007D532F">
              <w:t>policy</w:t>
            </w:r>
            <w:r w:rsidRPr="007D532F">
              <w:rPr>
                <w:spacing w:val="4"/>
              </w:rPr>
              <w:t xml:space="preserve"> </w:t>
            </w:r>
            <w:r w:rsidRPr="007D532F">
              <w:t>and</w:t>
            </w:r>
            <w:r w:rsidRPr="007D532F">
              <w:rPr>
                <w:spacing w:val="3"/>
              </w:rPr>
              <w:t xml:space="preserve"> </w:t>
            </w:r>
            <w:r w:rsidRPr="007D532F">
              <w:t>economic</w:t>
            </w:r>
            <w:r w:rsidRPr="007D532F">
              <w:rPr>
                <w:spacing w:val="4"/>
              </w:rPr>
              <w:t xml:space="preserve"> </w:t>
            </w:r>
            <w:r w:rsidRPr="007D532F">
              <w:rPr>
                <w:spacing w:val="-2"/>
              </w:rPr>
              <w:t>developments.</w:t>
            </w:r>
          </w:p>
        </w:tc>
      </w:tr>
      <w:tr w:rsidR="008709A2" w:rsidRPr="007D532F" w14:paraId="7E834D50" w14:textId="77777777" w:rsidTr="00D238EE">
        <w:trPr>
          <w:trHeight w:val="1031"/>
        </w:trPr>
        <w:tc>
          <w:tcPr>
            <w:tcW w:w="467" w:type="pct"/>
            <w:gridSpan w:val="2"/>
            <w:tcBorders>
              <w:top w:val="single" w:sz="8" w:space="0" w:color="ECEDE9"/>
              <w:bottom w:val="single" w:sz="8" w:space="0" w:color="ECEDE9"/>
            </w:tcBorders>
          </w:tcPr>
          <w:p w14:paraId="69C14CD1" w14:textId="77777777" w:rsidR="008709A2" w:rsidRPr="007D532F" w:rsidRDefault="008709A2" w:rsidP="008709A2">
            <w:r w:rsidRPr="007D532F">
              <w:t>10.2</w:t>
            </w:r>
          </w:p>
        </w:tc>
        <w:tc>
          <w:tcPr>
            <w:tcW w:w="4533" w:type="pct"/>
            <w:tcBorders>
              <w:top w:val="single" w:sz="8" w:space="0" w:color="ECEDE9"/>
              <w:bottom w:val="single" w:sz="8" w:space="0" w:color="ECEDE9"/>
            </w:tcBorders>
          </w:tcPr>
          <w:p w14:paraId="37ACE2BD" w14:textId="77777777" w:rsidR="008709A2" w:rsidRPr="007D532F" w:rsidRDefault="008709A2" w:rsidP="008709A2">
            <w:r w:rsidRPr="007D532F">
              <w:t>External Monetary Policy Board members should be expected to discuss the decisions</w:t>
            </w:r>
            <w:r w:rsidRPr="007D532F">
              <w:rPr>
                <w:spacing w:val="-1"/>
              </w:rPr>
              <w:t xml:space="preserve"> </w:t>
            </w:r>
            <w:r w:rsidRPr="007D532F">
              <w:t>and</w:t>
            </w:r>
            <w:r w:rsidRPr="007D532F">
              <w:rPr>
                <w:spacing w:val="-1"/>
              </w:rPr>
              <w:t xml:space="preserve"> </w:t>
            </w:r>
            <w:r w:rsidRPr="007D532F">
              <w:t>thinking</w:t>
            </w:r>
            <w:r w:rsidRPr="007D532F">
              <w:rPr>
                <w:spacing w:val="-1"/>
              </w:rPr>
              <w:t xml:space="preserve"> </w:t>
            </w:r>
            <w:r w:rsidRPr="007D532F">
              <w:t>of</w:t>
            </w:r>
            <w:r w:rsidRPr="007D532F">
              <w:rPr>
                <w:spacing w:val="-1"/>
              </w:rPr>
              <w:t xml:space="preserve"> </w:t>
            </w:r>
            <w:r w:rsidRPr="007D532F">
              <w:t>the</w:t>
            </w:r>
            <w:r w:rsidRPr="007D532F">
              <w:rPr>
                <w:spacing w:val="-1"/>
              </w:rPr>
              <w:t xml:space="preserve"> </w:t>
            </w:r>
            <w:r w:rsidRPr="007D532F">
              <w:t>Board</w:t>
            </w:r>
            <w:r w:rsidRPr="007D532F">
              <w:rPr>
                <w:spacing w:val="-1"/>
              </w:rPr>
              <w:t xml:space="preserve"> </w:t>
            </w:r>
            <w:r w:rsidRPr="007D532F">
              <w:t>publicly,</w:t>
            </w:r>
            <w:r w:rsidRPr="007D532F">
              <w:rPr>
                <w:spacing w:val="-1"/>
              </w:rPr>
              <w:t xml:space="preserve"> </w:t>
            </w:r>
            <w:r w:rsidRPr="007D532F">
              <w:t>including</w:t>
            </w:r>
            <w:r w:rsidRPr="007D532F">
              <w:rPr>
                <w:spacing w:val="-1"/>
              </w:rPr>
              <w:t xml:space="preserve"> </w:t>
            </w:r>
            <w:r w:rsidRPr="007D532F">
              <w:t>through</w:t>
            </w:r>
            <w:r w:rsidRPr="007D532F">
              <w:rPr>
                <w:spacing w:val="-1"/>
              </w:rPr>
              <w:t xml:space="preserve"> </w:t>
            </w:r>
            <w:r w:rsidRPr="007D532F">
              <w:t>at</w:t>
            </w:r>
            <w:r w:rsidRPr="007D532F">
              <w:rPr>
                <w:spacing w:val="-1"/>
              </w:rPr>
              <w:t xml:space="preserve"> </w:t>
            </w:r>
            <w:r w:rsidRPr="007D532F">
              <w:t>least</w:t>
            </w:r>
            <w:r w:rsidRPr="007D532F">
              <w:rPr>
                <w:spacing w:val="-1"/>
              </w:rPr>
              <w:t xml:space="preserve"> </w:t>
            </w:r>
            <w:r w:rsidRPr="007D532F">
              <w:t>one</w:t>
            </w:r>
            <w:r w:rsidRPr="007D532F">
              <w:rPr>
                <w:spacing w:val="-1"/>
              </w:rPr>
              <w:t xml:space="preserve"> </w:t>
            </w:r>
            <w:r w:rsidRPr="007D532F">
              <w:t>speech or public engagement a year.</w:t>
            </w:r>
          </w:p>
        </w:tc>
      </w:tr>
      <w:tr w:rsidR="008709A2" w:rsidRPr="007D532F" w14:paraId="2574FE6D" w14:textId="77777777" w:rsidTr="00D238EE">
        <w:trPr>
          <w:trHeight w:val="1031"/>
        </w:trPr>
        <w:tc>
          <w:tcPr>
            <w:tcW w:w="467" w:type="pct"/>
            <w:gridSpan w:val="2"/>
            <w:tcBorders>
              <w:top w:val="single" w:sz="8" w:space="0" w:color="ECEDE9"/>
              <w:bottom w:val="single" w:sz="8" w:space="0" w:color="ECEDE9"/>
            </w:tcBorders>
          </w:tcPr>
          <w:p w14:paraId="0E3A0268" w14:textId="77777777" w:rsidR="008709A2" w:rsidRPr="007D532F" w:rsidRDefault="008709A2" w:rsidP="008709A2">
            <w:r w:rsidRPr="007D532F">
              <w:t>10.3</w:t>
            </w:r>
          </w:p>
        </w:tc>
        <w:tc>
          <w:tcPr>
            <w:tcW w:w="4533" w:type="pct"/>
            <w:tcBorders>
              <w:top w:val="single" w:sz="8" w:space="0" w:color="ECEDE9"/>
              <w:bottom w:val="single" w:sz="8" w:space="0" w:color="ECEDE9"/>
            </w:tcBorders>
          </w:tcPr>
          <w:p w14:paraId="627B0B7F" w14:textId="77777777" w:rsidR="008709A2" w:rsidRPr="007D532F" w:rsidRDefault="008709A2" w:rsidP="008709A2">
            <w:r w:rsidRPr="007D532F">
              <w:t>The public statement after each Board meeting should be released by the Monetary Policy Board and approved by members as a fair reflection of the decision and discussion. The statement should report unattributed votes.</w:t>
            </w:r>
          </w:p>
        </w:tc>
      </w:tr>
      <w:tr w:rsidR="008709A2" w:rsidRPr="007D532F" w14:paraId="746F30D0" w14:textId="77777777" w:rsidTr="00D238EE">
        <w:trPr>
          <w:trHeight w:val="1261"/>
        </w:trPr>
        <w:tc>
          <w:tcPr>
            <w:tcW w:w="467" w:type="pct"/>
            <w:gridSpan w:val="2"/>
            <w:tcBorders>
              <w:top w:val="single" w:sz="8" w:space="0" w:color="ECEDE9"/>
              <w:bottom w:val="single" w:sz="8" w:space="0" w:color="ECEDE9"/>
            </w:tcBorders>
          </w:tcPr>
          <w:p w14:paraId="145155AC" w14:textId="77777777" w:rsidR="008709A2" w:rsidRPr="007D532F" w:rsidRDefault="008709A2" w:rsidP="008709A2">
            <w:r w:rsidRPr="007D532F">
              <w:t>10.4</w:t>
            </w:r>
          </w:p>
        </w:tc>
        <w:tc>
          <w:tcPr>
            <w:tcW w:w="4533" w:type="pct"/>
            <w:tcBorders>
              <w:top w:val="single" w:sz="8" w:space="0" w:color="ECEDE9"/>
              <w:bottom w:val="single" w:sz="8" w:space="0" w:color="ECEDE9"/>
            </w:tcBorders>
          </w:tcPr>
          <w:p w14:paraId="176E102C" w14:textId="552D1F87" w:rsidR="008709A2" w:rsidRPr="007D532F" w:rsidRDefault="008709A2" w:rsidP="008709A2">
            <w:r w:rsidRPr="007D532F">
              <w:t>The RBA should publish more of the information underlying the Monetary Policy Board’s decisions, including detailed forecast data and assumptions and insights from business and community liaison. Board papers should be published after</w:t>
            </w:r>
            <w:r>
              <w:t xml:space="preserve"> </w:t>
            </w:r>
            <w:r w:rsidRPr="007D532F">
              <w:t>5</w:t>
            </w:r>
            <w:r>
              <w:rPr>
                <w:spacing w:val="-2"/>
              </w:rPr>
              <w:t> </w:t>
            </w:r>
            <w:r w:rsidRPr="007D532F">
              <w:rPr>
                <w:spacing w:val="-2"/>
              </w:rPr>
              <w:t>years.</w:t>
            </w:r>
          </w:p>
        </w:tc>
      </w:tr>
      <w:tr w:rsidR="008709A2" w:rsidRPr="007D532F" w14:paraId="40071E90" w14:textId="77777777" w:rsidTr="00D238EE">
        <w:trPr>
          <w:trHeight w:val="801"/>
        </w:trPr>
        <w:tc>
          <w:tcPr>
            <w:tcW w:w="467" w:type="pct"/>
            <w:gridSpan w:val="2"/>
            <w:tcBorders>
              <w:top w:val="single" w:sz="8" w:space="0" w:color="ECEDE9"/>
              <w:bottom w:val="single" w:sz="8" w:space="0" w:color="ECEDE9"/>
            </w:tcBorders>
          </w:tcPr>
          <w:p w14:paraId="68B08AAE" w14:textId="77777777" w:rsidR="008709A2" w:rsidRPr="007D532F" w:rsidRDefault="008709A2" w:rsidP="008709A2">
            <w:r w:rsidRPr="007D532F">
              <w:t>10.5</w:t>
            </w:r>
          </w:p>
        </w:tc>
        <w:tc>
          <w:tcPr>
            <w:tcW w:w="4533" w:type="pct"/>
            <w:tcBorders>
              <w:top w:val="single" w:sz="8" w:space="0" w:color="ECEDE9"/>
              <w:bottom w:val="single" w:sz="8" w:space="0" w:color="ECEDE9"/>
            </w:tcBorders>
          </w:tcPr>
          <w:p w14:paraId="57C51D6F" w14:textId="77777777" w:rsidR="008709A2" w:rsidRPr="007D532F" w:rsidRDefault="008709A2" w:rsidP="008709A2">
            <w:r w:rsidRPr="007D532F">
              <w:t>The RBA should strengthen its professional capability in strategic communications to support both the Monetary Policy Board and the RBA executive.</w:t>
            </w:r>
          </w:p>
        </w:tc>
      </w:tr>
      <w:tr w:rsidR="008709A2" w:rsidRPr="007D532F" w14:paraId="2A055A29" w14:textId="77777777" w:rsidTr="00D238EE">
        <w:trPr>
          <w:trHeight w:val="637"/>
        </w:trPr>
        <w:tc>
          <w:tcPr>
            <w:tcW w:w="467" w:type="pct"/>
            <w:gridSpan w:val="2"/>
            <w:tcBorders>
              <w:top w:val="single" w:sz="8" w:space="0" w:color="ECEDE9"/>
            </w:tcBorders>
          </w:tcPr>
          <w:p w14:paraId="6C2C6216" w14:textId="77777777" w:rsidR="008709A2" w:rsidRPr="007D532F" w:rsidRDefault="008709A2" w:rsidP="008709A2">
            <w:r w:rsidRPr="007D532F">
              <w:t>10.6</w:t>
            </w:r>
          </w:p>
        </w:tc>
        <w:tc>
          <w:tcPr>
            <w:tcW w:w="4533" w:type="pct"/>
            <w:tcBorders>
              <w:top w:val="single" w:sz="8" w:space="0" w:color="ECEDE9"/>
            </w:tcBorders>
          </w:tcPr>
          <w:p w14:paraId="7DBBD5C8" w14:textId="77777777" w:rsidR="008709A2" w:rsidRPr="007D532F" w:rsidRDefault="008709A2" w:rsidP="008709A2">
            <w:r w:rsidRPr="007D532F">
              <w:t>The RBA should strengthen conflict of interest policies for members of the RBA’s Boards to provide additional appropriate restrictions on financial transactions.</w:t>
            </w:r>
          </w:p>
        </w:tc>
      </w:tr>
    </w:tbl>
    <w:p w14:paraId="3AC15179" w14:textId="0DB2D2B7" w:rsidR="00E025B3" w:rsidRDefault="00B34064" w:rsidP="002C0562">
      <w:pPr>
        <w:pStyle w:val="Heading2"/>
        <w:rPr>
          <w:sz w:val="20"/>
        </w:rPr>
      </w:pPr>
      <w:bookmarkStart w:id="20" w:name="_Toc134220993"/>
      <w:r>
        <w:t>An</w:t>
      </w:r>
      <w:r>
        <w:rPr>
          <w:spacing w:val="-22"/>
        </w:rPr>
        <w:t xml:space="preserve"> </w:t>
      </w:r>
      <w:r>
        <w:t>open</w:t>
      </w:r>
      <w:r>
        <w:rPr>
          <w:spacing w:val="-19"/>
        </w:rPr>
        <w:t xml:space="preserve"> </w:t>
      </w:r>
      <w:r>
        <w:t>and</w:t>
      </w:r>
      <w:r>
        <w:rPr>
          <w:spacing w:val="-20"/>
        </w:rPr>
        <w:t xml:space="preserve"> </w:t>
      </w:r>
      <w:r>
        <w:t>dynamic</w:t>
      </w:r>
      <w:r>
        <w:rPr>
          <w:spacing w:val="-19"/>
        </w:rPr>
        <w:t xml:space="preserve"> </w:t>
      </w:r>
      <w:r>
        <w:rPr>
          <w:spacing w:val="-5"/>
        </w:rPr>
        <w:t>RBA</w:t>
      </w:r>
      <w:bookmarkEnd w:id="20"/>
    </w:p>
    <w:tbl>
      <w:tblPr>
        <w:tblW w:w="5000" w:type="pct"/>
        <w:tblCellMar>
          <w:left w:w="0" w:type="dxa"/>
          <w:right w:w="0" w:type="dxa"/>
        </w:tblCellMar>
        <w:tblLook w:val="01E0" w:firstRow="1" w:lastRow="1" w:firstColumn="1" w:lastColumn="1" w:noHBand="0" w:noVBand="0"/>
      </w:tblPr>
      <w:tblGrid>
        <w:gridCol w:w="842"/>
        <w:gridCol w:w="8228"/>
      </w:tblGrid>
      <w:tr w:rsidR="00EB5EBA" w14:paraId="1519F394" w14:textId="77777777" w:rsidTr="001D75F6">
        <w:trPr>
          <w:trHeight w:val="604"/>
        </w:trPr>
        <w:tc>
          <w:tcPr>
            <w:tcW w:w="5000" w:type="pct"/>
            <w:gridSpan w:val="2"/>
            <w:tcBorders>
              <w:bottom w:val="single" w:sz="8" w:space="0" w:color="ECEDE9"/>
            </w:tcBorders>
          </w:tcPr>
          <w:p w14:paraId="4FFC1762" w14:textId="77777777" w:rsidR="00EB5EBA" w:rsidRDefault="00EB5EBA" w:rsidP="007F5EC7">
            <w:pPr>
              <w:pStyle w:val="Heading4"/>
              <w:keepLines/>
            </w:pPr>
            <w:r>
              <w:t>Recommendation</w:t>
            </w:r>
            <w:r>
              <w:rPr>
                <w:spacing w:val="-3"/>
              </w:rPr>
              <w:t xml:space="preserve"> </w:t>
            </w:r>
            <w:r>
              <w:t>11: Strengthen</w:t>
            </w:r>
            <w:r>
              <w:rPr>
                <w:spacing w:val="-1"/>
              </w:rPr>
              <w:t xml:space="preserve"> </w:t>
            </w:r>
            <w:r>
              <w:t>the RBA’s management,</w:t>
            </w:r>
            <w:r>
              <w:rPr>
                <w:spacing w:val="-1"/>
              </w:rPr>
              <w:t xml:space="preserve"> </w:t>
            </w:r>
            <w:r>
              <w:t xml:space="preserve">culture and </w:t>
            </w:r>
            <w:r>
              <w:rPr>
                <w:spacing w:val="-2"/>
              </w:rPr>
              <w:t>operations</w:t>
            </w:r>
          </w:p>
        </w:tc>
      </w:tr>
      <w:tr w:rsidR="00EB5EBA" w14:paraId="1E0AC67C" w14:textId="77777777" w:rsidTr="006A543B">
        <w:trPr>
          <w:trHeight w:val="1962"/>
        </w:trPr>
        <w:tc>
          <w:tcPr>
            <w:tcW w:w="464" w:type="pct"/>
            <w:tcBorders>
              <w:top w:val="single" w:sz="8" w:space="0" w:color="ECEDE9"/>
              <w:bottom w:val="single" w:sz="8" w:space="0" w:color="ECEDE9"/>
            </w:tcBorders>
          </w:tcPr>
          <w:p w14:paraId="1FA23A9A" w14:textId="77777777" w:rsidR="00EB5EBA" w:rsidRDefault="00EB5EBA" w:rsidP="00EB5EBA">
            <w:r>
              <w:t>11.1</w:t>
            </w:r>
          </w:p>
        </w:tc>
        <w:tc>
          <w:tcPr>
            <w:tcW w:w="4536" w:type="pct"/>
            <w:tcBorders>
              <w:top w:val="single" w:sz="8" w:space="0" w:color="ECEDE9"/>
              <w:bottom w:val="single" w:sz="8" w:space="0" w:color="ECEDE9"/>
            </w:tcBorders>
          </w:tcPr>
          <w:p w14:paraId="2DAEE483" w14:textId="77777777" w:rsidR="00EB5EBA" w:rsidRDefault="00EB5EBA" w:rsidP="00EB5EBA">
            <w:r>
              <w:t>The RBA should further empower its staff and raise the dynamism of the organisation.</w:t>
            </w:r>
            <w:r>
              <w:rPr>
                <w:spacing w:val="-1"/>
              </w:rPr>
              <w:t xml:space="preserve"> </w:t>
            </w:r>
            <w:r>
              <w:t>To</w:t>
            </w:r>
            <w:r>
              <w:rPr>
                <w:spacing w:val="-1"/>
              </w:rPr>
              <w:t xml:space="preserve"> </w:t>
            </w:r>
            <w:r>
              <w:t>support</w:t>
            </w:r>
            <w:r>
              <w:rPr>
                <w:spacing w:val="-1"/>
              </w:rPr>
              <w:t xml:space="preserve"> </w:t>
            </w:r>
            <w:r>
              <w:t>this,</w:t>
            </w:r>
            <w:r>
              <w:rPr>
                <w:spacing w:val="-1"/>
              </w:rPr>
              <w:t xml:space="preserve"> </w:t>
            </w:r>
            <w:r>
              <w:t>it</w:t>
            </w:r>
            <w:r>
              <w:rPr>
                <w:spacing w:val="-1"/>
              </w:rPr>
              <w:t xml:space="preserve"> </w:t>
            </w:r>
            <w:r>
              <w:t>should</w:t>
            </w:r>
            <w:r>
              <w:rPr>
                <w:spacing w:val="-1"/>
              </w:rPr>
              <w:t xml:space="preserve"> </w:t>
            </w:r>
            <w:r>
              <w:t>appoint</w:t>
            </w:r>
            <w:r>
              <w:rPr>
                <w:spacing w:val="-2"/>
              </w:rPr>
              <w:t xml:space="preserve"> </w:t>
            </w:r>
            <w:r>
              <w:t>a</w:t>
            </w:r>
            <w:r>
              <w:rPr>
                <w:spacing w:val="-1"/>
              </w:rPr>
              <w:t xml:space="preserve"> </w:t>
            </w:r>
            <w:r>
              <w:t>Chief</w:t>
            </w:r>
            <w:r>
              <w:rPr>
                <w:spacing w:val="-1"/>
              </w:rPr>
              <w:t xml:space="preserve"> </w:t>
            </w:r>
            <w:r>
              <w:t>Operating</w:t>
            </w:r>
            <w:r>
              <w:rPr>
                <w:spacing w:val="-1"/>
              </w:rPr>
              <w:t xml:space="preserve"> </w:t>
            </w:r>
            <w:r>
              <w:t>Officer,</w:t>
            </w:r>
            <w:r>
              <w:rPr>
                <w:spacing w:val="-1"/>
              </w:rPr>
              <w:t xml:space="preserve"> </w:t>
            </w:r>
            <w:r>
              <w:t>at</w:t>
            </w:r>
            <w:r>
              <w:rPr>
                <w:spacing w:val="-1"/>
              </w:rPr>
              <w:t xml:space="preserve"> </w:t>
            </w:r>
            <w:r>
              <w:t>Deputy Governor level, who:</w:t>
            </w:r>
          </w:p>
          <w:p w14:paraId="298142C5" w14:textId="77777777" w:rsidR="00EB5EBA" w:rsidRDefault="00EB5EBA" w:rsidP="0000278A">
            <w:pPr>
              <w:pStyle w:val="Bullet"/>
            </w:pPr>
            <w:r>
              <w:t>leads</w:t>
            </w:r>
            <w:r>
              <w:rPr>
                <w:spacing w:val="-1"/>
              </w:rPr>
              <w:t xml:space="preserve"> </w:t>
            </w:r>
            <w:r>
              <w:t>all</w:t>
            </w:r>
            <w:r>
              <w:rPr>
                <w:spacing w:val="-1"/>
              </w:rPr>
              <w:t xml:space="preserve"> </w:t>
            </w:r>
            <w:r>
              <w:t>corporate and</w:t>
            </w:r>
            <w:r>
              <w:rPr>
                <w:spacing w:val="-1"/>
              </w:rPr>
              <w:t xml:space="preserve"> </w:t>
            </w:r>
            <w:r>
              <w:t xml:space="preserve">enabling </w:t>
            </w:r>
            <w:r>
              <w:rPr>
                <w:spacing w:val="-2"/>
              </w:rPr>
              <w:t>functions</w:t>
            </w:r>
          </w:p>
          <w:p w14:paraId="009638B9" w14:textId="292F5833" w:rsidR="00EB5EBA" w:rsidRDefault="00EB5EBA" w:rsidP="00730C92">
            <w:pPr>
              <w:pStyle w:val="Bullet"/>
            </w:pPr>
            <w:r>
              <w:t>is</w:t>
            </w:r>
            <w:r>
              <w:rPr>
                <w:spacing w:val="-6"/>
              </w:rPr>
              <w:t xml:space="preserve"> </w:t>
            </w:r>
            <w:r>
              <w:t>tasked</w:t>
            </w:r>
            <w:r>
              <w:rPr>
                <w:spacing w:val="-4"/>
              </w:rPr>
              <w:t xml:space="preserve"> </w:t>
            </w:r>
            <w:r>
              <w:t>with</w:t>
            </w:r>
            <w:r>
              <w:rPr>
                <w:spacing w:val="-4"/>
              </w:rPr>
              <w:t xml:space="preserve"> </w:t>
            </w:r>
            <w:r>
              <w:t>improving</w:t>
            </w:r>
            <w:r>
              <w:rPr>
                <w:spacing w:val="-4"/>
              </w:rPr>
              <w:t xml:space="preserve"> </w:t>
            </w:r>
            <w:r>
              <w:t>delegation,</w:t>
            </w:r>
            <w:r>
              <w:rPr>
                <w:spacing w:val="-4"/>
              </w:rPr>
              <w:t xml:space="preserve"> </w:t>
            </w:r>
            <w:r>
              <w:t>strategic</w:t>
            </w:r>
            <w:r>
              <w:rPr>
                <w:spacing w:val="-4"/>
              </w:rPr>
              <w:t xml:space="preserve"> </w:t>
            </w:r>
            <w:r>
              <w:t>workforce</w:t>
            </w:r>
            <w:r>
              <w:rPr>
                <w:spacing w:val="-4"/>
              </w:rPr>
              <w:t xml:space="preserve"> </w:t>
            </w:r>
            <w:r>
              <w:t>planning,</w:t>
            </w:r>
            <w:r>
              <w:rPr>
                <w:spacing w:val="-3"/>
              </w:rPr>
              <w:t xml:space="preserve"> </w:t>
            </w:r>
            <w:r>
              <w:rPr>
                <w:spacing w:val="-2"/>
              </w:rPr>
              <w:t>succession</w:t>
            </w:r>
            <w:r w:rsidR="00730C92">
              <w:rPr>
                <w:spacing w:val="-2"/>
              </w:rPr>
              <w:t xml:space="preserve"> </w:t>
            </w:r>
            <w:r>
              <w:t>planning,</w:t>
            </w:r>
            <w:r>
              <w:rPr>
                <w:spacing w:val="-8"/>
              </w:rPr>
              <w:t xml:space="preserve"> </w:t>
            </w:r>
            <w:r>
              <w:t>the</w:t>
            </w:r>
            <w:r>
              <w:rPr>
                <w:spacing w:val="-6"/>
              </w:rPr>
              <w:t xml:space="preserve"> </w:t>
            </w:r>
            <w:r>
              <w:t>allocation</w:t>
            </w:r>
            <w:r>
              <w:rPr>
                <w:spacing w:val="-5"/>
              </w:rPr>
              <w:t xml:space="preserve"> </w:t>
            </w:r>
            <w:r>
              <w:t>of</w:t>
            </w:r>
            <w:r>
              <w:rPr>
                <w:spacing w:val="-6"/>
              </w:rPr>
              <w:t xml:space="preserve"> </w:t>
            </w:r>
            <w:r>
              <w:t>resources,</w:t>
            </w:r>
            <w:r>
              <w:rPr>
                <w:spacing w:val="-5"/>
              </w:rPr>
              <w:t xml:space="preserve"> </w:t>
            </w:r>
            <w:r>
              <w:t>risk</w:t>
            </w:r>
            <w:r>
              <w:rPr>
                <w:spacing w:val="-6"/>
              </w:rPr>
              <w:t xml:space="preserve"> </w:t>
            </w:r>
            <w:r>
              <w:t>management</w:t>
            </w:r>
            <w:r>
              <w:rPr>
                <w:spacing w:val="-6"/>
              </w:rPr>
              <w:t xml:space="preserve"> </w:t>
            </w:r>
            <w:r>
              <w:t>and</w:t>
            </w:r>
            <w:r>
              <w:rPr>
                <w:spacing w:val="-5"/>
              </w:rPr>
              <w:t xml:space="preserve"> </w:t>
            </w:r>
            <w:r>
              <w:t>driving</w:t>
            </w:r>
            <w:r>
              <w:rPr>
                <w:spacing w:val="-6"/>
              </w:rPr>
              <w:t xml:space="preserve"> </w:t>
            </w:r>
            <w:r>
              <w:t>cultural</w:t>
            </w:r>
            <w:r>
              <w:rPr>
                <w:spacing w:val="-5"/>
              </w:rPr>
              <w:t xml:space="preserve"> </w:t>
            </w:r>
            <w:r>
              <w:rPr>
                <w:spacing w:val="-2"/>
              </w:rPr>
              <w:t>change.</w:t>
            </w:r>
          </w:p>
        </w:tc>
      </w:tr>
      <w:tr w:rsidR="00EB5EBA" w14:paraId="0CF175A9" w14:textId="77777777" w:rsidTr="001D75F6">
        <w:trPr>
          <w:trHeight w:val="2951"/>
        </w:trPr>
        <w:tc>
          <w:tcPr>
            <w:tcW w:w="464" w:type="pct"/>
            <w:tcBorders>
              <w:top w:val="single" w:sz="8" w:space="0" w:color="ECEDE9"/>
              <w:bottom w:val="single" w:sz="8" w:space="0" w:color="ECEDE9"/>
            </w:tcBorders>
          </w:tcPr>
          <w:p w14:paraId="1E6D3C25" w14:textId="77777777" w:rsidR="00EB5EBA" w:rsidRDefault="00EB5EBA" w:rsidP="00EB5EBA">
            <w:r>
              <w:lastRenderedPageBreak/>
              <w:t>11.2</w:t>
            </w:r>
          </w:p>
        </w:tc>
        <w:tc>
          <w:tcPr>
            <w:tcW w:w="4536" w:type="pct"/>
            <w:tcBorders>
              <w:top w:val="single" w:sz="8" w:space="0" w:color="ECEDE9"/>
              <w:bottom w:val="single" w:sz="8" w:space="0" w:color="ECEDE9"/>
            </w:tcBorders>
          </w:tcPr>
          <w:p w14:paraId="5FA92627" w14:textId="77777777" w:rsidR="00EB5EBA" w:rsidRDefault="00EB5EBA" w:rsidP="00EB5EBA">
            <w:r>
              <w:t>The</w:t>
            </w:r>
            <w:r>
              <w:rPr>
                <w:spacing w:val="5"/>
              </w:rPr>
              <w:t xml:space="preserve"> </w:t>
            </w:r>
            <w:r>
              <w:t>RBA</w:t>
            </w:r>
            <w:r>
              <w:rPr>
                <w:spacing w:val="5"/>
              </w:rPr>
              <w:t xml:space="preserve"> </w:t>
            </w:r>
            <w:r>
              <w:t>should</w:t>
            </w:r>
            <w:r>
              <w:rPr>
                <w:spacing w:val="5"/>
              </w:rPr>
              <w:t xml:space="preserve"> </w:t>
            </w:r>
            <w:r>
              <w:t>strengthen</w:t>
            </w:r>
            <w:r>
              <w:rPr>
                <w:spacing w:val="5"/>
              </w:rPr>
              <w:t xml:space="preserve"> </w:t>
            </w:r>
            <w:r>
              <w:t>and</w:t>
            </w:r>
            <w:r>
              <w:rPr>
                <w:spacing w:val="5"/>
              </w:rPr>
              <w:t xml:space="preserve"> </w:t>
            </w:r>
            <w:r>
              <w:t>extend</w:t>
            </w:r>
            <w:r>
              <w:rPr>
                <w:spacing w:val="5"/>
              </w:rPr>
              <w:t xml:space="preserve"> </w:t>
            </w:r>
            <w:r>
              <w:t>its</w:t>
            </w:r>
            <w:r>
              <w:rPr>
                <w:spacing w:val="5"/>
              </w:rPr>
              <w:t xml:space="preserve"> </w:t>
            </w:r>
            <w:r>
              <w:t>leadership</w:t>
            </w:r>
            <w:r>
              <w:rPr>
                <w:spacing w:val="5"/>
              </w:rPr>
              <w:t xml:space="preserve"> </w:t>
            </w:r>
            <w:r>
              <w:t>capability</w:t>
            </w:r>
            <w:r>
              <w:rPr>
                <w:spacing w:val="5"/>
              </w:rPr>
              <w:t xml:space="preserve"> </w:t>
            </w:r>
            <w:r>
              <w:rPr>
                <w:spacing w:val="-2"/>
              </w:rPr>
              <w:t>through:</w:t>
            </w:r>
          </w:p>
          <w:p w14:paraId="77298C08" w14:textId="77777777" w:rsidR="00EB5EBA" w:rsidRDefault="00EB5EBA" w:rsidP="0000278A">
            <w:pPr>
              <w:pStyle w:val="Bullet"/>
            </w:pPr>
            <w:r>
              <w:t>mandatory</w:t>
            </w:r>
            <w:r>
              <w:rPr>
                <w:spacing w:val="1"/>
              </w:rPr>
              <w:t xml:space="preserve"> </w:t>
            </w:r>
            <w:r>
              <w:t>leadership</w:t>
            </w:r>
            <w:r>
              <w:rPr>
                <w:spacing w:val="1"/>
              </w:rPr>
              <w:t xml:space="preserve"> </w:t>
            </w:r>
            <w:r>
              <w:t>training</w:t>
            </w:r>
            <w:r>
              <w:rPr>
                <w:spacing w:val="1"/>
              </w:rPr>
              <w:t xml:space="preserve"> </w:t>
            </w:r>
            <w:r>
              <w:t>for</w:t>
            </w:r>
            <w:r>
              <w:rPr>
                <w:spacing w:val="1"/>
              </w:rPr>
              <w:t xml:space="preserve"> </w:t>
            </w:r>
            <w:r>
              <w:t>all</w:t>
            </w:r>
            <w:r>
              <w:rPr>
                <w:spacing w:val="2"/>
              </w:rPr>
              <w:t xml:space="preserve"> </w:t>
            </w:r>
            <w:r>
              <w:rPr>
                <w:spacing w:val="-2"/>
              </w:rPr>
              <w:t>managers</w:t>
            </w:r>
          </w:p>
          <w:p w14:paraId="378D7BF6" w14:textId="37DB5F01" w:rsidR="00EB5EBA" w:rsidRDefault="00EB5EBA" w:rsidP="00B23B06">
            <w:pPr>
              <w:pStyle w:val="Bullet"/>
            </w:pPr>
            <w:r>
              <w:t>annual</w:t>
            </w:r>
            <w:r>
              <w:rPr>
                <w:spacing w:val="4"/>
              </w:rPr>
              <w:t xml:space="preserve"> </w:t>
            </w:r>
            <w:r>
              <w:t>externally</w:t>
            </w:r>
            <w:r>
              <w:rPr>
                <w:spacing w:val="4"/>
              </w:rPr>
              <w:t xml:space="preserve"> </w:t>
            </w:r>
            <w:r>
              <w:t>facilitated</w:t>
            </w:r>
            <w:r>
              <w:rPr>
                <w:spacing w:val="4"/>
              </w:rPr>
              <w:t xml:space="preserve"> </w:t>
            </w:r>
            <w:r>
              <w:t>360-degree</w:t>
            </w:r>
            <w:r>
              <w:rPr>
                <w:spacing w:val="4"/>
              </w:rPr>
              <w:t xml:space="preserve"> </w:t>
            </w:r>
            <w:r>
              <w:t>feedback</w:t>
            </w:r>
            <w:r>
              <w:rPr>
                <w:spacing w:val="4"/>
              </w:rPr>
              <w:t xml:space="preserve"> </w:t>
            </w:r>
            <w:r>
              <w:t>mechanisms</w:t>
            </w:r>
            <w:r>
              <w:rPr>
                <w:spacing w:val="4"/>
              </w:rPr>
              <w:t xml:space="preserve"> </w:t>
            </w:r>
            <w:r>
              <w:t>for</w:t>
            </w:r>
            <w:r>
              <w:rPr>
                <w:spacing w:val="4"/>
              </w:rPr>
              <w:t xml:space="preserve"> </w:t>
            </w:r>
            <w:r>
              <w:t>managers</w:t>
            </w:r>
            <w:r>
              <w:rPr>
                <w:spacing w:val="4"/>
              </w:rPr>
              <w:t xml:space="preserve"> </w:t>
            </w:r>
            <w:r>
              <w:rPr>
                <w:spacing w:val="-4"/>
              </w:rPr>
              <w:t>with</w:t>
            </w:r>
            <w:r w:rsidR="00B23B06">
              <w:rPr>
                <w:spacing w:val="-4"/>
              </w:rPr>
              <w:t xml:space="preserve"> </w:t>
            </w:r>
            <w:r>
              <w:t>subsequent</w:t>
            </w:r>
            <w:r w:rsidRPr="00B23B06">
              <w:rPr>
                <w:spacing w:val="1"/>
              </w:rPr>
              <w:t xml:space="preserve"> </w:t>
            </w:r>
            <w:r>
              <w:t>leadership</w:t>
            </w:r>
            <w:r w:rsidRPr="00B23B06">
              <w:rPr>
                <w:spacing w:val="1"/>
              </w:rPr>
              <w:t xml:space="preserve"> </w:t>
            </w:r>
            <w:r>
              <w:t>coaching</w:t>
            </w:r>
            <w:r w:rsidRPr="00B23B06">
              <w:rPr>
                <w:spacing w:val="2"/>
              </w:rPr>
              <w:t xml:space="preserve"> </w:t>
            </w:r>
            <w:r w:rsidRPr="00B23B06">
              <w:rPr>
                <w:spacing w:val="-2"/>
              </w:rPr>
              <w:t>services</w:t>
            </w:r>
          </w:p>
          <w:p w14:paraId="49D95F3D" w14:textId="77777777" w:rsidR="00EB5EBA" w:rsidRDefault="00EB5EBA" w:rsidP="0000278A">
            <w:pPr>
              <w:pStyle w:val="Bullet"/>
            </w:pPr>
            <w:r>
              <w:t>ensuring its leaders are assessed for how effectively they deliver performance management and development processes that capture both the business outcomes and how those outcomes were achieved</w:t>
            </w:r>
          </w:p>
          <w:p w14:paraId="33277CF4" w14:textId="77777777" w:rsidR="00EB5EBA" w:rsidRDefault="00EB5EBA" w:rsidP="0000278A">
            <w:pPr>
              <w:pStyle w:val="Bullet"/>
            </w:pPr>
            <w:r>
              <w:rPr>
                <w:spacing w:val="-2"/>
              </w:rPr>
              <w:t>more</w:t>
            </w:r>
            <w:r>
              <w:rPr>
                <w:spacing w:val="-3"/>
              </w:rPr>
              <w:t xml:space="preserve"> </w:t>
            </w:r>
            <w:r>
              <w:rPr>
                <w:spacing w:val="-2"/>
              </w:rPr>
              <w:t>routine</w:t>
            </w:r>
            <w:r>
              <w:rPr>
                <w:spacing w:val="-1"/>
              </w:rPr>
              <w:t xml:space="preserve"> </w:t>
            </w:r>
            <w:r>
              <w:rPr>
                <w:spacing w:val="-2"/>
              </w:rPr>
              <w:t>and</w:t>
            </w:r>
            <w:r>
              <w:rPr>
                <w:spacing w:val="-1"/>
              </w:rPr>
              <w:t xml:space="preserve"> </w:t>
            </w:r>
            <w:r>
              <w:rPr>
                <w:spacing w:val="-2"/>
              </w:rPr>
              <w:t>transparent</w:t>
            </w:r>
            <w:r>
              <w:rPr>
                <w:spacing w:val="-1"/>
              </w:rPr>
              <w:t xml:space="preserve"> </w:t>
            </w:r>
            <w:r>
              <w:rPr>
                <w:spacing w:val="-2"/>
              </w:rPr>
              <w:t>processes</w:t>
            </w:r>
            <w:r>
              <w:t xml:space="preserve"> </w:t>
            </w:r>
            <w:r>
              <w:rPr>
                <w:spacing w:val="-2"/>
              </w:rPr>
              <w:t>for</w:t>
            </w:r>
            <w:r>
              <w:rPr>
                <w:spacing w:val="-1"/>
              </w:rPr>
              <w:t xml:space="preserve"> </w:t>
            </w:r>
            <w:r>
              <w:rPr>
                <w:spacing w:val="-2"/>
              </w:rPr>
              <w:t>internal</w:t>
            </w:r>
            <w:r>
              <w:rPr>
                <w:spacing w:val="-1"/>
              </w:rPr>
              <w:t xml:space="preserve"> </w:t>
            </w:r>
            <w:r>
              <w:rPr>
                <w:spacing w:val="-2"/>
              </w:rPr>
              <w:t>job</w:t>
            </w:r>
            <w:r>
              <w:rPr>
                <w:spacing w:val="-1"/>
              </w:rPr>
              <w:t xml:space="preserve"> </w:t>
            </w:r>
            <w:r>
              <w:rPr>
                <w:spacing w:val="-2"/>
              </w:rPr>
              <w:t>and</w:t>
            </w:r>
            <w:r>
              <w:rPr>
                <w:spacing w:val="-1"/>
              </w:rPr>
              <w:t xml:space="preserve"> </w:t>
            </w:r>
            <w:r>
              <w:rPr>
                <w:spacing w:val="-2"/>
              </w:rPr>
              <w:t>rotation</w:t>
            </w:r>
            <w:r>
              <w:t xml:space="preserve"> </w:t>
            </w:r>
            <w:r>
              <w:rPr>
                <w:spacing w:val="-2"/>
              </w:rPr>
              <w:t>opportunities.</w:t>
            </w:r>
          </w:p>
        </w:tc>
      </w:tr>
      <w:tr w:rsidR="00EB5EBA" w14:paraId="2794E4A4" w14:textId="77777777" w:rsidTr="001D75F6">
        <w:trPr>
          <w:trHeight w:val="2531"/>
        </w:trPr>
        <w:tc>
          <w:tcPr>
            <w:tcW w:w="464" w:type="pct"/>
            <w:tcBorders>
              <w:top w:val="single" w:sz="8" w:space="0" w:color="ECEDE9"/>
              <w:bottom w:val="single" w:sz="8" w:space="0" w:color="ECEDE9"/>
            </w:tcBorders>
          </w:tcPr>
          <w:p w14:paraId="263B7FC8" w14:textId="77777777" w:rsidR="00EB5EBA" w:rsidRDefault="00EB5EBA" w:rsidP="00EB5EBA">
            <w:r>
              <w:t>11.3</w:t>
            </w:r>
          </w:p>
        </w:tc>
        <w:tc>
          <w:tcPr>
            <w:tcW w:w="4536" w:type="pct"/>
            <w:tcBorders>
              <w:top w:val="single" w:sz="8" w:space="0" w:color="ECEDE9"/>
              <w:bottom w:val="single" w:sz="8" w:space="0" w:color="ECEDE9"/>
            </w:tcBorders>
          </w:tcPr>
          <w:p w14:paraId="53A1D5A6" w14:textId="77777777" w:rsidR="00EB5EBA" w:rsidRDefault="00EB5EBA" w:rsidP="00EB5EBA">
            <w:r>
              <w:t>The RBA should further encourage diverse viewpoints and constructive challenge, including by:</w:t>
            </w:r>
          </w:p>
          <w:p w14:paraId="2418450F" w14:textId="0DD86832" w:rsidR="00EB5EBA" w:rsidRPr="00EB5EBA" w:rsidRDefault="00EB5EBA" w:rsidP="0000278A">
            <w:pPr>
              <w:pStyle w:val="Bullet"/>
            </w:pPr>
            <w:r w:rsidRPr="00EB5EBA">
              <w:t>ensuring</w:t>
            </w:r>
            <w:r w:rsidRPr="00EB5EBA">
              <w:rPr>
                <w:spacing w:val="-2"/>
              </w:rPr>
              <w:t xml:space="preserve"> </w:t>
            </w:r>
            <w:r w:rsidRPr="00EB5EBA">
              <w:t>its</w:t>
            </w:r>
            <w:r w:rsidRPr="00EB5EBA">
              <w:rPr>
                <w:spacing w:val="1"/>
              </w:rPr>
              <w:t xml:space="preserve"> </w:t>
            </w:r>
            <w:r w:rsidRPr="00EB5EBA">
              <w:t>leaders</w:t>
            </w:r>
            <w:r w:rsidRPr="00EB5EBA">
              <w:rPr>
                <w:spacing w:val="1"/>
              </w:rPr>
              <w:t xml:space="preserve"> </w:t>
            </w:r>
            <w:r w:rsidRPr="00EB5EBA">
              <w:t>are assessed</w:t>
            </w:r>
            <w:r w:rsidRPr="00EB5EBA">
              <w:rPr>
                <w:spacing w:val="1"/>
              </w:rPr>
              <w:t xml:space="preserve"> </w:t>
            </w:r>
            <w:r w:rsidRPr="00EB5EBA">
              <w:t>for</w:t>
            </w:r>
            <w:r w:rsidRPr="00EB5EBA">
              <w:rPr>
                <w:spacing w:val="1"/>
              </w:rPr>
              <w:t xml:space="preserve"> </w:t>
            </w:r>
            <w:r w:rsidRPr="00EB5EBA">
              <w:t>how</w:t>
            </w:r>
            <w:r w:rsidRPr="00EB5EBA">
              <w:rPr>
                <w:spacing w:val="1"/>
              </w:rPr>
              <w:t xml:space="preserve"> </w:t>
            </w:r>
            <w:r w:rsidRPr="00EB5EBA">
              <w:t>well they</w:t>
            </w:r>
            <w:r w:rsidRPr="00EB5EBA">
              <w:rPr>
                <w:spacing w:val="1"/>
              </w:rPr>
              <w:t xml:space="preserve"> </w:t>
            </w:r>
            <w:r w:rsidRPr="00EB5EBA">
              <w:t>listen</w:t>
            </w:r>
            <w:r w:rsidRPr="00EB5EBA">
              <w:rPr>
                <w:spacing w:val="1"/>
              </w:rPr>
              <w:t xml:space="preserve"> </w:t>
            </w:r>
            <w:r w:rsidRPr="00EB5EBA">
              <w:t>to and</w:t>
            </w:r>
            <w:r w:rsidRPr="00EB5EBA">
              <w:rPr>
                <w:spacing w:val="1"/>
              </w:rPr>
              <w:t xml:space="preserve"> </w:t>
            </w:r>
            <w:r w:rsidRPr="00EB5EBA">
              <w:t>engage</w:t>
            </w:r>
            <w:r w:rsidRPr="00EB5EBA">
              <w:rPr>
                <w:spacing w:val="1"/>
              </w:rPr>
              <w:t xml:space="preserve"> </w:t>
            </w:r>
            <w:r w:rsidRPr="00EB5EBA">
              <w:t>with</w:t>
            </w:r>
            <w:r w:rsidRPr="00EB5EBA">
              <w:rPr>
                <w:spacing w:val="1"/>
              </w:rPr>
              <w:t xml:space="preserve"> </w:t>
            </w:r>
            <w:r w:rsidRPr="00EB5EBA">
              <w:rPr>
                <w:spacing w:val="-2"/>
              </w:rPr>
              <w:t xml:space="preserve">staff </w:t>
            </w:r>
            <w:r w:rsidRPr="00EB5EBA">
              <w:t>members,</w:t>
            </w:r>
            <w:r w:rsidRPr="00EB5EBA">
              <w:rPr>
                <w:spacing w:val="3"/>
              </w:rPr>
              <w:t xml:space="preserve"> </w:t>
            </w:r>
            <w:r w:rsidRPr="00EB5EBA">
              <w:t>and</w:t>
            </w:r>
            <w:r w:rsidRPr="00EB5EBA">
              <w:rPr>
                <w:spacing w:val="3"/>
              </w:rPr>
              <w:t xml:space="preserve"> </w:t>
            </w:r>
            <w:r w:rsidRPr="00EB5EBA">
              <w:t>welcome</w:t>
            </w:r>
            <w:r w:rsidRPr="00EB5EBA">
              <w:rPr>
                <w:spacing w:val="3"/>
              </w:rPr>
              <w:t xml:space="preserve"> </w:t>
            </w:r>
            <w:r w:rsidRPr="00EB5EBA">
              <w:t>alternative</w:t>
            </w:r>
            <w:r w:rsidRPr="00EB5EBA">
              <w:rPr>
                <w:spacing w:val="3"/>
              </w:rPr>
              <w:t xml:space="preserve"> </w:t>
            </w:r>
            <w:r w:rsidRPr="00EB5EBA">
              <w:rPr>
                <w:spacing w:val="-4"/>
              </w:rPr>
              <w:t>views</w:t>
            </w:r>
          </w:p>
          <w:p w14:paraId="521E18E8" w14:textId="77777777" w:rsidR="00EB5EBA" w:rsidRDefault="00EB5EBA" w:rsidP="0000278A">
            <w:pPr>
              <w:pStyle w:val="Bullet"/>
            </w:pPr>
            <w:r>
              <w:t>advertising management role vacancies externally as a default and better enabling</w:t>
            </w:r>
            <w:r>
              <w:rPr>
                <w:spacing w:val="-2"/>
              </w:rPr>
              <w:t xml:space="preserve"> </w:t>
            </w:r>
            <w:r>
              <w:t>external</w:t>
            </w:r>
            <w:r>
              <w:rPr>
                <w:spacing w:val="-2"/>
              </w:rPr>
              <w:t xml:space="preserve"> </w:t>
            </w:r>
            <w:r>
              <w:t>hires</w:t>
            </w:r>
            <w:r>
              <w:rPr>
                <w:spacing w:val="-2"/>
              </w:rPr>
              <w:t xml:space="preserve"> </w:t>
            </w:r>
            <w:r>
              <w:t>to</w:t>
            </w:r>
            <w:r>
              <w:rPr>
                <w:spacing w:val="-2"/>
              </w:rPr>
              <w:t xml:space="preserve"> </w:t>
            </w:r>
            <w:r>
              <w:t>succeed</w:t>
            </w:r>
            <w:r>
              <w:rPr>
                <w:spacing w:val="-2"/>
              </w:rPr>
              <w:t xml:space="preserve"> </w:t>
            </w:r>
            <w:r>
              <w:t>in</w:t>
            </w:r>
            <w:r>
              <w:rPr>
                <w:spacing w:val="-2"/>
              </w:rPr>
              <w:t xml:space="preserve"> </w:t>
            </w:r>
            <w:r>
              <w:t>the</w:t>
            </w:r>
            <w:r>
              <w:rPr>
                <w:spacing w:val="-2"/>
              </w:rPr>
              <w:t xml:space="preserve"> </w:t>
            </w:r>
            <w:r>
              <w:t>RBA</w:t>
            </w:r>
            <w:r>
              <w:rPr>
                <w:spacing w:val="-2"/>
              </w:rPr>
              <w:t xml:space="preserve"> </w:t>
            </w:r>
            <w:r>
              <w:t>through</w:t>
            </w:r>
            <w:r>
              <w:rPr>
                <w:spacing w:val="-2"/>
              </w:rPr>
              <w:t xml:space="preserve"> </w:t>
            </w:r>
            <w:r>
              <w:t>improved</w:t>
            </w:r>
            <w:r>
              <w:rPr>
                <w:spacing w:val="-2"/>
              </w:rPr>
              <w:t xml:space="preserve"> </w:t>
            </w:r>
            <w:r>
              <w:t>onboarding and support</w:t>
            </w:r>
          </w:p>
          <w:p w14:paraId="67AE5F8F" w14:textId="77777777" w:rsidR="00EB5EBA" w:rsidRDefault="00EB5EBA" w:rsidP="0000278A">
            <w:pPr>
              <w:pStyle w:val="Bullet"/>
            </w:pPr>
            <w:r>
              <w:t>setting</w:t>
            </w:r>
            <w:r>
              <w:rPr>
                <w:spacing w:val="6"/>
              </w:rPr>
              <w:t xml:space="preserve"> </w:t>
            </w:r>
            <w:r>
              <w:t>diversity</w:t>
            </w:r>
            <w:r>
              <w:rPr>
                <w:spacing w:val="6"/>
              </w:rPr>
              <w:t xml:space="preserve"> </w:t>
            </w:r>
            <w:r>
              <w:t>targets</w:t>
            </w:r>
            <w:r>
              <w:rPr>
                <w:spacing w:val="6"/>
              </w:rPr>
              <w:t xml:space="preserve"> </w:t>
            </w:r>
            <w:r>
              <w:t>and</w:t>
            </w:r>
            <w:r>
              <w:rPr>
                <w:spacing w:val="6"/>
              </w:rPr>
              <w:t xml:space="preserve"> </w:t>
            </w:r>
            <w:r>
              <w:t>tracking</w:t>
            </w:r>
            <w:r>
              <w:rPr>
                <w:spacing w:val="6"/>
              </w:rPr>
              <w:t xml:space="preserve"> </w:t>
            </w:r>
            <w:r>
              <w:t>progress</w:t>
            </w:r>
            <w:r>
              <w:rPr>
                <w:spacing w:val="6"/>
              </w:rPr>
              <w:t xml:space="preserve"> </w:t>
            </w:r>
            <w:r>
              <w:t>against</w:t>
            </w:r>
            <w:r>
              <w:rPr>
                <w:spacing w:val="6"/>
              </w:rPr>
              <w:t xml:space="preserve"> </w:t>
            </w:r>
            <w:r>
              <w:rPr>
                <w:spacing w:val="-4"/>
              </w:rPr>
              <w:t>them.</w:t>
            </w:r>
          </w:p>
        </w:tc>
      </w:tr>
      <w:tr w:rsidR="00EB5EBA" w14:paraId="67249391" w14:textId="77777777" w:rsidTr="006A543B">
        <w:trPr>
          <w:trHeight w:val="3377"/>
        </w:trPr>
        <w:tc>
          <w:tcPr>
            <w:tcW w:w="464" w:type="pct"/>
            <w:tcBorders>
              <w:top w:val="single" w:sz="8" w:space="0" w:color="ECEDE9"/>
            </w:tcBorders>
          </w:tcPr>
          <w:p w14:paraId="16142C71" w14:textId="77777777" w:rsidR="00EB5EBA" w:rsidRDefault="00EB5EBA" w:rsidP="00EB5EBA">
            <w:r>
              <w:t>11.4</w:t>
            </w:r>
          </w:p>
        </w:tc>
        <w:tc>
          <w:tcPr>
            <w:tcW w:w="4536" w:type="pct"/>
            <w:tcBorders>
              <w:top w:val="single" w:sz="8" w:space="0" w:color="ECEDE9"/>
            </w:tcBorders>
          </w:tcPr>
          <w:p w14:paraId="1EF99BC2" w14:textId="77777777" w:rsidR="00EB5EBA" w:rsidRDefault="00EB5EBA" w:rsidP="00EB5EBA">
            <w:r>
              <w:t>The</w:t>
            </w:r>
            <w:r>
              <w:rPr>
                <w:spacing w:val="1"/>
              </w:rPr>
              <w:t xml:space="preserve"> </w:t>
            </w:r>
            <w:r>
              <w:t>RBA</w:t>
            </w:r>
            <w:r>
              <w:rPr>
                <w:spacing w:val="2"/>
              </w:rPr>
              <w:t xml:space="preserve"> </w:t>
            </w:r>
            <w:r>
              <w:t>should</w:t>
            </w:r>
            <w:r>
              <w:rPr>
                <w:spacing w:val="2"/>
              </w:rPr>
              <w:t xml:space="preserve"> </w:t>
            </w:r>
            <w:r>
              <w:t>strengthen</w:t>
            </w:r>
            <w:r>
              <w:rPr>
                <w:spacing w:val="2"/>
              </w:rPr>
              <w:t xml:space="preserve"> </w:t>
            </w:r>
            <w:r>
              <w:t>the</w:t>
            </w:r>
            <w:r>
              <w:rPr>
                <w:spacing w:val="2"/>
              </w:rPr>
              <w:t xml:space="preserve"> </w:t>
            </w:r>
            <w:r>
              <w:t>role</w:t>
            </w:r>
            <w:r>
              <w:rPr>
                <w:spacing w:val="2"/>
              </w:rPr>
              <w:t xml:space="preserve"> </w:t>
            </w:r>
            <w:r>
              <w:t>of</w:t>
            </w:r>
            <w:r>
              <w:rPr>
                <w:spacing w:val="1"/>
              </w:rPr>
              <w:t xml:space="preserve"> </w:t>
            </w:r>
            <w:r>
              <w:t>research</w:t>
            </w:r>
            <w:r>
              <w:rPr>
                <w:spacing w:val="2"/>
              </w:rPr>
              <w:t xml:space="preserve"> </w:t>
            </w:r>
            <w:r>
              <w:t>in</w:t>
            </w:r>
            <w:r>
              <w:rPr>
                <w:spacing w:val="2"/>
              </w:rPr>
              <w:t xml:space="preserve"> </w:t>
            </w:r>
            <w:r>
              <w:t>policy</w:t>
            </w:r>
            <w:r>
              <w:rPr>
                <w:spacing w:val="2"/>
              </w:rPr>
              <w:t xml:space="preserve"> </w:t>
            </w:r>
            <w:r>
              <w:t>formulation,</w:t>
            </w:r>
            <w:r>
              <w:rPr>
                <w:spacing w:val="2"/>
              </w:rPr>
              <w:t xml:space="preserve"> </w:t>
            </w:r>
            <w:r>
              <w:t>including</w:t>
            </w:r>
            <w:r>
              <w:rPr>
                <w:spacing w:val="2"/>
              </w:rPr>
              <w:t xml:space="preserve"> </w:t>
            </w:r>
            <w:r>
              <w:rPr>
                <w:spacing w:val="-5"/>
              </w:rPr>
              <w:t>by:</w:t>
            </w:r>
          </w:p>
          <w:p w14:paraId="68D9177F" w14:textId="77777777" w:rsidR="00EB5EBA" w:rsidRDefault="00EB5EBA" w:rsidP="0000278A">
            <w:pPr>
              <w:pStyle w:val="Bullet"/>
            </w:pPr>
            <w:r>
              <w:t>establishing</w:t>
            </w:r>
            <w:r>
              <w:rPr>
                <w:spacing w:val="8"/>
              </w:rPr>
              <w:t xml:space="preserve"> </w:t>
            </w:r>
            <w:r>
              <w:t>a</w:t>
            </w:r>
            <w:r>
              <w:rPr>
                <w:spacing w:val="9"/>
              </w:rPr>
              <w:t xml:space="preserve"> </w:t>
            </w:r>
            <w:r>
              <w:t>monetary</w:t>
            </w:r>
            <w:r>
              <w:rPr>
                <w:spacing w:val="8"/>
              </w:rPr>
              <w:t xml:space="preserve"> </w:t>
            </w:r>
            <w:r>
              <w:t>policy</w:t>
            </w:r>
            <w:r>
              <w:rPr>
                <w:spacing w:val="9"/>
              </w:rPr>
              <w:t xml:space="preserve"> </w:t>
            </w:r>
            <w:r>
              <w:t>strategy</w:t>
            </w:r>
            <w:r>
              <w:rPr>
                <w:spacing w:val="9"/>
              </w:rPr>
              <w:t xml:space="preserve"> </w:t>
            </w:r>
            <w:r>
              <w:rPr>
                <w:spacing w:val="-4"/>
              </w:rPr>
              <w:t>team</w:t>
            </w:r>
          </w:p>
          <w:p w14:paraId="6B6761EA" w14:textId="77777777" w:rsidR="00EB5EBA" w:rsidRDefault="00EB5EBA" w:rsidP="0000278A">
            <w:pPr>
              <w:pStyle w:val="Bullet"/>
            </w:pPr>
            <w:r>
              <w:t>increasing collaboration between policy groups, including through cross-departmental projects</w:t>
            </w:r>
          </w:p>
          <w:p w14:paraId="782434BB" w14:textId="77777777" w:rsidR="00EB5EBA" w:rsidRDefault="00EB5EBA" w:rsidP="0000278A">
            <w:pPr>
              <w:pStyle w:val="Bullet"/>
            </w:pPr>
            <w:r>
              <w:t>developing and executing a research strategy and agenda overseen by the Monetary Policy Board</w:t>
            </w:r>
          </w:p>
          <w:p w14:paraId="2007EB56" w14:textId="77777777" w:rsidR="00EB5EBA" w:rsidRDefault="00EB5EBA" w:rsidP="0000278A">
            <w:pPr>
              <w:pStyle w:val="Bullet"/>
            </w:pPr>
            <w:r>
              <w:t>increasing</w:t>
            </w:r>
            <w:r>
              <w:rPr>
                <w:spacing w:val="2"/>
              </w:rPr>
              <w:t xml:space="preserve"> </w:t>
            </w:r>
            <w:r>
              <w:t>engagement</w:t>
            </w:r>
            <w:r>
              <w:rPr>
                <w:spacing w:val="2"/>
              </w:rPr>
              <w:t xml:space="preserve"> </w:t>
            </w:r>
            <w:r>
              <w:t>with</w:t>
            </w:r>
            <w:r>
              <w:rPr>
                <w:spacing w:val="3"/>
              </w:rPr>
              <w:t xml:space="preserve"> </w:t>
            </w:r>
            <w:r>
              <w:t>universities</w:t>
            </w:r>
            <w:r>
              <w:rPr>
                <w:spacing w:val="2"/>
              </w:rPr>
              <w:t xml:space="preserve"> </w:t>
            </w:r>
            <w:r>
              <w:t>and</w:t>
            </w:r>
            <w:r>
              <w:rPr>
                <w:spacing w:val="3"/>
              </w:rPr>
              <w:t xml:space="preserve"> </w:t>
            </w:r>
            <w:r>
              <w:rPr>
                <w:spacing w:val="-2"/>
              </w:rPr>
              <w:t>thinktanks</w:t>
            </w:r>
          </w:p>
          <w:p w14:paraId="176DB77A" w14:textId="3CB08601" w:rsidR="00EB5EBA" w:rsidRDefault="00EB5EBA" w:rsidP="00B23B06">
            <w:pPr>
              <w:pStyle w:val="Bullet"/>
            </w:pPr>
            <w:r>
              <w:t>deepening analytical capability by</w:t>
            </w:r>
            <w:r>
              <w:rPr>
                <w:spacing w:val="1"/>
              </w:rPr>
              <w:t xml:space="preserve"> </w:t>
            </w:r>
            <w:r>
              <w:t>attracting, developing, and</w:t>
            </w:r>
            <w:r>
              <w:rPr>
                <w:spacing w:val="1"/>
              </w:rPr>
              <w:t xml:space="preserve"> </w:t>
            </w:r>
            <w:r>
              <w:rPr>
                <w:spacing w:val="-2"/>
              </w:rPr>
              <w:t>retaining</w:t>
            </w:r>
            <w:r w:rsidR="00B23B06">
              <w:rPr>
                <w:spacing w:val="-2"/>
              </w:rPr>
              <w:t xml:space="preserve"> </w:t>
            </w:r>
            <w:r>
              <w:t>technical</w:t>
            </w:r>
            <w:r w:rsidRPr="00B23B06">
              <w:rPr>
                <w:spacing w:val="-8"/>
              </w:rPr>
              <w:t xml:space="preserve"> </w:t>
            </w:r>
            <w:r w:rsidRPr="00B23B06">
              <w:rPr>
                <w:spacing w:val="-2"/>
              </w:rPr>
              <w:t>expertise.</w:t>
            </w:r>
          </w:p>
        </w:tc>
      </w:tr>
    </w:tbl>
    <w:p w14:paraId="6D81C967" w14:textId="77777777" w:rsidR="00DD2C16" w:rsidRDefault="00DD2C16" w:rsidP="007F5EC7">
      <w:pPr>
        <w:pStyle w:val="Heading2"/>
      </w:pPr>
      <w:bookmarkStart w:id="21" w:name="_Toc134220994"/>
      <w:r>
        <w:t>More</w:t>
      </w:r>
      <w:r>
        <w:rPr>
          <w:spacing w:val="-8"/>
        </w:rPr>
        <w:t xml:space="preserve"> </w:t>
      </w:r>
      <w:r>
        <w:t>robust</w:t>
      </w:r>
      <w:r>
        <w:rPr>
          <w:spacing w:val="-8"/>
        </w:rPr>
        <w:t xml:space="preserve"> </w:t>
      </w:r>
      <w:r>
        <w:t>corporate</w:t>
      </w:r>
      <w:r>
        <w:rPr>
          <w:spacing w:val="-7"/>
        </w:rPr>
        <w:t xml:space="preserve"> </w:t>
      </w:r>
      <w:r>
        <w:t>governance</w:t>
      </w:r>
      <w:bookmarkEnd w:id="21"/>
    </w:p>
    <w:tbl>
      <w:tblPr>
        <w:tblW w:w="5000" w:type="pct"/>
        <w:tblCellMar>
          <w:left w:w="0" w:type="dxa"/>
          <w:right w:w="0" w:type="dxa"/>
        </w:tblCellMar>
        <w:tblLook w:val="01E0" w:firstRow="1" w:lastRow="1" w:firstColumn="1" w:lastColumn="1" w:noHBand="0" w:noVBand="0"/>
      </w:tblPr>
      <w:tblGrid>
        <w:gridCol w:w="845"/>
        <w:gridCol w:w="8225"/>
      </w:tblGrid>
      <w:tr w:rsidR="009E75A0" w14:paraId="61F76FF2" w14:textId="77777777" w:rsidTr="009E75A0">
        <w:trPr>
          <w:trHeight w:val="820"/>
        </w:trPr>
        <w:tc>
          <w:tcPr>
            <w:tcW w:w="5000" w:type="pct"/>
            <w:gridSpan w:val="2"/>
            <w:tcBorders>
              <w:bottom w:val="single" w:sz="8" w:space="0" w:color="ECEDE9"/>
            </w:tcBorders>
          </w:tcPr>
          <w:p w14:paraId="7FBBC813" w14:textId="46C9A91E" w:rsidR="009E75A0" w:rsidRDefault="009E75A0" w:rsidP="007F5EC7">
            <w:pPr>
              <w:pStyle w:val="Heading4"/>
              <w:keepLines/>
            </w:pPr>
            <w:r>
              <w:t>Recommendation</w:t>
            </w:r>
            <w:r>
              <w:rPr>
                <w:spacing w:val="-2"/>
              </w:rPr>
              <w:t xml:space="preserve"> </w:t>
            </w:r>
            <w:r>
              <w:t>12:</w:t>
            </w:r>
            <w:r>
              <w:rPr>
                <w:spacing w:val="1"/>
              </w:rPr>
              <w:t xml:space="preserve"> </w:t>
            </w:r>
            <w:r>
              <w:t>Update RBA</w:t>
            </w:r>
            <w:r>
              <w:rPr>
                <w:spacing w:val="1"/>
              </w:rPr>
              <w:t xml:space="preserve"> </w:t>
            </w:r>
            <w:r>
              <w:t>oversight and</w:t>
            </w:r>
            <w:r>
              <w:rPr>
                <w:spacing w:val="1"/>
              </w:rPr>
              <w:t xml:space="preserve"> </w:t>
            </w:r>
            <w:r>
              <w:t>accountability by</w:t>
            </w:r>
            <w:r>
              <w:rPr>
                <w:spacing w:val="1"/>
              </w:rPr>
              <w:t xml:space="preserve"> </w:t>
            </w:r>
            <w:r>
              <w:rPr>
                <w:spacing w:val="-2"/>
              </w:rPr>
              <w:t xml:space="preserve">establishing </w:t>
            </w:r>
            <w:r>
              <w:t>a</w:t>
            </w:r>
            <w:r>
              <w:rPr>
                <w:spacing w:val="-2"/>
              </w:rPr>
              <w:t xml:space="preserve"> </w:t>
            </w:r>
            <w:r>
              <w:t>Governance</w:t>
            </w:r>
            <w:r>
              <w:rPr>
                <w:spacing w:val="-1"/>
              </w:rPr>
              <w:t xml:space="preserve"> </w:t>
            </w:r>
            <w:r>
              <w:rPr>
                <w:spacing w:val="-4"/>
              </w:rPr>
              <w:t>Board</w:t>
            </w:r>
          </w:p>
        </w:tc>
      </w:tr>
      <w:tr w:rsidR="009E75A0" w14:paraId="3369EEA0" w14:textId="77777777" w:rsidTr="009E75A0">
        <w:trPr>
          <w:trHeight w:val="1237"/>
        </w:trPr>
        <w:tc>
          <w:tcPr>
            <w:tcW w:w="466" w:type="pct"/>
            <w:tcBorders>
              <w:top w:val="single" w:sz="8" w:space="0" w:color="ECEDE9"/>
              <w:bottom w:val="single" w:sz="8" w:space="0" w:color="ECEDE9"/>
            </w:tcBorders>
          </w:tcPr>
          <w:p w14:paraId="6C8E783E" w14:textId="77777777" w:rsidR="009E75A0" w:rsidRDefault="009E75A0" w:rsidP="009E75A0">
            <w:r>
              <w:t>12.1</w:t>
            </w:r>
          </w:p>
        </w:tc>
        <w:tc>
          <w:tcPr>
            <w:tcW w:w="4534" w:type="pct"/>
            <w:tcBorders>
              <w:top w:val="single" w:sz="8" w:space="0" w:color="ECEDE9"/>
              <w:bottom w:val="single" w:sz="8" w:space="0" w:color="ECEDE9"/>
            </w:tcBorders>
          </w:tcPr>
          <w:p w14:paraId="30A7E0DB" w14:textId="77777777" w:rsidR="009E75A0" w:rsidRDefault="009E75A0" w:rsidP="009E75A0">
            <w:r>
              <w:t>The Government should establish a Governance Board with responsibility for overseeing the management of the organisation, including organisational strategy, performance, finances, large projects, resourcing, remuneration, succession planning, risk (such as cyber risk), and delivery of banking and banknote services.</w:t>
            </w:r>
          </w:p>
        </w:tc>
      </w:tr>
      <w:tr w:rsidR="009E75A0" w14:paraId="6AC0D6BB" w14:textId="77777777" w:rsidTr="009E75A0">
        <w:trPr>
          <w:trHeight w:val="793"/>
        </w:trPr>
        <w:tc>
          <w:tcPr>
            <w:tcW w:w="466" w:type="pct"/>
            <w:tcBorders>
              <w:top w:val="single" w:sz="8" w:space="0" w:color="ECEDE9"/>
              <w:bottom w:val="single" w:sz="8" w:space="0" w:color="ECEDE9"/>
            </w:tcBorders>
          </w:tcPr>
          <w:p w14:paraId="01F44B64" w14:textId="77777777" w:rsidR="009E75A0" w:rsidRDefault="009E75A0" w:rsidP="009E75A0">
            <w:r>
              <w:t>12.2</w:t>
            </w:r>
          </w:p>
        </w:tc>
        <w:tc>
          <w:tcPr>
            <w:tcW w:w="4534" w:type="pct"/>
            <w:tcBorders>
              <w:top w:val="single" w:sz="8" w:space="0" w:color="ECEDE9"/>
              <w:bottom w:val="single" w:sz="8" w:space="0" w:color="ECEDE9"/>
            </w:tcBorders>
          </w:tcPr>
          <w:p w14:paraId="13FCF7F3" w14:textId="77777777" w:rsidR="009E75A0" w:rsidRDefault="009E75A0" w:rsidP="009E75A0">
            <w:r>
              <w:t>The Governance Board should be the accountable authority in respect of the PGPA Act and expand the Audit Committee to be an Audit and Risk Committee.</w:t>
            </w:r>
          </w:p>
        </w:tc>
      </w:tr>
      <w:tr w:rsidR="009E75A0" w14:paraId="2DBFC655" w14:textId="77777777" w:rsidTr="009E75A0">
        <w:trPr>
          <w:trHeight w:val="793"/>
        </w:trPr>
        <w:tc>
          <w:tcPr>
            <w:tcW w:w="466" w:type="pct"/>
            <w:tcBorders>
              <w:top w:val="single" w:sz="8" w:space="0" w:color="ECEDE9"/>
              <w:bottom w:val="single" w:sz="8" w:space="0" w:color="ECEDE9"/>
            </w:tcBorders>
          </w:tcPr>
          <w:p w14:paraId="02FAB049" w14:textId="77777777" w:rsidR="009E75A0" w:rsidRDefault="009E75A0" w:rsidP="009E75A0">
            <w:r>
              <w:t>12.3</w:t>
            </w:r>
          </w:p>
        </w:tc>
        <w:tc>
          <w:tcPr>
            <w:tcW w:w="4534" w:type="pct"/>
            <w:tcBorders>
              <w:top w:val="single" w:sz="8" w:space="0" w:color="ECEDE9"/>
              <w:bottom w:val="single" w:sz="8" w:space="0" w:color="ECEDE9"/>
            </w:tcBorders>
          </w:tcPr>
          <w:p w14:paraId="664986A8" w14:textId="77777777" w:rsidR="009E75A0" w:rsidRDefault="009E75A0" w:rsidP="009E75A0">
            <w:r>
              <w:t>The Governance Board’s membership should comprise the Governor, Chief Operating</w:t>
            </w:r>
            <w:r>
              <w:rPr>
                <w:spacing w:val="-1"/>
              </w:rPr>
              <w:t xml:space="preserve"> </w:t>
            </w:r>
            <w:r>
              <w:t>Officer</w:t>
            </w:r>
            <w:r>
              <w:rPr>
                <w:spacing w:val="-1"/>
              </w:rPr>
              <w:t xml:space="preserve"> </w:t>
            </w:r>
            <w:r>
              <w:t>and</w:t>
            </w:r>
            <w:r>
              <w:rPr>
                <w:spacing w:val="-1"/>
              </w:rPr>
              <w:t xml:space="preserve"> </w:t>
            </w:r>
            <w:r>
              <w:t>5</w:t>
            </w:r>
            <w:r>
              <w:rPr>
                <w:spacing w:val="-1"/>
              </w:rPr>
              <w:t xml:space="preserve"> </w:t>
            </w:r>
            <w:r>
              <w:t>external</w:t>
            </w:r>
            <w:r>
              <w:rPr>
                <w:spacing w:val="-1"/>
              </w:rPr>
              <w:t xml:space="preserve"> </w:t>
            </w:r>
            <w:r>
              <w:t>members.</w:t>
            </w:r>
            <w:r>
              <w:rPr>
                <w:spacing w:val="-1"/>
              </w:rPr>
              <w:t xml:space="preserve"> </w:t>
            </w:r>
            <w:r>
              <w:t>An</w:t>
            </w:r>
            <w:r>
              <w:rPr>
                <w:spacing w:val="-1"/>
              </w:rPr>
              <w:t xml:space="preserve"> </w:t>
            </w:r>
            <w:r>
              <w:t>external</w:t>
            </w:r>
            <w:r>
              <w:rPr>
                <w:spacing w:val="-1"/>
              </w:rPr>
              <w:t xml:space="preserve"> </w:t>
            </w:r>
            <w:r>
              <w:t>member</w:t>
            </w:r>
            <w:r>
              <w:rPr>
                <w:spacing w:val="-1"/>
              </w:rPr>
              <w:t xml:space="preserve"> </w:t>
            </w:r>
            <w:r>
              <w:t>should</w:t>
            </w:r>
            <w:r>
              <w:rPr>
                <w:spacing w:val="-1"/>
              </w:rPr>
              <w:t xml:space="preserve"> </w:t>
            </w:r>
            <w:r>
              <w:t>be</w:t>
            </w:r>
            <w:r>
              <w:rPr>
                <w:spacing w:val="-1"/>
              </w:rPr>
              <w:t xml:space="preserve"> </w:t>
            </w:r>
            <w:r>
              <w:t>chair.</w:t>
            </w:r>
          </w:p>
        </w:tc>
      </w:tr>
      <w:tr w:rsidR="009E75A0" w14:paraId="46ECF7A2" w14:textId="77777777" w:rsidTr="009E75A0">
        <w:trPr>
          <w:trHeight w:val="1237"/>
        </w:trPr>
        <w:tc>
          <w:tcPr>
            <w:tcW w:w="466" w:type="pct"/>
            <w:tcBorders>
              <w:top w:val="single" w:sz="8" w:space="0" w:color="ECEDE9"/>
              <w:bottom w:val="single" w:sz="8" w:space="0" w:color="ECEDE9"/>
            </w:tcBorders>
          </w:tcPr>
          <w:p w14:paraId="3128798E" w14:textId="77777777" w:rsidR="009E75A0" w:rsidRDefault="009E75A0" w:rsidP="009E75A0">
            <w:r>
              <w:lastRenderedPageBreak/>
              <w:t>12.4</w:t>
            </w:r>
          </w:p>
        </w:tc>
        <w:tc>
          <w:tcPr>
            <w:tcW w:w="4534" w:type="pct"/>
            <w:tcBorders>
              <w:top w:val="single" w:sz="8" w:space="0" w:color="ECEDE9"/>
              <w:bottom w:val="single" w:sz="8" w:space="0" w:color="ECEDE9"/>
            </w:tcBorders>
          </w:tcPr>
          <w:p w14:paraId="78CC0BC8" w14:textId="77777777" w:rsidR="009E75A0" w:rsidRDefault="009E75A0" w:rsidP="009E75A0">
            <w:r>
              <w:t>External Governance Board members should be appointed through a transparent process. Positions should be advertised for expressions of interest drawing on a matrix of required skills and experience. The process should be managed by the Secretary to the Treasury, the Governor and a third party.</w:t>
            </w:r>
          </w:p>
        </w:tc>
      </w:tr>
      <w:tr w:rsidR="009E75A0" w14:paraId="6AE10249" w14:textId="77777777" w:rsidTr="009E75A0">
        <w:trPr>
          <w:trHeight w:val="1015"/>
        </w:trPr>
        <w:tc>
          <w:tcPr>
            <w:tcW w:w="466" w:type="pct"/>
            <w:tcBorders>
              <w:top w:val="single" w:sz="8" w:space="0" w:color="ECEDE9"/>
              <w:bottom w:val="single" w:sz="8" w:space="0" w:color="ECEDE9"/>
            </w:tcBorders>
          </w:tcPr>
          <w:p w14:paraId="0BE4E4FC" w14:textId="77777777" w:rsidR="009E75A0" w:rsidRDefault="009E75A0" w:rsidP="009E75A0">
            <w:r>
              <w:t>12.5</w:t>
            </w:r>
          </w:p>
        </w:tc>
        <w:tc>
          <w:tcPr>
            <w:tcW w:w="4534" w:type="pct"/>
            <w:tcBorders>
              <w:top w:val="single" w:sz="8" w:space="0" w:color="ECEDE9"/>
              <w:bottom w:val="single" w:sz="8" w:space="0" w:color="ECEDE9"/>
            </w:tcBorders>
          </w:tcPr>
          <w:p w14:paraId="673156EF" w14:textId="77777777" w:rsidR="009E75A0" w:rsidRDefault="009E75A0" w:rsidP="009E75A0">
            <w:r>
              <w:t>External members of the Governance Board should be appointed for a term of 5 years, with the possibility of reappointment for up to one year, if flexibility is needed. End dates should be staggered.</w:t>
            </w:r>
          </w:p>
        </w:tc>
      </w:tr>
      <w:tr w:rsidR="009E75A0" w14:paraId="4667BC44" w14:textId="77777777" w:rsidTr="009E75A0">
        <w:trPr>
          <w:trHeight w:val="851"/>
        </w:trPr>
        <w:tc>
          <w:tcPr>
            <w:tcW w:w="466" w:type="pct"/>
            <w:tcBorders>
              <w:top w:val="single" w:sz="8" w:space="0" w:color="ECEDE9"/>
            </w:tcBorders>
          </w:tcPr>
          <w:p w14:paraId="5521A733" w14:textId="77777777" w:rsidR="009E75A0" w:rsidRDefault="009E75A0" w:rsidP="009E75A0">
            <w:r>
              <w:t>12.6</w:t>
            </w:r>
          </w:p>
        </w:tc>
        <w:tc>
          <w:tcPr>
            <w:tcW w:w="4534" w:type="pct"/>
            <w:tcBorders>
              <w:top w:val="single" w:sz="8" w:space="0" w:color="ECEDE9"/>
            </w:tcBorders>
          </w:tcPr>
          <w:p w14:paraId="071832F6" w14:textId="77777777" w:rsidR="009E75A0" w:rsidRDefault="009E75A0" w:rsidP="009E75A0">
            <w:r>
              <w:t>The</w:t>
            </w:r>
            <w:r>
              <w:rPr>
                <w:spacing w:val="19"/>
              </w:rPr>
              <w:t xml:space="preserve"> </w:t>
            </w:r>
            <w:r>
              <w:t>RBA</w:t>
            </w:r>
            <w:r>
              <w:rPr>
                <w:spacing w:val="19"/>
              </w:rPr>
              <w:t xml:space="preserve"> </w:t>
            </w:r>
            <w:r>
              <w:t>Boards</w:t>
            </w:r>
            <w:r>
              <w:rPr>
                <w:spacing w:val="19"/>
              </w:rPr>
              <w:t xml:space="preserve"> </w:t>
            </w:r>
            <w:r>
              <w:t>should</w:t>
            </w:r>
            <w:r>
              <w:rPr>
                <w:spacing w:val="19"/>
              </w:rPr>
              <w:t xml:space="preserve"> </w:t>
            </w:r>
            <w:r>
              <w:t>establish</w:t>
            </w:r>
            <w:r>
              <w:rPr>
                <w:spacing w:val="19"/>
              </w:rPr>
              <w:t xml:space="preserve"> </w:t>
            </w:r>
            <w:r>
              <w:t>charters</w:t>
            </w:r>
            <w:r>
              <w:rPr>
                <w:spacing w:val="19"/>
              </w:rPr>
              <w:t xml:space="preserve"> </w:t>
            </w:r>
            <w:r>
              <w:t>setting</w:t>
            </w:r>
            <w:r>
              <w:rPr>
                <w:spacing w:val="19"/>
              </w:rPr>
              <w:t xml:space="preserve"> </w:t>
            </w:r>
            <w:r>
              <w:t>out</w:t>
            </w:r>
            <w:r>
              <w:rPr>
                <w:spacing w:val="19"/>
              </w:rPr>
              <w:t xml:space="preserve"> </w:t>
            </w:r>
            <w:r>
              <w:t>their</w:t>
            </w:r>
            <w:r>
              <w:rPr>
                <w:spacing w:val="19"/>
              </w:rPr>
              <w:t xml:space="preserve"> </w:t>
            </w:r>
            <w:r>
              <w:t>responsibilities</w:t>
            </w:r>
            <w:r>
              <w:rPr>
                <w:spacing w:val="19"/>
              </w:rPr>
              <w:t xml:space="preserve"> </w:t>
            </w:r>
            <w:r>
              <w:t>and those of the RBA executive. A memorandum of understanding should be established between the 3 RBA Boards.</w:t>
            </w:r>
          </w:p>
        </w:tc>
      </w:tr>
    </w:tbl>
    <w:p w14:paraId="556A0119" w14:textId="2063124F" w:rsidR="00EB061C" w:rsidRDefault="00EB061C" w:rsidP="00CB53AE">
      <w:pPr>
        <w:pStyle w:val="Heading2"/>
        <w:rPr>
          <w:sz w:val="24"/>
        </w:rPr>
      </w:pPr>
      <w:bookmarkStart w:id="22" w:name="_Toc134220995"/>
      <w:r>
        <w:t>RBA</w:t>
      </w:r>
      <w:r>
        <w:rPr>
          <w:spacing w:val="-8"/>
        </w:rPr>
        <w:t xml:space="preserve"> </w:t>
      </w:r>
      <w:r>
        <w:t>leaders</w:t>
      </w:r>
      <w:r>
        <w:rPr>
          <w:spacing w:val="-8"/>
        </w:rPr>
        <w:t xml:space="preserve"> </w:t>
      </w:r>
      <w:r>
        <w:t>drive</w:t>
      </w:r>
      <w:r>
        <w:rPr>
          <w:spacing w:val="-8"/>
        </w:rPr>
        <w:t xml:space="preserve"> </w:t>
      </w:r>
      <w:r>
        <w:t>institutional</w:t>
      </w:r>
      <w:r>
        <w:rPr>
          <w:spacing w:val="-7"/>
        </w:rPr>
        <w:t xml:space="preserve"> </w:t>
      </w:r>
      <w:r>
        <w:rPr>
          <w:spacing w:val="-5"/>
        </w:rPr>
        <w:t>and cultural</w:t>
      </w:r>
      <w:r>
        <w:rPr>
          <w:spacing w:val="-11"/>
        </w:rPr>
        <w:t xml:space="preserve"> </w:t>
      </w:r>
      <w:r>
        <w:rPr>
          <w:spacing w:val="-2"/>
        </w:rPr>
        <w:t>change</w:t>
      </w:r>
      <w:bookmarkEnd w:id="22"/>
    </w:p>
    <w:tbl>
      <w:tblPr>
        <w:tblW w:w="5000" w:type="pct"/>
        <w:tblCellMar>
          <w:left w:w="0" w:type="dxa"/>
          <w:right w:w="0" w:type="dxa"/>
        </w:tblCellMar>
        <w:tblLook w:val="01E0" w:firstRow="1" w:lastRow="1" w:firstColumn="1" w:lastColumn="1" w:noHBand="0" w:noVBand="0"/>
      </w:tblPr>
      <w:tblGrid>
        <w:gridCol w:w="847"/>
        <w:gridCol w:w="8223"/>
      </w:tblGrid>
      <w:tr w:rsidR="002C0562" w14:paraId="35258D69" w14:textId="77777777" w:rsidTr="001D75F6">
        <w:trPr>
          <w:trHeight w:val="695"/>
        </w:trPr>
        <w:tc>
          <w:tcPr>
            <w:tcW w:w="5000" w:type="pct"/>
            <w:gridSpan w:val="2"/>
            <w:tcBorders>
              <w:bottom w:val="single" w:sz="8" w:space="0" w:color="ECEDE9"/>
            </w:tcBorders>
          </w:tcPr>
          <w:p w14:paraId="586BA854" w14:textId="52BC17BF" w:rsidR="002C0562" w:rsidRDefault="002C0562" w:rsidP="002C0562">
            <w:pPr>
              <w:pStyle w:val="Heading4"/>
            </w:pPr>
            <w:r>
              <w:t>Recommendation 13: RBA</w:t>
            </w:r>
            <w:r>
              <w:rPr>
                <w:spacing w:val="1"/>
              </w:rPr>
              <w:t xml:space="preserve"> </w:t>
            </w:r>
            <w:r>
              <w:t>leaders should drive</w:t>
            </w:r>
            <w:r>
              <w:rPr>
                <w:spacing w:val="1"/>
              </w:rPr>
              <w:t xml:space="preserve"> </w:t>
            </w:r>
            <w:r>
              <w:t>and measure</w:t>
            </w:r>
            <w:r>
              <w:rPr>
                <w:spacing w:val="1"/>
              </w:rPr>
              <w:t xml:space="preserve"> </w:t>
            </w:r>
            <w:r>
              <w:rPr>
                <w:spacing w:val="-2"/>
              </w:rPr>
              <w:t>change</w:t>
            </w:r>
          </w:p>
        </w:tc>
      </w:tr>
      <w:tr w:rsidR="008F29D9" w14:paraId="5F37B2E0" w14:textId="77777777" w:rsidTr="00CB53AE">
        <w:trPr>
          <w:trHeight w:val="791"/>
        </w:trPr>
        <w:tc>
          <w:tcPr>
            <w:tcW w:w="467" w:type="pct"/>
            <w:tcBorders>
              <w:top w:val="single" w:sz="8" w:space="0" w:color="ECEDE9"/>
              <w:bottom w:val="single" w:sz="8" w:space="0" w:color="ECEDE9"/>
            </w:tcBorders>
          </w:tcPr>
          <w:p w14:paraId="55FFABBA" w14:textId="77777777" w:rsidR="008F29D9" w:rsidRDefault="008F29D9" w:rsidP="00CB53AE">
            <w:r>
              <w:t>13.1</w:t>
            </w:r>
          </w:p>
        </w:tc>
        <w:tc>
          <w:tcPr>
            <w:tcW w:w="4533" w:type="pct"/>
            <w:tcBorders>
              <w:top w:val="single" w:sz="8" w:space="0" w:color="ECEDE9"/>
              <w:bottom w:val="single" w:sz="8" w:space="0" w:color="ECEDE9"/>
            </w:tcBorders>
          </w:tcPr>
          <w:p w14:paraId="4C6BD0D7" w14:textId="77777777" w:rsidR="008F29D9" w:rsidRDefault="008F29D9" w:rsidP="00CB53AE">
            <w:r>
              <w:t>The RBA’s leaders should be assessed on how they deliver and model cultural change, including as measured through staff surveys.</w:t>
            </w:r>
          </w:p>
        </w:tc>
      </w:tr>
      <w:tr w:rsidR="008F29D9" w14:paraId="649D433A" w14:textId="77777777" w:rsidTr="00CB53AE">
        <w:trPr>
          <w:trHeight w:val="1067"/>
        </w:trPr>
        <w:tc>
          <w:tcPr>
            <w:tcW w:w="467" w:type="pct"/>
            <w:tcBorders>
              <w:top w:val="single" w:sz="8" w:space="0" w:color="ECEDE9"/>
            </w:tcBorders>
          </w:tcPr>
          <w:p w14:paraId="76D6355B" w14:textId="77777777" w:rsidR="008F29D9" w:rsidRDefault="008F29D9" w:rsidP="00CB53AE">
            <w:r>
              <w:t>13.2</w:t>
            </w:r>
          </w:p>
        </w:tc>
        <w:tc>
          <w:tcPr>
            <w:tcW w:w="4533" w:type="pct"/>
            <w:tcBorders>
              <w:top w:val="single" w:sz="8" w:space="0" w:color="ECEDE9"/>
            </w:tcBorders>
          </w:tcPr>
          <w:p w14:paraId="12C9D92D" w14:textId="77777777" w:rsidR="008F29D9" w:rsidRDefault="008F29D9" w:rsidP="00CB53AE">
            <w:r>
              <w:t>The Governance Board should assess and report publicly by June 2025 on the RBA’s progress in implementing the Review’s recommendations and achieving</w:t>
            </w:r>
            <w:r>
              <w:rPr>
                <w:spacing w:val="40"/>
              </w:rPr>
              <w:t xml:space="preserve"> </w:t>
            </w:r>
            <w:r>
              <w:t>its objectives. The Governance Board should also identify new opportunities for improvement through 5-yearly Australian Public Service capability reviews.</w:t>
            </w:r>
          </w:p>
        </w:tc>
      </w:tr>
    </w:tbl>
    <w:p w14:paraId="61025EF4" w14:textId="68D40276" w:rsidR="00E025B3" w:rsidRDefault="00FB25F9" w:rsidP="009D41C4">
      <w:pPr>
        <w:pStyle w:val="Heading2"/>
        <w:rPr>
          <w:sz w:val="24"/>
        </w:rPr>
      </w:pPr>
      <w:bookmarkStart w:id="23" w:name="_Toc134220996"/>
      <w:r>
        <w:t>Implementation</w:t>
      </w:r>
      <w:bookmarkEnd w:id="23"/>
    </w:p>
    <w:tbl>
      <w:tblPr>
        <w:tblW w:w="5000" w:type="pct"/>
        <w:tblCellMar>
          <w:left w:w="0" w:type="dxa"/>
          <w:right w:w="0" w:type="dxa"/>
        </w:tblCellMar>
        <w:tblLook w:val="01E0" w:firstRow="1" w:lastRow="1" w:firstColumn="1" w:lastColumn="1" w:noHBand="0" w:noVBand="0"/>
      </w:tblPr>
      <w:tblGrid>
        <w:gridCol w:w="847"/>
        <w:gridCol w:w="8223"/>
      </w:tblGrid>
      <w:tr w:rsidR="009D41C4" w14:paraId="38A5724F" w14:textId="77777777" w:rsidTr="00316826">
        <w:trPr>
          <w:trHeight w:val="590"/>
        </w:trPr>
        <w:tc>
          <w:tcPr>
            <w:tcW w:w="5000" w:type="pct"/>
            <w:gridSpan w:val="2"/>
            <w:tcBorders>
              <w:bottom w:val="single" w:sz="8" w:space="0" w:color="ECEDE9"/>
            </w:tcBorders>
          </w:tcPr>
          <w:p w14:paraId="4286638A" w14:textId="77777777" w:rsidR="009D41C4" w:rsidRDefault="009D41C4" w:rsidP="00316826">
            <w:pPr>
              <w:pStyle w:val="Heading4"/>
            </w:pPr>
            <w:r w:rsidRPr="00316826">
              <w:t>Recommendation</w:t>
            </w:r>
            <w:r>
              <w:rPr>
                <w:spacing w:val="-2"/>
              </w:rPr>
              <w:t xml:space="preserve"> </w:t>
            </w:r>
            <w:r>
              <w:t>14:</w:t>
            </w:r>
            <w:r>
              <w:rPr>
                <w:spacing w:val="1"/>
              </w:rPr>
              <w:t xml:space="preserve"> </w:t>
            </w:r>
            <w:r>
              <w:t>Ensure continuity</w:t>
            </w:r>
            <w:r>
              <w:rPr>
                <w:spacing w:val="1"/>
              </w:rPr>
              <w:t xml:space="preserve"> </w:t>
            </w:r>
            <w:r>
              <w:t>through the</w:t>
            </w:r>
            <w:r>
              <w:rPr>
                <w:spacing w:val="1"/>
              </w:rPr>
              <w:t xml:space="preserve"> </w:t>
            </w:r>
            <w:r>
              <w:t>implementation</w:t>
            </w:r>
            <w:r>
              <w:rPr>
                <w:spacing w:val="1"/>
              </w:rPr>
              <w:t xml:space="preserve"> </w:t>
            </w:r>
            <w:r>
              <w:rPr>
                <w:spacing w:val="-2"/>
              </w:rPr>
              <w:t>process</w:t>
            </w:r>
          </w:p>
        </w:tc>
      </w:tr>
      <w:tr w:rsidR="009D41C4" w14:paraId="62754C32" w14:textId="77777777" w:rsidTr="00316826">
        <w:trPr>
          <w:trHeight w:val="801"/>
        </w:trPr>
        <w:tc>
          <w:tcPr>
            <w:tcW w:w="467" w:type="pct"/>
            <w:tcBorders>
              <w:top w:val="single" w:sz="8" w:space="0" w:color="ECEDE9"/>
              <w:bottom w:val="single" w:sz="8" w:space="0" w:color="ECEDE9"/>
            </w:tcBorders>
          </w:tcPr>
          <w:p w14:paraId="3E1F1DFC" w14:textId="77777777" w:rsidR="009D41C4" w:rsidRDefault="009D41C4" w:rsidP="009D41C4">
            <w:r>
              <w:t>14.1</w:t>
            </w:r>
          </w:p>
        </w:tc>
        <w:tc>
          <w:tcPr>
            <w:tcW w:w="4533" w:type="pct"/>
            <w:tcBorders>
              <w:top w:val="single" w:sz="8" w:space="0" w:color="ECEDE9"/>
              <w:bottom w:val="single" w:sz="8" w:space="0" w:color="ECEDE9"/>
            </w:tcBorders>
          </w:tcPr>
          <w:p w14:paraId="4ACE2BDB" w14:textId="77777777" w:rsidR="009D41C4" w:rsidRDefault="009D41C4" w:rsidP="009D41C4">
            <w:r>
              <w:t>For recommendations that require legislation, the Government should legislate the changes to commence on 1 July 2024, to allow time to plan and prepare.</w:t>
            </w:r>
          </w:p>
        </w:tc>
      </w:tr>
      <w:tr w:rsidR="009D41C4" w14:paraId="4DD0E475" w14:textId="77777777" w:rsidTr="00316826">
        <w:trPr>
          <w:trHeight w:val="1261"/>
        </w:trPr>
        <w:tc>
          <w:tcPr>
            <w:tcW w:w="467" w:type="pct"/>
            <w:tcBorders>
              <w:top w:val="single" w:sz="8" w:space="0" w:color="ECEDE9"/>
              <w:bottom w:val="single" w:sz="8" w:space="0" w:color="ECEDE9"/>
            </w:tcBorders>
          </w:tcPr>
          <w:p w14:paraId="48F8F99F" w14:textId="77777777" w:rsidR="009D41C4" w:rsidRDefault="009D41C4" w:rsidP="009D41C4">
            <w:r>
              <w:t>14.2</w:t>
            </w:r>
          </w:p>
        </w:tc>
        <w:tc>
          <w:tcPr>
            <w:tcW w:w="4533" w:type="pct"/>
            <w:tcBorders>
              <w:top w:val="single" w:sz="8" w:space="0" w:color="ECEDE9"/>
              <w:bottom w:val="single" w:sz="8" w:space="0" w:color="ECEDE9"/>
            </w:tcBorders>
          </w:tcPr>
          <w:p w14:paraId="128D3257" w14:textId="77777777" w:rsidR="009D41C4" w:rsidRDefault="009D41C4" w:rsidP="009D41C4">
            <w:r>
              <w:t>The Government should make any new appointments to the existing Reserve Bank Board</w:t>
            </w:r>
            <w:r>
              <w:rPr>
                <w:spacing w:val="-1"/>
              </w:rPr>
              <w:t xml:space="preserve"> </w:t>
            </w:r>
            <w:r>
              <w:t>before</w:t>
            </w:r>
            <w:r>
              <w:rPr>
                <w:spacing w:val="-1"/>
              </w:rPr>
              <w:t xml:space="preserve"> </w:t>
            </w:r>
            <w:r>
              <w:t>1</w:t>
            </w:r>
            <w:r>
              <w:rPr>
                <w:spacing w:val="-1"/>
              </w:rPr>
              <w:t xml:space="preserve"> </w:t>
            </w:r>
            <w:r>
              <w:t>July</w:t>
            </w:r>
            <w:r>
              <w:rPr>
                <w:spacing w:val="-1"/>
              </w:rPr>
              <w:t xml:space="preserve"> </w:t>
            </w:r>
            <w:r>
              <w:t>2024</w:t>
            </w:r>
            <w:r>
              <w:rPr>
                <w:spacing w:val="-1"/>
              </w:rPr>
              <w:t xml:space="preserve"> </w:t>
            </w:r>
            <w:r>
              <w:t>using</w:t>
            </w:r>
            <w:r>
              <w:rPr>
                <w:spacing w:val="-1"/>
              </w:rPr>
              <w:t xml:space="preserve"> </w:t>
            </w:r>
            <w:r>
              <w:t>an</w:t>
            </w:r>
            <w:r>
              <w:rPr>
                <w:spacing w:val="-1"/>
              </w:rPr>
              <w:t xml:space="preserve"> </w:t>
            </w:r>
            <w:r>
              <w:t>interim</w:t>
            </w:r>
            <w:r>
              <w:rPr>
                <w:spacing w:val="-1"/>
              </w:rPr>
              <w:t xml:space="preserve"> </w:t>
            </w:r>
            <w:r>
              <w:t>skills</w:t>
            </w:r>
            <w:r>
              <w:rPr>
                <w:spacing w:val="-1"/>
              </w:rPr>
              <w:t xml:space="preserve"> </w:t>
            </w:r>
            <w:r>
              <w:t>and</w:t>
            </w:r>
            <w:r>
              <w:rPr>
                <w:spacing w:val="-1"/>
              </w:rPr>
              <w:t xml:space="preserve"> </w:t>
            </w:r>
            <w:r>
              <w:t>experience</w:t>
            </w:r>
            <w:r>
              <w:rPr>
                <w:spacing w:val="-1"/>
              </w:rPr>
              <w:t xml:space="preserve"> </w:t>
            </w:r>
            <w:r>
              <w:t>matrix,</w:t>
            </w:r>
            <w:r>
              <w:rPr>
                <w:spacing w:val="-1"/>
              </w:rPr>
              <w:t xml:space="preserve"> </w:t>
            </w:r>
            <w:r>
              <w:t>expressions of interest, and a process managed by the Treasury Secretary, the Governor of the RBA and a third party.</w:t>
            </w:r>
          </w:p>
        </w:tc>
      </w:tr>
      <w:tr w:rsidR="009D41C4" w14:paraId="770D63E3" w14:textId="77777777" w:rsidTr="00316826">
        <w:trPr>
          <w:trHeight w:val="2521"/>
        </w:trPr>
        <w:tc>
          <w:tcPr>
            <w:tcW w:w="467" w:type="pct"/>
            <w:tcBorders>
              <w:top w:val="single" w:sz="8" w:space="0" w:color="ECEDE9"/>
              <w:bottom w:val="single" w:sz="8" w:space="0" w:color="ECEDE9"/>
            </w:tcBorders>
          </w:tcPr>
          <w:p w14:paraId="61D946D3" w14:textId="77777777" w:rsidR="009D41C4" w:rsidRDefault="009D41C4" w:rsidP="009D41C4">
            <w:r>
              <w:t>14.3</w:t>
            </w:r>
          </w:p>
        </w:tc>
        <w:tc>
          <w:tcPr>
            <w:tcW w:w="4533" w:type="pct"/>
            <w:tcBorders>
              <w:top w:val="single" w:sz="8" w:space="0" w:color="ECEDE9"/>
              <w:bottom w:val="single" w:sz="8" w:space="0" w:color="ECEDE9"/>
            </w:tcBorders>
          </w:tcPr>
          <w:p w14:paraId="677F0330" w14:textId="77777777" w:rsidR="009D41C4" w:rsidRDefault="009D41C4" w:rsidP="009D41C4">
            <w:r>
              <w:t>The Government should make Board appointments with a view to supporting the continuity of decision making now and in the future by:</w:t>
            </w:r>
          </w:p>
          <w:p w14:paraId="0EAA2FEB" w14:textId="77777777" w:rsidR="009D41C4" w:rsidRDefault="009D41C4" w:rsidP="0000278A">
            <w:pPr>
              <w:pStyle w:val="Bullet"/>
            </w:pPr>
            <w:r>
              <w:t>making new appointments to the existing Reserve Bank Board on the basis these members would complete their terms as members of the Monetary Policy Board</w:t>
            </w:r>
          </w:p>
          <w:p w14:paraId="31FCF7EE" w14:textId="77777777" w:rsidR="009D41C4" w:rsidRDefault="009D41C4" w:rsidP="0000278A">
            <w:pPr>
              <w:pStyle w:val="Bullet"/>
            </w:pPr>
            <w:r>
              <w:t>asking other existing Reserve Bank Board members to continue their term on one of the new Boards</w:t>
            </w:r>
          </w:p>
          <w:p w14:paraId="50C029B8" w14:textId="77777777" w:rsidR="009D41C4" w:rsidRDefault="009D41C4" w:rsidP="0000278A">
            <w:pPr>
              <w:pStyle w:val="Bullet"/>
            </w:pPr>
            <w:r>
              <w:t>varying the terms of appointees to the new Boards, as needed, to avoid bunching of future appointment dates.</w:t>
            </w:r>
          </w:p>
        </w:tc>
      </w:tr>
      <w:tr w:rsidR="009D41C4" w14:paraId="39F08D29" w14:textId="77777777" w:rsidTr="00316826">
        <w:trPr>
          <w:trHeight w:val="1031"/>
        </w:trPr>
        <w:tc>
          <w:tcPr>
            <w:tcW w:w="467" w:type="pct"/>
            <w:tcBorders>
              <w:top w:val="single" w:sz="8" w:space="0" w:color="ECEDE9"/>
              <w:bottom w:val="single" w:sz="8" w:space="0" w:color="ECEDE9"/>
            </w:tcBorders>
          </w:tcPr>
          <w:p w14:paraId="57BDF8D2" w14:textId="77777777" w:rsidR="009D41C4" w:rsidRDefault="009D41C4" w:rsidP="009D41C4">
            <w:r>
              <w:lastRenderedPageBreak/>
              <w:t>14.4</w:t>
            </w:r>
          </w:p>
        </w:tc>
        <w:tc>
          <w:tcPr>
            <w:tcW w:w="4533" w:type="pct"/>
            <w:tcBorders>
              <w:top w:val="single" w:sz="8" w:space="0" w:color="ECEDE9"/>
              <w:bottom w:val="single" w:sz="8" w:space="0" w:color="ECEDE9"/>
            </w:tcBorders>
          </w:tcPr>
          <w:p w14:paraId="2DFF65C9" w14:textId="77777777" w:rsidR="009D41C4" w:rsidRDefault="009D41C4" w:rsidP="009D41C4">
            <w:r>
              <w:t>The Government should consult with the Shadow Treasurer about the implementation of the recommendations of the Review, to ensure broad bipartisan support for the new arrangements.</w:t>
            </w:r>
          </w:p>
        </w:tc>
      </w:tr>
      <w:tr w:rsidR="009D41C4" w14:paraId="5DBC6F3C" w14:textId="77777777" w:rsidTr="00316826">
        <w:trPr>
          <w:trHeight w:val="1031"/>
        </w:trPr>
        <w:tc>
          <w:tcPr>
            <w:tcW w:w="467" w:type="pct"/>
            <w:tcBorders>
              <w:top w:val="single" w:sz="8" w:space="0" w:color="ECEDE9"/>
              <w:bottom w:val="single" w:sz="8" w:space="0" w:color="ECEDE9"/>
            </w:tcBorders>
          </w:tcPr>
          <w:p w14:paraId="5C644020" w14:textId="77777777" w:rsidR="009D41C4" w:rsidRDefault="009D41C4" w:rsidP="009D41C4">
            <w:r>
              <w:t>14.5</w:t>
            </w:r>
          </w:p>
        </w:tc>
        <w:tc>
          <w:tcPr>
            <w:tcW w:w="4533" w:type="pct"/>
            <w:tcBorders>
              <w:top w:val="single" w:sz="8" w:space="0" w:color="ECEDE9"/>
              <w:bottom w:val="single" w:sz="8" w:space="0" w:color="ECEDE9"/>
            </w:tcBorders>
          </w:tcPr>
          <w:p w14:paraId="0CFCEA7D" w14:textId="77777777" w:rsidR="009D41C4" w:rsidRDefault="009D41C4" w:rsidP="009D41C4">
            <w:r>
              <w:t xml:space="preserve">The RBA should develop an implementation roadmap to progress the Review’s recommendations that creates clear accountabilities and milestones and ensures </w:t>
            </w:r>
            <w:r>
              <w:rPr>
                <w:spacing w:val="-2"/>
              </w:rPr>
              <w:t>continuity of the RBA’s functions, taking into account the Government’s legislative plans.</w:t>
            </w:r>
          </w:p>
        </w:tc>
      </w:tr>
      <w:tr w:rsidR="009D41C4" w14:paraId="4996E393" w14:textId="77777777" w:rsidTr="00316826">
        <w:trPr>
          <w:trHeight w:val="1031"/>
        </w:trPr>
        <w:tc>
          <w:tcPr>
            <w:tcW w:w="467" w:type="pct"/>
            <w:tcBorders>
              <w:top w:val="single" w:sz="8" w:space="0" w:color="ECEDE9"/>
              <w:bottom w:val="single" w:sz="8" w:space="0" w:color="ECEDE9"/>
            </w:tcBorders>
          </w:tcPr>
          <w:p w14:paraId="210448FC" w14:textId="77777777" w:rsidR="009D41C4" w:rsidRDefault="009D41C4" w:rsidP="009D41C4">
            <w:r>
              <w:t>14.6</w:t>
            </w:r>
          </w:p>
        </w:tc>
        <w:tc>
          <w:tcPr>
            <w:tcW w:w="4533" w:type="pct"/>
            <w:tcBorders>
              <w:top w:val="single" w:sz="8" w:space="0" w:color="ECEDE9"/>
              <w:bottom w:val="single" w:sz="8" w:space="0" w:color="ECEDE9"/>
            </w:tcBorders>
          </w:tcPr>
          <w:p w14:paraId="3C70AC83" w14:textId="77777777" w:rsidR="009D41C4" w:rsidRDefault="009D41C4" w:rsidP="009D41C4">
            <w:r>
              <w:t>For</w:t>
            </w:r>
            <w:r>
              <w:rPr>
                <w:spacing w:val="-9"/>
              </w:rPr>
              <w:t xml:space="preserve"> </w:t>
            </w:r>
            <w:r>
              <w:t>recommendations</w:t>
            </w:r>
            <w:r>
              <w:rPr>
                <w:spacing w:val="-9"/>
              </w:rPr>
              <w:t xml:space="preserve"> </w:t>
            </w:r>
            <w:r>
              <w:t>that</w:t>
            </w:r>
            <w:r>
              <w:rPr>
                <w:spacing w:val="-9"/>
              </w:rPr>
              <w:t xml:space="preserve"> </w:t>
            </w:r>
            <w:r>
              <w:t>do</w:t>
            </w:r>
            <w:r>
              <w:rPr>
                <w:spacing w:val="-9"/>
              </w:rPr>
              <w:t xml:space="preserve"> </w:t>
            </w:r>
            <w:r>
              <w:t>not</w:t>
            </w:r>
            <w:r>
              <w:rPr>
                <w:spacing w:val="-9"/>
              </w:rPr>
              <w:t xml:space="preserve"> </w:t>
            </w:r>
            <w:r>
              <w:t>require</w:t>
            </w:r>
            <w:r>
              <w:rPr>
                <w:spacing w:val="-9"/>
              </w:rPr>
              <w:t xml:space="preserve"> </w:t>
            </w:r>
            <w:r>
              <w:t>legislation,</w:t>
            </w:r>
            <w:r>
              <w:rPr>
                <w:spacing w:val="-9"/>
              </w:rPr>
              <w:t xml:space="preserve"> </w:t>
            </w:r>
            <w:r>
              <w:t>the</w:t>
            </w:r>
            <w:r>
              <w:rPr>
                <w:spacing w:val="-9"/>
              </w:rPr>
              <w:t xml:space="preserve"> </w:t>
            </w:r>
            <w:r>
              <w:t>RBA</w:t>
            </w:r>
            <w:r>
              <w:rPr>
                <w:spacing w:val="-9"/>
              </w:rPr>
              <w:t xml:space="preserve"> </w:t>
            </w:r>
            <w:r>
              <w:t>should</w:t>
            </w:r>
            <w:r>
              <w:rPr>
                <w:spacing w:val="-9"/>
              </w:rPr>
              <w:t xml:space="preserve"> </w:t>
            </w:r>
            <w:r>
              <w:t>in</w:t>
            </w:r>
            <w:r>
              <w:rPr>
                <w:spacing w:val="-9"/>
              </w:rPr>
              <w:t xml:space="preserve"> </w:t>
            </w:r>
            <w:r>
              <w:t>2023</w:t>
            </w:r>
            <w:r>
              <w:rPr>
                <w:spacing w:val="-9"/>
              </w:rPr>
              <w:t xml:space="preserve"> </w:t>
            </w:r>
            <w:r>
              <w:t>prioritise implementing the recommendations that strengthen monetary policy decision making, communications and the RBA’s management, culture and operations.</w:t>
            </w:r>
          </w:p>
        </w:tc>
      </w:tr>
      <w:tr w:rsidR="009D41C4" w14:paraId="6518FB03" w14:textId="77777777" w:rsidTr="00316826">
        <w:trPr>
          <w:trHeight w:val="637"/>
        </w:trPr>
        <w:tc>
          <w:tcPr>
            <w:tcW w:w="467" w:type="pct"/>
            <w:tcBorders>
              <w:top w:val="single" w:sz="8" w:space="0" w:color="ECEDE9"/>
            </w:tcBorders>
          </w:tcPr>
          <w:p w14:paraId="3CA54AE8" w14:textId="77777777" w:rsidR="009D41C4" w:rsidRDefault="009D41C4" w:rsidP="009D41C4">
            <w:r>
              <w:t>14.7</w:t>
            </w:r>
          </w:p>
        </w:tc>
        <w:tc>
          <w:tcPr>
            <w:tcW w:w="4533" w:type="pct"/>
            <w:tcBorders>
              <w:top w:val="single" w:sz="8" w:space="0" w:color="ECEDE9"/>
            </w:tcBorders>
          </w:tcPr>
          <w:p w14:paraId="2C376B38" w14:textId="77777777" w:rsidR="009D41C4" w:rsidRDefault="009D41C4" w:rsidP="009D41C4">
            <w:r>
              <w:t>The</w:t>
            </w:r>
            <w:r>
              <w:rPr>
                <w:spacing w:val="-2"/>
              </w:rPr>
              <w:t xml:space="preserve"> </w:t>
            </w:r>
            <w:r>
              <w:t>Treasurer</w:t>
            </w:r>
            <w:r>
              <w:rPr>
                <w:spacing w:val="-2"/>
              </w:rPr>
              <w:t xml:space="preserve"> </w:t>
            </w:r>
            <w:r>
              <w:t>and</w:t>
            </w:r>
            <w:r>
              <w:rPr>
                <w:spacing w:val="-2"/>
              </w:rPr>
              <w:t xml:space="preserve"> </w:t>
            </w:r>
            <w:r>
              <w:t>the</w:t>
            </w:r>
            <w:r>
              <w:rPr>
                <w:spacing w:val="-2"/>
              </w:rPr>
              <w:t xml:space="preserve"> </w:t>
            </w:r>
            <w:r>
              <w:t>Reserve</w:t>
            </w:r>
            <w:r>
              <w:rPr>
                <w:spacing w:val="-2"/>
              </w:rPr>
              <w:t xml:space="preserve"> </w:t>
            </w:r>
            <w:r>
              <w:t>Bank</w:t>
            </w:r>
            <w:r>
              <w:rPr>
                <w:spacing w:val="-2"/>
              </w:rPr>
              <w:t xml:space="preserve"> </w:t>
            </w:r>
            <w:r>
              <w:t>Board</w:t>
            </w:r>
            <w:r>
              <w:rPr>
                <w:spacing w:val="-2"/>
              </w:rPr>
              <w:t xml:space="preserve"> </w:t>
            </w:r>
            <w:r>
              <w:t>should</w:t>
            </w:r>
            <w:r>
              <w:rPr>
                <w:spacing w:val="-2"/>
              </w:rPr>
              <w:t xml:space="preserve"> </w:t>
            </w:r>
            <w:r>
              <w:t>agree</w:t>
            </w:r>
            <w:r>
              <w:rPr>
                <w:spacing w:val="-2"/>
              </w:rPr>
              <w:t xml:space="preserve"> </w:t>
            </w:r>
            <w:r>
              <w:t>an</w:t>
            </w:r>
            <w:r>
              <w:rPr>
                <w:spacing w:val="-2"/>
              </w:rPr>
              <w:t xml:space="preserve"> </w:t>
            </w:r>
            <w:r>
              <w:t>updated</w:t>
            </w:r>
            <w:r>
              <w:rPr>
                <w:spacing w:val="-3"/>
              </w:rPr>
              <w:t xml:space="preserve"> </w:t>
            </w:r>
            <w:r>
              <w:rPr>
                <w:i/>
              </w:rPr>
              <w:t>Statement</w:t>
            </w:r>
            <w:r>
              <w:rPr>
                <w:i/>
                <w:spacing w:val="-2"/>
              </w:rPr>
              <w:t xml:space="preserve"> </w:t>
            </w:r>
            <w:r>
              <w:rPr>
                <w:i/>
              </w:rPr>
              <w:t xml:space="preserve">on the Conduct of Monetary Policy </w:t>
            </w:r>
            <w:r>
              <w:t>by the end of 2023.</w:t>
            </w:r>
          </w:p>
        </w:tc>
      </w:tr>
    </w:tbl>
    <w:p w14:paraId="451E4358" w14:textId="77777777" w:rsidR="002E5E18" w:rsidRDefault="002E5E18" w:rsidP="001A115B">
      <w:pPr>
        <w:pStyle w:val="Heading1"/>
      </w:pPr>
    </w:p>
    <w:p w14:paraId="6933C240" w14:textId="77777777" w:rsidR="002E5E18" w:rsidRDefault="002E5E18">
      <w:pPr>
        <w:spacing w:before="0" w:after="160" w:line="259" w:lineRule="auto"/>
        <w:rPr>
          <w:rFonts w:ascii="Calibri" w:hAnsi="Calibri" w:cs="Arial"/>
          <w:b/>
          <w:color w:val="204060" w:themeColor="accent1"/>
          <w:kern w:val="32"/>
          <w:sz w:val="44"/>
          <w:szCs w:val="36"/>
        </w:rPr>
      </w:pPr>
      <w:r>
        <w:br w:type="page"/>
      </w:r>
    </w:p>
    <w:p w14:paraId="54ED3E89" w14:textId="60CCAC75" w:rsidR="001A115B" w:rsidRPr="004078B4" w:rsidRDefault="001A115B" w:rsidP="001A115B">
      <w:pPr>
        <w:pStyle w:val="Heading1"/>
        <w:rPr>
          <w:spacing w:val="-5"/>
        </w:rPr>
      </w:pPr>
      <w:bookmarkStart w:id="24" w:name="_Toc134220997"/>
      <w:r>
        <w:lastRenderedPageBreak/>
        <w:t>Chapter</w:t>
      </w:r>
      <w:r>
        <w:rPr>
          <w:spacing w:val="-19"/>
        </w:rPr>
        <w:t xml:space="preserve"> </w:t>
      </w:r>
      <w:r>
        <w:rPr>
          <w:spacing w:val="-5"/>
        </w:rPr>
        <w:t>1:</w:t>
      </w:r>
      <w:r w:rsidR="002E5E18">
        <w:rPr>
          <w:spacing w:val="-5"/>
        </w:rPr>
        <w:t xml:space="preserve"> </w:t>
      </w:r>
      <w:r>
        <w:rPr>
          <w:spacing w:val="-2"/>
        </w:rPr>
        <w:t>Monetary</w:t>
      </w:r>
      <w:r>
        <w:rPr>
          <w:spacing w:val="-27"/>
        </w:rPr>
        <w:t xml:space="preserve"> </w:t>
      </w:r>
      <w:r>
        <w:rPr>
          <w:spacing w:val="-2"/>
        </w:rPr>
        <w:t>policy</w:t>
      </w:r>
      <w:r>
        <w:rPr>
          <w:spacing w:val="-24"/>
        </w:rPr>
        <w:t xml:space="preserve"> </w:t>
      </w:r>
      <w:r>
        <w:rPr>
          <w:spacing w:val="-2"/>
        </w:rPr>
        <w:t>performance</w:t>
      </w:r>
      <w:bookmarkEnd w:id="24"/>
    </w:p>
    <w:tbl>
      <w:tblPr>
        <w:tblStyle w:val="TableGridLight"/>
        <w:tblW w:w="0" w:type="auto"/>
        <w:tblLook w:val="04A0" w:firstRow="1" w:lastRow="0" w:firstColumn="1" w:lastColumn="0" w:noHBand="0" w:noVBand="1"/>
      </w:tblPr>
      <w:tblGrid>
        <w:gridCol w:w="9026"/>
      </w:tblGrid>
      <w:tr w:rsidR="00910530" w14:paraId="5807FAC4" w14:textId="77777777" w:rsidTr="00BA306E">
        <w:tc>
          <w:tcPr>
            <w:tcW w:w="9026" w:type="dxa"/>
            <w:tcBorders>
              <w:top w:val="single" w:sz="4" w:space="0" w:color="auto"/>
              <w:left w:val="single" w:sz="4" w:space="0" w:color="auto"/>
              <w:bottom w:val="single" w:sz="4" w:space="0" w:color="auto"/>
              <w:right w:val="single" w:sz="4" w:space="0" w:color="auto"/>
            </w:tcBorders>
          </w:tcPr>
          <w:p w14:paraId="1B6D6497" w14:textId="77777777" w:rsidR="00910530" w:rsidRDefault="00910530" w:rsidP="009A5907">
            <w:pPr>
              <w:pStyle w:val="BoxText"/>
            </w:pPr>
            <w:bookmarkStart w:id="25" w:name="_Hlk133503804"/>
            <w:r>
              <w:t>This</w:t>
            </w:r>
            <w:r>
              <w:rPr>
                <w:spacing w:val="14"/>
              </w:rPr>
              <w:t xml:space="preserve"> </w:t>
            </w:r>
            <w:r>
              <w:t>chapter</w:t>
            </w:r>
            <w:r>
              <w:rPr>
                <w:spacing w:val="14"/>
              </w:rPr>
              <w:t xml:space="preserve"> </w:t>
            </w:r>
            <w:r>
              <w:t>looks</w:t>
            </w:r>
            <w:r>
              <w:rPr>
                <w:spacing w:val="14"/>
              </w:rPr>
              <w:t xml:space="preserve"> </w:t>
            </w:r>
            <w:r>
              <w:t>at</w:t>
            </w:r>
            <w:r>
              <w:rPr>
                <w:spacing w:val="14"/>
              </w:rPr>
              <w:t xml:space="preserve"> </w:t>
            </w:r>
            <w:r>
              <w:t>the</w:t>
            </w:r>
            <w:r>
              <w:rPr>
                <w:spacing w:val="14"/>
              </w:rPr>
              <w:t xml:space="preserve"> </w:t>
            </w:r>
            <w:r>
              <w:t>RBA’s</w:t>
            </w:r>
            <w:r>
              <w:rPr>
                <w:spacing w:val="14"/>
              </w:rPr>
              <w:t xml:space="preserve"> </w:t>
            </w:r>
            <w:r>
              <w:t>past</w:t>
            </w:r>
            <w:r>
              <w:rPr>
                <w:spacing w:val="14"/>
              </w:rPr>
              <w:t xml:space="preserve"> </w:t>
            </w:r>
            <w:r>
              <w:t>performance</w:t>
            </w:r>
            <w:r>
              <w:rPr>
                <w:spacing w:val="14"/>
              </w:rPr>
              <w:t xml:space="preserve"> </w:t>
            </w:r>
            <w:r>
              <w:t>against</w:t>
            </w:r>
            <w:r>
              <w:rPr>
                <w:spacing w:val="14"/>
              </w:rPr>
              <w:t xml:space="preserve"> </w:t>
            </w:r>
            <w:r>
              <w:t>its</w:t>
            </w:r>
            <w:r>
              <w:rPr>
                <w:spacing w:val="14"/>
              </w:rPr>
              <w:t xml:space="preserve"> </w:t>
            </w:r>
            <w:r>
              <w:t>objectives,</w:t>
            </w:r>
            <w:r>
              <w:rPr>
                <w:spacing w:val="14"/>
              </w:rPr>
              <w:t xml:space="preserve"> </w:t>
            </w:r>
            <w:r>
              <w:t>which</w:t>
            </w:r>
            <w:r>
              <w:rPr>
                <w:spacing w:val="14"/>
              </w:rPr>
              <w:t xml:space="preserve"> </w:t>
            </w:r>
            <w:r>
              <w:t>are</w:t>
            </w:r>
            <w:r>
              <w:rPr>
                <w:spacing w:val="14"/>
              </w:rPr>
              <w:t xml:space="preserve"> </w:t>
            </w:r>
            <w:r>
              <w:t>set</w:t>
            </w:r>
            <w:r>
              <w:rPr>
                <w:spacing w:val="14"/>
              </w:rPr>
              <w:t xml:space="preserve"> </w:t>
            </w:r>
            <w:r>
              <w:t>out in</w:t>
            </w:r>
            <w:r>
              <w:rPr>
                <w:spacing w:val="-1"/>
              </w:rPr>
              <w:t xml:space="preserve"> </w:t>
            </w:r>
            <w:r>
              <w:t>section</w:t>
            </w:r>
            <w:r>
              <w:rPr>
                <w:spacing w:val="-1"/>
              </w:rPr>
              <w:t xml:space="preserve"> </w:t>
            </w:r>
            <w:r>
              <w:t>10(2)</w:t>
            </w:r>
            <w:r>
              <w:rPr>
                <w:spacing w:val="-1"/>
              </w:rPr>
              <w:t xml:space="preserve"> </w:t>
            </w:r>
            <w:r>
              <w:t>of</w:t>
            </w:r>
            <w:r>
              <w:rPr>
                <w:spacing w:val="-1"/>
              </w:rPr>
              <w:t xml:space="preserve"> </w:t>
            </w:r>
            <w:r>
              <w:t>the</w:t>
            </w:r>
            <w:r>
              <w:rPr>
                <w:spacing w:val="-2"/>
              </w:rPr>
              <w:t xml:space="preserve"> </w:t>
            </w:r>
            <w:r>
              <w:rPr>
                <w:i/>
              </w:rPr>
              <w:t>Reserve</w:t>
            </w:r>
            <w:r>
              <w:rPr>
                <w:i/>
                <w:spacing w:val="-1"/>
              </w:rPr>
              <w:t xml:space="preserve"> </w:t>
            </w:r>
            <w:r>
              <w:rPr>
                <w:i/>
              </w:rPr>
              <w:t>Bank</w:t>
            </w:r>
            <w:r>
              <w:rPr>
                <w:i/>
                <w:spacing w:val="-1"/>
              </w:rPr>
              <w:t xml:space="preserve"> </w:t>
            </w:r>
            <w:r>
              <w:rPr>
                <w:i/>
              </w:rPr>
              <w:t>Act</w:t>
            </w:r>
            <w:r>
              <w:rPr>
                <w:i/>
                <w:spacing w:val="-1"/>
              </w:rPr>
              <w:t xml:space="preserve"> </w:t>
            </w:r>
            <w:r>
              <w:rPr>
                <w:i/>
              </w:rPr>
              <w:t>1959</w:t>
            </w:r>
            <w:r>
              <w:t>.</w:t>
            </w:r>
            <w:r>
              <w:rPr>
                <w:spacing w:val="-1"/>
              </w:rPr>
              <w:t xml:space="preserve"> </w:t>
            </w:r>
            <w:r>
              <w:t>This</w:t>
            </w:r>
            <w:r>
              <w:rPr>
                <w:spacing w:val="-1"/>
              </w:rPr>
              <w:t xml:space="preserve"> </w:t>
            </w:r>
            <w:r>
              <w:t>involved</w:t>
            </w:r>
            <w:r>
              <w:rPr>
                <w:spacing w:val="-1"/>
              </w:rPr>
              <w:t xml:space="preserve"> </w:t>
            </w:r>
            <w:r>
              <w:t>considering</w:t>
            </w:r>
            <w:r>
              <w:rPr>
                <w:spacing w:val="-1"/>
              </w:rPr>
              <w:t xml:space="preserve"> </w:t>
            </w:r>
            <w:r>
              <w:t>whether</w:t>
            </w:r>
            <w:r>
              <w:rPr>
                <w:spacing w:val="-1"/>
              </w:rPr>
              <w:t xml:space="preserve"> </w:t>
            </w:r>
            <w:r>
              <w:t>the</w:t>
            </w:r>
            <w:r>
              <w:rPr>
                <w:spacing w:val="-1"/>
              </w:rPr>
              <w:t xml:space="preserve"> </w:t>
            </w:r>
            <w:r>
              <w:t>decision making of the Reserve Bank Board was the best that it could have been, given information available at the time.</w:t>
            </w:r>
          </w:p>
          <w:p w14:paraId="1CD0FA0C" w14:textId="78BAD22C" w:rsidR="00910530" w:rsidRDefault="00910530" w:rsidP="009A5907">
            <w:pPr>
              <w:pStyle w:val="BoxText"/>
            </w:pPr>
            <w:r>
              <w:t>The chapter</w:t>
            </w:r>
            <w:r>
              <w:rPr>
                <w:spacing w:val="2"/>
              </w:rPr>
              <w:t xml:space="preserve"> </w:t>
            </w:r>
            <w:r>
              <w:t>considers</w:t>
            </w:r>
            <w:r>
              <w:rPr>
                <w:spacing w:val="2"/>
              </w:rPr>
              <w:t xml:space="preserve"> </w:t>
            </w:r>
            <w:r>
              <w:t>Australia’s</w:t>
            </w:r>
            <w:r>
              <w:rPr>
                <w:spacing w:val="2"/>
              </w:rPr>
              <w:t xml:space="preserve"> </w:t>
            </w:r>
            <w:r>
              <w:t>experience</w:t>
            </w:r>
            <w:r>
              <w:rPr>
                <w:spacing w:val="2"/>
              </w:rPr>
              <w:t xml:space="preserve"> </w:t>
            </w:r>
            <w:r>
              <w:t>with</w:t>
            </w:r>
            <w:r>
              <w:rPr>
                <w:spacing w:val="2"/>
              </w:rPr>
              <w:t xml:space="preserve"> </w:t>
            </w:r>
            <w:r>
              <w:t>inflation</w:t>
            </w:r>
            <w:r>
              <w:rPr>
                <w:spacing w:val="2"/>
              </w:rPr>
              <w:t xml:space="preserve"> </w:t>
            </w:r>
            <w:r>
              <w:t>targeting</w:t>
            </w:r>
            <w:r>
              <w:rPr>
                <w:spacing w:val="2"/>
              </w:rPr>
              <w:t xml:space="preserve"> </w:t>
            </w:r>
            <w:r>
              <w:t>over</w:t>
            </w:r>
            <w:r>
              <w:rPr>
                <w:spacing w:val="2"/>
              </w:rPr>
              <w:t xml:space="preserve"> </w:t>
            </w:r>
            <w:r>
              <w:t>the</w:t>
            </w:r>
            <w:r>
              <w:rPr>
                <w:spacing w:val="2"/>
              </w:rPr>
              <w:t xml:space="preserve"> </w:t>
            </w:r>
            <w:r>
              <w:t>past</w:t>
            </w:r>
            <w:r>
              <w:rPr>
                <w:spacing w:val="2"/>
              </w:rPr>
              <w:t xml:space="preserve"> </w:t>
            </w:r>
            <w:r>
              <w:t>3</w:t>
            </w:r>
            <w:r>
              <w:rPr>
                <w:spacing w:val="2"/>
              </w:rPr>
              <w:t xml:space="preserve"> </w:t>
            </w:r>
            <w:r>
              <w:rPr>
                <w:spacing w:val="-2"/>
              </w:rPr>
              <w:t>decades.</w:t>
            </w:r>
            <w:r w:rsidR="0093526B">
              <w:rPr>
                <w:spacing w:val="-2"/>
              </w:rPr>
              <w:t xml:space="preserve"> </w:t>
            </w:r>
            <w:r>
              <w:t>It</w:t>
            </w:r>
            <w:r>
              <w:rPr>
                <w:spacing w:val="-1"/>
              </w:rPr>
              <w:t xml:space="preserve"> </w:t>
            </w:r>
            <w:r>
              <w:t>focuses in</w:t>
            </w:r>
            <w:r>
              <w:rPr>
                <w:spacing w:val="-1"/>
              </w:rPr>
              <w:t xml:space="preserve"> </w:t>
            </w:r>
            <w:r>
              <w:t>on 3</w:t>
            </w:r>
            <w:r>
              <w:rPr>
                <w:spacing w:val="-1"/>
              </w:rPr>
              <w:t xml:space="preserve"> </w:t>
            </w:r>
            <w:r>
              <w:t xml:space="preserve">time </w:t>
            </w:r>
            <w:r>
              <w:rPr>
                <w:spacing w:val="-2"/>
              </w:rPr>
              <w:t>periods:</w:t>
            </w:r>
          </w:p>
          <w:p w14:paraId="18154D91" w14:textId="77777777" w:rsidR="00910530" w:rsidRDefault="00910530" w:rsidP="0093526B">
            <w:pPr>
              <w:pStyle w:val="Boxbullet"/>
            </w:pPr>
            <w:r>
              <w:t>the</w:t>
            </w:r>
            <w:r>
              <w:rPr>
                <w:spacing w:val="-1"/>
              </w:rPr>
              <w:t xml:space="preserve"> </w:t>
            </w:r>
            <w:r>
              <w:t>low</w:t>
            </w:r>
            <w:r>
              <w:rPr>
                <w:spacing w:val="-1"/>
              </w:rPr>
              <w:t xml:space="preserve"> </w:t>
            </w:r>
            <w:r>
              <w:t>inflation</w:t>
            </w:r>
            <w:r>
              <w:rPr>
                <w:spacing w:val="-1"/>
              </w:rPr>
              <w:t xml:space="preserve"> </w:t>
            </w:r>
            <w:r>
              <w:t>period</w:t>
            </w:r>
            <w:r>
              <w:rPr>
                <w:spacing w:val="-1"/>
              </w:rPr>
              <w:t xml:space="preserve"> </w:t>
            </w:r>
            <w:r>
              <w:t>between</w:t>
            </w:r>
            <w:r>
              <w:rPr>
                <w:spacing w:val="-1"/>
              </w:rPr>
              <w:t xml:space="preserve"> </w:t>
            </w:r>
            <w:r>
              <w:t>2016</w:t>
            </w:r>
            <w:r>
              <w:rPr>
                <w:spacing w:val="-1"/>
              </w:rPr>
              <w:t xml:space="preserve"> </w:t>
            </w:r>
            <w:r>
              <w:t>and</w:t>
            </w:r>
            <w:r>
              <w:rPr>
                <w:spacing w:val="-1"/>
              </w:rPr>
              <w:t xml:space="preserve"> </w:t>
            </w:r>
            <w:r>
              <w:rPr>
                <w:spacing w:val="-4"/>
              </w:rPr>
              <w:t>2019</w:t>
            </w:r>
          </w:p>
          <w:p w14:paraId="044D77CA" w14:textId="77777777" w:rsidR="00910530" w:rsidRDefault="00910530" w:rsidP="0093526B">
            <w:pPr>
              <w:pStyle w:val="Boxbullet"/>
            </w:pPr>
            <w:r>
              <w:t>the</w:t>
            </w:r>
            <w:r>
              <w:rPr>
                <w:spacing w:val="-5"/>
              </w:rPr>
              <w:t xml:space="preserve"> </w:t>
            </w:r>
            <w:r>
              <w:t>COVID-19</w:t>
            </w:r>
            <w:r>
              <w:rPr>
                <w:spacing w:val="-4"/>
              </w:rPr>
              <w:t xml:space="preserve"> </w:t>
            </w:r>
            <w:r>
              <w:t>pandemic</w:t>
            </w:r>
            <w:r>
              <w:rPr>
                <w:spacing w:val="-4"/>
              </w:rPr>
              <w:t xml:space="preserve"> </w:t>
            </w:r>
            <w:r>
              <w:t>from</w:t>
            </w:r>
            <w:r>
              <w:rPr>
                <w:spacing w:val="-4"/>
              </w:rPr>
              <w:t xml:space="preserve"> </w:t>
            </w:r>
            <w:r>
              <w:t>early</w:t>
            </w:r>
            <w:r>
              <w:rPr>
                <w:spacing w:val="-4"/>
              </w:rPr>
              <w:t xml:space="preserve"> 2020</w:t>
            </w:r>
          </w:p>
          <w:p w14:paraId="2AF93822" w14:textId="77777777" w:rsidR="00910530" w:rsidRDefault="00910530" w:rsidP="0093526B">
            <w:pPr>
              <w:pStyle w:val="Boxbullet"/>
            </w:pPr>
            <w:r>
              <w:t>the</w:t>
            </w:r>
            <w:r>
              <w:rPr>
                <w:spacing w:val="-3"/>
              </w:rPr>
              <w:t xml:space="preserve"> </w:t>
            </w:r>
            <w:r>
              <w:t>period</w:t>
            </w:r>
            <w:r>
              <w:rPr>
                <w:spacing w:val="-2"/>
              </w:rPr>
              <w:t xml:space="preserve"> </w:t>
            </w:r>
            <w:r>
              <w:t>of</w:t>
            </w:r>
            <w:r>
              <w:rPr>
                <w:spacing w:val="-2"/>
              </w:rPr>
              <w:t xml:space="preserve"> </w:t>
            </w:r>
            <w:r>
              <w:t>high</w:t>
            </w:r>
            <w:r>
              <w:rPr>
                <w:spacing w:val="-2"/>
              </w:rPr>
              <w:t xml:space="preserve"> </w:t>
            </w:r>
            <w:r>
              <w:t>inflation</w:t>
            </w:r>
            <w:r>
              <w:rPr>
                <w:spacing w:val="-2"/>
              </w:rPr>
              <w:t xml:space="preserve"> </w:t>
            </w:r>
            <w:r>
              <w:t>from</w:t>
            </w:r>
            <w:r>
              <w:rPr>
                <w:spacing w:val="-2"/>
              </w:rPr>
              <w:t xml:space="preserve"> </w:t>
            </w:r>
            <w:r>
              <w:t>mid-2021</w:t>
            </w:r>
            <w:r>
              <w:rPr>
                <w:spacing w:val="-2"/>
              </w:rPr>
              <w:t xml:space="preserve"> </w:t>
            </w:r>
            <w:r>
              <w:t>to</w:t>
            </w:r>
            <w:r>
              <w:rPr>
                <w:spacing w:val="-2"/>
              </w:rPr>
              <w:t xml:space="preserve"> </w:t>
            </w:r>
            <w:r>
              <w:t>the</w:t>
            </w:r>
            <w:r>
              <w:rPr>
                <w:spacing w:val="-2"/>
              </w:rPr>
              <w:t xml:space="preserve"> present.</w:t>
            </w:r>
          </w:p>
          <w:p w14:paraId="60DEA25F" w14:textId="000DFD34" w:rsidR="00910530" w:rsidRDefault="00910530" w:rsidP="0093526B">
            <w:pPr>
              <w:pStyle w:val="BoxText"/>
            </w:pPr>
            <w:r>
              <w:t>The</w:t>
            </w:r>
            <w:r>
              <w:rPr>
                <w:spacing w:val="2"/>
              </w:rPr>
              <w:t xml:space="preserve"> </w:t>
            </w:r>
            <w:r>
              <w:t>chapter</w:t>
            </w:r>
            <w:r>
              <w:rPr>
                <w:spacing w:val="3"/>
              </w:rPr>
              <w:t xml:space="preserve"> </w:t>
            </w:r>
            <w:r>
              <w:t>also</w:t>
            </w:r>
            <w:r>
              <w:rPr>
                <w:spacing w:val="3"/>
              </w:rPr>
              <w:t xml:space="preserve"> </w:t>
            </w:r>
            <w:r>
              <w:t>contains</w:t>
            </w:r>
            <w:r>
              <w:rPr>
                <w:spacing w:val="3"/>
              </w:rPr>
              <w:t xml:space="preserve"> </w:t>
            </w:r>
            <w:r>
              <w:t>the</w:t>
            </w:r>
            <w:r>
              <w:rPr>
                <w:spacing w:val="2"/>
              </w:rPr>
              <w:t xml:space="preserve"> </w:t>
            </w:r>
            <w:r>
              <w:t>Review’s</w:t>
            </w:r>
            <w:r>
              <w:rPr>
                <w:spacing w:val="3"/>
              </w:rPr>
              <w:t xml:space="preserve"> </w:t>
            </w:r>
            <w:r>
              <w:t>assessment</w:t>
            </w:r>
            <w:r>
              <w:rPr>
                <w:spacing w:val="3"/>
              </w:rPr>
              <w:t xml:space="preserve"> </w:t>
            </w:r>
            <w:r>
              <w:t>of</w:t>
            </w:r>
            <w:r>
              <w:rPr>
                <w:spacing w:val="3"/>
              </w:rPr>
              <w:t xml:space="preserve"> </w:t>
            </w:r>
            <w:r>
              <w:t>the</w:t>
            </w:r>
            <w:r>
              <w:rPr>
                <w:spacing w:val="2"/>
              </w:rPr>
              <w:t xml:space="preserve"> </w:t>
            </w:r>
            <w:r>
              <w:t>RBA’s</w:t>
            </w:r>
            <w:r>
              <w:rPr>
                <w:spacing w:val="3"/>
              </w:rPr>
              <w:t xml:space="preserve"> </w:t>
            </w:r>
            <w:r>
              <w:t>communications</w:t>
            </w:r>
            <w:r>
              <w:rPr>
                <w:spacing w:val="3"/>
              </w:rPr>
              <w:t xml:space="preserve"> </w:t>
            </w:r>
            <w:r>
              <w:t>strategy</w:t>
            </w:r>
            <w:r>
              <w:rPr>
                <w:spacing w:val="3"/>
              </w:rPr>
              <w:t xml:space="preserve"> </w:t>
            </w:r>
            <w:r>
              <w:rPr>
                <w:spacing w:val="-5"/>
              </w:rPr>
              <w:t>and</w:t>
            </w:r>
            <w:r w:rsidR="0093526B">
              <w:rPr>
                <w:spacing w:val="-5"/>
              </w:rPr>
              <w:t xml:space="preserve"> </w:t>
            </w:r>
            <w:r>
              <w:t>how it has evolved</w:t>
            </w:r>
            <w:r>
              <w:rPr>
                <w:spacing w:val="1"/>
              </w:rPr>
              <w:t xml:space="preserve"> </w:t>
            </w:r>
            <w:r>
              <w:t>to the present</w:t>
            </w:r>
            <w:r>
              <w:rPr>
                <w:spacing w:val="1"/>
              </w:rPr>
              <w:t xml:space="preserve"> </w:t>
            </w:r>
            <w:r>
              <w:rPr>
                <w:spacing w:val="-4"/>
              </w:rPr>
              <w:t>day.</w:t>
            </w:r>
            <w:bookmarkEnd w:id="25"/>
          </w:p>
        </w:tc>
      </w:tr>
    </w:tbl>
    <w:p w14:paraId="4C22223F" w14:textId="32276BA5" w:rsidR="00A92F1A" w:rsidRDefault="00A92F1A" w:rsidP="00A92F1A">
      <w:r>
        <w:t>Australia’s economic performance has been very good since flexible inflation targeting was introduced</w:t>
      </w:r>
      <w:r>
        <w:rPr>
          <w:spacing w:val="-1"/>
        </w:rPr>
        <w:t xml:space="preserve"> </w:t>
      </w:r>
      <w:r>
        <w:t>in</w:t>
      </w:r>
      <w:r>
        <w:rPr>
          <w:spacing w:val="-1"/>
        </w:rPr>
        <w:t xml:space="preserve"> </w:t>
      </w:r>
      <w:r>
        <w:t>the</w:t>
      </w:r>
      <w:r>
        <w:rPr>
          <w:spacing w:val="-1"/>
        </w:rPr>
        <w:t xml:space="preserve"> </w:t>
      </w:r>
      <w:r>
        <w:t>early</w:t>
      </w:r>
      <w:r>
        <w:rPr>
          <w:spacing w:val="-1"/>
        </w:rPr>
        <w:t xml:space="preserve"> </w:t>
      </w:r>
      <w:r>
        <w:t>1990s.</w:t>
      </w:r>
      <w:r>
        <w:rPr>
          <w:spacing w:val="-1"/>
        </w:rPr>
        <w:t xml:space="preserve"> </w:t>
      </w:r>
      <w:r>
        <w:t>Inflation</w:t>
      </w:r>
      <w:r>
        <w:rPr>
          <w:spacing w:val="-1"/>
        </w:rPr>
        <w:t xml:space="preserve"> </w:t>
      </w:r>
      <w:r>
        <w:t>has</w:t>
      </w:r>
      <w:r>
        <w:rPr>
          <w:spacing w:val="-1"/>
        </w:rPr>
        <w:t xml:space="preserve"> </w:t>
      </w:r>
      <w:r>
        <w:t>averaged</w:t>
      </w:r>
      <w:r>
        <w:rPr>
          <w:spacing w:val="-1"/>
        </w:rPr>
        <w:t xml:space="preserve"> </w:t>
      </w:r>
      <w:r>
        <w:t>around</w:t>
      </w:r>
      <w:r>
        <w:rPr>
          <w:spacing w:val="-1"/>
        </w:rPr>
        <w:t xml:space="preserve"> </w:t>
      </w:r>
      <w:r>
        <w:t>the</w:t>
      </w:r>
      <w:r>
        <w:rPr>
          <w:spacing w:val="-1"/>
        </w:rPr>
        <w:t xml:space="preserve"> </w:t>
      </w:r>
      <w:r>
        <w:t>midpoint</w:t>
      </w:r>
      <w:r>
        <w:rPr>
          <w:spacing w:val="-1"/>
        </w:rPr>
        <w:t xml:space="preserve"> </w:t>
      </w:r>
      <w:r>
        <w:t>of</w:t>
      </w:r>
      <w:r>
        <w:rPr>
          <w:spacing w:val="-1"/>
        </w:rPr>
        <w:t xml:space="preserve"> </w:t>
      </w:r>
      <w:r>
        <w:t>the</w:t>
      </w:r>
      <w:r>
        <w:rPr>
          <w:spacing w:val="-1"/>
        </w:rPr>
        <w:t xml:space="preserve"> </w:t>
      </w:r>
      <w:r>
        <w:t>RBA’s</w:t>
      </w:r>
      <w:r>
        <w:rPr>
          <w:spacing w:val="-1"/>
        </w:rPr>
        <w:t xml:space="preserve"> </w:t>
      </w:r>
      <w:r>
        <w:t>target</w:t>
      </w:r>
      <w:r>
        <w:rPr>
          <w:spacing w:val="-1"/>
        </w:rPr>
        <w:t xml:space="preserve"> </w:t>
      </w:r>
      <w:r>
        <w:t>of 2</w:t>
      </w:r>
      <w:r>
        <w:rPr>
          <w:spacing w:val="-1"/>
        </w:rPr>
        <w:t xml:space="preserve"> </w:t>
      </w:r>
      <w:r>
        <w:t>to</w:t>
      </w:r>
      <w:r>
        <w:rPr>
          <w:spacing w:val="-1"/>
        </w:rPr>
        <w:t xml:space="preserve"> </w:t>
      </w:r>
      <w:r>
        <w:t>3</w:t>
      </w:r>
      <w:r>
        <w:rPr>
          <w:spacing w:val="-1"/>
        </w:rPr>
        <w:t xml:space="preserve"> </w:t>
      </w:r>
      <w:r>
        <w:t>per</w:t>
      </w:r>
      <w:r>
        <w:rPr>
          <w:spacing w:val="-1"/>
        </w:rPr>
        <w:t xml:space="preserve"> </w:t>
      </w:r>
      <w:r>
        <w:t>cent.</w:t>
      </w:r>
      <w:r>
        <w:rPr>
          <w:spacing w:val="-1"/>
        </w:rPr>
        <w:t xml:space="preserve"> </w:t>
      </w:r>
      <w:r>
        <w:t>The</w:t>
      </w:r>
      <w:r>
        <w:rPr>
          <w:spacing w:val="-1"/>
        </w:rPr>
        <w:t xml:space="preserve"> </w:t>
      </w:r>
      <w:r>
        <w:t>variability</w:t>
      </w:r>
      <w:r>
        <w:rPr>
          <w:spacing w:val="-1"/>
        </w:rPr>
        <w:t xml:space="preserve"> </w:t>
      </w:r>
      <w:r>
        <w:t>of</w:t>
      </w:r>
      <w:r>
        <w:rPr>
          <w:spacing w:val="-1"/>
        </w:rPr>
        <w:t xml:space="preserve"> </w:t>
      </w:r>
      <w:r>
        <w:t>output</w:t>
      </w:r>
      <w:r>
        <w:rPr>
          <w:spacing w:val="-1"/>
        </w:rPr>
        <w:t xml:space="preserve"> </w:t>
      </w:r>
      <w:r>
        <w:t>and</w:t>
      </w:r>
      <w:r>
        <w:rPr>
          <w:spacing w:val="-1"/>
        </w:rPr>
        <w:t xml:space="preserve"> </w:t>
      </w:r>
      <w:r>
        <w:t>unemployment</w:t>
      </w:r>
      <w:r>
        <w:rPr>
          <w:spacing w:val="-1"/>
        </w:rPr>
        <w:t xml:space="preserve"> </w:t>
      </w:r>
      <w:r>
        <w:t>has</w:t>
      </w:r>
      <w:r>
        <w:rPr>
          <w:spacing w:val="-1"/>
        </w:rPr>
        <w:t xml:space="preserve"> </w:t>
      </w:r>
      <w:r>
        <w:t>been</w:t>
      </w:r>
      <w:r>
        <w:rPr>
          <w:spacing w:val="-1"/>
        </w:rPr>
        <w:t xml:space="preserve"> </w:t>
      </w:r>
      <w:r>
        <w:t>lower</w:t>
      </w:r>
      <w:r>
        <w:rPr>
          <w:spacing w:val="-1"/>
        </w:rPr>
        <w:t xml:space="preserve"> </w:t>
      </w:r>
      <w:r>
        <w:t>than</w:t>
      </w:r>
      <w:r>
        <w:rPr>
          <w:spacing w:val="-1"/>
        </w:rPr>
        <w:t xml:space="preserve"> </w:t>
      </w:r>
      <w:r>
        <w:t>in</w:t>
      </w:r>
      <w:r>
        <w:rPr>
          <w:spacing w:val="-1"/>
        </w:rPr>
        <w:t xml:space="preserve"> </w:t>
      </w:r>
      <w:r>
        <w:t>earlier</w:t>
      </w:r>
      <w:r>
        <w:rPr>
          <w:spacing w:val="-1"/>
        </w:rPr>
        <w:t xml:space="preserve"> </w:t>
      </w:r>
      <w:r>
        <w:t>decades. Australia’s economic performance has been at least on par with other comparable economies.</w:t>
      </w:r>
    </w:p>
    <w:p w14:paraId="54889B22" w14:textId="77777777" w:rsidR="00A92F1A" w:rsidRDefault="00A92F1A" w:rsidP="00A92F1A">
      <w:r>
        <w:t>There is broad consensus among those the Review consulted that the Reserve Bank Board’s actions and the current monetary policy arrangements have contributed significantly to these outcomes.</w:t>
      </w:r>
    </w:p>
    <w:p w14:paraId="17B455CC" w14:textId="77777777" w:rsidR="00A92F1A" w:rsidRDefault="00A92F1A" w:rsidP="00A92F1A">
      <w:r>
        <w:t>The RBA is a highly regarded and respected institution in Australia and overseas. RBA leaders</w:t>
      </w:r>
      <w:r>
        <w:rPr>
          <w:spacing w:val="40"/>
        </w:rPr>
        <w:t xml:space="preserve"> </w:t>
      </w:r>
      <w:r>
        <w:t>make</w:t>
      </w:r>
      <w:r>
        <w:rPr>
          <w:spacing w:val="-2"/>
        </w:rPr>
        <w:t xml:space="preserve"> </w:t>
      </w:r>
      <w:r>
        <w:t>important</w:t>
      </w:r>
      <w:r>
        <w:rPr>
          <w:spacing w:val="-2"/>
        </w:rPr>
        <w:t xml:space="preserve"> </w:t>
      </w:r>
      <w:r>
        <w:t>contributions</w:t>
      </w:r>
      <w:r>
        <w:rPr>
          <w:spacing w:val="-2"/>
        </w:rPr>
        <w:t xml:space="preserve"> </w:t>
      </w:r>
      <w:r>
        <w:t>to</w:t>
      </w:r>
      <w:r>
        <w:rPr>
          <w:spacing w:val="-2"/>
        </w:rPr>
        <w:t xml:space="preserve"> </w:t>
      </w:r>
      <w:r>
        <w:t>many</w:t>
      </w:r>
      <w:r>
        <w:rPr>
          <w:spacing w:val="-2"/>
        </w:rPr>
        <w:t xml:space="preserve"> </w:t>
      </w:r>
      <w:r>
        <w:t>regional</w:t>
      </w:r>
      <w:r>
        <w:rPr>
          <w:spacing w:val="-2"/>
        </w:rPr>
        <w:t xml:space="preserve"> </w:t>
      </w:r>
      <w:r>
        <w:t>and</w:t>
      </w:r>
      <w:r>
        <w:rPr>
          <w:spacing w:val="-2"/>
        </w:rPr>
        <w:t xml:space="preserve"> </w:t>
      </w:r>
      <w:r>
        <w:t>international</w:t>
      </w:r>
      <w:r>
        <w:rPr>
          <w:spacing w:val="-2"/>
        </w:rPr>
        <w:t xml:space="preserve"> </w:t>
      </w:r>
      <w:r>
        <w:t>bodies.</w:t>
      </w:r>
      <w:r>
        <w:rPr>
          <w:spacing w:val="-2"/>
        </w:rPr>
        <w:t xml:space="preserve"> </w:t>
      </w:r>
      <w:r>
        <w:t>For</w:t>
      </w:r>
      <w:r>
        <w:rPr>
          <w:spacing w:val="-2"/>
        </w:rPr>
        <w:t xml:space="preserve"> </w:t>
      </w:r>
      <w:r>
        <w:t>example,</w:t>
      </w:r>
      <w:r>
        <w:rPr>
          <w:spacing w:val="-2"/>
        </w:rPr>
        <w:t xml:space="preserve"> </w:t>
      </w:r>
      <w:r>
        <w:t>the</w:t>
      </w:r>
      <w:r>
        <w:rPr>
          <w:spacing w:val="-2"/>
        </w:rPr>
        <w:t xml:space="preserve"> </w:t>
      </w:r>
      <w:r>
        <w:t>current Governor is Chair of the Bank for International Settlements Committee on the Global Financial System. This continues a history of RBA Governors and Deputy Governors playing important roles in such bodies.</w:t>
      </w:r>
    </w:p>
    <w:p w14:paraId="7C4C42E8" w14:textId="77777777" w:rsidR="00A92F1A" w:rsidRDefault="00A92F1A" w:rsidP="00A92F1A">
      <w:r>
        <w:t>In recent years the environment in which the Reserve Bank Board sets monetary policy has become more complex and uncertain. Central banks have used a wider range of monetary policy tools, there have been large and persistent supply disruptions, and global trade patterns and geopolitics have changed.</w:t>
      </w:r>
    </w:p>
    <w:p w14:paraId="14AFA948" w14:textId="77777777" w:rsidR="00A92F1A" w:rsidRDefault="00A92F1A" w:rsidP="00A92F1A">
      <w:r>
        <w:t>This added complexity and uncertainty has tested the RBA and Australia’s monetary policy framework. In some cases, the strengths of current arrangements have been underscored, including the independence of the RBA and flexibility in the inflation target. In other cases, the Review uncovered opportunities for improvement.</w:t>
      </w:r>
    </w:p>
    <w:p w14:paraId="3BC5E08F" w14:textId="77777777" w:rsidR="000A641B" w:rsidRDefault="000A641B" w:rsidP="000A641B">
      <w:r>
        <w:t>The</w:t>
      </w:r>
      <w:r>
        <w:rPr>
          <w:spacing w:val="-1"/>
        </w:rPr>
        <w:t xml:space="preserve"> </w:t>
      </w:r>
      <w:r>
        <w:t>key</w:t>
      </w:r>
      <w:r>
        <w:rPr>
          <w:spacing w:val="2"/>
        </w:rPr>
        <w:t xml:space="preserve"> </w:t>
      </w:r>
      <w:r>
        <w:t>lessons</w:t>
      </w:r>
      <w:r>
        <w:rPr>
          <w:spacing w:val="2"/>
        </w:rPr>
        <w:t xml:space="preserve"> </w:t>
      </w:r>
      <w:r>
        <w:t>drawn</w:t>
      </w:r>
      <w:r>
        <w:rPr>
          <w:spacing w:val="2"/>
        </w:rPr>
        <w:t xml:space="preserve"> </w:t>
      </w:r>
      <w:r>
        <w:t>from</w:t>
      </w:r>
      <w:r>
        <w:rPr>
          <w:spacing w:val="1"/>
        </w:rPr>
        <w:t xml:space="preserve"> </w:t>
      </w:r>
      <w:r>
        <w:t>the</w:t>
      </w:r>
      <w:r>
        <w:rPr>
          <w:spacing w:val="2"/>
        </w:rPr>
        <w:t xml:space="preserve"> </w:t>
      </w:r>
      <w:r>
        <w:t>RBA’s</w:t>
      </w:r>
      <w:r>
        <w:rPr>
          <w:spacing w:val="2"/>
        </w:rPr>
        <w:t xml:space="preserve"> </w:t>
      </w:r>
      <w:r>
        <w:t>past</w:t>
      </w:r>
      <w:r>
        <w:rPr>
          <w:spacing w:val="2"/>
        </w:rPr>
        <w:t xml:space="preserve"> </w:t>
      </w:r>
      <w:r>
        <w:t>performance</w:t>
      </w:r>
      <w:r>
        <w:rPr>
          <w:spacing w:val="1"/>
        </w:rPr>
        <w:t xml:space="preserve"> </w:t>
      </w:r>
      <w:r>
        <w:t>include</w:t>
      </w:r>
      <w:r>
        <w:rPr>
          <w:spacing w:val="2"/>
        </w:rPr>
        <w:t xml:space="preserve"> </w:t>
      </w:r>
      <w:r>
        <w:t>the</w:t>
      </w:r>
      <w:r>
        <w:rPr>
          <w:spacing w:val="2"/>
        </w:rPr>
        <w:t xml:space="preserve"> </w:t>
      </w:r>
      <w:r>
        <w:t>need</w:t>
      </w:r>
      <w:r>
        <w:rPr>
          <w:spacing w:val="2"/>
        </w:rPr>
        <w:t xml:space="preserve"> </w:t>
      </w:r>
      <w:r>
        <w:rPr>
          <w:spacing w:val="-5"/>
        </w:rPr>
        <w:t>to:</w:t>
      </w:r>
    </w:p>
    <w:p w14:paraId="31449522" w14:textId="77777777" w:rsidR="000A641B" w:rsidRDefault="000A641B" w:rsidP="0000278A">
      <w:pPr>
        <w:pStyle w:val="Bullet"/>
      </w:pPr>
      <w:r>
        <w:t>ensure a common understanding of the RBA’s 3 objectives, including how the RBA pursues its inflation and employment mandate, how it manages trade-offs between its objectives, and how the pursuit of overall economic welfare and prosperity factors into decisions</w:t>
      </w:r>
    </w:p>
    <w:p w14:paraId="2F1A0242" w14:textId="77777777" w:rsidR="000A641B" w:rsidRDefault="000A641B" w:rsidP="0000278A">
      <w:pPr>
        <w:pStyle w:val="Bullet"/>
      </w:pPr>
      <w:r>
        <w:t>promote</w:t>
      </w:r>
      <w:r>
        <w:rPr>
          <w:spacing w:val="-1"/>
        </w:rPr>
        <w:t xml:space="preserve"> </w:t>
      </w:r>
      <w:r>
        <w:t>more</w:t>
      </w:r>
      <w:r>
        <w:rPr>
          <w:spacing w:val="-1"/>
        </w:rPr>
        <w:t xml:space="preserve"> </w:t>
      </w:r>
      <w:r>
        <w:t>constructive</w:t>
      </w:r>
      <w:r>
        <w:rPr>
          <w:spacing w:val="-1"/>
        </w:rPr>
        <w:t xml:space="preserve"> </w:t>
      </w:r>
      <w:r>
        <w:t>debate</w:t>
      </w:r>
      <w:r>
        <w:rPr>
          <w:spacing w:val="-1"/>
        </w:rPr>
        <w:t xml:space="preserve"> </w:t>
      </w:r>
      <w:r>
        <w:t>and</w:t>
      </w:r>
      <w:r>
        <w:rPr>
          <w:spacing w:val="-1"/>
        </w:rPr>
        <w:t xml:space="preserve"> </w:t>
      </w:r>
      <w:r>
        <w:t>challenge</w:t>
      </w:r>
      <w:r>
        <w:rPr>
          <w:spacing w:val="-1"/>
        </w:rPr>
        <w:t xml:space="preserve"> </w:t>
      </w:r>
      <w:r>
        <w:t>at</w:t>
      </w:r>
      <w:r>
        <w:rPr>
          <w:spacing w:val="-1"/>
        </w:rPr>
        <w:t xml:space="preserve"> </w:t>
      </w:r>
      <w:r>
        <w:t>the</w:t>
      </w:r>
      <w:r>
        <w:rPr>
          <w:spacing w:val="-1"/>
        </w:rPr>
        <w:t xml:space="preserve"> </w:t>
      </w:r>
      <w:r>
        <w:t>Reserve</w:t>
      </w:r>
      <w:r>
        <w:rPr>
          <w:spacing w:val="-1"/>
        </w:rPr>
        <w:t xml:space="preserve"> </w:t>
      </w:r>
      <w:r>
        <w:t>Bank</w:t>
      </w:r>
      <w:r>
        <w:rPr>
          <w:spacing w:val="-1"/>
        </w:rPr>
        <w:t xml:space="preserve"> </w:t>
      </w:r>
      <w:r>
        <w:t>Board</w:t>
      </w:r>
      <w:r>
        <w:rPr>
          <w:spacing w:val="-1"/>
        </w:rPr>
        <w:t xml:space="preserve"> </w:t>
      </w:r>
      <w:r>
        <w:t>and</w:t>
      </w:r>
      <w:r>
        <w:rPr>
          <w:spacing w:val="-1"/>
        </w:rPr>
        <w:t xml:space="preserve"> </w:t>
      </w:r>
      <w:r>
        <w:t>within</w:t>
      </w:r>
      <w:r>
        <w:rPr>
          <w:spacing w:val="-1"/>
        </w:rPr>
        <w:t xml:space="preserve"> </w:t>
      </w:r>
      <w:r>
        <w:t xml:space="preserve">the </w:t>
      </w:r>
      <w:r>
        <w:rPr>
          <w:spacing w:val="-5"/>
        </w:rPr>
        <w:t>RBA</w:t>
      </w:r>
    </w:p>
    <w:p w14:paraId="13D56DB4" w14:textId="77777777" w:rsidR="000A641B" w:rsidRDefault="000A641B" w:rsidP="0000278A">
      <w:pPr>
        <w:pStyle w:val="Bullet"/>
      </w:pPr>
      <w:r>
        <w:t>continue to improve the Reserve Bank Board’s communication of its policy decisions and strategy, including how trade-offs are being made between inflation and employment objectives and when flexibility is being used to account for other considerations such as financial stability</w:t>
      </w:r>
    </w:p>
    <w:p w14:paraId="7DDE500E" w14:textId="77777777" w:rsidR="000A641B" w:rsidRDefault="000A641B" w:rsidP="0000278A">
      <w:pPr>
        <w:pStyle w:val="Bullet"/>
      </w:pPr>
      <w:r>
        <w:t>clarify the framework for deciding on and implementing additional monetary policy tools, including by ensuring proper consideration of risks and exit strategies</w:t>
      </w:r>
    </w:p>
    <w:p w14:paraId="54B215BB" w14:textId="77777777" w:rsidR="000A641B" w:rsidRDefault="000A641B" w:rsidP="0000278A">
      <w:pPr>
        <w:pStyle w:val="Bullet"/>
      </w:pPr>
      <w:r>
        <w:t>regularly review performance against objectives to identify opportunities for improvement, including in respect of forecasting.</w:t>
      </w:r>
    </w:p>
    <w:p w14:paraId="7A9C4429" w14:textId="0D31897E" w:rsidR="008F03AF" w:rsidRPr="008F03AF" w:rsidRDefault="008F03AF" w:rsidP="008F03AF">
      <w:pPr>
        <w:pStyle w:val="Heading2"/>
      </w:pPr>
      <w:bookmarkStart w:id="26" w:name="_Toc134220998"/>
      <w:r>
        <w:lastRenderedPageBreak/>
        <w:t>The</w:t>
      </w:r>
      <w:r>
        <w:rPr>
          <w:spacing w:val="-2"/>
        </w:rPr>
        <w:t xml:space="preserve"> </w:t>
      </w:r>
      <w:r>
        <w:t>RBA</w:t>
      </w:r>
      <w:r>
        <w:rPr>
          <w:spacing w:val="-2"/>
        </w:rPr>
        <w:t xml:space="preserve"> </w:t>
      </w:r>
      <w:r>
        <w:t>has</w:t>
      </w:r>
      <w:r>
        <w:rPr>
          <w:spacing w:val="-2"/>
        </w:rPr>
        <w:t xml:space="preserve"> </w:t>
      </w:r>
      <w:r>
        <w:t>contributed</w:t>
      </w:r>
      <w:r>
        <w:rPr>
          <w:spacing w:val="-2"/>
        </w:rPr>
        <w:t xml:space="preserve"> </w:t>
      </w:r>
      <w:r>
        <w:t>to</w:t>
      </w:r>
      <w:r>
        <w:rPr>
          <w:spacing w:val="-2"/>
        </w:rPr>
        <w:t xml:space="preserve"> </w:t>
      </w:r>
      <w:r>
        <w:t>good</w:t>
      </w:r>
      <w:r>
        <w:rPr>
          <w:spacing w:val="-2"/>
        </w:rPr>
        <w:t xml:space="preserve"> </w:t>
      </w:r>
      <w:r w:rsidRPr="008F03AF">
        <w:t>economic</w:t>
      </w:r>
      <w:r>
        <w:t xml:space="preserve"> outcomes</w:t>
      </w:r>
      <w:r>
        <w:rPr>
          <w:spacing w:val="-10"/>
        </w:rPr>
        <w:t xml:space="preserve"> </w:t>
      </w:r>
      <w:r>
        <w:t>through</w:t>
      </w:r>
      <w:r>
        <w:rPr>
          <w:spacing w:val="-10"/>
        </w:rPr>
        <w:t xml:space="preserve"> </w:t>
      </w:r>
      <w:r>
        <w:t>flexible</w:t>
      </w:r>
      <w:r>
        <w:rPr>
          <w:spacing w:val="-10"/>
        </w:rPr>
        <w:t xml:space="preserve"> </w:t>
      </w:r>
      <w:r>
        <w:t>inflation</w:t>
      </w:r>
      <w:r>
        <w:rPr>
          <w:spacing w:val="-10"/>
        </w:rPr>
        <w:t xml:space="preserve"> </w:t>
      </w:r>
      <w:r>
        <w:t>targeting</w:t>
      </w:r>
      <w:bookmarkEnd w:id="26"/>
    </w:p>
    <w:p w14:paraId="57EFD7BF" w14:textId="77777777" w:rsidR="008F03AF" w:rsidRDefault="008F03AF" w:rsidP="008F03AF">
      <w:pPr>
        <w:pStyle w:val="Heading3"/>
      </w:pPr>
      <w:r>
        <w:t>Monetary</w:t>
      </w:r>
      <w:r>
        <w:rPr>
          <w:spacing w:val="-6"/>
        </w:rPr>
        <w:t xml:space="preserve"> </w:t>
      </w:r>
      <w:r>
        <w:t>policy</w:t>
      </w:r>
      <w:r>
        <w:rPr>
          <w:spacing w:val="-5"/>
        </w:rPr>
        <w:t xml:space="preserve"> </w:t>
      </w:r>
      <w:r>
        <w:t>focuses</w:t>
      </w:r>
      <w:r>
        <w:rPr>
          <w:spacing w:val="-5"/>
        </w:rPr>
        <w:t xml:space="preserve"> </w:t>
      </w:r>
      <w:r>
        <w:t>on</w:t>
      </w:r>
      <w:r>
        <w:rPr>
          <w:spacing w:val="-5"/>
        </w:rPr>
        <w:t xml:space="preserve"> </w:t>
      </w:r>
      <w:r>
        <w:t>inflation</w:t>
      </w:r>
      <w:r>
        <w:rPr>
          <w:spacing w:val="-5"/>
        </w:rPr>
        <w:t xml:space="preserve"> </w:t>
      </w:r>
      <w:r>
        <w:t>and</w:t>
      </w:r>
      <w:r>
        <w:rPr>
          <w:spacing w:val="-5"/>
        </w:rPr>
        <w:t xml:space="preserve"> </w:t>
      </w:r>
      <w:r>
        <w:rPr>
          <w:spacing w:val="-2"/>
        </w:rPr>
        <w:t>employment</w:t>
      </w:r>
    </w:p>
    <w:p w14:paraId="2A23E458" w14:textId="70D647F5" w:rsidR="008F03AF" w:rsidRDefault="008F03AF" w:rsidP="008F03AF">
      <w:r>
        <w:t>The</w:t>
      </w:r>
      <w:r>
        <w:rPr>
          <w:spacing w:val="-3"/>
        </w:rPr>
        <w:t xml:space="preserve"> </w:t>
      </w:r>
      <w:r>
        <w:rPr>
          <w:i/>
        </w:rPr>
        <w:t>Reserve Bank</w:t>
      </w:r>
      <w:r>
        <w:rPr>
          <w:i/>
          <w:spacing w:val="-1"/>
        </w:rPr>
        <w:t xml:space="preserve"> </w:t>
      </w:r>
      <w:r>
        <w:rPr>
          <w:i/>
        </w:rPr>
        <w:t xml:space="preserve">Act 1959 </w:t>
      </w:r>
      <w:r>
        <w:t>(s</w:t>
      </w:r>
      <w:r>
        <w:rPr>
          <w:spacing w:val="-1"/>
        </w:rPr>
        <w:t xml:space="preserve"> </w:t>
      </w:r>
      <w:r>
        <w:t>10(2)) directs the</w:t>
      </w:r>
      <w:r>
        <w:rPr>
          <w:spacing w:val="-1"/>
        </w:rPr>
        <w:t xml:space="preserve"> </w:t>
      </w:r>
      <w:r>
        <w:t>Reserve Bank Board</w:t>
      </w:r>
      <w:r>
        <w:rPr>
          <w:spacing w:val="-1"/>
        </w:rPr>
        <w:t xml:space="preserve"> </w:t>
      </w:r>
      <w:r>
        <w:t xml:space="preserve">to conduct </w:t>
      </w:r>
      <w:r>
        <w:rPr>
          <w:spacing w:val="-2"/>
        </w:rPr>
        <w:t xml:space="preserve">monetary </w:t>
      </w:r>
      <w:r>
        <w:t>policy</w:t>
      </w:r>
      <w:r>
        <w:rPr>
          <w:spacing w:val="2"/>
        </w:rPr>
        <w:t xml:space="preserve"> </w:t>
      </w:r>
      <w:r>
        <w:t>in</w:t>
      </w:r>
      <w:r>
        <w:rPr>
          <w:spacing w:val="2"/>
        </w:rPr>
        <w:t xml:space="preserve"> </w:t>
      </w:r>
      <w:r>
        <w:t>a</w:t>
      </w:r>
      <w:r>
        <w:rPr>
          <w:spacing w:val="3"/>
        </w:rPr>
        <w:t xml:space="preserve"> </w:t>
      </w:r>
      <w:r>
        <w:t>way</w:t>
      </w:r>
      <w:r>
        <w:rPr>
          <w:spacing w:val="2"/>
        </w:rPr>
        <w:t xml:space="preserve"> </w:t>
      </w:r>
      <w:r>
        <w:t>that,</w:t>
      </w:r>
      <w:r>
        <w:rPr>
          <w:spacing w:val="3"/>
        </w:rPr>
        <w:t xml:space="preserve"> </w:t>
      </w:r>
      <w:r>
        <w:t>in</w:t>
      </w:r>
      <w:r>
        <w:rPr>
          <w:spacing w:val="2"/>
        </w:rPr>
        <w:t xml:space="preserve"> </w:t>
      </w:r>
      <w:r>
        <w:t>its</w:t>
      </w:r>
      <w:r>
        <w:rPr>
          <w:spacing w:val="3"/>
        </w:rPr>
        <w:t xml:space="preserve"> </w:t>
      </w:r>
      <w:r>
        <w:t>opinion,</w:t>
      </w:r>
      <w:r>
        <w:rPr>
          <w:spacing w:val="2"/>
        </w:rPr>
        <w:t xml:space="preserve"> </w:t>
      </w:r>
      <w:r>
        <w:t>‘will</w:t>
      </w:r>
      <w:r>
        <w:rPr>
          <w:spacing w:val="3"/>
        </w:rPr>
        <w:t xml:space="preserve"> </w:t>
      </w:r>
      <w:r>
        <w:t>best</w:t>
      </w:r>
      <w:r>
        <w:rPr>
          <w:spacing w:val="2"/>
        </w:rPr>
        <w:t xml:space="preserve"> </w:t>
      </w:r>
      <w:r>
        <w:t>contribute</w:t>
      </w:r>
      <w:r>
        <w:rPr>
          <w:spacing w:val="3"/>
        </w:rPr>
        <w:t xml:space="preserve"> </w:t>
      </w:r>
      <w:r>
        <w:rPr>
          <w:spacing w:val="-5"/>
        </w:rPr>
        <w:t>to:</w:t>
      </w:r>
    </w:p>
    <w:p w14:paraId="3DFBC754" w14:textId="77777777" w:rsidR="008F03AF" w:rsidRDefault="008F03AF" w:rsidP="0000278A">
      <w:pPr>
        <w:pStyle w:val="Bullet"/>
      </w:pPr>
      <w:r>
        <w:t>stability</w:t>
      </w:r>
      <w:r>
        <w:rPr>
          <w:spacing w:val="4"/>
        </w:rPr>
        <w:t xml:space="preserve"> </w:t>
      </w:r>
      <w:r>
        <w:t>of</w:t>
      </w:r>
      <w:r>
        <w:rPr>
          <w:spacing w:val="4"/>
        </w:rPr>
        <w:t xml:space="preserve"> </w:t>
      </w:r>
      <w:r>
        <w:t>the</w:t>
      </w:r>
      <w:r>
        <w:rPr>
          <w:spacing w:val="4"/>
        </w:rPr>
        <w:t xml:space="preserve"> </w:t>
      </w:r>
      <w:r>
        <w:t>currency</w:t>
      </w:r>
      <w:r>
        <w:rPr>
          <w:spacing w:val="4"/>
        </w:rPr>
        <w:t xml:space="preserve"> </w:t>
      </w:r>
      <w:r>
        <w:t>of</w:t>
      </w:r>
      <w:r>
        <w:rPr>
          <w:spacing w:val="5"/>
        </w:rPr>
        <w:t xml:space="preserve"> </w:t>
      </w:r>
      <w:r>
        <w:rPr>
          <w:spacing w:val="-2"/>
        </w:rPr>
        <w:t>Australia;</w:t>
      </w:r>
    </w:p>
    <w:p w14:paraId="7F1AC6AA" w14:textId="77777777" w:rsidR="008F03AF" w:rsidRDefault="008F03AF" w:rsidP="0000278A">
      <w:pPr>
        <w:pStyle w:val="Bullet"/>
      </w:pPr>
      <w:r>
        <w:t>the maintenance</w:t>
      </w:r>
      <w:r>
        <w:rPr>
          <w:spacing w:val="1"/>
        </w:rPr>
        <w:t xml:space="preserve"> </w:t>
      </w:r>
      <w:r>
        <w:t>of</w:t>
      </w:r>
      <w:r>
        <w:rPr>
          <w:spacing w:val="1"/>
        </w:rPr>
        <w:t xml:space="preserve"> </w:t>
      </w:r>
      <w:r>
        <w:t>full employment</w:t>
      </w:r>
      <w:r>
        <w:rPr>
          <w:spacing w:val="1"/>
        </w:rPr>
        <w:t xml:space="preserve"> </w:t>
      </w:r>
      <w:r>
        <w:t>in</w:t>
      </w:r>
      <w:r>
        <w:rPr>
          <w:spacing w:val="1"/>
        </w:rPr>
        <w:t xml:space="preserve"> </w:t>
      </w:r>
      <w:r>
        <w:t>Australia;</w:t>
      </w:r>
      <w:r>
        <w:rPr>
          <w:spacing w:val="1"/>
        </w:rPr>
        <w:t xml:space="preserve"> </w:t>
      </w:r>
      <w:r>
        <w:rPr>
          <w:spacing w:val="-5"/>
        </w:rPr>
        <w:t>and</w:t>
      </w:r>
    </w:p>
    <w:p w14:paraId="41447034" w14:textId="77777777" w:rsidR="008F03AF" w:rsidRDefault="008F03AF" w:rsidP="0000278A">
      <w:pPr>
        <w:pStyle w:val="Bullet"/>
      </w:pPr>
      <w:r>
        <w:t>the economic</w:t>
      </w:r>
      <w:r>
        <w:rPr>
          <w:spacing w:val="1"/>
        </w:rPr>
        <w:t xml:space="preserve"> </w:t>
      </w:r>
      <w:r>
        <w:t>prosperity and</w:t>
      </w:r>
      <w:r>
        <w:rPr>
          <w:spacing w:val="1"/>
        </w:rPr>
        <w:t xml:space="preserve"> </w:t>
      </w:r>
      <w:r>
        <w:t>welfare of</w:t>
      </w:r>
      <w:r>
        <w:rPr>
          <w:spacing w:val="1"/>
        </w:rPr>
        <w:t xml:space="preserve"> </w:t>
      </w:r>
      <w:r>
        <w:t>the people</w:t>
      </w:r>
      <w:r>
        <w:rPr>
          <w:spacing w:val="1"/>
        </w:rPr>
        <w:t xml:space="preserve"> </w:t>
      </w:r>
      <w:r>
        <w:t>of</w:t>
      </w:r>
      <w:r>
        <w:rPr>
          <w:spacing w:val="1"/>
        </w:rPr>
        <w:t xml:space="preserve"> </w:t>
      </w:r>
      <w:r>
        <w:rPr>
          <w:spacing w:val="-2"/>
        </w:rPr>
        <w:t>Australia.’</w:t>
      </w:r>
    </w:p>
    <w:p w14:paraId="79914BE3" w14:textId="77777777" w:rsidR="008F03AF" w:rsidRDefault="008F03AF" w:rsidP="008F03AF">
      <w:r>
        <w:t>Since 1996, the Reserve Bank Board’s approach to meeting these 3 objectives has been agreed upon</w:t>
      </w:r>
      <w:r>
        <w:rPr>
          <w:spacing w:val="-2"/>
        </w:rPr>
        <w:t xml:space="preserve"> </w:t>
      </w:r>
      <w:r>
        <w:t>with</w:t>
      </w:r>
      <w:r>
        <w:rPr>
          <w:spacing w:val="-2"/>
        </w:rPr>
        <w:t xml:space="preserve"> </w:t>
      </w:r>
      <w:r>
        <w:t>the</w:t>
      </w:r>
      <w:r>
        <w:rPr>
          <w:spacing w:val="-2"/>
        </w:rPr>
        <w:t xml:space="preserve"> </w:t>
      </w:r>
      <w:r>
        <w:t>Treasurer</w:t>
      </w:r>
      <w:r>
        <w:rPr>
          <w:spacing w:val="-2"/>
        </w:rPr>
        <w:t xml:space="preserve"> </w:t>
      </w:r>
      <w:r>
        <w:t>in</w:t>
      </w:r>
      <w:r>
        <w:rPr>
          <w:spacing w:val="-2"/>
        </w:rPr>
        <w:t xml:space="preserve"> </w:t>
      </w:r>
      <w:r>
        <w:t>the</w:t>
      </w:r>
      <w:r>
        <w:rPr>
          <w:spacing w:val="-3"/>
        </w:rPr>
        <w:t xml:space="preserve"> </w:t>
      </w:r>
      <w:r>
        <w:rPr>
          <w:i/>
        </w:rPr>
        <w:t>Statement</w:t>
      </w:r>
      <w:r>
        <w:rPr>
          <w:i/>
          <w:spacing w:val="-2"/>
        </w:rPr>
        <w:t xml:space="preserve"> </w:t>
      </w:r>
      <w:r>
        <w:rPr>
          <w:i/>
        </w:rPr>
        <w:t>on</w:t>
      </w:r>
      <w:r>
        <w:rPr>
          <w:i/>
          <w:spacing w:val="-2"/>
        </w:rPr>
        <w:t xml:space="preserve"> </w:t>
      </w:r>
      <w:r>
        <w:rPr>
          <w:i/>
        </w:rPr>
        <w:t>the</w:t>
      </w:r>
      <w:r>
        <w:rPr>
          <w:i/>
          <w:spacing w:val="-2"/>
        </w:rPr>
        <w:t xml:space="preserve"> </w:t>
      </w:r>
      <w:r>
        <w:rPr>
          <w:i/>
        </w:rPr>
        <w:t>Conduct</w:t>
      </w:r>
      <w:r>
        <w:rPr>
          <w:i/>
          <w:spacing w:val="-2"/>
        </w:rPr>
        <w:t xml:space="preserve"> </w:t>
      </w:r>
      <w:r>
        <w:rPr>
          <w:i/>
        </w:rPr>
        <w:t>of</w:t>
      </w:r>
      <w:r>
        <w:rPr>
          <w:i/>
          <w:spacing w:val="-2"/>
        </w:rPr>
        <w:t xml:space="preserve"> </w:t>
      </w:r>
      <w:r>
        <w:rPr>
          <w:i/>
        </w:rPr>
        <w:t>Monetary</w:t>
      </w:r>
      <w:r>
        <w:rPr>
          <w:i/>
          <w:spacing w:val="-2"/>
        </w:rPr>
        <w:t xml:space="preserve"> </w:t>
      </w:r>
      <w:r>
        <w:rPr>
          <w:i/>
        </w:rPr>
        <w:t>Policy</w:t>
      </w:r>
      <w:r>
        <w:t>.</w:t>
      </w:r>
      <w:r>
        <w:rPr>
          <w:spacing w:val="-2"/>
        </w:rPr>
        <w:t xml:space="preserve"> </w:t>
      </w:r>
      <w:r>
        <w:t>The</w:t>
      </w:r>
      <w:r>
        <w:rPr>
          <w:spacing w:val="-2"/>
        </w:rPr>
        <w:t xml:space="preserve"> </w:t>
      </w:r>
      <w:r>
        <w:t>approach</w:t>
      </w:r>
      <w:r>
        <w:rPr>
          <w:spacing w:val="-2"/>
        </w:rPr>
        <w:t xml:space="preserve"> </w:t>
      </w:r>
      <w:r>
        <w:t>is</w:t>
      </w:r>
      <w:r>
        <w:rPr>
          <w:spacing w:val="-2"/>
        </w:rPr>
        <w:t xml:space="preserve"> </w:t>
      </w:r>
      <w:r>
        <w:t>‘to</w:t>
      </w:r>
      <w:r>
        <w:rPr>
          <w:spacing w:val="-2"/>
        </w:rPr>
        <w:t xml:space="preserve"> </w:t>
      </w:r>
      <w:r>
        <w:t>focus on price (currency) stability… while taking account of the implications of monetary policy for activity and levels of employment in the short term.’</w:t>
      </w:r>
    </w:p>
    <w:p w14:paraId="56192ADD" w14:textId="77777777" w:rsidR="008F03AF" w:rsidRDefault="008F03AF" w:rsidP="008F03AF">
      <w:r>
        <w:t>In assessing the RBA’s performance against its objectives, the Review focused on the Reserve</w:t>
      </w:r>
      <w:r>
        <w:rPr>
          <w:spacing w:val="80"/>
        </w:rPr>
        <w:t xml:space="preserve"> </w:t>
      </w:r>
      <w:r>
        <w:t>Bank Board’s success in achieving its inflation and employment objectives. The Review recognises that these are not the only factors contributing to economic prosperity and welfare. Other factors include productivity growth, real wage growth, housing affordability, health outcomes, equality of opportunity and shared prosperity, and environmental sustainability.</w:t>
      </w:r>
    </w:p>
    <w:p w14:paraId="1E8E539A" w14:textId="77777777" w:rsidR="008F03AF" w:rsidRDefault="008F03AF" w:rsidP="008F03AF">
      <w:r>
        <w:t>Since monetary policy tools have limited power to directly affect these additional factors, the Review stresses that other government policies are critical to the economic prosperity and welfare of Australians.</w:t>
      </w:r>
    </w:p>
    <w:p w14:paraId="2A8BB5D8" w14:textId="77777777" w:rsidR="00B11622" w:rsidRDefault="00B11622" w:rsidP="00B11622">
      <w:pPr>
        <w:pStyle w:val="Heading3"/>
      </w:pPr>
      <w:r>
        <w:t>Three</w:t>
      </w:r>
      <w:r>
        <w:rPr>
          <w:spacing w:val="-8"/>
        </w:rPr>
        <w:t xml:space="preserve"> </w:t>
      </w:r>
      <w:r>
        <w:t>decades</w:t>
      </w:r>
      <w:r>
        <w:rPr>
          <w:spacing w:val="-8"/>
        </w:rPr>
        <w:t xml:space="preserve"> </w:t>
      </w:r>
      <w:r>
        <w:t>of</w:t>
      </w:r>
      <w:r>
        <w:rPr>
          <w:spacing w:val="-8"/>
        </w:rPr>
        <w:t xml:space="preserve"> </w:t>
      </w:r>
      <w:r>
        <w:t>inflation</w:t>
      </w:r>
      <w:r>
        <w:rPr>
          <w:spacing w:val="-8"/>
        </w:rPr>
        <w:t xml:space="preserve"> </w:t>
      </w:r>
      <w:r>
        <w:t>targeting</w:t>
      </w:r>
      <w:r>
        <w:rPr>
          <w:spacing w:val="-7"/>
        </w:rPr>
        <w:t xml:space="preserve"> </w:t>
      </w:r>
      <w:r>
        <w:t>in</w:t>
      </w:r>
      <w:r>
        <w:rPr>
          <w:spacing w:val="-8"/>
        </w:rPr>
        <w:t xml:space="preserve"> </w:t>
      </w:r>
      <w:r>
        <w:rPr>
          <w:spacing w:val="-2"/>
        </w:rPr>
        <w:t>Australia</w:t>
      </w:r>
    </w:p>
    <w:p w14:paraId="72D37B19" w14:textId="77777777" w:rsidR="00FA47DB" w:rsidRDefault="00FA47DB" w:rsidP="00B11622">
      <w:r>
        <w:t>Australia experimented with various monetary policy frameworks before adopting inflation</w:t>
      </w:r>
      <w:r>
        <w:rPr>
          <w:spacing w:val="80"/>
        </w:rPr>
        <w:t xml:space="preserve"> </w:t>
      </w:r>
      <w:r>
        <w:t>targeting</w:t>
      </w:r>
      <w:r>
        <w:rPr>
          <w:spacing w:val="-2"/>
        </w:rPr>
        <w:t xml:space="preserve"> </w:t>
      </w:r>
      <w:r>
        <w:t>in</w:t>
      </w:r>
      <w:r>
        <w:rPr>
          <w:spacing w:val="-2"/>
        </w:rPr>
        <w:t xml:space="preserve"> </w:t>
      </w:r>
      <w:r>
        <w:t>the</w:t>
      </w:r>
      <w:r>
        <w:rPr>
          <w:spacing w:val="-2"/>
        </w:rPr>
        <w:t xml:space="preserve"> </w:t>
      </w:r>
      <w:r>
        <w:t>early</w:t>
      </w:r>
      <w:r>
        <w:rPr>
          <w:spacing w:val="-2"/>
        </w:rPr>
        <w:t xml:space="preserve"> </w:t>
      </w:r>
      <w:r>
        <w:t>1990s</w:t>
      </w:r>
      <w:r>
        <w:rPr>
          <w:spacing w:val="-2"/>
        </w:rPr>
        <w:t xml:space="preserve"> </w:t>
      </w:r>
      <w:r>
        <w:t>(Cornish</w:t>
      </w:r>
      <w:r>
        <w:rPr>
          <w:spacing w:val="-2"/>
        </w:rPr>
        <w:t xml:space="preserve"> </w:t>
      </w:r>
      <w:r>
        <w:t>2019).</w:t>
      </w:r>
      <w:r>
        <w:rPr>
          <w:spacing w:val="-2"/>
        </w:rPr>
        <w:t xml:space="preserve"> </w:t>
      </w:r>
      <w:r>
        <w:t>However,</w:t>
      </w:r>
      <w:r>
        <w:rPr>
          <w:spacing w:val="-2"/>
        </w:rPr>
        <w:t xml:space="preserve"> </w:t>
      </w:r>
      <w:r>
        <w:t>it</w:t>
      </w:r>
      <w:r>
        <w:rPr>
          <w:spacing w:val="-2"/>
        </w:rPr>
        <w:t xml:space="preserve"> </w:t>
      </w:r>
      <w:r>
        <w:t>struggled</w:t>
      </w:r>
      <w:r>
        <w:rPr>
          <w:spacing w:val="-2"/>
        </w:rPr>
        <w:t xml:space="preserve"> </w:t>
      </w:r>
      <w:r>
        <w:t>to</w:t>
      </w:r>
      <w:r>
        <w:rPr>
          <w:spacing w:val="-2"/>
        </w:rPr>
        <w:t xml:space="preserve"> </w:t>
      </w:r>
      <w:r>
        <w:t>achieve</w:t>
      </w:r>
      <w:r>
        <w:rPr>
          <w:spacing w:val="-2"/>
        </w:rPr>
        <w:t xml:space="preserve"> </w:t>
      </w:r>
      <w:r>
        <w:t>low</w:t>
      </w:r>
      <w:r>
        <w:rPr>
          <w:spacing w:val="-2"/>
        </w:rPr>
        <w:t xml:space="preserve"> </w:t>
      </w:r>
      <w:r>
        <w:t>inflation</w:t>
      </w:r>
      <w:r>
        <w:rPr>
          <w:spacing w:val="-2"/>
        </w:rPr>
        <w:t xml:space="preserve"> </w:t>
      </w:r>
      <w:r>
        <w:t>and</w:t>
      </w:r>
      <w:r>
        <w:rPr>
          <w:spacing w:val="-2"/>
        </w:rPr>
        <w:t xml:space="preserve"> </w:t>
      </w:r>
      <w:r>
        <w:t>strong real economic activity and employment (Fraser 1994). Throughout most of the 1970s and 1980s,</w:t>
      </w:r>
      <w:r>
        <w:rPr>
          <w:spacing w:val="40"/>
        </w:rPr>
        <w:t xml:space="preserve"> </w:t>
      </w:r>
      <w:r>
        <w:t>the lack of a credible and coherent monetary policy framework, structural changes in the economy and perceptions of fiscal and monetary ill-discipline led to serious bouts of inflation and a high unemployment rate.</w:t>
      </w:r>
    </w:p>
    <w:p w14:paraId="3626704F" w14:textId="77777777" w:rsidR="00FA47DB" w:rsidRDefault="00FA47DB" w:rsidP="00B11622">
      <w:r>
        <w:t>Inflation was brought under control in the early 1990s through tight monetary policy and a recession.</w:t>
      </w:r>
      <w:r>
        <w:rPr>
          <w:spacing w:val="-6"/>
        </w:rPr>
        <w:t xml:space="preserve"> </w:t>
      </w:r>
      <w:r>
        <w:t>The</w:t>
      </w:r>
      <w:r>
        <w:rPr>
          <w:spacing w:val="-6"/>
        </w:rPr>
        <w:t xml:space="preserve"> </w:t>
      </w:r>
      <w:r>
        <w:t>RBA</w:t>
      </w:r>
      <w:r>
        <w:rPr>
          <w:spacing w:val="-6"/>
        </w:rPr>
        <w:t xml:space="preserve"> </w:t>
      </w:r>
      <w:r>
        <w:t>adopted</w:t>
      </w:r>
      <w:r>
        <w:rPr>
          <w:spacing w:val="-6"/>
        </w:rPr>
        <w:t xml:space="preserve"> </w:t>
      </w:r>
      <w:r>
        <w:t>an</w:t>
      </w:r>
      <w:r>
        <w:rPr>
          <w:spacing w:val="-6"/>
        </w:rPr>
        <w:t xml:space="preserve"> </w:t>
      </w:r>
      <w:r>
        <w:t>inflation</w:t>
      </w:r>
      <w:r>
        <w:rPr>
          <w:spacing w:val="-6"/>
        </w:rPr>
        <w:t xml:space="preserve"> </w:t>
      </w:r>
      <w:r>
        <w:t>target</w:t>
      </w:r>
      <w:r>
        <w:rPr>
          <w:spacing w:val="-6"/>
        </w:rPr>
        <w:t xml:space="preserve"> </w:t>
      </w:r>
      <w:r>
        <w:t>around</w:t>
      </w:r>
      <w:r>
        <w:rPr>
          <w:spacing w:val="-6"/>
        </w:rPr>
        <w:t xml:space="preserve"> </w:t>
      </w:r>
      <w:r>
        <w:t>that</w:t>
      </w:r>
      <w:r>
        <w:rPr>
          <w:spacing w:val="-6"/>
        </w:rPr>
        <w:t xml:space="preserve"> </w:t>
      </w:r>
      <w:r>
        <w:t>time</w:t>
      </w:r>
      <w:r>
        <w:rPr>
          <w:spacing w:val="-6"/>
        </w:rPr>
        <w:t xml:space="preserve"> </w:t>
      </w:r>
      <w:r>
        <w:t>to</w:t>
      </w:r>
      <w:r>
        <w:rPr>
          <w:spacing w:val="-6"/>
        </w:rPr>
        <w:t xml:space="preserve"> </w:t>
      </w:r>
      <w:r>
        <w:t>mitigate</w:t>
      </w:r>
      <w:r>
        <w:rPr>
          <w:spacing w:val="-6"/>
        </w:rPr>
        <w:t xml:space="preserve"> </w:t>
      </w:r>
      <w:r>
        <w:t>a</w:t>
      </w:r>
      <w:r>
        <w:rPr>
          <w:spacing w:val="-6"/>
        </w:rPr>
        <w:t xml:space="preserve"> </w:t>
      </w:r>
      <w:r>
        <w:t>resurgence</w:t>
      </w:r>
      <w:r>
        <w:rPr>
          <w:spacing w:val="-6"/>
        </w:rPr>
        <w:t xml:space="preserve"> </w:t>
      </w:r>
      <w:r>
        <w:t>of</w:t>
      </w:r>
      <w:r>
        <w:rPr>
          <w:spacing w:val="-6"/>
        </w:rPr>
        <w:t xml:space="preserve"> </w:t>
      </w:r>
      <w:r>
        <w:t>inflation during the economic recovery. At that stage, an inflation target had already been introduced in Canada, New Zealand, Sweden and the United Kingdom. The RBA was granted formal operational independence to pursue its flexible inflation target in 1996, although, in practice, the RBA already had substantial informal independence (see Chapter 2 for details on flexible inflation targeting).</w:t>
      </w:r>
    </w:p>
    <w:p w14:paraId="1CDA14D4" w14:textId="4FE54BCE" w:rsidR="00910530" w:rsidRDefault="00FA47DB" w:rsidP="00B11622">
      <w:r>
        <w:t>The RBA’s independence and actions within these monetary policy arrangements contributed to superior economic outcomes compared to earlier decades (Bell 2004; Morley and Hartigan 2018; McKibbin 2018; OECD 2018; Cornish 2022). The Reserve Bank Board demonstrated it would respond decisively and in a forward-looking manner to inflationary pressures. It clearly communicated that it considered low inflation a precondition for sustainable increases in</w:t>
      </w:r>
      <w:r w:rsidR="00B11622">
        <w:t xml:space="preserve"> </w:t>
      </w:r>
      <w:r>
        <w:t>employment.</w:t>
      </w:r>
      <w:r>
        <w:rPr>
          <w:spacing w:val="-1"/>
        </w:rPr>
        <w:t xml:space="preserve"> </w:t>
      </w:r>
      <w:r>
        <w:t>Inflation</w:t>
      </w:r>
      <w:r>
        <w:rPr>
          <w:spacing w:val="-1"/>
        </w:rPr>
        <w:t xml:space="preserve"> </w:t>
      </w:r>
      <w:r>
        <w:t>has</w:t>
      </w:r>
      <w:r>
        <w:rPr>
          <w:spacing w:val="-1"/>
        </w:rPr>
        <w:t xml:space="preserve"> </w:t>
      </w:r>
      <w:r>
        <w:t>at</w:t>
      </w:r>
      <w:r>
        <w:rPr>
          <w:spacing w:val="-1"/>
        </w:rPr>
        <w:t xml:space="preserve"> </w:t>
      </w:r>
      <w:r>
        <w:t>times</w:t>
      </w:r>
      <w:r>
        <w:rPr>
          <w:spacing w:val="-1"/>
        </w:rPr>
        <w:t xml:space="preserve"> </w:t>
      </w:r>
      <w:r>
        <w:t>been</w:t>
      </w:r>
      <w:r>
        <w:rPr>
          <w:spacing w:val="-1"/>
        </w:rPr>
        <w:t xml:space="preserve"> </w:t>
      </w:r>
      <w:r>
        <w:t>above</w:t>
      </w:r>
      <w:r>
        <w:rPr>
          <w:spacing w:val="-1"/>
        </w:rPr>
        <w:t xml:space="preserve"> </w:t>
      </w:r>
      <w:r>
        <w:t>and</w:t>
      </w:r>
      <w:r>
        <w:rPr>
          <w:spacing w:val="-1"/>
        </w:rPr>
        <w:t xml:space="preserve"> </w:t>
      </w:r>
      <w:r>
        <w:t>at</w:t>
      </w:r>
      <w:r>
        <w:rPr>
          <w:spacing w:val="-1"/>
        </w:rPr>
        <w:t xml:space="preserve"> </w:t>
      </w:r>
      <w:r>
        <w:t>times</w:t>
      </w:r>
      <w:r>
        <w:rPr>
          <w:spacing w:val="-1"/>
        </w:rPr>
        <w:t xml:space="preserve"> </w:t>
      </w:r>
      <w:r>
        <w:t>below</w:t>
      </w:r>
      <w:r>
        <w:rPr>
          <w:spacing w:val="-1"/>
        </w:rPr>
        <w:t xml:space="preserve"> </w:t>
      </w:r>
      <w:r>
        <w:t>the</w:t>
      </w:r>
      <w:r>
        <w:rPr>
          <w:spacing w:val="-1"/>
        </w:rPr>
        <w:t xml:space="preserve"> </w:t>
      </w:r>
      <w:r>
        <w:t>2</w:t>
      </w:r>
      <w:r>
        <w:rPr>
          <w:spacing w:val="-1"/>
        </w:rPr>
        <w:t xml:space="preserve"> </w:t>
      </w:r>
      <w:r>
        <w:t>to</w:t>
      </w:r>
      <w:r>
        <w:rPr>
          <w:spacing w:val="-1"/>
        </w:rPr>
        <w:t xml:space="preserve"> </w:t>
      </w:r>
      <w:r>
        <w:t>3</w:t>
      </w:r>
      <w:r>
        <w:rPr>
          <w:spacing w:val="-1"/>
        </w:rPr>
        <w:t xml:space="preserve"> </w:t>
      </w:r>
      <w:r>
        <w:t>per</w:t>
      </w:r>
      <w:r>
        <w:rPr>
          <w:spacing w:val="-1"/>
        </w:rPr>
        <w:t xml:space="preserve"> </w:t>
      </w:r>
      <w:r>
        <w:t>cent</w:t>
      </w:r>
      <w:r>
        <w:rPr>
          <w:spacing w:val="-1"/>
        </w:rPr>
        <w:t xml:space="preserve"> </w:t>
      </w:r>
      <w:r>
        <w:t>target</w:t>
      </w:r>
      <w:r>
        <w:rPr>
          <w:spacing w:val="-1"/>
        </w:rPr>
        <w:t xml:space="preserve"> </w:t>
      </w:r>
      <w:r>
        <w:t xml:space="preserve">range, including the sharp increase in inflation since mid-2021. However, the average headline inflation rate since 1993 is 2.5 per cent (Chart 1.1). This compares with an average of almost 9 per cent in the preceding 2 decades </w:t>
      </w:r>
      <w:r>
        <w:lastRenderedPageBreak/>
        <w:t>(Table</w:t>
      </w:r>
      <w:r w:rsidR="00B11622">
        <w:t> </w:t>
      </w:r>
      <w:r>
        <w:t>1.1). Inflation expectations have, by and large, been well anchored, further reinforcing the environment of low and stable inflation.</w:t>
      </w:r>
    </w:p>
    <w:tbl>
      <w:tblPr>
        <w:tblStyle w:val="TableGrid"/>
        <w:tblW w:w="0" w:type="auto"/>
        <w:tblLook w:val="04A0" w:firstRow="1" w:lastRow="0" w:firstColumn="1" w:lastColumn="0" w:noHBand="0" w:noVBand="1"/>
      </w:tblPr>
      <w:tblGrid>
        <w:gridCol w:w="4513"/>
        <w:gridCol w:w="4513"/>
      </w:tblGrid>
      <w:tr w:rsidR="009F4ED3" w14:paraId="23C70F04" w14:textId="77777777" w:rsidTr="009F4ED3">
        <w:trPr>
          <w:cnfStyle w:val="100000000000" w:firstRow="1" w:lastRow="0" w:firstColumn="0" w:lastColumn="0" w:oddVBand="0" w:evenVBand="0" w:oddHBand="0" w:evenHBand="0" w:firstRowFirstColumn="0" w:firstRowLastColumn="0" w:lastRowFirstColumn="0" w:lastRowLastColumn="0"/>
        </w:trPr>
        <w:tc>
          <w:tcPr>
            <w:tcW w:w="4513" w:type="dxa"/>
            <w:shd w:val="clear" w:color="auto" w:fill="FFFFFF" w:themeFill="background1"/>
          </w:tcPr>
          <w:p w14:paraId="01087FDE" w14:textId="42A9A68D" w:rsidR="009F4ED3" w:rsidRPr="009F4ED3" w:rsidRDefault="009F4ED3" w:rsidP="009F4ED3">
            <w:pPr>
              <w:pStyle w:val="BoxHeading"/>
            </w:pPr>
            <w:r w:rsidRPr="009F4ED3">
              <w:t xml:space="preserve">Chart 1.1 Consumer price inflation      </w:t>
            </w:r>
          </w:p>
        </w:tc>
        <w:tc>
          <w:tcPr>
            <w:tcW w:w="4513" w:type="dxa"/>
            <w:shd w:val="clear" w:color="auto" w:fill="FFFFFF" w:themeFill="background1"/>
          </w:tcPr>
          <w:p w14:paraId="3E1E198D" w14:textId="38C95BF4" w:rsidR="009F4ED3" w:rsidRPr="009F4ED3" w:rsidRDefault="009F4ED3" w:rsidP="009F4ED3">
            <w:pPr>
              <w:pStyle w:val="BoxHeading"/>
            </w:pPr>
            <w:r w:rsidRPr="009F4ED3">
              <w:t>Chart 1.2 Unemployment rate</w:t>
            </w:r>
          </w:p>
        </w:tc>
      </w:tr>
      <w:tr w:rsidR="009F4ED3" w14:paraId="44B5F258" w14:textId="77777777" w:rsidTr="009F4ED3">
        <w:tc>
          <w:tcPr>
            <w:tcW w:w="4513" w:type="dxa"/>
            <w:shd w:val="clear" w:color="auto" w:fill="FFFFFF" w:themeFill="background1"/>
          </w:tcPr>
          <w:p w14:paraId="2697D4C3" w14:textId="327159D1" w:rsidR="009F4ED3" w:rsidRDefault="009F4ED3" w:rsidP="00B11622">
            <w:r>
              <w:rPr>
                <w:noProof/>
              </w:rPr>
              <w:drawing>
                <wp:inline distT="0" distB="0" distL="0" distR="0" wp14:anchorId="418F729B" wp14:editId="69C19FDB">
                  <wp:extent cx="2520000" cy="2520000"/>
                  <wp:effectExtent l="0" t="0" r="0" b="0"/>
                  <wp:docPr id="47" name="Picture 47" descr="A line graph of consumer price inflation from 1960 until 2023.The chart shows inflation rising to a peak of 17 per cent in 1975 and trending downwards thereafter. Since the introduction of inflation targeting in the early 1990s, inflation has been broadly around its 2 to 3 per cent target range, until around mid-2021 when it increased sharp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line graph of consumer price inflation from 1960 until 2023.The chart shows inflation rising to a peak of 17 per cent in 1975 and trending downwards thereafter. Since the introduction of inflation targeting in the early 1990s, inflation has been broadly around its 2 to 3 per cent target range, until around mid-2021 when it increased sharply.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pic:spPr>
                      </pic:pic>
                    </a:graphicData>
                  </a:graphic>
                </wp:inline>
              </w:drawing>
            </w:r>
          </w:p>
        </w:tc>
        <w:tc>
          <w:tcPr>
            <w:tcW w:w="4513" w:type="dxa"/>
            <w:shd w:val="clear" w:color="auto" w:fill="FFFFFF" w:themeFill="background1"/>
          </w:tcPr>
          <w:p w14:paraId="29C9FB2F" w14:textId="6B1A5DAA" w:rsidR="009F4ED3" w:rsidRDefault="009F4ED3" w:rsidP="00B11622">
            <w:r>
              <w:rPr>
                <w:noProof/>
              </w:rPr>
              <w:drawing>
                <wp:inline distT="0" distB="0" distL="0" distR="0" wp14:anchorId="6D883279" wp14:editId="182E4C02">
                  <wp:extent cx="2520000" cy="2520000"/>
                  <wp:effectExtent l="0" t="0" r="0" b="0"/>
                  <wp:docPr id="48" name="Picture 48" descr="A line graph of the actual unemployment rate and estimates of the lowest level of unemployment that can be sustained without causing excess inflation since 1980. The actual unemployment rate was above these estimates throughout most of the 1980s and 1990s and has been above and below throughout the 2000s and 2010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line graph of the actual unemployment rate and estimates of the lowest level of unemployment that can be sustained without causing excess inflation since 1980. The actual unemployment rate was above these estimates throughout most of the 1980s and 1990s and has been above and below throughout the 2000s and 2010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pic:spPr>
                      </pic:pic>
                    </a:graphicData>
                  </a:graphic>
                </wp:inline>
              </w:drawing>
            </w:r>
          </w:p>
        </w:tc>
      </w:tr>
    </w:tbl>
    <w:p w14:paraId="5BC9E21B" w14:textId="77777777" w:rsidR="008B2E20" w:rsidRDefault="008B2E20" w:rsidP="008B2E20">
      <w:pPr>
        <w:pStyle w:val="Note"/>
      </w:pPr>
      <w:r>
        <w:t>Note: Headline inflation excludes interest charges and is adjusted for the tax changes of 1999-2000. Trimmed mean inflation is a measure of consumer price inflation</w:t>
      </w:r>
      <w:r w:rsidRPr="00582994">
        <w:t xml:space="preserve"> that excludes the prices of goods and services with the largest movements (positive or negative).</w:t>
      </w:r>
      <w:r>
        <w:t xml:space="preserve"> Model-based estimate of the NAIRU up to the December quarter of 2019 from Bishop and Greenland (2021). The 95% confidence intervals are </w:t>
      </w:r>
      <w:r>
        <w:rPr>
          <w:rFonts w:cs="Calibri Light"/>
        </w:rPr>
        <w:t>±</w:t>
      </w:r>
      <w:r>
        <w:t>2 standard error bands.</w:t>
      </w:r>
    </w:p>
    <w:p w14:paraId="6AF41DEB" w14:textId="77777777" w:rsidR="008B2E20" w:rsidRPr="00D4306B" w:rsidRDefault="008B2E20" w:rsidP="008B2E20">
      <w:pPr>
        <w:pStyle w:val="Note"/>
      </w:pPr>
      <w:r>
        <w:t>Source: ABS Consumer Price Index; ABS Labour Force Survey; Bishop and Greenland (2021); RBA Statistical Table G1.</w:t>
      </w:r>
    </w:p>
    <w:p w14:paraId="4A248459" w14:textId="77777777" w:rsidR="00BF53C3" w:rsidRDefault="00BF53C3" w:rsidP="00F84E6E">
      <w:pPr>
        <w:pStyle w:val="BoxHeading"/>
      </w:pPr>
    </w:p>
    <w:p w14:paraId="56253A5C" w14:textId="0927779D" w:rsidR="00DA050A" w:rsidRDefault="00DA050A" w:rsidP="00F84E6E">
      <w:pPr>
        <w:pStyle w:val="BoxHeading"/>
      </w:pPr>
      <w:r>
        <w:t>Table</w:t>
      </w:r>
      <w:r>
        <w:rPr>
          <w:spacing w:val="-7"/>
        </w:rPr>
        <w:t xml:space="preserve"> </w:t>
      </w:r>
      <w:r>
        <w:t>1.1:</w:t>
      </w:r>
      <w:r>
        <w:rPr>
          <w:spacing w:val="-7"/>
        </w:rPr>
        <w:t xml:space="preserve"> </w:t>
      </w:r>
      <w:r>
        <w:t>Macroeconomic</w:t>
      </w:r>
      <w:r>
        <w:rPr>
          <w:spacing w:val="-7"/>
        </w:rPr>
        <w:t xml:space="preserve"> </w:t>
      </w:r>
      <w:r>
        <w:t>outcomes</w:t>
      </w:r>
      <w:r>
        <w:rPr>
          <w:spacing w:val="-7"/>
        </w:rPr>
        <w:t xml:space="preserve"> </w:t>
      </w:r>
      <w:r>
        <w:t>in</w:t>
      </w:r>
      <w:r>
        <w:rPr>
          <w:spacing w:val="-7"/>
        </w:rPr>
        <w:t xml:space="preserve"> </w:t>
      </w:r>
      <w:r>
        <w:rPr>
          <w:spacing w:val="-2"/>
        </w:rPr>
        <w:t>Australia</w:t>
      </w:r>
    </w:p>
    <w:p w14:paraId="6D3CB3C3" w14:textId="77777777" w:rsidR="00DA050A" w:rsidRDefault="00DA050A" w:rsidP="00D364B8">
      <w:pPr>
        <w:pStyle w:val="BodyText"/>
        <w:keepNext/>
        <w:keepLines/>
        <w:spacing w:before="4" w:after="1"/>
        <w:rPr>
          <w:rFonts w:ascii="Open Sans"/>
          <w:b/>
          <w:sz w:val="10"/>
        </w:rPr>
      </w:pPr>
    </w:p>
    <w:tbl>
      <w:tblPr>
        <w:tblW w:w="0" w:type="auto"/>
        <w:tblInd w:w="167" w:type="dxa"/>
        <w:tblBorders>
          <w:top w:val="single" w:sz="8" w:space="0" w:color="204160"/>
          <w:left w:val="single" w:sz="8" w:space="0" w:color="204160"/>
          <w:bottom w:val="single" w:sz="8" w:space="0" w:color="204160"/>
          <w:right w:val="single" w:sz="8" w:space="0" w:color="204160"/>
          <w:insideH w:val="single" w:sz="8" w:space="0" w:color="204160"/>
          <w:insideV w:val="single" w:sz="8" w:space="0" w:color="204160"/>
        </w:tblBorders>
        <w:tblLayout w:type="fixed"/>
        <w:tblCellMar>
          <w:left w:w="0" w:type="dxa"/>
          <w:right w:w="0" w:type="dxa"/>
        </w:tblCellMar>
        <w:tblLook w:val="01E0" w:firstRow="1" w:lastRow="1" w:firstColumn="1" w:lastColumn="1" w:noHBand="0" w:noVBand="0"/>
        <w:tblDescription w:val="A line graph of the actual unemployment rate and estimates of the lowest level of unemployment that can be sustained without causing excess inflation since 1980. The actual unemployment rate was above these estimates throughout most of the 1980s and 1990s and has been above and below throughout the 2000s and 2010s. "/>
      </w:tblPr>
      <w:tblGrid>
        <w:gridCol w:w="2285"/>
        <w:gridCol w:w="964"/>
        <w:gridCol w:w="964"/>
        <w:gridCol w:w="964"/>
        <w:gridCol w:w="964"/>
        <w:gridCol w:w="964"/>
        <w:gridCol w:w="964"/>
      </w:tblGrid>
      <w:tr w:rsidR="00DA050A" w14:paraId="28D25E4F" w14:textId="77777777" w:rsidTr="0094797A">
        <w:trPr>
          <w:trHeight w:val="156"/>
        </w:trPr>
        <w:tc>
          <w:tcPr>
            <w:tcW w:w="2285" w:type="dxa"/>
            <w:tcBorders>
              <w:top w:val="nil"/>
              <w:left w:val="nil"/>
              <w:bottom w:val="nil"/>
            </w:tcBorders>
          </w:tcPr>
          <w:p w14:paraId="4CC91F99" w14:textId="77777777" w:rsidR="00DA050A" w:rsidRDefault="00DA050A" w:rsidP="00D364B8">
            <w:pPr>
              <w:pStyle w:val="TableParagraph"/>
              <w:keepNext/>
              <w:keepLines/>
              <w:spacing w:before="31"/>
              <w:ind w:left="103"/>
              <w:rPr>
                <w:rFonts w:ascii="Open Sans"/>
                <w:b/>
                <w:sz w:val="16"/>
              </w:rPr>
            </w:pPr>
            <w:r>
              <w:rPr>
                <w:rFonts w:ascii="Open Sans"/>
                <w:b/>
                <w:spacing w:val="-2"/>
                <w:sz w:val="16"/>
              </w:rPr>
              <w:t>Measure</w:t>
            </w:r>
          </w:p>
        </w:tc>
        <w:tc>
          <w:tcPr>
            <w:tcW w:w="1928" w:type="dxa"/>
            <w:gridSpan w:val="2"/>
            <w:tcBorders>
              <w:top w:val="nil"/>
              <w:bottom w:val="single" w:sz="2" w:space="0" w:color="7F859B"/>
            </w:tcBorders>
          </w:tcPr>
          <w:p w14:paraId="5ACE0FD1" w14:textId="77777777" w:rsidR="00DA050A" w:rsidRDefault="00DA050A" w:rsidP="00D364B8">
            <w:pPr>
              <w:pStyle w:val="TableParagraph"/>
              <w:keepNext/>
              <w:keepLines/>
              <w:spacing w:before="31"/>
              <w:ind w:left="561"/>
              <w:rPr>
                <w:sz w:val="16"/>
              </w:rPr>
            </w:pPr>
            <w:r>
              <w:rPr>
                <w:spacing w:val="-2"/>
                <w:sz w:val="16"/>
              </w:rPr>
              <w:t>1973–1992</w:t>
            </w:r>
          </w:p>
        </w:tc>
        <w:tc>
          <w:tcPr>
            <w:tcW w:w="1928" w:type="dxa"/>
            <w:gridSpan w:val="2"/>
            <w:tcBorders>
              <w:top w:val="nil"/>
              <w:bottom w:val="single" w:sz="2" w:space="0" w:color="7F859B"/>
            </w:tcBorders>
          </w:tcPr>
          <w:p w14:paraId="2E419999" w14:textId="77777777" w:rsidR="00DA050A" w:rsidRDefault="00DA050A" w:rsidP="00D364B8">
            <w:pPr>
              <w:pStyle w:val="TableParagraph"/>
              <w:keepNext/>
              <w:keepLines/>
              <w:spacing w:before="31"/>
              <w:ind w:left="451"/>
              <w:rPr>
                <w:sz w:val="16"/>
              </w:rPr>
            </w:pPr>
            <w:r>
              <w:rPr>
                <w:spacing w:val="-2"/>
                <w:sz w:val="16"/>
              </w:rPr>
              <w:t>1993–present</w:t>
            </w:r>
          </w:p>
        </w:tc>
        <w:tc>
          <w:tcPr>
            <w:tcW w:w="1928" w:type="dxa"/>
            <w:gridSpan w:val="2"/>
            <w:tcBorders>
              <w:top w:val="nil"/>
              <w:bottom w:val="single" w:sz="2" w:space="0" w:color="7F859B"/>
              <w:right w:val="nil"/>
            </w:tcBorders>
          </w:tcPr>
          <w:p w14:paraId="25AE3FCD" w14:textId="77777777" w:rsidR="00DA050A" w:rsidRDefault="00DA050A" w:rsidP="00D364B8">
            <w:pPr>
              <w:pStyle w:val="TableParagraph"/>
              <w:keepNext/>
              <w:keepLines/>
              <w:spacing w:before="31"/>
              <w:ind w:left="632" w:right="632"/>
              <w:jc w:val="center"/>
              <w:rPr>
                <w:sz w:val="16"/>
              </w:rPr>
            </w:pPr>
            <w:r>
              <w:rPr>
                <w:spacing w:val="-2"/>
                <w:sz w:val="16"/>
              </w:rPr>
              <w:t>2016–19</w:t>
            </w:r>
          </w:p>
        </w:tc>
      </w:tr>
      <w:tr w:rsidR="00DA050A" w14:paraId="3124DB11" w14:textId="77777777" w:rsidTr="00F22AE5">
        <w:trPr>
          <w:trHeight w:val="874"/>
        </w:trPr>
        <w:tc>
          <w:tcPr>
            <w:tcW w:w="2285" w:type="dxa"/>
            <w:tcBorders>
              <w:top w:val="nil"/>
              <w:left w:val="nil"/>
              <w:bottom w:val="single" w:sz="2" w:space="0" w:color="7F859B"/>
            </w:tcBorders>
          </w:tcPr>
          <w:p w14:paraId="2978D770" w14:textId="77777777" w:rsidR="00DA050A" w:rsidRPr="00DA050A" w:rsidRDefault="00DA050A" w:rsidP="00D364B8">
            <w:pPr>
              <w:pStyle w:val="TableParagraph"/>
              <w:keepNext/>
              <w:keepLines/>
              <w:rPr>
                <w:rFonts w:ascii="Calibri Light" w:hAnsi="Calibri Light" w:cs="Calibri Light"/>
                <w:b/>
              </w:rPr>
            </w:pPr>
          </w:p>
          <w:p w14:paraId="1BEDBC41" w14:textId="77777777" w:rsidR="00DA050A" w:rsidRPr="00DA050A" w:rsidRDefault="00DA050A" w:rsidP="00D364B8">
            <w:pPr>
              <w:pStyle w:val="TableParagraph"/>
              <w:keepNext/>
              <w:keepLines/>
              <w:spacing w:before="12"/>
              <w:rPr>
                <w:rFonts w:ascii="Calibri Light" w:hAnsi="Calibri Light" w:cs="Calibri Light"/>
                <w:b/>
                <w:sz w:val="23"/>
              </w:rPr>
            </w:pPr>
          </w:p>
          <w:p w14:paraId="0A5BD7EB" w14:textId="77777777" w:rsidR="00DA050A" w:rsidRPr="00DA050A" w:rsidRDefault="00DA050A" w:rsidP="00D364B8">
            <w:pPr>
              <w:pStyle w:val="TableParagraph"/>
              <w:keepNext/>
              <w:keepLines/>
              <w:spacing w:before="1"/>
              <w:ind w:left="103"/>
              <w:rPr>
                <w:rFonts w:ascii="Calibri Light" w:hAnsi="Calibri Light" w:cs="Calibri Light"/>
                <w:sz w:val="16"/>
              </w:rPr>
            </w:pPr>
            <w:r w:rsidRPr="00DA050A">
              <w:rPr>
                <w:rFonts w:ascii="Calibri Light" w:hAnsi="Calibri Light" w:cs="Calibri Light"/>
                <w:sz w:val="16"/>
              </w:rPr>
              <w:t>CPI</w:t>
            </w:r>
            <w:r w:rsidRPr="00DA050A">
              <w:rPr>
                <w:rFonts w:ascii="Calibri Light" w:hAnsi="Calibri Light" w:cs="Calibri Light"/>
                <w:spacing w:val="-2"/>
                <w:sz w:val="16"/>
              </w:rPr>
              <w:t xml:space="preserve"> </w:t>
            </w:r>
            <w:r w:rsidRPr="00DA050A">
              <w:rPr>
                <w:rFonts w:ascii="Calibri Light" w:hAnsi="Calibri Light" w:cs="Calibri Light"/>
                <w:sz w:val="16"/>
              </w:rPr>
              <w:t>Inflation</w:t>
            </w:r>
            <w:r w:rsidRPr="00DA050A">
              <w:rPr>
                <w:rFonts w:ascii="Calibri Light" w:hAnsi="Calibri Light" w:cs="Calibri Light"/>
                <w:spacing w:val="1"/>
                <w:sz w:val="16"/>
              </w:rPr>
              <w:t xml:space="preserve"> </w:t>
            </w:r>
            <w:r w:rsidRPr="00DA050A">
              <w:rPr>
                <w:rFonts w:ascii="Calibri Light" w:hAnsi="Calibri Light" w:cs="Calibri Light"/>
                <w:spacing w:val="-2"/>
                <w:sz w:val="16"/>
              </w:rPr>
              <w:t>(tty)</w:t>
            </w:r>
          </w:p>
        </w:tc>
        <w:tc>
          <w:tcPr>
            <w:tcW w:w="964" w:type="dxa"/>
            <w:tcBorders>
              <w:top w:val="single" w:sz="2" w:space="0" w:color="7F859B"/>
              <w:bottom w:val="single" w:sz="2" w:space="0" w:color="7F859B"/>
              <w:right w:val="single" w:sz="2" w:space="0" w:color="7F859B"/>
            </w:tcBorders>
          </w:tcPr>
          <w:p w14:paraId="0076FEBC" w14:textId="77777777" w:rsidR="00DA050A" w:rsidRPr="00DA050A" w:rsidRDefault="00DA050A" w:rsidP="00D364B8">
            <w:pPr>
              <w:pStyle w:val="TableParagraph"/>
              <w:keepNext/>
              <w:keepLines/>
              <w:spacing w:before="42" w:line="220" w:lineRule="auto"/>
              <w:ind w:left="272" w:firstLine="61"/>
              <w:rPr>
                <w:rFonts w:ascii="Calibri Light" w:hAnsi="Calibri Light" w:cs="Calibri Light"/>
                <w:sz w:val="16"/>
              </w:rPr>
            </w:pPr>
            <w:r w:rsidRPr="00DA050A">
              <w:rPr>
                <w:rFonts w:ascii="Calibri Light" w:hAnsi="Calibri Light" w:cs="Calibri Light"/>
                <w:spacing w:val="-2"/>
                <w:sz w:val="16"/>
              </w:rPr>
              <w:t>Annual</w:t>
            </w:r>
            <w:r w:rsidRPr="00DA050A">
              <w:rPr>
                <w:rFonts w:ascii="Calibri Light" w:hAnsi="Calibri Light" w:cs="Calibri Light"/>
                <w:sz w:val="16"/>
              </w:rPr>
              <w:t xml:space="preserve"> </w:t>
            </w:r>
            <w:r w:rsidRPr="00DA050A">
              <w:rPr>
                <w:rFonts w:ascii="Calibri Light" w:hAnsi="Calibri Light" w:cs="Calibri Light"/>
                <w:spacing w:val="-2"/>
                <w:sz w:val="16"/>
              </w:rPr>
              <w:t>average</w:t>
            </w:r>
          </w:p>
        </w:tc>
        <w:tc>
          <w:tcPr>
            <w:tcW w:w="964" w:type="dxa"/>
            <w:tcBorders>
              <w:top w:val="single" w:sz="2" w:space="0" w:color="7F859B"/>
              <w:left w:val="single" w:sz="2" w:space="0" w:color="7F859B"/>
              <w:bottom w:val="single" w:sz="2" w:space="0" w:color="7F859B"/>
            </w:tcBorders>
          </w:tcPr>
          <w:p w14:paraId="701713CA" w14:textId="77777777" w:rsidR="00DA050A" w:rsidRPr="00DA050A" w:rsidRDefault="00DA050A" w:rsidP="00D364B8">
            <w:pPr>
              <w:pStyle w:val="TableParagraph"/>
              <w:keepNext/>
              <w:keepLines/>
              <w:spacing w:before="42" w:line="220" w:lineRule="auto"/>
              <w:ind w:left="173" w:firstLine="3"/>
              <w:rPr>
                <w:rFonts w:ascii="Calibri Light" w:hAnsi="Calibri Light" w:cs="Calibri Light"/>
                <w:sz w:val="16"/>
              </w:rPr>
            </w:pPr>
            <w:r w:rsidRPr="00DA050A">
              <w:rPr>
                <w:rFonts w:ascii="Calibri Light" w:hAnsi="Calibri Light" w:cs="Calibri Light"/>
                <w:spacing w:val="-2"/>
                <w:sz w:val="16"/>
              </w:rPr>
              <w:t>Standard</w:t>
            </w:r>
            <w:r w:rsidRPr="00DA050A">
              <w:rPr>
                <w:rFonts w:ascii="Calibri Light" w:hAnsi="Calibri Light" w:cs="Calibri Light"/>
                <w:sz w:val="16"/>
              </w:rPr>
              <w:t xml:space="preserve"> </w:t>
            </w:r>
            <w:r w:rsidRPr="00DA050A">
              <w:rPr>
                <w:rFonts w:ascii="Calibri Light" w:hAnsi="Calibri Light" w:cs="Calibri Light"/>
                <w:spacing w:val="-2"/>
                <w:sz w:val="16"/>
              </w:rPr>
              <w:t>deviation</w:t>
            </w:r>
          </w:p>
        </w:tc>
        <w:tc>
          <w:tcPr>
            <w:tcW w:w="964" w:type="dxa"/>
            <w:tcBorders>
              <w:top w:val="single" w:sz="2" w:space="0" w:color="7F859B"/>
              <w:bottom w:val="single" w:sz="2" w:space="0" w:color="7F859B"/>
              <w:right w:val="single" w:sz="2" w:space="0" w:color="7F859B"/>
            </w:tcBorders>
          </w:tcPr>
          <w:p w14:paraId="405F0DA4" w14:textId="77777777" w:rsidR="00DA050A" w:rsidRPr="00DA050A" w:rsidRDefault="00DA050A" w:rsidP="00D364B8">
            <w:pPr>
              <w:pStyle w:val="TableParagraph"/>
              <w:keepNext/>
              <w:keepLines/>
              <w:spacing w:before="42" w:line="220" w:lineRule="auto"/>
              <w:ind w:left="272" w:firstLine="61"/>
              <w:rPr>
                <w:rFonts w:ascii="Calibri Light" w:hAnsi="Calibri Light" w:cs="Calibri Light"/>
                <w:sz w:val="16"/>
              </w:rPr>
            </w:pPr>
            <w:r w:rsidRPr="00DA050A">
              <w:rPr>
                <w:rFonts w:ascii="Calibri Light" w:hAnsi="Calibri Light" w:cs="Calibri Light"/>
                <w:spacing w:val="-2"/>
                <w:sz w:val="16"/>
              </w:rPr>
              <w:t>Annual</w:t>
            </w:r>
            <w:r w:rsidRPr="00DA050A">
              <w:rPr>
                <w:rFonts w:ascii="Calibri Light" w:hAnsi="Calibri Light" w:cs="Calibri Light"/>
                <w:sz w:val="16"/>
              </w:rPr>
              <w:t xml:space="preserve"> </w:t>
            </w:r>
            <w:r w:rsidRPr="00DA050A">
              <w:rPr>
                <w:rFonts w:ascii="Calibri Light" w:hAnsi="Calibri Light" w:cs="Calibri Light"/>
                <w:spacing w:val="-2"/>
                <w:sz w:val="16"/>
              </w:rPr>
              <w:t>average</w:t>
            </w:r>
          </w:p>
        </w:tc>
        <w:tc>
          <w:tcPr>
            <w:tcW w:w="964" w:type="dxa"/>
            <w:tcBorders>
              <w:top w:val="single" w:sz="2" w:space="0" w:color="7F859B"/>
              <w:left w:val="single" w:sz="2" w:space="0" w:color="7F859B"/>
              <w:bottom w:val="single" w:sz="2" w:space="0" w:color="7F859B"/>
            </w:tcBorders>
          </w:tcPr>
          <w:p w14:paraId="199B291E" w14:textId="77777777" w:rsidR="00DA050A" w:rsidRPr="00DA050A" w:rsidRDefault="00DA050A" w:rsidP="00D364B8">
            <w:pPr>
              <w:pStyle w:val="TableParagraph"/>
              <w:keepNext/>
              <w:keepLines/>
              <w:spacing w:before="42" w:line="220" w:lineRule="auto"/>
              <w:ind w:left="173" w:firstLine="3"/>
              <w:rPr>
                <w:rFonts w:ascii="Calibri Light" w:hAnsi="Calibri Light" w:cs="Calibri Light"/>
                <w:sz w:val="16"/>
              </w:rPr>
            </w:pPr>
            <w:r w:rsidRPr="00DA050A">
              <w:rPr>
                <w:rFonts w:ascii="Calibri Light" w:hAnsi="Calibri Light" w:cs="Calibri Light"/>
                <w:spacing w:val="-2"/>
                <w:sz w:val="16"/>
              </w:rPr>
              <w:t>Standard</w:t>
            </w:r>
            <w:r w:rsidRPr="00DA050A">
              <w:rPr>
                <w:rFonts w:ascii="Calibri Light" w:hAnsi="Calibri Light" w:cs="Calibri Light"/>
                <w:sz w:val="16"/>
              </w:rPr>
              <w:t xml:space="preserve"> </w:t>
            </w:r>
            <w:r w:rsidRPr="00DA050A">
              <w:rPr>
                <w:rFonts w:ascii="Calibri Light" w:hAnsi="Calibri Light" w:cs="Calibri Light"/>
                <w:spacing w:val="-2"/>
                <w:sz w:val="16"/>
              </w:rPr>
              <w:t>deviation</w:t>
            </w:r>
          </w:p>
        </w:tc>
        <w:tc>
          <w:tcPr>
            <w:tcW w:w="964" w:type="dxa"/>
            <w:tcBorders>
              <w:top w:val="single" w:sz="2" w:space="0" w:color="7F859B"/>
              <w:bottom w:val="single" w:sz="2" w:space="0" w:color="7F859B"/>
              <w:right w:val="single" w:sz="2" w:space="0" w:color="7F859B"/>
            </w:tcBorders>
          </w:tcPr>
          <w:p w14:paraId="708523E2" w14:textId="77777777" w:rsidR="00DA050A" w:rsidRPr="00DA050A" w:rsidRDefault="00DA050A" w:rsidP="00D364B8">
            <w:pPr>
              <w:pStyle w:val="TableParagraph"/>
              <w:keepNext/>
              <w:keepLines/>
              <w:spacing w:before="42" w:line="220" w:lineRule="auto"/>
              <w:ind w:left="271" w:firstLine="61"/>
              <w:rPr>
                <w:rFonts w:ascii="Calibri Light" w:hAnsi="Calibri Light" w:cs="Calibri Light"/>
                <w:sz w:val="16"/>
              </w:rPr>
            </w:pPr>
            <w:r w:rsidRPr="00DA050A">
              <w:rPr>
                <w:rFonts w:ascii="Calibri Light" w:hAnsi="Calibri Light" w:cs="Calibri Light"/>
                <w:spacing w:val="-2"/>
                <w:sz w:val="16"/>
              </w:rPr>
              <w:t>Annual</w:t>
            </w:r>
            <w:r w:rsidRPr="00DA050A">
              <w:rPr>
                <w:rFonts w:ascii="Calibri Light" w:hAnsi="Calibri Light" w:cs="Calibri Light"/>
                <w:sz w:val="16"/>
              </w:rPr>
              <w:t xml:space="preserve"> </w:t>
            </w:r>
            <w:r w:rsidRPr="00DA050A">
              <w:rPr>
                <w:rFonts w:ascii="Calibri Light" w:hAnsi="Calibri Light" w:cs="Calibri Light"/>
                <w:spacing w:val="-2"/>
                <w:sz w:val="16"/>
              </w:rPr>
              <w:t>average</w:t>
            </w:r>
          </w:p>
        </w:tc>
        <w:tc>
          <w:tcPr>
            <w:tcW w:w="964" w:type="dxa"/>
            <w:tcBorders>
              <w:top w:val="single" w:sz="2" w:space="0" w:color="7F859B"/>
              <w:left w:val="single" w:sz="2" w:space="0" w:color="7F859B"/>
              <w:bottom w:val="single" w:sz="2" w:space="0" w:color="7F859B"/>
              <w:right w:val="nil"/>
            </w:tcBorders>
          </w:tcPr>
          <w:p w14:paraId="3EBE99F3" w14:textId="77777777" w:rsidR="00DA050A" w:rsidRPr="00DA050A" w:rsidRDefault="00DA050A" w:rsidP="00D364B8">
            <w:pPr>
              <w:pStyle w:val="TableParagraph"/>
              <w:keepNext/>
              <w:keepLines/>
              <w:spacing w:before="42" w:line="220" w:lineRule="auto"/>
              <w:ind w:left="180" w:firstLine="3"/>
              <w:rPr>
                <w:rFonts w:ascii="Calibri Light" w:hAnsi="Calibri Light" w:cs="Calibri Light"/>
                <w:sz w:val="16"/>
              </w:rPr>
            </w:pPr>
            <w:r w:rsidRPr="00DA050A">
              <w:rPr>
                <w:rFonts w:ascii="Calibri Light" w:hAnsi="Calibri Light" w:cs="Calibri Light"/>
                <w:spacing w:val="-2"/>
                <w:sz w:val="16"/>
              </w:rPr>
              <w:t>Standard</w:t>
            </w:r>
            <w:r w:rsidRPr="00DA050A">
              <w:rPr>
                <w:rFonts w:ascii="Calibri Light" w:hAnsi="Calibri Light" w:cs="Calibri Light"/>
                <w:sz w:val="16"/>
              </w:rPr>
              <w:t xml:space="preserve"> </w:t>
            </w:r>
            <w:r w:rsidRPr="00DA050A">
              <w:rPr>
                <w:rFonts w:ascii="Calibri Light" w:hAnsi="Calibri Light" w:cs="Calibri Light"/>
                <w:spacing w:val="-2"/>
                <w:sz w:val="16"/>
              </w:rPr>
              <w:t>deviation</w:t>
            </w:r>
          </w:p>
        </w:tc>
      </w:tr>
      <w:tr w:rsidR="00DA050A" w14:paraId="4CAC39F1" w14:textId="77777777" w:rsidTr="00F22AE5">
        <w:trPr>
          <w:trHeight w:val="277"/>
        </w:trPr>
        <w:tc>
          <w:tcPr>
            <w:tcW w:w="2285" w:type="dxa"/>
            <w:tcBorders>
              <w:top w:val="single" w:sz="2" w:space="0" w:color="7F859B"/>
              <w:left w:val="nil"/>
              <w:bottom w:val="single" w:sz="2" w:space="0" w:color="7F859B"/>
            </w:tcBorders>
          </w:tcPr>
          <w:p w14:paraId="6DF4E235" w14:textId="77777777" w:rsidR="00DA050A" w:rsidRPr="00DA050A" w:rsidRDefault="00DA050A" w:rsidP="00D364B8">
            <w:pPr>
              <w:pStyle w:val="TableParagraph"/>
              <w:keepNext/>
              <w:keepLines/>
              <w:spacing w:before="29"/>
              <w:ind w:left="216"/>
              <w:rPr>
                <w:rFonts w:ascii="Calibri Light" w:hAnsi="Calibri Light" w:cs="Calibri Light"/>
                <w:sz w:val="16"/>
              </w:rPr>
            </w:pPr>
            <w:r w:rsidRPr="00DA050A">
              <w:rPr>
                <w:rFonts w:ascii="Calibri Light" w:hAnsi="Calibri Light" w:cs="Calibri Light"/>
                <w:spacing w:val="-2"/>
                <w:sz w:val="16"/>
              </w:rPr>
              <w:t>Headline</w:t>
            </w:r>
          </w:p>
        </w:tc>
        <w:tc>
          <w:tcPr>
            <w:tcW w:w="964" w:type="dxa"/>
            <w:tcBorders>
              <w:top w:val="single" w:sz="2" w:space="0" w:color="7F859B"/>
              <w:bottom w:val="single" w:sz="2" w:space="0" w:color="7F859B"/>
              <w:right w:val="single" w:sz="2" w:space="0" w:color="7F859B"/>
            </w:tcBorders>
          </w:tcPr>
          <w:p w14:paraId="6696EC95" w14:textId="77777777" w:rsidR="00DA050A" w:rsidRPr="00DA050A" w:rsidRDefault="00DA050A" w:rsidP="00D364B8">
            <w:pPr>
              <w:pStyle w:val="TableParagraph"/>
              <w:keepNext/>
              <w:keepLines/>
              <w:spacing w:before="29"/>
              <w:ind w:right="104"/>
              <w:jc w:val="right"/>
              <w:rPr>
                <w:rFonts w:ascii="Calibri Light" w:hAnsi="Calibri Light" w:cs="Calibri Light"/>
                <w:sz w:val="16"/>
              </w:rPr>
            </w:pPr>
            <w:r w:rsidRPr="00DA050A">
              <w:rPr>
                <w:rFonts w:ascii="Calibri Light" w:hAnsi="Calibri Light" w:cs="Calibri Light"/>
                <w:spacing w:val="-5"/>
                <w:sz w:val="16"/>
              </w:rPr>
              <w:t>8.9</w:t>
            </w:r>
          </w:p>
        </w:tc>
        <w:tc>
          <w:tcPr>
            <w:tcW w:w="964" w:type="dxa"/>
            <w:tcBorders>
              <w:top w:val="single" w:sz="2" w:space="0" w:color="7F859B"/>
              <w:left w:val="single" w:sz="2" w:space="0" w:color="7F859B"/>
              <w:bottom w:val="single" w:sz="2" w:space="0" w:color="7F859B"/>
            </w:tcBorders>
          </w:tcPr>
          <w:p w14:paraId="46FF0E88"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1.2</w:t>
            </w:r>
          </w:p>
        </w:tc>
        <w:tc>
          <w:tcPr>
            <w:tcW w:w="964" w:type="dxa"/>
            <w:tcBorders>
              <w:top w:val="single" w:sz="2" w:space="0" w:color="7F859B"/>
              <w:bottom w:val="single" w:sz="2" w:space="0" w:color="7F859B"/>
              <w:right w:val="single" w:sz="2" w:space="0" w:color="7F859B"/>
            </w:tcBorders>
          </w:tcPr>
          <w:p w14:paraId="41DD61A8"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2.5</w:t>
            </w:r>
          </w:p>
        </w:tc>
        <w:tc>
          <w:tcPr>
            <w:tcW w:w="964" w:type="dxa"/>
            <w:tcBorders>
              <w:top w:val="single" w:sz="2" w:space="0" w:color="7F859B"/>
              <w:left w:val="single" w:sz="2" w:space="0" w:color="7F859B"/>
              <w:bottom w:val="single" w:sz="2" w:space="0" w:color="7F859B"/>
            </w:tcBorders>
          </w:tcPr>
          <w:p w14:paraId="64F8333C"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0.5</w:t>
            </w:r>
          </w:p>
        </w:tc>
        <w:tc>
          <w:tcPr>
            <w:tcW w:w="964" w:type="dxa"/>
            <w:tcBorders>
              <w:top w:val="single" w:sz="2" w:space="0" w:color="7F859B"/>
              <w:bottom w:val="single" w:sz="2" w:space="0" w:color="7F859B"/>
              <w:right w:val="single" w:sz="2" w:space="0" w:color="7F859B"/>
            </w:tcBorders>
          </w:tcPr>
          <w:p w14:paraId="20D27065"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1.7</w:t>
            </w:r>
          </w:p>
        </w:tc>
        <w:tc>
          <w:tcPr>
            <w:tcW w:w="964" w:type="dxa"/>
            <w:tcBorders>
              <w:top w:val="single" w:sz="2" w:space="0" w:color="7F859B"/>
              <w:left w:val="single" w:sz="2" w:space="0" w:color="7F859B"/>
              <w:bottom w:val="single" w:sz="2" w:space="0" w:color="7F859B"/>
              <w:right w:val="nil"/>
            </w:tcBorders>
          </w:tcPr>
          <w:p w14:paraId="442EA63D" w14:textId="77777777" w:rsidR="00DA050A" w:rsidRPr="00DA050A" w:rsidRDefault="00DA050A" w:rsidP="00D364B8">
            <w:pPr>
              <w:pStyle w:val="TableParagraph"/>
              <w:keepNext/>
              <w:keepLines/>
              <w:spacing w:before="29"/>
              <w:ind w:right="110"/>
              <w:jc w:val="right"/>
              <w:rPr>
                <w:rFonts w:ascii="Calibri Light" w:hAnsi="Calibri Light" w:cs="Calibri Light"/>
                <w:sz w:val="16"/>
              </w:rPr>
            </w:pPr>
            <w:r w:rsidRPr="00DA050A">
              <w:rPr>
                <w:rFonts w:ascii="Calibri Light" w:hAnsi="Calibri Light" w:cs="Calibri Light"/>
                <w:spacing w:val="-5"/>
                <w:sz w:val="16"/>
              </w:rPr>
              <w:t>0.2</w:t>
            </w:r>
          </w:p>
        </w:tc>
      </w:tr>
      <w:tr w:rsidR="00DA050A" w14:paraId="09AADB8F" w14:textId="77777777" w:rsidTr="00F22AE5">
        <w:trPr>
          <w:trHeight w:val="277"/>
        </w:trPr>
        <w:tc>
          <w:tcPr>
            <w:tcW w:w="2285" w:type="dxa"/>
            <w:tcBorders>
              <w:top w:val="single" w:sz="2" w:space="0" w:color="7F859B"/>
              <w:left w:val="nil"/>
              <w:bottom w:val="single" w:sz="2" w:space="0" w:color="7F859B"/>
            </w:tcBorders>
          </w:tcPr>
          <w:p w14:paraId="0637ACD8" w14:textId="77777777" w:rsidR="00DA050A" w:rsidRPr="00DA050A" w:rsidRDefault="00DA050A" w:rsidP="00D364B8">
            <w:pPr>
              <w:pStyle w:val="TableParagraph"/>
              <w:keepNext/>
              <w:keepLines/>
              <w:spacing w:before="29"/>
              <w:ind w:left="216"/>
              <w:rPr>
                <w:rFonts w:ascii="Calibri Light" w:hAnsi="Calibri Light" w:cs="Calibri Light"/>
                <w:sz w:val="16"/>
              </w:rPr>
            </w:pPr>
            <w:r w:rsidRPr="00DA050A">
              <w:rPr>
                <w:rFonts w:ascii="Calibri Light" w:hAnsi="Calibri Light" w:cs="Calibri Light"/>
                <w:sz w:val="16"/>
              </w:rPr>
              <w:t>Trimmed</w:t>
            </w:r>
            <w:r w:rsidRPr="00DA050A">
              <w:rPr>
                <w:rFonts w:ascii="Calibri Light" w:hAnsi="Calibri Light" w:cs="Calibri Light"/>
                <w:spacing w:val="-12"/>
                <w:sz w:val="16"/>
              </w:rPr>
              <w:t xml:space="preserve"> </w:t>
            </w:r>
            <w:r w:rsidRPr="00DA050A">
              <w:rPr>
                <w:rFonts w:ascii="Calibri Light" w:hAnsi="Calibri Light" w:cs="Calibri Light"/>
                <w:spacing w:val="-4"/>
                <w:sz w:val="16"/>
              </w:rPr>
              <w:t>mean</w:t>
            </w:r>
          </w:p>
        </w:tc>
        <w:tc>
          <w:tcPr>
            <w:tcW w:w="964" w:type="dxa"/>
            <w:tcBorders>
              <w:top w:val="single" w:sz="2" w:space="0" w:color="7F859B"/>
              <w:bottom w:val="single" w:sz="2" w:space="0" w:color="7F859B"/>
              <w:right w:val="single" w:sz="2" w:space="0" w:color="7F859B"/>
            </w:tcBorders>
          </w:tcPr>
          <w:p w14:paraId="20EE893A"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3.6</w:t>
            </w:r>
          </w:p>
        </w:tc>
        <w:tc>
          <w:tcPr>
            <w:tcW w:w="964" w:type="dxa"/>
            <w:tcBorders>
              <w:top w:val="single" w:sz="2" w:space="0" w:color="7F859B"/>
              <w:left w:val="single" w:sz="2" w:space="0" w:color="7F859B"/>
              <w:bottom w:val="single" w:sz="2" w:space="0" w:color="7F859B"/>
            </w:tcBorders>
          </w:tcPr>
          <w:p w14:paraId="7A1336BB"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0.5</w:t>
            </w:r>
          </w:p>
        </w:tc>
        <w:tc>
          <w:tcPr>
            <w:tcW w:w="964" w:type="dxa"/>
            <w:tcBorders>
              <w:top w:val="single" w:sz="2" w:space="0" w:color="7F859B"/>
              <w:bottom w:val="single" w:sz="2" w:space="0" w:color="7F859B"/>
              <w:right w:val="single" w:sz="2" w:space="0" w:color="7F859B"/>
            </w:tcBorders>
          </w:tcPr>
          <w:p w14:paraId="4E279AC5"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2.5</w:t>
            </w:r>
          </w:p>
        </w:tc>
        <w:tc>
          <w:tcPr>
            <w:tcW w:w="964" w:type="dxa"/>
            <w:tcBorders>
              <w:top w:val="single" w:sz="2" w:space="0" w:color="7F859B"/>
              <w:left w:val="single" w:sz="2" w:space="0" w:color="7F859B"/>
              <w:bottom w:val="single" w:sz="2" w:space="0" w:color="7F859B"/>
            </w:tcBorders>
          </w:tcPr>
          <w:p w14:paraId="606954B3"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0.3</w:t>
            </w:r>
          </w:p>
        </w:tc>
        <w:tc>
          <w:tcPr>
            <w:tcW w:w="964" w:type="dxa"/>
            <w:tcBorders>
              <w:top w:val="single" w:sz="2" w:space="0" w:color="7F859B"/>
              <w:bottom w:val="single" w:sz="2" w:space="0" w:color="7F859B"/>
              <w:right w:val="single" w:sz="2" w:space="0" w:color="7F859B"/>
            </w:tcBorders>
          </w:tcPr>
          <w:p w14:paraId="43E34EC3"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1.6</w:t>
            </w:r>
          </w:p>
        </w:tc>
        <w:tc>
          <w:tcPr>
            <w:tcW w:w="964" w:type="dxa"/>
            <w:tcBorders>
              <w:top w:val="single" w:sz="2" w:space="0" w:color="7F859B"/>
              <w:left w:val="single" w:sz="2" w:space="0" w:color="7F859B"/>
              <w:bottom w:val="single" w:sz="2" w:space="0" w:color="7F859B"/>
              <w:right w:val="nil"/>
            </w:tcBorders>
          </w:tcPr>
          <w:p w14:paraId="025172B9" w14:textId="77777777" w:rsidR="00DA050A" w:rsidRPr="00DA050A" w:rsidRDefault="00DA050A" w:rsidP="00D364B8">
            <w:pPr>
              <w:pStyle w:val="TableParagraph"/>
              <w:keepNext/>
              <w:keepLines/>
              <w:spacing w:before="29"/>
              <w:ind w:right="110"/>
              <w:jc w:val="right"/>
              <w:rPr>
                <w:rFonts w:ascii="Calibri Light" w:hAnsi="Calibri Light" w:cs="Calibri Light"/>
                <w:sz w:val="16"/>
              </w:rPr>
            </w:pPr>
            <w:r w:rsidRPr="00DA050A">
              <w:rPr>
                <w:rFonts w:ascii="Calibri Light" w:hAnsi="Calibri Light" w:cs="Calibri Light"/>
                <w:spacing w:val="-5"/>
                <w:sz w:val="16"/>
              </w:rPr>
              <w:t>0.1</w:t>
            </w:r>
          </w:p>
        </w:tc>
      </w:tr>
      <w:tr w:rsidR="00DA050A" w14:paraId="42D24A4C" w14:textId="77777777" w:rsidTr="00F22AE5">
        <w:trPr>
          <w:trHeight w:val="277"/>
        </w:trPr>
        <w:tc>
          <w:tcPr>
            <w:tcW w:w="2285" w:type="dxa"/>
            <w:tcBorders>
              <w:top w:val="single" w:sz="2" w:space="0" w:color="7F859B"/>
              <w:left w:val="nil"/>
              <w:bottom w:val="single" w:sz="2" w:space="0" w:color="7F859B"/>
            </w:tcBorders>
          </w:tcPr>
          <w:p w14:paraId="7AB5A0D7" w14:textId="77777777" w:rsidR="00DA050A" w:rsidRPr="00DA050A" w:rsidRDefault="00DA050A" w:rsidP="00D364B8">
            <w:pPr>
              <w:pStyle w:val="TableParagraph"/>
              <w:keepNext/>
              <w:keepLines/>
              <w:spacing w:before="29"/>
              <w:ind w:left="103"/>
              <w:rPr>
                <w:rFonts w:ascii="Calibri Light" w:hAnsi="Calibri Light" w:cs="Calibri Light"/>
                <w:sz w:val="16"/>
              </w:rPr>
            </w:pPr>
            <w:r w:rsidRPr="00DA050A">
              <w:rPr>
                <w:rFonts w:ascii="Calibri Light" w:hAnsi="Calibri Light" w:cs="Calibri Light"/>
                <w:sz w:val="16"/>
              </w:rPr>
              <w:t>Unemployment</w:t>
            </w:r>
            <w:r w:rsidRPr="00DA050A">
              <w:rPr>
                <w:rFonts w:ascii="Calibri Light" w:hAnsi="Calibri Light" w:cs="Calibri Light"/>
                <w:spacing w:val="3"/>
                <w:sz w:val="16"/>
              </w:rPr>
              <w:t xml:space="preserve"> </w:t>
            </w:r>
            <w:r w:rsidRPr="00DA050A">
              <w:rPr>
                <w:rFonts w:ascii="Calibri Light" w:hAnsi="Calibri Light" w:cs="Calibri Light"/>
                <w:spacing w:val="-4"/>
                <w:sz w:val="16"/>
              </w:rPr>
              <w:t>rate</w:t>
            </w:r>
          </w:p>
        </w:tc>
        <w:tc>
          <w:tcPr>
            <w:tcW w:w="964" w:type="dxa"/>
            <w:tcBorders>
              <w:top w:val="single" w:sz="2" w:space="0" w:color="7F859B"/>
              <w:bottom w:val="single" w:sz="2" w:space="0" w:color="7F859B"/>
              <w:right w:val="single" w:sz="2" w:space="0" w:color="7F859B"/>
            </w:tcBorders>
          </w:tcPr>
          <w:p w14:paraId="24E8492A" w14:textId="77777777" w:rsidR="00DA050A" w:rsidRPr="00DA050A" w:rsidRDefault="00DA050A" w:rsidP="00D364B8">
            <w:pPr>
              <w:pStyle w:val="TableParagraph"/>
              <w:keepNext/>
              <w:keepLines/>
              <w:spacing w:before="29"/>
              <w:ind w:right="101"/>
              <w:jc w:val="right"/>
              <w:rPr>
                <w:rFonts w:ascii="Calibri Light" w:hAnsi="Calibri Light" w:cs="Calibri Light"/>
                <w:sz w:val="16"/>
              </w:rPr>
            </w:pPr>
            <w:r w:rsidRPr="00DA050A">
              <w:rPr>
                <w:rFonts w:ascii="Calibri Light" w:hAnsi="Calibri Light" w:cs="Calibri Light"/>
                <w:spacing w:val="-5"/>
                <w:sz w:val="16"/>
              </w:rPr>
              <w:t>6.8</w:t>
            </w:r>
          </w:p>
        </w:tc>
        <w:tc>
          <w:tcPr>
            <w:tcW w:w="964" w:type="dxa"/>
            <w:tcBorders>
              <w:top w:val="single" w:sz="2" w:space="0" w:color="7F859B"/>
              <w:left w:val="single" w:sz="2" w:space="0" w:color="7F859B"/>
              <w:bottom w:val="single" w:sz="2" w:space="0" w:color="7F859B"/>
            </w:tcBorders>
          </w:tcPr>
          <w:p w14:paraId="7E4B9E8E"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2.2</w:t>
            </w:r>
          </w:p>
        </w:tc>
        <w:tc>
          <w:tcPr>
            <w:tcW w:w="964" w:type="dxa"/>
            <w:tcBorders>
              <w:top w:val="single" w:sz="2" w:space="0" w:color="7F859B"/>
              <w:bottom w:val="single" w:sz="2" w:space="0" w:color="7F859B"/>
              <w:right w:val="single" w:sz="2" w:space="0" w:color="7F859B"/>
            </w:tcBorders>
          </w:tcPr>
          <w:p w14:paraId="360EA6AC"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6.2</w:t>
            </w:r>
          </w:p>
        </w:tc>
        <w:tc>
          <w:tcPr>
            <w:tcW w:w="964" w:type="dxa"/>
            <w:tcBorders>
              <w:top w:val="single" w:sz="2" w:space="0" w:color="7F859B"/>
              <w:left w:val="single" w:sz="2" w:space="0" w:color="7F859B"/>
              <w:bottom w:val="single" w:sz="2" w:space="0" w:color="7F859B"/>
            </w:tcBorders>
          </w:tcPr>
          <w:p w14:paraId="6B1CDC57"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1.6</w:t>
            </w:r>
          </w:p>
        </w:tc>
        <w:tc>
          <w:tcPr>
            <w:tcW w:w="964" w:type="dxa"/>
            <w:tcBorders>
              <w:top w:val="single" w:sz="2" w:space="0" w:color="7F859B"/>
              <w:bottom w:val="single" w:sz="2" w:space="0" w:color="7F859B"/>
              <w:right w:val="single" w:sz="2" w:space="0" w:color="7F859B"/>
            </w:tcBorders>
          </w:tcPr>
          <w:p w14:paraId="4D3DD6DD"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5.4</w:t>
            </w:r>
          </w:p>
        </w:tc>
        <w:tc>
          <w:tcPr>
            <w:tcW w:w="964" w:type="dxa"/>
            <w:tcBorders>
              <w:top w:val="single" w:sz="2" w:space="0" w:color="7F859B"/>
              <w:left w:val="single" w:sz="2" w:space="0" w:color="7F859B"/>
              <w:bottom w:val="single" w:sz="2" w:space="0" w:color="7F859B"/>
              <w:right w:val="nil"/>
            </w:tcBorders>
          </w:tcPr>
          <w:p w14:paraId="5868AD6E" w14:textId="77777777" w:rsidR="00DA050A" w:rsidRPr="00DA050A" w:rsidRDefault="00DA050A" w:rsidP="00D364B8">
            <w:pPr>
              <w:pStyle w:val="TableParagraph"/>
              <w:keepNext/>
              <w:keepLines/>
              <w:spacing w:before="29"/>
              <w:ind w:right="110"/>
              <w:jc w:val="right"/>
              <w:rPr>
                <w:rFonts w:ascii="Calibri Light" w:hAnsi="Calibri Light" w:cs="Calibri Light"/>
                <w:sz w:val="16"/>
              </w:rPr>
            </w:pPr>
            <w:r w:rsidRPr="00DA050A">
              <w:rPr>
                <w:rFonts w:ascii="Calibri Light" w:hAnsi="Calibri Light" w:cs="Calibri Light"/>
                <w:spacing w:val="-5"/>
                <w:sz w:val="16"/>
              </w:rPr>
              <w:t>0.3</w:t>
            </w:r>
          </w:p>
        </w:tc>
      </w:tr>
      <w:tr w:rsidR="00DA050A" w14:paraId="57CA7285" w14:textId="77777777" w:rsidTr="00F22AE5">
        <w:trPr>
          <w:trHeight w:val="279"/>
        </w:trPr>
        <w:tc>
          <w:tcPr>
            <w:tcW w:w="2285" w:type="dxa"/>
            <w:tcBorders>
              <w:top w:val="single" w:sz="2" w:space="0" w:color="7F859B"/>
              <w:left w:val="nil"/>
              <w:bottom w:val="nil"/>
            </w:tcBorders>
          </w:tcPr>
          <w:p w14:paraId="187930AF" w14:textId="77777777" w:rsidR="00DA050A" w:rsidRPr="00DA050A" w:rsidRDefault="00DA050A" w:rsidP="00D364B8">
            <w:pPr>
              <w:pStyle w:val="TableParagraph"/>
              <w:keepNext/>
              <w:keepLines/>
              <w:spacing w:before="29"/>
              <w:ind w:left="103"/>
              <w:rPr>
                <w:rFonts w:ascii="Calibri Light" w:hAnsi="Calibri Light" w:cs="Calibri Light"/>
                <w:sz w:val="16"/>
              </w:rPr>
            </w:pPr>
            <w:r w:rsidRPr="00DA050A">
              <w:rPr>
                <w:rFonts w:ascii="Calibri Light" w:hAnsi="Calibri Light" w:cs="Calibri Light"/>
                <w:sz w:val="16"/>
              </w:rPr>
              <w:t>Real</w:t>
            </w:r>
            <w:r w:rsidRPr="00DA050A">
              <w:rPr>
                <w:rFonts w:ascii="Calibri Light" w:hAnsi="Calibri Light" w:cs="Calibri Light"/>
                <w:spacing w:val="-3"/>
                <w:sz w:val="16"/>
              </w:rPr>
              <w:t xml:space="preserve"> </w:t>
            </w:r>
            <w:r w:rsidRPr="00DA050A">
              <w:rPr>
                <w:rFonts w:ascii="Calibri Light" w:hAnsi="Calibri Light" w:cs="Calibri Light"/>
                <w:sz w:val="16"/>
              </w:rPr>
              <w:t>GDP</w:t>
            </w:r>
            <w:r w:rsidRPr="00DA050A">
              <w:rPr>
                <w:rFonts w:ascii="Calibri Light" w:hAnsi="Calibri Light" w:cs="Calibri Light"/>
                <w:spacing w:val="-1"/>
                <w:sz w:val="16"/>
              </w:rPr>
              <w:t xml:space="preserve"> </w:t>
            </w:r>
            <w:r w:rsidRPr="00DA050A">
              <w:rPr>
                <w:rFonts w:ascii="Calibri Light" w:hAnsi="Calibri Light" w:cs="Calibri Light"/>
                <w:sz w:val="16"/>
              </w:rPr>
              <w:t xml:space="preserve">growth </w:t>
            </w:r>
            <w:r w:rsidRPr="00DA050A">
              <w:rPr>
                <w:rFonts w:ascii="Calibri Light" w:hAnsi="Calibri Light" w:cs="Calibri Light"/>
                <w:spacing w:val="-2"/>
                <w:sz w:val="16"/>
              </w:rPr>
              <w:t>(tty)</w:t>
            </w:r>
          </w:p>
        </w:tc>
        <w:tc>
          <w:tcPr>
            <w:tcW w:w="964" w:type="dxa"/>
            <w:tcBorders>
              <w:top w:val="single" w:sz="2" w:space="0" w:color="7F859B"/>
              <w:bottom w:val="nil"/>
              <w:right w:val="single" w:sz="2" w:space="0" w:color="7F859B"/>
            </w:tcBorders>
          </w:tcPr>
          <w:p w14:paraId="7C4D72B3" w14:textId="77777777" w:rsidR="00DA050A" w:rsidRPr="00DA050A" w:rsidRDefault="00DA050A" w:rsidP="00D364B8">
            <w:pPr>
              <w:pStyle w:val="TableParagraph"/>
              <w:keepNext/>
              <w:keepLines/>
              <w:spacing w:before="29"/>
              <w:ind w:right="104"/>
              <w:jc w:val="right"/>
              <w:rPr>
                <w:rFonts w:ascii="Calibri Light" w:hAnsi="Calibri Light" w:cs="Calibri Light"/>
                <w:sz w:val="16"/>
              </w:rPr>
            </w:pPr>
            <w:r w:rsidRPr="00DA050A">
              <w:rPr>
                <w:rFonts w:ascii="Calibri Light" w:hAnsi="Calibri Light" w:cs="Calibri Light"/>
                <w:spacing w:val="-5"/>
                <w:sz w:val="16"/>
              </w:rPr>
              <w:t>2.9</w:t>
            </w:r>
          </w:p>
        </w:tc>
        <w:tc>
          <w:tcPr>
            <w:tcW w:w="964" w:type="dxa"/>
            <w:tcBorders>
              <w:top w:val="single" w:sz="2" w:space="0" w:color="7F859B"/>
              <w:left w:val="single" w:sz="2" w:space="0" w:color="7F859B"/>
              <w:bottom w:val="nil"/>
            </w:tcBorders>
          </w:tcPr>
          <w:p w14:paraId="42364805"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1.2</w:t>
            </w:r>
          </w:p>
        </w:tc>
        <w:tc>
          <w:tcPr>
            <w:tcW w:w="964" w:type="dxa"/>
            <w:tcBorders>
              <w:top w:val="single" w:sz="2" w:space="0" w:color="7F859B"/>
              <w:bottom w:val="nil"/>
              <w:right w:val="single" w:sz="2" w:space="0" w:color="7F859B"/>
            </w:tcBorders>
          </w:tcPr>
          <w:p w14:paraId="3775BF8F"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3.1</w:t>
            </w:r>
          </w:p>
        </w:tc>
        <w:tc>
          <w:tcPr>
            <w:tcW w:w="964" w:type="dxa"/>
            <w:tcBorders>
              <w:top w:val="single" w:sz="2" w:space="0" w:color="7F859B"/>
              <w:left w:val="single" w:sz="2" w:space="0" w:color="7F859B"/>
              <w:bottom w:val="nil"/>
            </w:tcBorders>
          </w:tcPr>
          <w:p w14:paraId="3B429F53"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1.0</w:t>
            </w:r>
          </w:p>
        </w:tc>
        <w:tc>
          <w:tcPr>
            <w:tcW w:w="964" w:type="dxa"/>
            <w:tcBorders>
              <w:top w:val="single" w:sz="2" w:space="0" w:color="7F859B"/>
              <w:bottom w:val="nil"/>
              <w:right w:val="single" w:sz="2" w:space="0" w:color="7F859B"/>
            </w:tcBorders>
          </w:tcPr>
          <w:p w14:paraId="05E70CD8" w14:textId="77777777" w:rsidR="00DA050A" w:rsidRPr="00DA050A" w:rsidRDefault="00DA050A" w:rsidP="00D364B8">
            <w:pPr>
              <w:pStyle w:val="TableParagraph"/>
              <w:keepNext/>
              <w:keepLines/>
              <w:spacing w:before="29"/>
              <w:ind w:right="102"/>
              <w:jc w:val="right"/>
              <w:rPr>
                <w:rFonts w:ascii="Calibri Light" w:hAnsi="Calibri Light" w:cs="Calibri Light"/>
                <w:sz w:val="16"/>
              </w:rPr>
            </w:pPr>
            <w:r w:rsidRPr="00DA050A">
              <w:rPr>
                <w:rFonts w:ascii="Calibri Light" w:hAnsi="Calibri Light" w:cs="Calibri Light"/>
                <w:spacing w:val="-5"/>
                <w:sz w:val="16"/>
              </w:rPr>
              <w:t>2.5</w:t>
            </w:r>
          </w:p>
        </w:tc>
        <w:tc>
          <w:tcPr>
            <w:tcW w:w="964" w:type="dxa"/>
            <w:tcBorders>
              <w:top w:val="single" w:sz="2" w:space="0" w:color="7F859B"/>
              <w:left w:val="single" w:sz="2" w:space="0" w:color="7F859B"/>
              <w:bottom w:val="nil"/>
              <w:right w:val="nil"/>
            </w:tcBorders>
          </w:tcPr>
          <w:p w14:paraId="0BE47E35" w14:textId="77777777" w:rsidR="00DA050A" w:rsidRPr="00DA050A" w:rsidRDefault="00DA050A" w:rsidP="00D364B8">
            <w:pPr>
              <w:pStyle w:val="TableParagraph"/>
              <w:keepNext/>
              <w:keepLines/>
              <w:spacing w:before="29"/>
              <w:ind w:right="110"/>
              <w:jc w:val="right"/>
              <w:rPr>
                <w:rFonts w:ascii="Calibri Light" w:hAnsi="Calibri Light" w:cs="Calibri Light"/>
                <w:sz w:val="16"/>
              </w:rPr>
            </w:pPr>
            <w:r w:rsidRPr="00DA050A">
              <w:rPr>
                <w:rFonts w:ascii="Calibri Light" w:hAnsi="Calibri Light" w:cs="Calibri Light"/>
                <w:spacing w:val="-5"/>
                <w:sz w:val="16"/>
              </w:rPr>
              <w:t>0.3</w:t>
            </w:r>
          </w:p>
        </w:tc>
      </w:tr>
    </w:tbl>
    <w:p w14:paraId="0C984C29" w14:textId="77777777" w:rsidR="00DA050A" w:rsidRPr="00D364B8" w:rsidRDefault="00DA050A" w:rsidP="009D6DE6">
      <w:pPr>
        <w:pStyle w:val="Note"/>
      </w:pPr>
      <w:r w:rsidRPr="00D364B8">
        <w:t>Note: Data for inflation and GDP growth are on a through the year (tty) basis. Headline inflation excludes interest charges and is adjusted for the tax changes of 1999-2000. Trimmed mean inflation data begin in February 1983. Standard deviations for inflation and GDP growth are based on quarterly changes. Standard deviations for the unemployment rate are calculated from quarter-average data.</w:t>
      </w:r>
    </w:p>
    <w:p w14:paraId="49AE6D54" w14:textId="77777777" w:rsidR="00DA050A" w:rsidRPr="00D364B8" w:rsidRDefault="00DA050A" w:rsidP="009D6DE6">
      <w:pPr>
        <w:pStyle w:val="Note"/>
      </w:pPr>
      <w:r w:rsidRPr="00D364B8">
        <w:t>Source:</w:t>
      </w:r>
      <w:r w:rsidRPr="00D364B8">
        <w:rPr>
          <w:spacing w:val="2"/>
        </w:rPr>
        <w:t xml:space="preserve"> </w:t>
      </w:r>
      <w:r w:rsidRPr="00D364B8">
        <w:t>ABS</w:t>
      </w:r>
      <w:r w:rsidRPr="00D364B8">
        <w:rPr>
          <w:spacing w:val="5"/>
        </w:rPr>
        <w:t xml:space="preserve"> </w:t>
      </w:r>
      <w:r w:rsidRPr="00D364B8">
        <w:t>Consumer</w:t>
      </w:r>
      <w:r w:rsidRPr="00D364B8">
        <w:rPr>
          <w:spacing w:val="5"/>
        </w:rPr>
        <w:t xml:space="preserve"> </w:t>
      </w:r>
      <w:r w:rsidRPr="00D364B8">
        <w:t>Price</w:t>
      </w:r>
      <w:r w:rsidRPr="00D364B8">
        <w:rPr>
          <w:spacing w:val="5"/>
        </w:rPr>
        <w:t xml:space="preserve"> </w:t>
      </w:r>
      <w:r w:rsidRPr="00D364B8">
        <w:t>Index;</w:t>
      </w:r>
      <w:r w:rsidRPr="00D364B8">
        <w:rPr>
          <w:spacing w:val="5"/>
        </w:rPr>
        <w:t xml:space="preserve"> </w:t>
      </w:r>
      <w:r w:rsidRPr="00D364B8">
        <w:t>ABS</w:t>
      </w:r>
      <w:r w:rsidRPr="00D364B8">
        <w:rPr>
          <w:spacing w:val="5"/>
        </w:rPr>
        <w:t xml:space="preserve"> </w:t>
      </w:r>
      <w:r w:rsidRPr="00D364B8">
        <w:t>Labour</w:t>
      </w:r>
      <w:r w:rsidRPr="00D364B8">
        <w:rPr>
          <w:spacing w:val="5"/>
        </w:rPr>
        <w:t xml:space="preserve"> </w:t>
      </w:r>
      <w:r w:rsidRPr="00D364B8">
        <w:t>Force</w:t>
      </w:r>
      <w:r w:rsidRPr="00D364B8">
        <w:rPr>
          <w:spacing w:val="5"/>
        </w:rPr>
        <w:t xml:space="preserve"> </w:t>
      </w:r>
      <w:r w:rsidRPr="00D364B8">
        <w:t>Survey;</w:t>
      </w:r>
      <w:r w:rsidRPr="00D364B8">
        <w:rPr>
          <w:spacing w:val="5"/>
        </w:rPr>
        <w:t xml:space="preserve"> </w:t>
      </w:r>
      <w:r w:rsidRPr="00D364B8">
        <w:t>ABS</w:t>
      </w:r>
      <w:r w:rsidRPr="00D364B8">
        <w:rPr>
          <w:spacing w:val="5"/>
        </w:rPr>
        <w:t xml:space="preserve"> </w:t>
      </w:r>
      <w:r w:rsidRPr="00D364B8">
        <w:t>National</w:t>
      </w:r>
      <w:r w:rsidRPr="00D364B8">
        <w:rPr>
          <w:spacing w:val="5"/>
        </w:rPr>
        <w:t xml:space="preserve"> </w:t>
      </w:r>
      <w:r w:rsidRPr="00D364B8">
        <w:t>Accounts;</w:t>
      </w:r>
      <w:r w:rsidRPr="00D364B8">
        <w:rPr>
          <w:spacing w:val="5"/>
        </w:rPr>
        <w:t xml:space="preserve"> </w:t>
      </w:r>
      <w:r w:rsidRPr="00D364B8">
        <w:t>RBA</w:t>
      </w:r>
      <w:r w:rsidRPr="00D364B8">
        <w:rPr>
          <w:spacing w:val="5"/>
        </w:rPr>
        <w:t xml:space="preserve"> </w:t>
      </w:r>
      <w:r w:rsidRPr="00D364B8">
        <w:t>Statistical</w:t>
      </w:r>
      <w:r w:rsidRPr="00D364B8">
        <w:rPr>
          <w:spacing w:val="5"/>
        </w:rPr>
        <w:t xml:space="preserve"> </w:t>
      </w:r>
      <w:r w:rsidRPr="00D364B8">
        <w:t>Table</w:t>
      </w:r>
      <w:r w:rsidRPr="00D364B8">
        <w:rPr>
          <w:spacing w:val="5"/>
        </w:rPr>
        <w:t xml:space="preserve"> </w:t>
      </w:r>
      <w:r w:rsidRPr="00D364B8">
        <w:rPr>
          <w:spacing w:val="-5"/>
        </w:rPr>
        <w:t>G1.</w:t>
      </w:r>
    </w:p>
    <w:p w14:paraId="60F0603F" w14:textId="5E8803FC" w:rsidR="00A817F8" w:rsidRDefault="00A817F8" w:rsidP="00A817F8">
      <w:r>
        <w:t>At the same time, real economic growth has been less variable since the introduction of inflation targeting, and this has supported an improvement in labour market outcomes. The unemployment rate declined from around 11 per cent immediately following the early 1990s recession to around 5½ per cent in the years immediately before the COVID-19 pandemic. The unemployment rate reached a low of around 3½ per cent in mid-2022 (Chart 1.2). This decline over the inflation- targeting era coincided with a decrease in the sustainable rate of unemployment, as estimated by the non-accelerating inflation rate of unemployment (NAIRU; a measure of full employment commonly used by central banks that represents the lowest rate of unemployment that can be sustained without fuelling excessive inflation).</w:t>
      </w:r>
    </w:p>
    <w:p w14:paraId="0A810E03" w14:textId="7C2DECBD" w:rsidR="00A817F8" w:rsidRDefault="00A817F8" w:rsidP="00A817F8">
      <w:r>
        <w:lastRenderedPageBreak/>
        <w:t>These outcomes were achieved despite major overseas crises buffeting the Australian economy throughout the inflation-targeting period. The RBA’s actions during some of these crises highlighted strengths in how it conducts monetary policy within the current monetary policy framework.</w:t>
      </w:r>
      <w:r w:rsidR="00BA70AB">
        <w:t xml:space="preserve"> </w:t>
      </w:r>
      <w:r>
        <w:t>For example, the RBA showed good judgement in response to the Asian Financial Crisis by not raising</w:t>
      </w:r>
      <w:r>
        <w:rPr>
          <w:spacing w:val="-1"/>
        </w:rPr>
        <w:t xml:space="preserve"> </w:t>
      </w:r>
      <w:r>
        <w:t>interest</w:t>
      </w:r>
      <w:r>
        <w:rPr>
          <w:spacing w:val="-1"/>
        </w:rPr>
        <w:t xml:space="preserve"> </w:t>
      </w:r>
      <w:r>
        <w:t>rates</w:t>
      </w:r>
      <w:r>
        <w:rPr>
          <w:spacing w:val="-1"/>
        </w:rPr>
        <w:t xml:space="preserve"> </w:t>
      </w:r>
      <w:r>
        <w:t>in</w:t>
      </w:r>
      <w:r>
        <w:rPr>
          <w:spacing w:val="-1"/>
        </w:rPr>
        <w:t xml:space="preserve"> </w:t>
      </w:r>
      <w:r>
        <w:t>response</w:t>
      </w:r>
      <w:r>
        <w:rPr>
          <w:spacing w:val="-1"/>
        </w:rPr>
        <w:t xml:space="preserve"> </w:t>
      </w:r>
      <w:r>
        <w:t>to</w:t>
      </w:r>
      <w:r>
        <w:rPr>
          <w:spacing w:val="-1"/>
        </w:rPr>
        <w:t xml:space="preserve"> </w:t>
      </w:r>
      <w:r>
        <w:t>an</w:t>
      </w:r>
      <w:r>
        <w:rPr>
          <w:spacing w:val="-1"/>
        </w:rPr>
        <w:t xml:space="preserve"> </w:t>
      </w:r>
      <w:r>
        <w:t>exchange</w:t>
      </w:r>
      <w:r>
        <w:rPr>
          <w:spacing w:val="-1"/>
        </w:rPr>
        <w:t xml:space="preserve"> </w:t>
      </w:r>
      <w:r>
        <w:t>rate</w:t>
      </w:r>
      <w:r>
        <w:rPr>
          <w:spacing w:val="-1"/>
        </w:rPr>
        <w:t xml:space="preserve"> </w:t>
      </w:r>
      <w:r>
        <w:t>depreciation.</w:t>
      </w:r>
      <w:r>
        <w:rPr>
          <w:spacing w:val="-1"/>
        </w:rPr>
        <w:t xml:space="preserve"> </w:t>
      </w:r>
      <w:r>
        <w:t>This</w:t>
      </w:r>
      <w:r>
        <w:rPr>
          <w:spacing w:val="-1"/>
        </w:rPr>
        <w:t xml:space="preserve"> </w:t>
      </w:r>
      <w:r>
        <w:t>contributed</w:t>
      </w:r>
      <w:r>
        <w:rPr>
          <w:spacing w:val="-1"/>
        </w:rPr>
        <w:t xml:space="preserve"> </w:t>
      </w:r>
      <w:r>
        <w:t>to</w:t>
      </w:r>
      <w:r>
        <w:rPr>
          <w:spacing w:val="-1"/>
        </w:rPr>
        <w:t xml:space="preserve"> </w:t>
      </w:r>
      <w:r>
        <w:t>a</w:t>
      </w:r>
      <w:r>
        <w:rPr>
          <w:spacing w:val="-1"/>
        </w:rPr>
        <w:t xml:space="preserve"> </w:t>
      </w:r>
      <w:r>
        <w:t>strong performance of the Australian economy during the episode (Bean 2000; Bell and Hindmoor 2019). During the Global Financial Crisis and COVID-19 pandemic the RBA responded quickly.</w:t>
      </w:r>
      <w:r w:rsidR="007601E8">
        <w:t xml:space="preserve"> </w:t>
      </w:r>
      <w:r>
        <w:t>It coordinated effectively with other arms of policy and introduced new tools and approaches in response to changing circumstances (IMF 2009; Senate 2009; OECD 2010; Davis 2011; Quiggin</w:t>
      </w:r>
      <w:r w:rsidR="007F12F3">
        <w:t xml:space="preserve"> </w:t>
      </w:r>
      <w:r>
        <w:t>2013;</w:t>
      </w:r>
      <w:r>
        <w:rPr>
          <w:spacing w:val="-10"/>
        </w:rPr>
        <w:t xml:space="preserve"> </w:t>
      </w:r>
      <w:r>
        <w:t>Makin</w:t>
      </w:r>
      <w:r>
        <w:rPr>
          <w:spacing w:val="-9"/>
        </w:rPr>
        <w:t xml:space="preserve"> </w:t>
      </w:r>
      <w:r>
        <w:t>2016;</w:t>
      </w:r>
      <w:r>
        <w:rPr>
          <w:spacing w:val="-10"/>
        </w:rPr>
        <w:t xml:space="preserve"> </w:t>
      </w:r>
      <w:r>
        <w:t>OECD</w:t>
      </w:r>
      <w:r>
        <w:rPr>
          <w:spacing w:val="-9"/>
        </w:rPr>
        <w:t xml:space="preserve"> </w:t>
      </w:r>
      <w:r>
        <w:t>2021;</w:t>
      </w:r>
      <w:r>
        <w:rPr>
          <w:spacing w:val="-10"/>
        </w:rPr>
        <w:t xml:space="preserve"> </w:t>
      </w:r>
      <w:r>
        <w:t>IMF</w:t>
      </w:r>
      <w:r>
        <w:rPr>
          <w:spacing w:val="-9"/>
        </w:rPr>
        <w:t xml:space="preserve"> </w:t>
      </w:r>
      <w:r>
        <w:t>2021;</w:t>
      </w:r>
      <w:r>
        <w:rPr>
          <w:spacing w:val="-10"/>
        </w:rPr>
        <w:t xml:space="preserve"> </w:t>
      </w:r>
      <w:r>
        <w:t>Gross</w:t>
      </w:r>
      <w:r>
        <w:rPr>
          <w:spacing w:val="-9"/>
        </w:rPr>
        <w:t xml:space="preserve"> </w:t>
      </w:r>
      <w:r>
        <w:t>and</w:t>
      </w:r>
      <w:r>
        <w:rPr>
          <w:spacing w:val="-10"/>
        </w:rPr>
        <w:t xml:space="preserve"> </w:t>
      </w:r>
      <w:r>
        <w:t>Leigh</w:t>
      </w:r>
      <w:r>
        <w:rPr>
          <w:spacing w:val="-9"/>
        </w:rPr>
        <w:t xml:space="preserve"> </w:t>
      </w:r>
      <w:r>
        <w:rPr>
          <w:spacing w:val="-2"/>
        </w:rPr>
        <w:t>2022).</w:t>
      </w:r>
    </w:p>
    <w:p w14:paraId="67DB411F" w14:textId="14033500" w:rsidR="00D364B8" w:rsidRDefault="00A817F8" w:rsidP="00A817F8">
      <w:r>
        <w:t>While the conduct of monetary policy in Australia can generally be seen as very good, among advanced economies Australia was not unique in experiencing low inflation and less-variable economic growth (Table 1.2). Other countries also successfully implemented inflation-targeting frameworks. Favourable structural changes, such as the integration of Asian economies into</w:t>
      </w:r>
      <w:r>
        <w:rPr>
          <w:spacing w:val="80"/>
        </w:rPr>
        <w:t xml:space="preserve"> </w:t>
      </w:r>
      <w:r>
        <w:t>global supply chains, helped to limit global inflationary pressures during much of the inflation- targeting period (BIS 2014). Growth in China and other Asian economies supported global growth and Australia was a major beneficiary of this. Domestically, a range of other government policies contributed to Australia’s economic performance. For example, Australia’s fiscal responses during recent economic crises are often cited as a primary factor contributing to Australia’s relatively</w:t>
      </w:r>
      <w:r>
        <w:rPr>
          <w:spacing w:val="40"/>
        </w:rPr>
        <w:t xml:space="preserve"> </w:t>
      </w:r>
      <w:r>
        <w:t>good economic performance during those episodes (IMF 2009; Senate 2009; OECD 2010; Quiggin 2013; IMF 2021).</w:t>
      </w:r>
    </w:p>
    <w:p w14:paraId="161D4B91" w14:textId="6C7D3080" w:rsidR="00212482" w:rsidRDefault="00212482" w:rsidP="00212482">
      <w:r>
        <w:t>The</w:t>
      </w:r>
      <w:r>
        <w:rPr>
          <w:spacing w:val="2"/>
        </w:rPr>
        <w:t xml:space="preserve"> </w:t>
      </w:r>
      <w:r>
        <w:t>positive</w:t>
      </w:r>
      <w:r>
        <w:rPr>
          <w:spacing w:val="3"/>
        </w:rPr>
        <w:t xml:space="preserve"> </w:t>
      </w:r>
      <w:r>
        <w:t>overall</w:t>
      </w:r>
      <w:r>
        <w:rPr>
          <w:spacing w:val="3"/>
        </w:rPr>
        <w:t xml:space="preserve"> </w:t>
      </w:r>
      <w:r>
        <w:t>assessment</w:t>
      </w:r>
      <w:r>
        <w:rPr>
          <w:spacing w:val="3"/>
        </w:rPr>
        <w:t xml:space="preserve"> </w:t>
      </w:r>
      <w:r>
        <w:t>of</w:t>
      </w:r>
      <w:r>
        <w:rPr>
          <w:spacing w:val="2"/>
        </w:rPr>
        <w:t xml:space="preserve"> </w:t>
      </w:r>
      <w:r>
        <w:t>the</w:t>
      </w:r>
      <w:r>
        <w:rPr>
          <w:spacing w:val="3"/>
        </w:rPr>
        <w:t xml:space="preserve"> </w:t>
      </w:r>
      <w:r>
        <w:t>RBA’s</w:t>
      </w:r>
      <w:r>
        <w:rPr>
          <w:spacing w:val="3"/>
        </w:rPr>
        <w:t xml:space="preserve"> </w:t>
      </w:r>
      <w:r>
        <w:t>performance</w:t>
      </w:r>
      <w:r>
        <w:rPr>
          <w:spacing w:val="3"/>
        </w:rPr>
        <w:t xml:space="preserve"> </w:t>
      </w:r>
      <w:r>
        <w:t>during</w:t>
      </w:r>
      <w:r>
        <w:rPr>
          <w:spacing w:val="2"/>
        </w:rPr>
        <w:t xml:space="preserve"> </w:t>
      </w:r>
      <w:r>
        <w:t>the</w:t>
      </w:r>
      <w:r>
        <w:rPr>
          <w:spacing w:val="3"/>
        </w:rPr>
        <w:t xml:space="preserve"> </w:t>
      </w:r>
      <w:r>
        <w:t>inflation-targeting</w:t>
      </w:r>
      <w:r>
        <w:rPr>
          <w:spacing w:val="3"/>
        </w:rPr>
        <w:t xml:space="preserve"> </w:t>
      </w:r>
      <w:r>
        <w:t>era</w:t>
      </w:r>
      <w:r>
        <w:rPr>
          <w:spacing w:val="3"/>
        </w:rPr>
        <w:t xml:space="preserve"> </w:t>
      </w:r>
      <w:r>
        <w:rPr>
          <w:spacing w:val="-5"/>
        </w:rPr>
        <w:t xml:space="preserve">is </w:t>
      </w:r>
      <w:r>
        <w:t>consistent</w:t>
      </w:r>
      <w:r>
        <w:rPr>
          <w:spacing w:val="-1"/>
        </w:rPr>
        <w:t xml:space="preserve"> </w:t>
      </w:r>
      <w:r>
        <w:t>with</w:t>
      </w:r>
      <w:r>
        <w:rPr>
          <w:spacing w:val="1"/>
        </w:rPr>
        <w:t xml:space="preserve"> </w:t>
      </w:r>
      <w:r>
        <w:t>feedback</w:t>
      </w:r>
      <w:r>
        <w:rPr>
          <w:spacing w:val="1"/>
        </w:rPr>
        <w:t xml:space="preserve"> </w:t>
      </w:r>
      <w:r>
        <w:t>provided</w:t>
      </w:r>
      <w:r>
        <w:rPr>
          <w:spacing w:val="1"/>
        </w:rPr>
        <w:t xml:space="preserve"> </w:t>
      </w:r>
      <w:r>
        <w:t>to</w:t>
      </w:r>
      <w:r>
        <w:rPr>
          <w:spacing w:val="1"/>
        </w:rPr>
        <w:t xml:space="preserve"> </w:t>
      </w:r>
      <w:r>
        <w:t>the</w:t>
      </w:r>
      <w:r>
        <w:rPr>
          <w:spacing w:val="2"/>
        </w:rPr>
        <w:t xml:space="preserve"> </w:t>
      </w:r>
      <w:r>
        <w:t>Review</w:t>
      </w:r>
      <w:r>
        <w:rPr>
          <w:spacing w:val="1"/>
        </w:rPr>
        <w:t xml:space="preserve"> </w:t>
      </w:r>
      <w:r>
        <w:t>by</w:t>
      </w:r>
      <w:r>
        <w:rPr>
          <w:spacing w:val="1"/>
        </w:rPr>
        <w:t xml:space="preserve"> </w:t>
      </w:r>
      <w:r>
        <w:t>people</w:t>
      </w:r>
      <w:r>
        <w:rPr>
          <w:spacing w:val="1"/>
        </w:rPr>
        <w:t xml:space="preserve"> </w:t>
      </w:r>
      <w:r>
        <w:t>in</w:t>
      </w:r>
      <w:r>
        <w:rPr>
          <w:spacing w:val="1"/>
        </w:rPr>
        <w:t xml:space="preserve"> </w:t>
      </w:r>
      <w:r>
        <w:t>Australia</w:t>
      </w:r>
      <w:r>
        <w:rPr>
          <w:spacing w:val="1"/>
        </w:rPr>
        <w:t xml:space="preserve"> </w:t>
      </w:r>
      <w:r>
        <w:t>and</w:t>
      </w:r>
      <w:r>
        <w:rPr>
          <w:spacing w:val="2"/>
        </w:rPr>
        <w:t xml:space="preserve"> </w:t>
      </w:r>
      <w:r>
        <w:rPr>
          <w:spacing w:val="-2"/>
        </w:rPr>
        <w:t>overseas.</w:t>
      </w:r>
    </w:p>
    <w:p w14:paraId="3751260F" w14:textId="77777777" w:rsidR="002541A8" w:rsidRDefault="00212482" w:rsidP="00212482">
      <w:pPr>
        <w:spacing w:before="0" w:after="160" w:line="259" w:lineRule="auto"/>
      </w:pPr>
      <w:r>
        <w:t>During the Review’s consultations, concerns raised about the RBA’s performance focussed on the Reserve Bank Board’s actions during 3 episodes: the low inflation period between 2016 and 2019, the COVID-19 pandemic and the current period of high inflation. The performance of the monetary policy framework and decision-making process during these 3 episodes are explored in more detail in the following sections.</w:t>
      </w:r>
    </w:p>
    <w:p w14:paraId="404116A2" w14:textId="77777777" w:rsidR="002541A8" w:rsidRDefault="002541A8" w:rsidP="00CD7977">
      <w:pPr>
        <w:pStyle w:val="BoxHeading"/>
        <w:keepLines/>
      </w:pPr>
      <w:r>
        <w:lastRenderedPageBreak/>
        <w:t>Table</w:t>
      </w:r>
      <w:r>
        <w:rPr>
          <w:spacing w:val="-2"/>
        </w:rPr>
        <w:t xml:space="preserve"> </w:t>
      </w:r>
      <w:r>
        <w:t>1.2: Economic indicators</w:t>
      </w:r>
      <w:r>
        <w:rPr>
          <w:spacing w:val="1"/>
        </w:rPr>
        <w:t xml:space="preserve"> </w:t>
      </w:r>
      <w:r>
        <w:t>in selected economies</w:t>
      </w:r>
      <w:r>
        <w:rPr>
          <w:spacing w:val="1"/>
        </w:rPr>
        <w:t xml:space="preserve"> </w:t>
      </w:r>
      <w:r>
        <w:rPr>
          <w:spacing w:val="-2"/>
        </w:rPr>
        <w:t>1993–2021</w:t>
      </w:r>
    </w:p>
    <w:p w14:paraId="1C0E2CC8" w14:textId="77777777" w:rsidR="002541A8" w:rsidRDefault="002541A8" w:rsidP="00CD7977">
      <w:pPr>
        <w:pStyle w:val="BodyText"/>
        <w:keepNext/>
        <w:keepLines/>
        <w:spacing w:before="4" w:after="1"/>
        <w:rPr>
          <w:rFonts w:ascii="Open Sans"/>
          <w:b/>
          <w:sz w:val="10"/>
        </w:rPr>
      </w:pPr>
    </w:p>
    <w:tbl>
      <w:tblPr>
        <w:tblW w:w="5000" w:type="pct"/>
        <w:tblBorders>
          <w:top w:val="single" w:sz="8" w:space="0" w:color="204160"/>
          <w:left w:val="single" w:sz="8" w:space="0" w:color="204160"/>
          <w:bottom w:val="single" w:sz="8" w:space="0" w:color="204160"/>
          <w:right w:val="single" w:sz="8" w:space="0" w:color="204160"/>
          <w:insideH w:val="single" w:sz="8" w:space="0" w:color="204160"/>
          <w:insideV w:val="single" w:sz="8" w:space="0" w:color="204160"/>
        </w:tblBorders>
        <w:tblCellMar>
          <w:left w:w="0" w:type="dxa"/>
          <w:right w:w="0" w:type="dxa"/>
        </w:tblCellMar>
        <w:tblLook w:val="01E0" w:firstRow="1" w:lastRow="1" w:firstColumn="1" w:lastColumn="1" w:noHBand="0" w:noVBand="0"/>
        <w:tblCaption w:val="Table 1.2: Economic indicators in selected economies 1993–2021"/>
        <w:tblDescription w:val="A comparison table of the average and standard deviation of consumer price inflation, the unemployment rate and real GDP growth per capita between 1993 and 2021, across a range of advanced economies. "/>
      </w:tblPr>
      <w:tblGrid>
        <w:gridCol w:w="2104"/>
        <w:gridCol w:w="996"/>
        <w:gridCol w:w="996"/>
        <w:gridCol w:w="996"/>
        <w:gridCol w:w="996"/>
        <w:gridCol w:w="996"/>
        <w:gridCol w:w="996"/>
        <w:gridCol w:w="990"/>
      </w:tblGrid>
      <w:tr w:rsidR="002541A8" w:rsidRPr="002541A8" w14:paraId="2D5F7D5B" w14:textId="77777777" w:rsidTr="009D6DE6">
        <w:trPr>
          <w:trHeight w:val="479"/>
        </w:trPr>
        <w:tc>
          <w:tcPr>
            <w:tcW w:w="1160" w:type="pct"/>
            <w:tcBorders>
              <w:top w:val="nil"/>
              <w:left w:val="nil"/>
              <w:bottom w:val="nil"/>
            </w:tcBorders>
          </w:tcPr>
          <w:p w14:paraId="66D8A5A8" w14:textId="77777777" w:rsidR="002541A8" w:rsidRPr="002541A8" w:rsidRDefault="002541A8" w:rsidP="00CD7977">
            <w:pPr>
              <w:pStyle w:val="TableParagraph"/>
              <w:keepNext/>
              <w:keepLines/>
              <w:spacing w:before="31"/>
              <w:ind w:left="103"/>
              <w:rPr>
                <w:rFonts w:ascii="Calibri Light" w:hAnsi="Calibri Light" w:cs="Calibri Light"/>
                <w:b/>
                <w:sz w:val="16"/>
              </w:rPr>
            </w:pPr>
            <w:r w:rsidRPr="002541A8">
              <w:rPr>
                <w:rFonts w:ascii="Calibri Light" w:hAnsi="Calibri Light" w:cs="Calibri Light"/>
                <w:b/>
                <w:spacing w:val="-2"/>
                <w:sz w:val="16"/>
              </w:rPr>
              <w:t>Economy</w:t>
            </w:r>
          </w:p>
        </w:tc>
        <w:tc>
          <w:tcPr>
            <w:tcW w:w="1647" w:type="pct"/>
            <w:gridSpan w:val="3"/>
            <w:tcBorders>
              <w:top w:val="nil"/>
              <w:bottom w:val="single" w:sz="2" w:space="0" w:color="7F859B"/>
            </w:tcBorders>
          </w:tcPr>
          <w:p w14:paraId="2058164B" w14:textId="77777777" w:rsidR="002541A8" w:rsidRPr="002541A8" w:rsidRDefault="002541A8" w:rsidP="00CD7977">
            <w:pPr>
              <w:pStyle w:val="TableParagraph"/>
              <w:keepNext/>
              <w:keepLines/>
              <w:spacing w:before="45" w:line="220" w:lineRule="auto"/>
              <w:ind w:left="1020" w:right="855" w:hanging="162"/>
              <w:rPr>
                <w:rFonts w:ascii="Calibri Light" w:hAnsi="Calibri Light" w:cs="Calibri Light"/>
                <w:sz w:val="16"/>
              </w:rPr>
            </w:pPr>
            <w:r w:rsidRPr="002541A8">
              <w:rPr>
                <w:rFonts w:ascii="Calibri Light" w:hAnsi="Calibri Light" w:cs="Calibri Light"/>
                <w:sz w:val="16"/>
              </w:rPr>
              <w:t>Headline</w:t>
            </w:r>
            <w:r w:rsidRPr="002541A8">
              <w:rPr>
                <w:rFonts w:ascii="Calibri Light" w:hAnsi="Calibri Light" w:cs="Calibri Light"/>
                <w:spacing w:val="-11"/>
                <w:sz w:val="16"/>
              </w:rPr>
              <w:t xml:space="preserve"> </w:t>
            </w:r>
            <w:r w:rsidRPr="002541A8">
              <w:rPr>
                <w:rFonts w:ascii="Calibri Light" w:hAnsi="Calibri Light" w:cs="Calibri Light"/>
                <w:sz w:val="16"/>
              </w:rPr>
              <w:t xml:space="preserve">CPI </w:t>
            </w:r>
            <w:r w:rsidRPr="002541A8">
              <w:rPr>
                <w:rFonts w:ascii="Calibri Light" w:hAnsi="Calibri Light" w:cs="Calibri Light"/>
                <w:spacing w:val="-2"/>
                <w:sz w:val="16"/>
              </w:rPr>
              <w:t>inflation</w:t>
            </w:r>
          </w:p>
        </w:tc>
        <w:tc>
          <w:tcPr>
            <w:tcW w:w="1098" w:type="pct"/>
            <w:gridSpan w:val="2"/>
            <w:tcBorders>
              <w:top w:val="nil"/>
              <w:bottom w:val="single" w:sz="2" w:space="0" w:color="7F859B"/>
            </w:tcBorders>
          </w:tcPr>
          <w:p w14:paraId="6E5C032D" w14:textId="77777777" w:rsidR="002541A8" w:rsidRPr="002541A8" w:rsidRDefault="002541A8" w:rsidP="00CD7977">
            <w:pPr>
              <w:pStyle w:val="TableParagraph"/>
              <w:keepNext/>
              <w:keepLines/>
              <w:spacing w:before="45" w:line="220" w:lineRule="auto"/>
              <w:ind w:left="509" w:right="72" w:hanging="248"/>
              <w:rPr>
                <w:rFonts w:ascii="Calibri Light" w:hAnsi="Calibri Light" w:cs="Calibri Light"/>
                <w:sz w:val="16"/>
              </w:rPr>
            </w:pPr>
            <w:r w:rsidRPr="002541A8">
              <w:rPr>
                <w:rFonts w:ascii="Calibri Light" w:hAnsi="Calibri Light" w:cs="Calibri Light"/>
                <w:sz w:val="16"/>
              </w:rPr>
              <w:t>Real</w:t>
            </w:r>
            <w:r w:rsidRPr="002541A8">
              <w:rPr>
                <w:rFonts w:ascii="Calibri Light" w:hAnsi="Calibri Light" w:cs="Calibri Light"/>
                <w:spacing w:val="-11"/>
                <w:sz w:val="16"/>
              </w:rPr>
              <w:t xml:space="preserve"> </w:t>
            </w:r>
            <w:r w:rsidRPr="002541A8">
              <w:rPr>
                <w:rFonts w:ascii="Calibri Light" w:hAnsi="Calibri Light" w:cs="Calibri Light"/>
                <w:sz w:val="16"/>
              </w:rPr>
              <w:t>GDP</w:t>
            </w:r>
            <w:r w:rsidRPr="002541A8">
              <w:rPr>
                <w:rFonts w:ascii="Calibri Light" w:hAnsi="Calibri Light" w:cs="Calibri Light"/>
                <w:spacing w:val="-10"/>
                <w:sz w:val="16"/>
              </w:rPr>
              <w:t xml:space="preserve"> </w:t>
            </w:r>
            <w:r w:rsidRPr="002541A8">
              <w:rPr>
                <w:rFonts w:ascii="Calibri Light" w:hAnsi="Calibri Light" w:cs="Calibri Light"/>
                <w:sz w:val="16"/>
              </w:rPr>
              <w:t>growth per</w:t>
            </w:r>
            <w:r w:rsidRPr="002541A8">
              <w:rPr>
                <w:rFonts w:ascii="Calibri Light" w:hAnsi="Calibri Light" w:cs="Calibri Light"/>
                <w:spacing w:val="-7"/>
                <w:sz w:val="16"/>
              </w:rPr>
              <w:t xml:space="preserve"> </w:t>
            </w:r>
            <w:r w:rsidRPr="002541A8">
              <w:rPr>
                <w:rFonts w:ascii="Calibri Light" w:hAnsi="Calibri Light" w:cs="Calibri Light"/>
                <w:sz w:val="16"/>
              </w:rPr>
              <w:t>capita</w:t>
            </w:r>
          </w:p>
        </w:tc>
        <w:tc>
          <w:tcPr>
            <w:tcW w:w="1095" w:type="pct"/>
            <w:gridSpan w:val="2"/>
            <w:tcBorders>
              <w:top w:val="nil"/>
              <w:bottom w:val="single" w:sz="2" w:space="0" w:color="7F859B"/>
              <w:right w:val="nil"/>
            </w:tcBorders>
          </w:tcPr>
          <w:p w14:paraId="5AF2BD92" w14:textId="77777777" w:rsidR="002541A8" w:rsidRPr="002541A8" w:rsidRDefault="002541A8" w:rsidP="00CD7977">
            <w:pPr>
              <w:pStyle w:val="TableParagraph"/>
              <w:keepNext/>
              <w:keepLines/>
              <w:spacing w:before="45" w:line="220" w:lineRule="auto"/>
              <w:ind w:left="726" w:right="110" w:hanging="419"/>
              <w:rPr>
                <w:rFonts w:ascii="Calibri Light" w:hAnsi="Calibri Light" w:cs="Calibri Light"/>
                <w:sz w:val="16"/>
              </w:rPr>
            </w:pPr>
            <w:r w:rsidRPr="002541A8">
              <w:rPr>
                <w:rFonts w:ascii="Calibri Light" w:hAnsi="Calibri Light" w:cs="Calibri Light"/>
                <w:spacing w:val="-2"/>
                <w:sz w:val="16"/>
              </w:rPr>
              <w:t>Unemployment</w:t>
            </w:r>
            <w:r w:rsidRPr="002541A8">
              <w:rPr>
                <w:rFonts w:ascii="Calibri Light" w:hAnsi="Calibri Light" w:cs="Calibri Light"/>
                <w:sz w:val="16"/>
              </w:rPr>
              <w:t xml:space="preserve"> </w:t>
            </w:r>
            <w:r w:rsidRPr="002541A8">
              <w:rPr>
                <w:rFonts w:ascii="Calibri Light" w:hAnsi="Calibri Light" w:cs="Calibri Light"/>
                <w:spacing w:val="-4"/>
                <w:sz w:val="16"/>
              </w:rPr>
              <w:t>rate</w:t>
            </w:r>
          </w:p>
        </w:tc>
      </w:tr>
      <w:tr w:rsidR="002541A8" w:rsidRPr="002541A8" w14:paraId="6BF71A8C" w14:textId="77777777" w:rsidTr="009D6DE6">
        <w:trPr>
          <w:trHeight w:val="536"/>
        </w:trPr>
        <w:tc>
          <w:tcPr>
            <w:tcW w:w="1160" w:type="pct"/>
            <w:tcBorders>
              <w:top w:val="nil"/>
              <w:left w:val="nil"/>
              <w:bottom w:val="nil"/>
            </w:tcBorders>
          </w:tcPr>
          <w:p w14:paraId="4358D470" w14:textId="77777777" w:rsidR="002541A8" w:rsidRPr="002541A8" w:rsidRDefault="002541A8" w:rsidP="00CD7977">
            <w:pPr>
              <w:pStyle w:val="TableParagraph"/>
              <w:keepNext/>
              <w:keepLines/>
              <w:rPr>
                <w:rFonts w:ascii="Calibri Light" w:hAnsi="Calibri Light" w:cs="Calibri Light"/>
                <w:sz w:val="16"/>
              </w:rPr>
            </w:pPr>
          </w:p>
        </w:tc>
        <w:tc>
          <w:tcPr>
            <w:tcW w:w="549" w:type="pct"/>
            <w:tcBorders>
              <w:top w:val="single" w:sz="2" w:space="0" w:color="7F859B"/>
              <w:bottom w:val="nil"/>
              <w:right w:val="single" w:sz="2" w:space="0" w:color="7F859B"/>
            </w:tcBorders>
          </w:tcPr>
          <w:p w14:paraId="41DAB85C" w14:textId="77777777" w:rsidR="002541A8" w:rsidRPr="002541A8" w:rsidRDefault="002541A8" w:rsidP="00CD7977">
            <w:pPr>
              <w:pStyle w:val="TableParagraph"/>
              <w:keepNext/>
              <w:keepLines/>
              <w:spacing w:before="42" w:line="220" w:lineRule="auto"/>
              <w:ind w:left="201" w:right="100" w:firstLine="60"/>
              <w:rPr>
                <w:rFonts w:ascii="Calibri Light" w:hAnsi="Calibri Light" w:cs="Calibri Light"/>
                <w:sz w:val="16"/>
              </w:rPr>
            </w:pPr>
            <w:r w:rsidRPr="002541A8">
              <w:rPr>
                <w:rFonts w:ascii="Calibri Light" w:hAnsi="Calibri Light" w:cs="Calibri Light"/>
                <w:spacing w:val="-2"/>
                <w:sz w:val="16"/>
              </w:rPr>
              <w:t>Annual</w:t>
            </w:r>
            <w:r w:rsidRPr="002541A8">
              <w:rPr>
                <w:rFonts w:ascii="Calibri Light" w:hAnsi="Calibri Light" w:cs="Calibri Light"/>
                <w:sz w:val="16"/>
              </w:rPr>
              <w:t xml:space="preserve"> </w:t>
            </w:r>
            <w:r w:rsidRPr="002541A8">
              <w:rPr>
                <w:rFonts w:ascii="Calibri Light" w:hAnsi="Calibri Light" w:cs="Calibri Light"/>
                <w:spacing w:val="-2"/>
                <w:sz w:val="16"/>
              </w:rPr>
              <w:t>average</w:t>
            </w:r>
          </w:p>
        </w:tc>
        <w:tc>
          <w:tcPr>
            <w:tcW w:w="549" w:type="pct"/>
            <w:tcBorders>
              <w:top w:val="single" w:sz="2" w:space="0" w:color="7F859B"/>
              <w:left w:val="single" w:sz="2" w:space="0" w:color="7F859B"/>
              <w:bottom w:val="nil"/>
              <w:right w:val="single" w:sz="2" w:space="0" w:color="7F859B"/>
            </w:tcBorders>
          </w:tcPr>
          <w:p w14:paraId="7EDF7BEF" w14:textId="77777777" w:rsidR="002541A8" w:rsidRPr="002541A8" w:rsidRDefault="002541A8" w:rsidP="00CD7977">
            <w:pPr>
              <w:pStyle w:val="TableParagraph"/>
              <w:keepNext/>
              <w:keepLines/>
              <w:spacing w:before="42" w:line="220" w:lineRule="auto"/>
              <w:ind w:left="343" w:right="103" w:hanging="123"/>
              <w:rPr>
                <w:rFonts w:ascii="Calibri Light" w:hAnsi="Calibri Light" w:cs="Calibri Light"/>
                <w:sz w:val="16"/>
              </w:rPr>
            </w:pPr>
            <w:r w:rsidRPr="002541A8">
              <w:rPr>
                <w:rFonts w:ascii="Calibri Light" w:hAnsi="Calibri Light" w:cs="Calibri Light"/>
                <w:spacing w:val="-4"/>
                <w:sz w:val="16"/>
              </w:rPr>
              <w:t>Current</w:t>
            </w:r>
            <w:r w:rsidRPr="002541A8">
              <w:rPr>
                <w:rFonts w:ascii="Calibri Light" w:hAnsi="Calibri Light" w:cs="Calibri Light"/>
                <w:sz w:val="16"/>
              </w:rPr>
              <w:t xml:space="preserve"> </w:t>
            </w:r>
            <w:r w:rsidRPr="002541A8">
              <w:rPr>
                <w:rFonts w:ascii="Calibri Light" w:hAnsi="Calibri Light" w:cs="Calibri Light"/>
                <w:spacing w:val="-2"/>
                <w:sz w:val="16"/>
              </w:rPr>
              <w:t>target</w:t>
            </w:r>
          </w:p>
        </w:tc>
        <w:tc>
          <w:tcPr>
            <w:tcW w:w="549" w:type="pct"/>
            <w:tcBorders>
              <w:top w:val="single" w:sz="2" w:space="0" w:color="7F859B"/>
              <w:left w:val="single" w:sz="2" w:space="0" w:color="7F859B"/>
              <w:bottom w:val="nil"/>
            </w:tcBorders>
          </w:tcPr>
          <w:p w14:paraId="5EA269D9" w14:textId="77777777" w:rsidR="002541A8" w:rsidRPr="002541A8" w:rsidRDefault="002541A8" w:rsidP="00CD7977">
            <w:pPr>
              <w:pStyle w:val="TableParagraph"/>
              <w:keepNext/>
              <w:keepLines/>
              <w:spacing w:before="42" w:line="220" w:lineRule="auto"/>
              <w:ind w:left="103" w:right="100" w:firstLine="2"/>
              <w:rPr>
                <w:rFonts w:ascii="Calibri Light" w:hAnsi="Calibri Light" w:cs="Calibri Light"/>
                <w:sz w:val="16"/>
              </w:rPr>
            </w:pPr>
            <w:r w:rsidRPr="002541A8">
              <w:rPr>
                <w:rFonts w:ascii="Calibri Light" w:hAnsi="Calibri Light" w:cs="Calibri Light"/>
                <w:spacing w:val="-2"/>
                <w:sz w:val="16"/>
              </w:rPr>
              <w:t>Standard</w:t>
            </w:r>
            <w:r w:rsidRPr="002541A8">
              <w:rPr>
                <w:rFonts w:ascii="Calibri Light" w:hAnsi="Calibri Light" w:cs="Calibri Light"/>
                <w:sz w:val="16"/>
              </w:rPr>
              <w:t xml:space="preserve"> </w:t>
            </w:r>
            <w:r w:rsidRPr="002541A8">
              <w:rPr>
                <w:rFonts w:ascii="Calibri Light" w:hAnsi="Calibri Light" w:cs="Calibri Light"/>
                <w:spacing w:val="-2"/>
                <w:sz w:val="16"/>
              </w:rPr>
              <w:t>deviation</w:t>
            </w:r>
          </w:p>
        </w:tc>
        <w:tc>
          <w:tcPr>
            <w:tcW w:w="549" w:type="pct"/>
            <w:tcBorders>
              <w:top w:val="single" w:sz="2" w:space="0" w:color="7F859B"/>
              <w:bottom w:val="nil"/>
              <w:right w:val="single" w:sz="2" w:space="0" w:color="7F859B"/>
            </w:tcBorders>
          </w:tcPr>
          <w:p w14:paraId="17C38493" w14:textId="77777777" w:rsidR="002541A8" w:rsidRPr="002541A8" w:rsidRDefault="002541A8" w:rsidP="00CD7977">
            <w:pPr>
              <w:pStyle w:val="TableParagraph"/>
              <w:keepNext/>
              <w:keepLines/>
              <w:spacing w:before="42" w:line="220" w:lineRule="auto"/>
              <w:ind w:left="199" w:right="102" w:firstLine="60"/>
              <w:rPr>
                <w:rFonts w:ascii="Calibri Light" w:hAnsi="Calibri Light" w:cs="Calibri Light"/>
                <w:sz w:val="16"/>
              </w:rPr>
            </w:pPr>
            <w:r w:rsidRPr="002541A8">
              <w:rPr>
                <w:rFonts w:ascii="Calibri Light" w:hAnsi="Calibri Light" w:cs="Calibri Light"/>
                <w:spacing w:val="-2"/>
                <w:sz w:val="16"/>
              </w:rPr>
              <w:t>Annual</w:t>
            </w:r>
            <w:r w:rsidRPr="002541A8">
              <w:rPr>
                <w:rFonts w:ascii="Calibri Light" w:hAnsi="Calibri Light" w:cs="Calibri Light"/>
                <w:sz w:val="16"/>
              </w:rPr>
              <w:t xml:space="preserve"> </w:t>
            </w:r>
            <w:r w:rsidRPr="002541A8">
              <w:rPr>
                <w:rFonts w:ascii="Calibri Light" w:hAnsi="Calibri Light" w:cs="Calibri Light"/>
                <w:spacing w:val="-2"/>
                <w:sz w:val="16"/>
              </w:rPr>
              <w:t>average</w:t>
            </w:r>
          </w:p>
        </w:tc>
        <w:tc>
          <w:tcPr>
            <w:tcW w:w="549" w:type="pct"/>
            <w:tcBorders>
              <w:top w:val="single" w:sz="2" w:space="0" w:color="7F859B"/>
              <w:left w:val="single" w:sz="2" w:space="0" w:color="7F859B"/>
              <w:bottom w:val="nil"/>
            </w:tcBorders>
          </w:tcPr>
          <w:p w14:paraId="42C1AD9B" w14:textId="77777777" w:rsidR="002541A8" w:rsidRPr="002541A8" w:rsidRDefault="002541A8" w:rsidP="00CD7977">
            <w:pPr>
              <w:pStyle w:val="TableParagraph"/>
              <w:keepNext/>
              <w:keepLines/>
              <w:spacing w:before="42" w:line="220" w:lineRule="auto"/>
              <w:ind w:left="102" w:right="100" w:firstLine="2"/>
              <w:rPr>
                <w:rFonts w:ascii="Calibri Light" w:hAnsi="Calibri Light" w:cs="Calibri Light"/>
                <w:sz w:val="16"/>
              </w:rPr>
            </w:pPr>
            <w:r w:rsidRPr="002541A8">
              <w:rPr>
                <w:rFonts w:ascii="Calibri Light" w:hAnsi="Calibri Light" w:cs="Calibri Light"/>
                <w:spacing w:val="-2"/>
                <w:sz w:val="16"/>
              </w:rPr>
              <w:t>Standard</w:t>
            </w:r>
            <w:r w:rsidRPr="002541A8">
              <w:rPr>
                <w:rFonts w:ascii="Calibri Light" w:hAnsi="Calibri Light" w:cs="Calibri Light"/>
                <w:sz w:val="16"/>
              </w:rPr>
              <w:t xml:space="preserve"> </w:t>
            </w:r>
            <w:r w:rsidRPr="002541A8">
              <w:rPr>
                <w:rFonts w:ascii="Calibri Light" w:hAnsi="Calibri Light" w:cs="Calibri Light"/>
                <w:spacing w:val="-2"/>
                <w:sz w:val="16"/>
              </w:rPr>
              <w:t>deviation</w:t>
            </w:r>
          </w:p>
        </w:tc>
        <w:tc>
          <w:tcPr>
            <w:tcW w:w="549" w:type="pct"/>
            <w:tcBorders>
              <w:top w:val="single" w:sz="2" w:space="0" w:color="7F859B"/>
              <w:bottom w:val="nil"/>
              <w:right w:val="single" w:sz="2" w:space="0" w:color="7F859B"/>
            </w:tcBorders>
          </w:tcPr>
          <w:p w14:paraId="1B2DE19C" w14:textId="77777777" w:rsidR="002541A8" w:rsidRPr="002541A8" w:rsidRDefault="002541A8" w:rsidP="00CD7977">
            <w:pPr>
              <w:pStyle w:val="TableParagraph"/>
              <w:keepNext/>
              <w:keepLines/>
              <w:spacing w:before="42" w:line="220" w:lineRule="auto"/>
              <w:ind w:left="198" w:right="103" w:firstLine="60"/>
              <w:rPr>
                <w:rFonts w:ascii="Calibri Light" w:hAnsi="Calibri Light" w:cs="Calibri Light"/>
                <w:sz w:val="16"/>
              </w:rPr>
            </w:pPr>
            <w:r w:rsidRPr="002541A8">
              <w:rPr>
                <w:rFonts w:ascii="Calibri Light" w:hAnsi="Calibri Light" w:cs="Calibri Light"/>
                <w:spacing w:val="-2"/>
                <w:sz w:val="16"/>
              </w:rPr>
              <w:t>Annual</w:t>
            </w:r>
            <w:r w:rsidRPr="002541A8">
              <w:rPr>
                <w:rFonts w:ascii="Calibri Light" w:hAnsi="Calibri Light" w:cs="Calibri Light"/>
                <w:sz w:val="16"/>
              </w:rPr>
              <w:t xml:space="preserve"> </w:t>
            </w:r>
            <w:r w:rsidRPr="002541A8">
              <w:rPr>
                <w:rFonts w:ascii="Calibri Light" w:hAnsi="Calibri Light" w:cs="Calibri Light"/>
                <w:spacing w:val="-2"/>
                <w:sz w:val="16"/>
              </w:rPr>
              <w:t>average</w:t>
            </w:r>
          </w:p>
        </w:tc>
        <w:tc>
          <w:tcPr>
            <w:tcW w:w="546" w:type="pct"/>
            <w:tcBorders>
              <w:top w:val="single" w:sz="2" w:space="0" w:color="7F859B"/>
              <w:left w:val="single" w:sz="2" w:space="0" w:color="7F859B"/>
              <w:bottom w:val="nil"/>
              <w:right w:val="nil"/>
            </w:tcBorders>
          </w:tcPr>
          <w:p w14:paraId="4A34F064" w14:textId="77777777" w:rsidR="002541A8" w:rsidRPr="002541A8" w:rsidRDefault="002541A8" w:rsidP="00CD7977">
            <w:pPr>
              <w:pStyle w:val="TableParagraph"/>
              <w:keepNext/>
              <w:keepLines/>
              <w:spacing w:before="42" w:line="220" w:lineRule="auto"/>
              <w:ind w:left="108" w:right="111" w:firstLine="2"/>
              <w:rPr>
                <w:rFonts w:ascii="Calibri Light" w:hAnsi="Calibri Light" w:cs="Calibri Light"/>
                <w:sz w:val="16"/>
              </w:rPr>
            </w:pPr>
            <w:r w:rsidRPr="002541A8">
              <w:rPr>
                <w:rFonts w:ascii="Calibri Light" w:hAnsi="Calibri Light" w:cs="Calibri Light"/>
                <w:spacing w:val="-2"/>
                <w:sz w:val="16"/>
              </w:rPr>
              <w:t>Standard</w:t>
            </w:r>
            <w:r w:rsidRPr="002541A8">
              <w:rPr>
                <w:rFonts w:ascii="Calibri Light" w:hAnsi="Calibri Light" w:cs="Calibri Light"/>
                <w:sz w:val="16"/>
              </w:rPr>
              <w:t xml:space="preserve"> </w:t>
            </w:r>
            <w:r w:rsidRPr="002541A8">
              <w:rPr>
                <w:rFonts w:ascii="Calibri Light" w:hAnsi="Calibri Light" w:cs="Calibri Light"/>
                <w:spacing w:val="-2"/>
                <w:sz w:val="16"/>
              </w:rPr>
              <w:t>deviation</w:t>
            </w:r>
          </w:p>
        </w:tc>
      </w:tr>
      <w:tr w:rsidR="002541A8" w:rsidRPr="002541A8" w14:paraId="0E1BC70E" w14:textId="77777777" w:rsidTr="009D6DE6">
        <w:trPr>
          <w:trHeight w:val="337"/>
        </w:trPr>
        <w:tc>
          <w:tcPr>
            <w:tcW w:w="1160" w:type="pct"/>
            <w:tcBorders>
              <w:top w:val="nil"/>
              <w:left w:val="nil"/>
              <w:bottom w:val="single" w:sz="2" w:space="0" w:color="7F859B"/>
            </w:tcBorders>
          </w:tcPr>
          <w:p w14:paraId="01C24E1F" w14:textId="77777777" w:rsidR="002541A8" w:rsidRPr="002541A8" w:rsidRDefault="002541A8" w:rsidP="00CD7977">
            <w:pPr>
              <w:pStyle w:val="TableParagraph"/>
              <w:keepNext/>
              <w:keepLines/>
              <w:spacing w:before="89"/>
              <w:ind w:left="103"/>
              <w:rPr>
                <w:rFonts w:ascii="Calibri Light" w:hAnsi="Calibri Light" w:cs="Calibri Light"/>
                <w:sz w:val="16"/>
              </w:rPr>
            </w:pPr>
            <w:r w:rsidRPr="002541A8">
              <w:rPr>
                <w:rFonts w:ascii="Calibri Light" w:hAnsi="Calibri Light" w:cs="Calibri Light"/>
                <w:spacing w:val="-2"/>
                <w:sz w:val="16"/>
              </w:rPr>
              <w:t>Australia</w:t>
            </w:r>
          </w:p>
        </w:tc>
        <w:tc>
          <w:tcPr>
            <w:tcW w:w="549" w:type="pct"/>
            <w:tcBorders>
              <w:top w:val="nil"/>
              <w:bottom w:val="single" w:sz="2" w:space="0" w:color="7F859B"/>
              <w:right w:val="single" w:sz="2" w:space="0" w:color="7F859B"/>
            </w:tcBorders>
          </w:tcPr>
          <w:p w14:paraId="163BA60C" w14:textId="77777777" w:rsidR="002541A8" w:rsidRPr="002541A8" w:rsidRDefault="002541A8" w:rsidP="00CD7977">
            <w:pPr>
              <w:pStyle w:val="TableParagraph"/>
              <w:keepNext/>
              <w:keepLines/>
              <w:spacing w:before="89"/>
              <w:ind w:right="102"/>
              <w:jc w:val="right"/>
              <w:rPr>
                <w:rFonts w:ascii="Calibri Light" w:hAnsi="Calibri Light" w:cs="Calibri Light"/>
                <w:sz w:val="16"/>
              </w:rPr>
            </w:pPr>
            <w:r w:rsidRPr="002541A8">
              <w:rPr>
                <w:rFonts w:ascii="Calibri Light" w:hAnsi="Calibri Light" w:cs="Calibri Light"/>
                <w:spacing w:val="-5"/>
                <w:sz w:val="16"/>
              </w:rPr>
              <w:t>2.4</w:t>
            </w:r>
          </w:p>
        </w:tc>
        <w:tc>
          <w:tcPr>
            <w:tcW w:w="549" w:type="pct"/>
            <w:tcBorders>
              <w:top w:val="nil"/>
              <w:left w:val="single" w:sz="2" w:space="0" w:color="7F859B"/>
              <w:bottom w:val="single" w:sz="2" w:space="0" w:color="7F859B"/>
              <w:right w:val="single" w:sz="2" w:space="0" w:color="7F859B"/>
            </w:tcBorders>
          </w:tcPr>
          <w:p w14:paraId="095DE957" w14:textId="77777777" w:rsidR="002541A8" w:rsidRPr="002541A8" w:rsidRDefault="002541A8" w:rsidP="00CD7977">
            <w:pPr>
              <w:pStyle w:val="TableParagraph"/>
              <w:keepNext/>
              <w:keepLines/>
              <w:spacing w:before="89"/>
              <w:ind w:right="114"/>
              <w:jc w:val="right"/>
              <w:rPr>
                <w:rFonts w:ascii="Calibri Light" w:hAnsi="Calibri Light" w:cs="Calibri Light"/>
                <w:sz w:val="16"/>
              </w:rPr>
            </w:pPr>
            <w:r w:rsidRPr="002541A8">
              <w:rPr>
                <w:rFonts w:ascii="Calibri Light" w:hAnsi="Calibri Light" w:cs="Calibri Light"/>
                <w:spacing w:val="-5"/>
                <w:sz w:val="16"/>
              </w:rPr>
              <w:t>2–3</w:t>
            </w:r>
          </w:p>
        </w:tc>
        <w:tc>
          <w:tcPr>
            <w:tcW w:w="549" w:type="pct"/>
            <w:tcBorders>
              <w:top w:val="nil"/>
              <w:left w:val="single" w:sz="2" w:space="0" w:color="7F859B"/>
              <w:bottom w:val="single" w:sz="2" w:space="0" w:color="7F859B"/>
            </w:tcBorders>
          </w:tcPr>
          <w:p w14:paraId="72CD63F4" w14:textId="77777777" w:rsidR="002541A8" w:rsidRPr="002541A8" w:rsidRDefault="002541A8" w:rsidP="00CD7977">
            <w:pPr>
              <w:pStyle w:val="TableParagraph"/>
              <w:keepNext/>
              <w:keepLines/>
              <w:spacing w:before="89"/>
              <w:ind w:right="103"/>
              <w:jc w:val="right"/>
              <w:rPr>
                <w:rFonts w:ascii="Calibri Light" w:hAnsi="Calibri Light" w:cs="Calibri Light"/>
                <w:sz w:val="16"/>
              </w:rPr>
            </w:pPr>
            <w:r w:rsidRPr="002541A8">
              <w:rPr>
                <w:rFonts w:ascii="Calibri Light" w:hAnsi="Calibri Light" w:cs="Calibri Light"/>
                <w:spacing w:val="-5"/>
                <w:sz w:val="16"/>
              </w:rPr>
              <w:t>1.1</w:t>
            </w:r>
          </w:p>
        </w:tc>
        <w:tc>
          <w:tcPr>
            <w:tcW w:w="549" w:type="pct"/>
            <w:tcBorders>
              <w:top w:val="nil"/>
              <w:bottom w:val="single" w:sz="2" w:space="0" w:color="7F859B"/>
              <w:right w:val="single" w:sz="2" w:space="0" w:color="7F859B"/>
            </w:tcBorders>
          </w:tcPr>
          <w:p w14:paraId="4C806E11" w14:textId="77777777" w:rsidR="002541A8" w:rsidRPr="002541A8" w:rsidRDefault="002541A8" w:rsidP="00CD7977">
            <w:pPr>
              <w:pStyle w:val="TableParagraph"/>
              <w:keepNext/>
              <w:keepLines/>
              <w:spacing w:before="89"/>
              <w:ind w:right="103"/>
              <w:jc w:val="right"/>
              <w:rPr>
                <w:rFonts w:ascii="Calibri Light" w:hAnsi="Calibri Light" w:cs="Calibri Light"/>
                <w:sz w:val="16"/>
              </w:rPr>
            </w:pPr>
            <w:r w:rsidRPr="002541A8">
              <w:rPr>
                <w:rFonts w:ascii="Calibri Light" w:hAnsi="Calibri Light" w:cs="Calibri Light"/>
                <w:spacing w:val="-5"/>
                <w:sz w:val="16"/>
              </w:rPr>
              <w:t>1.7</w:t>
            </w:r>
          </w:p>
        </w:tc>
        <w:tc>
          <w:tcPr>
            <w:tcW w:w="549" w:type="pct"/>
            <w:tcBorders>
              <w:top w:val="nil"/>
              <w:left w:val="single" w:sz="2" w:space="0" w:color="7F859B"/>
              <w:bottom w:val="single" w:sz="2" w:space="0" w:color="7F859B"/>
            </w:tcBorders>
          </w:tcPr>
          <w:p w14:paraId="760B67B3" w14:textId="77777777" w:rsidR="002541A8" w:rsidRPr="002541A8" w:rsidRDefault="002541A8" w:rsidP="00CD7977">
            <w:pPr>
              <w:pStyle w:val="TableParagraph"/>
              <w:keepNext/>
              <w:keepLines/>
              <w:spacing w:before="89"/>
              <w:ind w:right="104"/>
              <w:jc w:val="right"/>
              <w:rPr>
                <w:rFonts w:ascii="Calibri Light" w:hAnsi="Calibri Light" w:cs="Calibri Light"/>
                <w:sz w:val="16"/>
              </w:rPr>
            </w:pPr>
            <w:r w:rsidRPr="002541A8">
              <w:rPr>
                <w:rFonts w:ascii="Calibri Light" w:hAnsi="Calibri Light" w:cs="Calibri Light"/>
                <w:spacing w:val="-5"/>
                <w:sz w:val="16"/>
              </w:rPr>
              <w:t>1.4</w:t>
            </w:r>
          </w:p>
        </w:tc>
        <w:tc>
          <w:tcPr>
            <w:tcW w:w="549" w:type="pct"/>
            <w:tcBorders>
              <w:top w:val="nil"/>
              <w:bottom w:val="single" w:sz="2" w:space="0" w:color="7F859B"/>
              <w:right w:val="single" w:sz="2" w:space="0" w:color="7F859B"/>
            </w:tcBorders>
          </w:tcPr>
          <w:p w14:paraId="2E9642F4" w14:textId="77777777" w:rsidR="002541A8" w:rsidRPr="002541A8" w:rsidRDefault="002541A8" w:rsidP="00CD7977">
            <w:pPr>
              <w:pStyle w:val="TableParagraph"/>
              <w:keepNext/>
              <w:keepLines/>
              <w:spacing w:before="89"/>
              <w:ind w:right="103"/>
              <w:jc w:val="right"/>
              <w:rPr>
                <w:rFonts w:ascii="Calibri Light" w:hAnsi="Calibri Light" w:cs="Calibri Light"/>
                <w:sz w:val="16"/>
              </w:rPr>
            </w:pPr>
            <w:r w:rsidRPr="002541A8">
              <w:rPr>
                <w:rFonts w:ascii="Calibri Light" w:hAnsi="Calibri Light" w:cs="Calibri Light"/>
                <w:spacing w:val="-5"/>
                <w:sz w:val="16"/>
              </w:rPr>
              <w:t>6.3</w:t>
            </w:r>
          </w:p>
        </w:tc>
        <w:tc>
          <w:tcPr>
            <w:tcW w:w="546" w:type="pct"/>
            <w:tcBorders>
              <w:top w:val="nil"/>
              <w:left w:val="single" w:sz="2" w:space="0" w:color="7F859B"/>
              <w:bottom w:val="single" w:sz="2" w:space="0" w:color="7F859B"/>
              <w:right w:val="nil"/>
            </w:tcBorders>
          </w:tcPr>
          <w:p w14:paraId="5593471B" w14:textId="77777777" w:rsidR="002541A8" w:rsidRPr="002541A8" w:rsidRDefault="002541A8" w:rsidP="00CD7977">
            <w:pPr>
              <w:pStyle w:val="TableParagraph"/>
              <w:keepNext/>
              <w:keepLines/>
              <w:spacing w:before="89"/>
              <w:ind w:right="113"/>
              <w:jc w:val="right"/>
              <w:rPr>
                <w:rFonts w:ascii="Calibri Light" w:hAnsi="Calibri Light" w:cs="Calibri Light"/>
                <w:sz w:val="16"/>
              </w:rPr>
            </w:pPr>
            <w:r w:rsidRPr="002541A8">
              <w:rPr>
                <w:rFonts w:ascii="Calibri Light" w:hAnsi="Calibri Light" w:cs="Calibri Light"/>
                <w:spacing w:val="-5"/>
                <w:sz w:val="16"/>
              </w:rPr>
              <w:t>1.6</w:t>
            </w:r>
          </w:p>
        </w:tc>
      </w:tr>
      <w:tr w:rsidR="002541A8" w:rsidRPr="002541A8" w14:paraId="7E6DF6E4" w14:textId="77777777" w:rsidTr="009D6DE6">
        <w:trPr>
          <w:trHeight w:val="277"/>
        </w:trPr>
        <w:tc>
          <w:tcPr>
            <w:tcW w:w="1160" w:type="pct"/>
            <w:tcBorders>
              <w:top w:val="single" w:sz="2" w:space="0" w:color="7F859B"/>
              <w:left w:val="nil"/>
              <w:bottom w:val="single" w:sz="2" w:space="0" w:color="7F859B"/>
            </w:tcBorders>
          </w:tcPr>
          <w:p w14:paraId="5AB01B4F" w14:textId="77777777" w:rsidR="002541A8" w:rsidRPr="002541A8" w:rsidRDefault="002541A8" w:rsidP="00CD7977">
            <w:pPr>
              <w:pStyle w:val="TableParagraph"/>
              <w:keepNext/>
              <w:keepLines/>
              <w:spacing w:before="29"/>
              <w:ind w:left="103"/>
              <w:rPr>
                <w:rFonts w:ascii="Calibri Light" w:hAnsi="Calibri Light" w:cs="Calibri Light"/>
                <w:sz w:val="16"/>
              </w:rPr>
            </w:pPr>
            <w:r w:rsidRPr="002541A8">
              <w:rPr>
                <w:rFonts w:ascii="Calibri Light" w:hAnsi="Calibri Light" w:cs="Calibri Light"/>
                <w:spacing w:val="-2"/>
                <w:sz w:val="16"/>
              </w:rPr>
              <w:t>Canada</w:t>
            </w:r>
          </w:p>
        </w:tc>
        <w:tc>
          <w:tcPr>
            <w:tcW w:w="549" w:type="pct"/>
            <w:tcBorders>
              <w:top w:val="single" w:sz="2" w:space="0" w:color="7F859B"/>
              <w:bottom w:val="single" w:sz="2" w:space="0" w:color="7F859B"/>
              <w:right w:val="single" w:sz="2" w:space="0" w:color="7F859B"/>
            </w:tcBorders>
          </w:tcPr>
          <w:p w14:paraId="31147A85" w14:textId="77777777" w:rsidR="002541A8" w:rsidRPr="002541A8" w:rsidRDefault="002541A8" w:rsidP="00CD7977">
            <w:pPr>
              <w:pStyle w:val="TableParagraph"/>
              <w:keepNext/>
              <w:keepLines/>
              <w:spacing w:before="29"/>
              <w:ind w:right="102"/>
              <w:jc w:val="right"/>
              <w:rPr>
                <w:rFonts w:ascii="Calibri Light" w:hAnsi="Calibri Light" w:cs="Calibri Light"/>
                <w:sz w:val="16"/>
              </w:rPr>
            </w:pPr>
            <w:r w:rsidRPr="002541A8">
              <w:rPr>
                <w:rFonts w:ascii="Calibri Light" w:hAnsi="Calibri Light" w:cs="Calibri Light"/>
                <w:spacing w:val="-5"/>
                <w:sz w:val="16"/>
              </w:rPr>
              <w:t>1.8</w:t>
            </w:r>
          </w:p>
        </w:tc>
        <w:tc>
          <w:tcPr>
            <w:tcW w:w="549" w:type="pct"/>
            <w:tcBorders>
              <w:top w:val="single" w:sz="2" w:space="0" w:color="7F859B"/>
              <w:left w:val="single" w:sz="2" w:space="0" w:color="7F859B"/>
              <w:bottom w:val="single" w:sz="2" w:space="0" w:color="7F859B"/>
              <w:right w:val="single" w:sz="2" w:space="0" w:color="7F859B"/>
            </w:tcBorders>
          </w:tcPr>
          <w:p w14:paraId="79AD0B77" w14:textId="77777777" w:rsidR="002541A8" w:rsidRPr="002541A8" w:rsidRDefault="002541A8" w:rsidP="00CD7977">
            <w:pPr>
              <w:pStyle w:val="TableParagraph"/>
              <w:keepNext/>
              <w:keepLines/>
              <w:spacing w:before="29"/>
              <w:ind w:right="110"/>
              <w:jc w:val="right"/>
              <w:rPr>
                <w:rFonts w:ascii="Calibri Light" w:hAnsi="Calibri Light" w:cs="Calibri Light"/>
                <w:sz w:val="16"/>
              </w:rPr>
            </w:pPr>
            <w:r w:rsidRPr="002541A8">
              <w:rPr>
                <w:rFonts w:ascii="Calibri Light" w:hAnsi="Calibri Light" w:cs="Calibri Light"/>
                <w:sz w:val="16"/>
              </w:rPr>
              <w:t>2</w:t>
            </w:r>
          </w:p>
        </w:tc>
        <w:tc>
          <w:tcPr>
            <w:tcW w:w="549" w:type="pct"/>
            <w:tcBorders>
              <w:top w:val="single" w:sz="2" w:space="0" w:color="7F859B"/>
              <w:left w:val="single" w:sz="2" w:space="0" w:color="7F859B"/>
              <w:bottom w:val="single" w:sz="2" w:space="0" w:color="7F859B"/>
            </w:tcBorders>
          </w:tcPr>
          <w:p w14:paraId="7E9DDB8C"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0.7</w:t>
            </w:r>
          </w:p>
        </w:tc>
        <w:tc>
          <w:tcPr>
            <w:tcW w:w="549" w:type="pct"/>
            <w:tcBorders>
              <w:top w:val="single" w:sz="2" w:space="0" w:color="7F859B"/>
              <w:bottom w:val="single" w:sz="2" w:space="0" w:color="7F859B"/>
              <w:right w:val="single" w:sz="2" w:space="0" w:color="7F859B"/>
            </w:tcBorders>
          </w:tcPr>
          <w:p w14:paraId="08FC8BDD"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1.3</w:t>
            </w:r>
          </w:p>
        </w:tc>
        <w:tc>
          <w:tcPr>
            <w:tcW w:w="549" w:type="pct"/>
            <w:tcBorders>
              <w:top w:val="single" w:sz="2" w:space="0" w:color="7F859B"/>
              <w:left w:val="single" w:sz="2" w:space="0" w:color="7F859B"/>
              <w:bottom w:val="single" w:sz="2" w:space="0" w:color="7F859B"/>
            </w:tcBorders>
          </w:tcPr>
          <w:p w14:paraId="5B8E5674" w14:textId="77777777" w:rsidR="002541A8" w:rsidRPr="002541A8" w:rsidRDefault="002541A8" w:rsidP="00CD7977">
            <w:pPr>
              <w:pStyle w:val="TableParagraph"/>
              <w:keepNext/>
              <w:keepLines/>
              <w:spacing w:before="29"/>
              <w:ind w:right="104"/>
              <w:jc w:val="right"/>
              <w:rPr>
                <w:rFonts w:ascii="Calibri Light" w:hAnsi="Calibri Light" w:cs="Calibri Light"/>
                <w:sz w:val="16"/>
              </w:rPr>
            </w:pPr>
            <w:r w:rsidRPr="002541A8">
              <w:rPr>
                <w:rFonts w:ascii="Calibri Light" w:hAnsi="Calibri Light" w:cs="Calibri Light"/>
                <w:spacing w:val="-5"/>
                <w:sz w:val="16"/>
              </w:rPr>
              <w:t>2.2</w:t>
            </w:r>
          </w:p>
        </w:tc>
        <w:tc>
          <w:tcPr>
            <w:tcW w:w="549" w:type="pct"/>
            <w:tcBorders>
              <w:top w:val="single" w:sz="2" w:space="0" w:color="7F859B"/>
              <w:bottom w:val="single" w:sz="2" w:space="0" w:color="7F859B"/>
              <w:right w:val="single" w:sz="2" w:space="0" w:color="7F859B"/>
            </w:tcBorders>
          </w:tcPr>
          <w:p w14:paraId="7E9790AE"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7.7</w:t>
            </w:r>
          </w:p>
        </w:tc>
        <w:tc>
          <w:tcPr>
            <w:tcW w:w="546" w:type="pct"/>
            <w:tcBorders>
              <w:top w:val="single" w:sz="2" w:space="0" w:color="7F859B"/>
              <w:left w:val="single" w:sz="2" w:space="0" w:color="7F859B"/>
              <w:bottom w:val="single" w:sz="2" w:space="0" w:color="7F859B"/>
              <w:right w:val="nil"/>
            </w:tcBorders>
          </w:tcPr>
          <w:p w14:paraId="17965CAC" w14:textId="77777777" w:rsidR="002541A8" w:rsidRPr="002541A8" w:rsidRDefault="002541A8" w:rsidP="00CD7977">
            <w:pPr>
              <w:pStyle w:val="TableParagraph"/>
              <w:keepNext/>
              <w:keepLines/>
              <w:spacing w:before="29"/>
              <w:ind w:right="113"/>
              <w:jc w:val="right"/>
              <w:rPr>
                <w:rFonts w:ascii="Calibri Light" w:hAnsi="Calibri Light" w:cs="Calibri Light"/>
                <w:sz w:val="16"/>
              </w:rPr>
            </w:pPr>
            <w:r w:rsidRPr="002541A8">
              <w:rPr>
                <w:rFonts w:ascii="Calibri Light" w:hAnsi="Calibri Light" w:cs="Calibri Light"/>
                <w:spacing w:val="-5"/>
                <w:sz w:val="16"/>
              </w:rPr>
              <w:t>1.4</w:t>
            </w:r>
          </w:p>
        </w:tc>
      </w:tr>
      <w:tr w:rsidR="002541A8" w:rsidRPr="002541A8" w14:paraId="033AB70D" w14:textId="77777777" w:rsidTr="009D6DE6">
        <w:trPr>
          <w:trHeight w:val="277"/>
        </w:trPr>
        <w:tc>
          <w:tcPr>
            <w:tcW w:w="1160" w:type="pct"/>
            <w:tcBorders>
              <w:top w:val="single" w:sz="2" w:space="0" w:color="7F859B"/>
              <w:left w:val="nil"/>
              <w:bottom w:val="single" w:sz="2" w:space="0" w:color="7F859B"/>
            </w:tcBorders>
          </w:tcPr>
          <w:p w14:paraId="5BA582CF" w14:textId="77777777" w:rsidR="002541A8" w:rsidRPr="002541A8" w:rsidRDefault="002541A8" w:rsidP="00CD7977">
            <w:pPr>
              <w:pStyle w:val="TableParagraph"/>
              <w:keepNext/>
              <w:keepLines/>
              <w:spacing w:before="29"/>
              <w:ind w:left="103"/>
              <w:rPr>
                <w:rFonts w:ascii="Calibri Light" w:hAnsi="Calibri Light" w:cs="Calibri Light"/>
                <w:sz w:val="16"/>
              </w:rPr>
            </w:pPr>
            <w:r w:rsidRPr="002541A8">
              <w:rPr>
                <w:rFonts w:ascii="Calibri Light" w:hAnsi="Calibri Light" w:cs="Calibri Light"/>
                <w:sz w:val="16"/>
              </w:rPr>
              <w:t>European</w:t>
            </w:r>
            <w:r w:rsidRPr="002541A8">
              <w:rPr>
                <w:rFonts w:ascii="Calibri Light" w:hAnsi="Calibri Light" w:cs="Calibri Light"/>
                <w:spacing w:val="-6"/>
                <w:sz w:val="16"/>
              </w:rPr>
              <w:t xml:space="preserve"> </w:t>
            </w:r>
            <w:r w:rsidRPr="002541A8">
              <w:rPr>
                <w:rFonts w:ascii="Calibri Light" w:hAnsi="Calibri Light" w:cs="Calibri Light"/>
                <w:spacing w:val="-2"/>
                <w:sz w:val="16"/>
              </w:rPr>
              <w:t>Union</w:t>
            </w:r>
          </w:p>
        </w:tc>
        <w:tc>
          <w:tcPr>
            <w:tcW w:w="549" w:type="pct"/>
            <w:tcBorders>
              <w:top w:val="single" w:sz="2" w:space="0" w:color="7F859B"/>
              <w:bottom w:val="single" w:sz="2" w:space="0" w:color="7F859B"/>
              <w:right w:val="single" w:sz="2" w:space="0" w:color="7F859B"/>
            </w:tcBorders>
          </w:tcPr>
          <w:p w14:paraId="7798344F" w14:textId="77777777" w:rsidR="002541A8" w:rsidRPr="002541A8" w:rsidRDefault="002541A8" w:rsidP="00CD7977">
            <w:pPr>
              <w:pStyle w:val="TableParagraph"/>
              <w:keepNext/>
              <w:keepLines/>
              <w:spacing w:before="29"/>
              <w:ind w:right="101"/>
              <w:jc w:val="right"/>
              <w:rPr>
                <w:rFonts w:ascii="Calibri Light" w:hAnsi="Calibri Light" w:cs="Calibri Light"/>
                <w:sz w:val="16"/>
              </w:rPr>
            </w:pPr>
            <w:r w:rsidRPr="002541A8">
              <w:rPr>
                <w:rFonts w:ascii="Calibri Light" w:hAnsi="Calibri Light" w:cs="Calibri Light"/>
                <w:spacing w:val="-5"/>
                <w:sz w:val="16"/>
              </w:rPr>
              <w:t>3.5</w:t>
            </w:r>
          </w:p>
        </w:tc>
        <w:tc>
          <w:tcPr>
            <w:tcW w:w="549" w:type="pct"/>
            <w:tcBorders>
              <w:top w:val="single" w:sz="2" w:space="0" w:color="7F859B"/>
              <w:left w:val="single" w:sz="2" w:space="0" w:color="7F859B"/>
              <w:bottom w:val="single" w:sz="2" w:space="0" w:color="7F859B"/>
              <w:right w:val="single" w:sz="2" w:space="0" w:color="7F859B"/>
            </w:tcBorders>
          </w:tcPr>
          <w:p w14:paraId="251BB73B" w14:textId="77777777" w:rsidR="002541A8" w:rsidRPr="002541A8" w:rsidRDefault="002541A8" w:rsidP="00CD7977">
            <w:pPr>
              <w:pStyle w:val="TableParagraph"/>
              <w:keepNext/>
              <w:keepLines/>
              <w:spacing w:before="29"/>
              <w:ind w:right="109"/>
              <w:jc w:val="right"/>
              <w:rPr>
                <w:rFonts w:ascii="Calibri Light" w:hAnsi="Calibri Light" w:cs="Calibri Light"/>
                <w:sz w:val="16"/>
              </w:rPr>
            </w:pPr>
            <w:r w:rsidRPr="002541A8">
              <w:rPr>
                <w:rFonts w:ascii="Calibri Light" w:hAnsi="Calibri Light" w:cs="Calibri Light"/>
                <w:spacing w:val="-5"/>
                <w:sz w:val="16"/>
              </w:rPr>
              <w:t>na</w:t>
            </w:r>
          </w:p>
        </w:tc>
        <w:tc>
          <w:tcPr>
            <w:tcW w:w="549" w:type="pct"/>
            <w:tcBorders>
              <w:top w:val="single" w:sz="2" w:space="0" w:color="7F859B"/>
              <w:left w:val="single" w:sz="2" w:space="0" w:color="7F859B"/>
              <w:bottom w:val="single" w:sz="2" w:space="0" w:color="7F859B"/>
            </w:tcBorders>
          </w:tcPr>
          <w:p w14:paraId="33512814"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4.0</w:t>
            </w:r>
          </w:p>
        </w:tc>
        <w:tc>
          <w:tcPr>
            <w:tcW w:w="549" w:type="pct"/>
            <w:tcBorders>
              <w:top w:val="single" w:sz="2" w:space="0" w:color="7F859B"/>
              <w:bottom w:val="single" w:sz="2" w:space="0" w:color="7F859B"/>
              <w:right w:val="single" w:sz="2" w:space="0" w:color="7F859B"/>
            </w:tcBorders>
          </w:tcPr>
          <w:p w14:paraId="4B7B5258"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1.4</w:t>
            </w:r>
          </w:p>
        </w:tc>
        <w:tc>
          <w:tcPr>
            <w:tcW w:w="549" w:type="pct"/>
            <w:tcBorders>
              <w:top w:val="single" w:sz="2" w:space="0" w:color="7F859B"/>
              <w:left w:val="single" w:sz="2" w:space="0" w:color="7F859B"/>
              <w:bottom w:val="single" w:sz="2" w:space="0" w:color="7F859B"/>
            </w:tcBorders>
          </w:tcPr>
          <w:p w14:paraId="5512D3F5" w14:textId="77777777" w:rsidR="002541A8" w:rsidRPr="002541A8" w:rsidRDefault="002541A8" w:rsidP="00CD7977">
            <w:pPr>
              <w:pStyle w:val="TableParagraph"/>
              <w:keepNext/>
              <w:keepLines/>
              <w:spacing w:before="29"/>
              <w:ind w:right="104"/>
              <w:jc w:val="right"/>
              <w:rPr>
                <w:rFonts w:ascii="Calibri Light" w:hAnsi="Calibri Light" w:cs="Calibri Light"/>
                <w:sz w:val="16"/>
              </w:rPr>
            </w:pPr>
            <w:r w:rsidRPr="002541A8">
              <w:rPr>
                <w:rFonts w:ascii="Calibri Light" w:hAnsi="Calibri Light" w:cs="Calibri Light"/>
                <w:spacing w:val="-5"/>
                <w:sz w:val="16"/>
              </w:rPr>
              <w:t>2.3</w:t>
            </w:r>
          </w:p>
        </w:tc>
        <w:tc>
          <w:tcPr>
            <w:tcW w:w="549" w:type="pct"/>
            <w:tcBorders>
              <w:top w:val="single" w:sz="2" w:space="0" w:color="7F859B"/>
              <w:bottom w:val="single" w:sz="2" w:space="0" w:color="7F859B"/>
              <w:right w:val="single" w:sz="2" w:space="0" w:color="7F859B"/>
            </w:tcBorders>
          </w:tcPr>
          <w:p w14:paraId="4E5A3D9D"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9.4</w:t>
            </w:r>
          </w:p>
        </w:tc>
        <w:tc>
          <w:tcPr>
            <w:tcW w:w="546" w:type="pct"/>
            <w:tcBorders>
              <w:top w:val="single" w:sz="2" w:space="0" w:color="7F859B"/>
              <w:left w:val="single" w:sz="2" w:space="0" w:color="7F859B"/>
              <w:bottom w:val="single" w:sz="2" w:space="0" w:color="7F859B"/>
              <w:right w:val="nil"/>
            </w:tcBorders>
          </w:tcPr>
          <w:p w14:paraId="76FA812E" w14:textId="77777777" w:rsidR="002541A8" w:rsidRPr="002541A8" w:rsidRDefault="002541A8" w:rsidP="00CD7977">
            <w:pPr>
              <w:pStyle w:val="TableParagraph"/>
              <w:keepNext/>
              <w:keepLines/>
              <w:spacing w:before="29"/>
              <w:ind w:right="113"/>
              <w:jc w:val="right"/>
              <w:rPr>
                <w:rFonts w:ascii="Calibri Light" w:hAnsi="Calibri Light" w:cs="Calibri Light"/>
                <w:sz w:val="16"/>
              </w:rPr>
            </w:pPr>
            <w:r w:rsidRPr="002541A8">
              <w:rPr>
                <w:rFonts w:ascii="Calibri Light" w:hAnsi="Calibri Light" w:cs="Calibri Light"/>
                <w:spacing w:val="-5"/>
                <w:sz w:val="16"/>
              </w:rPr>
              <w:t>1.5</w:t>
            </w:r>
          </w:p>
        </w:tc>
      </w:tr>
      <w:tr w:rsidR="002541A8" w:rsidRPr="002541A8" w14:paraId="563EF1F3" w14:textId="77777777" w:rsidTr="009D6DE6">
        <w:trPr>
          <w:trHeight w:val="277"/>
        </w:trPr>
        <w:tc>
          <w:tcPr>
            <w:tcW w:w="1160" w:type="pct"/>
            <w:tcBorders>
              <w:top w:val="single" w:sz="2" w:space="0" w:color="7F859B"/>
              <w:left w:val="nil"/>
              <w:bottom w:val="single" w:sz="2" w:space="0" w:color="7F859B"/>
            </w:tcBorders>
          </w:tcPr>
          <w:p w14:paraId="7E8D3294" w14:textId="77777777" w:rsidR="002541A8" w:rsidRPr="002541A8" w:rsidRDefault="002541A8" w:rsidP="00CD7977">
            <w:pPr>
              <w:pStyle w:val="TableParagraph"/>
              <w:keepNext/>
              <w:keepLines/>
              <w:spacing w:before="29"/>
              <w:ind w:left="240"/>
              <w:rPr>
                <w:rFonts w:ascii="Calibri Light" w:hAnsi="Calibri Light" w:cs="Calibri Light"/>
                <w:sz w:val="16"/>
              </w:rPr>
            </w:pPr>
            <w:r w:rsidRPr="002541A8">
              <w:rPr>
                <w:rFonts w:ascii="Calibri Light" w:hAnsi="Calibri Light" w:cs="Calibri Light"/>
                <w:spacing w:val="-2"/>
                <w:sz w:val="16"/>
              </w:rPr>
              <w:t>France</w:t>
            </w:r>
          </w:p>
        </w:tc>
        <w:tc>
          <w:tcPr>
            <w:tcW w:w="549" w:type="pct"/>
            <w:tcBorders>
              <w:top w:val="single" w:sz="2" w:space="0" w:color="7F859B"/>
              <w:bottom w:val="single" w:sz="2" w:space="0" w:color="7F859B"/>
              <w:right w:val="single" w:sz="2" w:space="0" w:color="7F859B"/>
            </w:tcBorders>
          </w:tcPr>
          <w:p w14:paraId="09DA5534" w14:textId="77777777" w:rsidR="002541A8" w:rsidRPr="002541A8" w:rsidRDefault="002541A8" w:rsidP="00CD7977">
            <w:pPr>
              <w:pStyle w:val="TableParagraph"/>
              <w:keepNext/>
              <w:keepLines/>
              <w:spacing w:before="29"/>
              <w:ind w:right="102"/>
              <w:jc w:val="right"/>
              <w:rPr>
                <w:rFonts w:ascii="Calibri Light" w:hAnsi="Calibri Light" w:cs="Calibri Light"/>
                <w:sz w:val="16"/>
              </w:rPr>
            </w:pPr>
            <w:r w:rsidRPr="002541A8">
              <w:rPr>
                <w:rFonts w:ascii="Calibri Light" w:hAnsi="Calibri Light" w:cs="Calibri Light"/>
                <w:spacing w:val="-5"/>
                <w:sz w:val="16"/>
              </w:rPr>
              <w:t>1.5</w:t>
            </w:r>
          </w:p>
        </w:tc>
        <w:tc>
          <w:tcPr>
            <w:tcW w:w="549" w:type="pct"/>
            <w:tcBorders>
              <w:top w:val="single" w:sz="2" w:space="0" w:color="7F859B"/>
              <w:left w:val="single" w:sz="2" w:space="0" w:color="7F859B"/>
              <w:bottom w:val="single" w:sz="2" w:space="0" w:color="7F859B"/>
              <w:right w:val="single" w:sz="2" w:space="0" w:color="7F859B"/>
            </w:tcBorders>
          </w:tcPr>
          <w:p w14:paraId="180352A2" w14:textId="77777777" w:rsidR="002541A8" w:rsidRPr="002541A8" w:rsidRDefault="002541A8" w:rsidP="00CD7977">
            <w:pPr>
              <w:pStyle w:val="TableParagraph"/>
              <w:keepNext/>
              <w:keepLines/>
              <w:spacing w:before="29"/>
              <w:ind w:right="110"/>
              <w:jc w:val="right"/>
              <w:rPr>
                <w:rFonts w:ascii="Calibri Light" w:hAnsi="Calibri Light" w:cs="Calibri Light"/>
                <w:sz w:val="16"/>
              </w:rPr>
            </w:pPr>
            <w:r w:rsidRPr="002541A8">
              <w:rPr>
                <w:rFonts w:ascii="Calibri Light" w:hAnsi="Calibri Light" w:cs="Calibri Light"/>
                <w:sz w:val="16"/>
              </w:rPr>
              <w:t>2</w:t>
            </w:r>
          </w:p>
        </w:tc>
        <w:tc>
          <w:tcPr>
            <w:tcW w:w="549" w:type="pct"/>
            <w:tcBorders>
              <w:top w:val="single" w:sz="2" w:space="0" w:color="7F859B"/>
              <w:left w:val="single" w:sz="2" w:space="0" w:color="7F859B"/>
              <w:bottom w:val="single" w:sz="2" w:space="0" w:color="7F859B"/>
            </w:tcBorders>
          </w:tcPr>
          <w:p w14:paraId="5285C0CE"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0.8</w:t>
            </w:r>
          </w:p>
        </w:tc>
        <w:tc>
          <w:tcPr>
            <w:tcW w:w="549" w:type="pct"/>
            <w:tcBorders>
              <w:top w:val="single" w:sz="2" w:space="0" w:color="7F859B"/>
              <w:bottom w:val="single" w:sz="2" w:space="0" w:color="7F859B"/>
              <w:right w:val="single" w:sz="2" w:space="0" w:color="7F859B"/>
            </w:tcBorders>
          </w:tcPr>
          <w:p w14:paraId="70428243"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1.0</w:t>
            </w:r>
          </w:p>
        </w:tc>
        <w:tc>
          <w:tcPr>
            <w:tcW w:w="549" w:type="pct"/>
            <w:tcBorders>
              <w:top w:val="single" w:sz="2" w:space="0" w:color="7F859B"/>
              <w:left w:val="single" w:sz="2" w:space="0" w:color="7F859B"/>
              <w:bottom w:val="single" w:sz="2" w:space="0" w:color="7F859B"/>
            </w:tcBorders>
          </w:tcPr>
          <w:p w14:paraId="428C45F7" w14:textId="77777777" w:rsidR="002541A8" w:rsidRPr="002541A8" w:rsidRDefault="002541A8" w:rsidP="00CD7977">
            <w:pPr>
              <w:pStyle w:val="TableParagraph"/>
              <w:keepNext/>
              <w:keepLines/>
              <w:spacing w:before="29"/>
              <w:ind w:right="104"/>
              <w:jc w:val="right"/>
              <w:rPr>
                <w:rFonts w:ascii="Calibri Light" w:hAnsi="Calibri Light" w:cs="Calibri Light"/>
                <w:sz w:val="16"/>
              </w:rPr>
            </w:pPr>
            <w:r w:rsidRPr="002541A8">
              <w:rPr>
                <w:rFonts w:ascii="Calibri Light" w:hAnsi="Calibri Light" w:cs="Calibri Light"/>
                <w:spacing w:val="-5"/>
                <w:sz w:val="16"/>
              </w:rPr>
              <w:t>2.4</w:t>
            </w:r>
          </w:p>
        </w:tc>
        <w:tc>
          <w:tcPr>
            <w:tcW w:w="549" w:type="pct"/>
            <w:tcBorders>
              <w:top w:val="single" w:sz="2" w:space="0" w:color="7F859B"/>
              <w:bottom w:val="single" w:sz="2" w:space="0" w:color="7F859B"/>
              <w:right w:val="single" w:sz="2" w:space="0" w:color="7F859B"/>
            </w:tcBorders>
          </w:tcPr>
          <w:p w14:paraId="1A64F7DD"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9.4</w:t>
            </w:r>
          </w:p>
        </w:tc>
        <w:tc>
          <w:tcPr>
            <w:tcW w:w="546" w:type="pct"/>
            <w:tcBorders>
              <w:top w:val="single" w:sz="2" w:space="0" w:color="7F859B"/>
              <w:left w:val="single" w:sz="2" w:space="0" w:color="7F859B"/>
              <w:bottom w:val="single" w:sz="2" w:space="0" w:color="7F859B"/>
              <w:right w:val="nil"/>
            </w:tcBorders>
          </w:tcPr>
          <w:p w14:paraId="2E8598AD" w14:textId="77777777" w:rsidR="002541A8" w:rsidRPr="002541A8" w:rsidRDefault="002541A8" w:rsidP="00CD7977">
            <w:pPr>
              <w:pStyle w:val="TableParagraph"/>
              <w:keepNext/>
              <w:keepLines/>
              <w:spacing w:before="29"/>
              <w:ind w:right="113"/>
              <w:jc w:val="right"/>
              <w:rPr>
                <w:rFonts w:ascii="Calibri Light" w:hAnsi="Calibri Light" w:cs="Calibri Light"/>
                <w:sz w:val="16"/>
              </w:rPr>
            </w:pPr>
            <w:r w:rsidRPr="002541A8">
              <w:rPr>
                <w:rFonts w:ascii="Calibri Light" w:hAnsi="Calibri Light" w:cs="Calibri Light"/>
                <w:spacing w:val="-5"/>
                <w:sz w:val="16"/>
              </w:rPr>
              <w:t>1.0</w:t>
            </w:r>
          </w:p>
        </w:tc>
      </w:tr>
      <w:tr w:rsidR="002541A8" w:rsidRPr="002541A8" w14:paraId="07B367CC" w14:textId="77777777" w:rsidTr="009D6DE6">
        <w:trPr>
          <w:trHeight w:val="277"/>
        </w:trPr>
        <w:tc>
          <w:tcPr>
            <w:tcW w:w="1160" w:type="pct"/>
            <w:tcBorders>
              <w:top w:val="single" w:sz="2" w:space="0" w:color="7F859B"/>
              <w:left w:val="nil"/>
              <w:bottom w:val="single" w:sz="2" w:space="0" w:color="7F859B"/>
            </w:tcBorders>
          </w:tcPr>
          <w:p w14:paraId="47D4CD98" w14:textId="77777777" w:rsidR="002541A8" w:rsidRPr="002541A8" w:rsidRDefault="002541A8" w:rsidP="00CD7977">
            <w:pPr>
              <w:pStyle w:val="TableParagraph"/>
              <w:keepNext/>
              <w:keepLines/>
              <w:spacing w:before="29"/>
              <w:ind w:left="240"/>
              <w:rPr>
                <w:rFonts w:ascii="Calibri Light" w:hAnsi="Calibri Light" w:cs="Calibri Light"/>
                <w:sz w:val="16"/>
              </w:rPr>
            </w:pPr>
            <w:r w:rsidRPr="002541A8">
              <w:rPr>
                <w:rFonts w:ascii="Calibri Light" w:hAnsi="Calibri Light" w:cs="Calibri Light"/>
                <w:spacing w:val="-2"/>
                <w:sz w:val="16"/>
              </w:rPr>
              <w:t>Germany</w:t>
            </w:r>
          </w:p>
        </w:tc>
        <w:tc>
          <w:tcPr>
            <w:tcW w:w="549" w:type="pct"/>
            <w:tcBorders>
              <w:top w:val="single" w:sz="2" w:space="0" w:color="7F859B"/>
              <w:bottom w:val="single" w:sz="2" w:space="0" w:color="7F859B"/>
              <w:right w:val="single" w:sz="2" w:space="0" w:color="7F859B"/>
            </w:tcBorders>
          </w:tcPr>
          <w:p w14:paraId="49E023A6" w14:textId="77777777" w:rsidR="002541A8" w:rsidRPr="002541A8" w:rsidRDefault="002541A8" w:rsidP="00CD7977">
            <w:pPr>
              <w:pStyle w:val="TableParagraph"/>
              <w:keepNext/>
              <w:keepLines/>
              <w:spacing w:before="29"/>
              <w:ind w:right="102"/>
              <w:jc w:val="right"/>
              <w:rPr>
                <w:rFonts w:ascii="Calibri Light" w:hAnsi="Calibri Light" w:cs="Calibri Light"/>
                <w:sz w:val="16"/>
              </w:rPr>
            </w:pPr>
            <w:r w:rsidRPr="002541A8">
              <w:rPr>
                <w:rFonts w:ascii="Calibri Light" w:hAnsi="Calibri Light" w:cs="Calibri Light"/>
                <w:spacing w:val="-5"/>
                <w:sz w:val="16"/>
              </w:rPr>
              <w:t>1.6</w:t>
            </w:r>
          </w:p>
        </w:tc>
        <w:tc>
          <w:tcPr>
            <w:tcW w:w="549" w:type="pct"/>
            <w:tcBorders>
              <w:top w:val="single" w:sz="2" w:space="0" w:color="7F859B"/>
              <w:left w:val="single" w:sz="2" w:space="0" w:color="7F859B"/>
              <w:bottom w:val="single" w:sz="2" w:space="0" w:color="7F859B"/>
              <w:right w:val="single" w:sz="2" w:space="0" w:color="7F859B"/>
            </w:tcBorders>
          </w:tcPr>
          <w:p w14:paraId="36C47291" w14:textId="77777777" w:rsidR="002541A8" w:rsidRPr="002541A8" w:rsidRDefault="002541A8" w:rsidP="00CD7977">
            <w:pPr>
              <w:pStyle w:val="TableParagraph"/>
              <w:keepNext/>
              <w:keepLines/>
              <w:spacing w:before="29"/>
              <w:ind w:right="110"/>
              <w:jc w:val="right"/>
              <w:rPr>
                <w:rFonts w:ascii="Calibri Light" w:hAnsi="Calibri Light" w:cs="Calibri Light"/>
                <w:sz w:val="16"/>
              </w:rPr>
            </w:pPr>
            <w:r w:rsidRPr="002541A8">
              <w:rPr>
                <w:rFonts w:ascii="Calibri Light" w:hAnsi="Calibri Light" w:cs="Calibri Light"/>
                <w:sz w:val="16"/>
              </w:rPr>
              <w:t>2</w:t>
            </w:r>
          </w:p>
        </w:tc>
        <w:tc>
          <w:tcPr>
            <w:tcW w:w="549" w:type="pct"/>
            <w:tcBorders>
              <w:top w:val="single" w:sz="2" w:space="0" w:color="7F859B"/>
              <w:left w:val="single" w:sz="2" w:space="0" w:color="7F859B"/>
              <w:bottom w:val="single" w:sz="2" w:space="0" w:color="7F859B"/>
            </w:tcBorders>
          </w:tcPr>
          <w:p w14:paraId="296C07A8"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0.9</w:t>
            </w:r>
          </w:p>
        </w:tc>
        <w:tc>
          <w:tcPr>
            <w:tcW w:w="549" w:type="pct"/>
            <w:tcBorders>
              <w:top w:val="single" w:sz="2" w:space="0" w:color="7F859B"/>
              <w:bottom w:val="single" w:sz="2" w:space="0" w:color="7F859B"/>
              <w:right w:val="single" w:sz="2" w:space="0" w:color="7F859B"/>
            </w:tcBorders>
          </w:tcPr>
          <w:p w14:paraId="306E8FD9"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1.1</w:t>
            </w:r>
          </w:p>
        </w:tc>
        <w:tc>
          <w:tcPr>
            <w:tcW w:w="549" w:type="pct"/>
            <w:tcBorders>
              <w:top w:val="single" w:sz="2" w:space="0" w:color="7F859B"/>
              <w:left w:val="single" w:sz="2" w:space="0" w:color="7F859B"/>
              <w:bottom w:val="single" w:sz="2" w:space="0" w:color="7F859B"/>
            </w:tcBorders>
          </w:tcPr>
          <w:p w14:paraId="1C914D2E" w14:textId="77777777" w:rsidR="002541A8" w:rsidRPr="002541A8" w:rsidRDefault="002541A8" w:rsidP="00CD7977">
            <w:pPr>
              <w:pStyle w:val="TableParagraph"/>
              <w:keepNext/>
              <w:keepLines/>
              <w:spacing w:before="29"/>
              <w:ind w:right="104"/>
              <w:jc w:val="right"/>
              <w:rPr>
                <w:rFonts w:ascii="Calibri Light" w:hAnsi="Calibri Light" w:cs="Calibri Light"/>
                <w:sz w:val="16"/>
              </w:rPr>
            </w:pPr>
            <w:r w:rsidRPr="002541A8">
              <w:rPr>
                <w:rFonts w:ascii="Calibri Light" w:hAnsi="Calibri Light" w:cs="Calibri Light"/>
                <w:spacing w:val="-5"/>
                <w:sz w:val="16"/>
              </w:rPr>
              <w:t>2.1</w:t>
            </w:r>
          </w:p>
        </w:tc>
        <w:tc>
          <w:tcPr>
            <w:tcW w:w="549" w:type="pct"/>
            <w:tcBorders>
              <w:top w:val="single" w:sz="2" w:space="0" w:color="7F859B"/>
              <w:bottom w:val="single" w:sz="2" w:space="0" w:color="7F859B"/>
              <w:right w:val="single" w:sz="2" w:space="0" w:color="7F859B"/>
            </w:tcBorders>
          </w:tcPr>
          <w:p w14:paraId="0D4A8CEB"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7.0</w:t>
            </w:r>
          </w:p>
        </w:tc>
        <w:tc>
          <w:tcPr>
            <w:tcW w:w="546" w:type="pct"/>
            <w:tcBorders>
              <w:top w:val="single" w:sz="2" w:space="0" w:color="7F859B"/>
              <w:left w:val="single" w:sz="2" w:space="0" w:color="7F859B"/>
              <w:bottom w:val="single" w:sz="2" w:space="0" w:color="7F859B"/>
              <w:right w:val="nil"/>
            </w:tcBorders>
          </w:tcPr>
          <w:p w14:paraId="000CD77C" w14:textId="77777777" w:rsidR="002541A8" w:rsidRPr="002541A8" w:rsidRDefault="002541A8" w:rsidP="00CD7977">
            <w:pPr>
              <w:pStyle w:val="TableParagraph"/>
              <w:keepNext/>
              <w:keepLines/>
              <w:spacing w:before="29"/>
              <w:ind w:right="113"/>
              <w:jc w:val="right"/>
              <w:rPr>
                <w:rFonts w:ascii="Calibri Light" w:hAnsi="Calibri Light" w:cs="Calibri Light"/>
                <w:sz w:val="16"/>
              </w:rPr>
            </w:pPr>
            <w:r w:rsidRPr="002541A8">
              <w:rPr>
                <w:rFonts w:ascii="Calibri Light" w:hAnsi="Calibri Light" w:cs="Calibri Light"/>
                <w:spacing w:val="-5"/>
                <w:sz w:val="16"/>
              </w:rPr>
              <w:t>2.5</w:t>
            </w:r>
          </w:p>
        </w:tc>
      </w:tr>
      <w:tr w:rsidR="002541A8" w:rsidRPr="002541A8" w14:paraId="0B5F0271" w14:textId="77777777" w:rsidTr="009D6DE6">
        <w:trPr>
          <w:trHeight w:val="277"/>
        </w:trPr>
        <w:tc>
          <w:tcPr>
            <w:tcW w:w="1160" w:type="pct"/>
            <w:tcBorders>
              <w:top w:val="single" w:sz="2" w:space="0" w:color="7F859B"/>
              <w:left w:val="nil"/>
              <w:bottom w:val="single" w:sz="2" w:space="0" w:color="7F859B"/>
            </w:tcBorders>
          </w:tcPr>
          <w:p w14:paraId="08A1B5FC" w14:textId="77777777" w:rsidR="002541A8" w:rsidRPr="002541A8" w:rsidRDefault="002541A8" w:rsidP="00CD7977">
            <w:pPr>
              <w:pStyle w:val="TableParagraph"/>
              <w:keepNext/>
              <w:keepLines/>
              <w:spacing w:before="29"/>
              <w:ind w:left="240"/>
              <w:rPr>
                <w:rFonts w:ascii="Calibri Light" w:hAnsi="Calibri Light" w:cs="Calibri Light"/>
                <w:sz w:val="16"/>
              </w:rPr>
            </w:pPr>
            <w:r w:rsidRPr="002541A8">
              <w:rPr>
                <w:rFonts w:ascii="Calibri Light" w:hAnsi="Calibri Light" w:cs="Calibri Light"/>
                <w:spacing w:val="-2"/>
                <w:sz w:val="16"/>
              </w:rPr>
              <w:t>Sweden</w:t>
            </w:r>
          </w:p>
        </w:tc>
        <w:tc>
          <w:tcPr>
            <w:tcW w:w="549" w:type="pct"/>
            <w:tcBorders>
              <w:top w:val="single" w:sz="2" w:space="0" w:color="7F859B"/>
              <w:bottom w:val="single" w:sz="2" w:space="0" w:color="7F859B"/>
              <w:right w:val="single" w:sz="2" w:space="0" w:color="7F859B"/>
            </w:tcBorders>
          </w:tcPr>
          <w:p w14:paraId="3ECF4082" w14:textId="77777777" w:rsidR="002541A8" w:rsidRPr="002541A8" w:rsidRDefault="002541A8" w:rsidP="00CD7977">
            <w:pPr>
              <w:pStyle w:val="TableParagraph"/>
              <w:keepNext/>
              <w:keepLines/>
              <w:spacing w:before="29"/>
              <w:ind w:right="102"/>
              <w:jc w:val="right"/>
              <w:rPr>
                <w:rFonts w:ascii="Calibri Light" w:hAnsi="Calibri Light" w:cs="Calibri Light"/>
                <w:sz w:val="16"/>
              </w:rPr>
            </w:pPr>
            <w:r w:rsidRPr="002541A8">
              <w:rPr>
                <w:rFonts w:ascii="Calibri Light" w:hAnsi="Calibri Light" w:cs="Calibri Light"/>
                <w:spacing w:val="-5"/>
                <w:sz w:val="16"/>
              </w:rPr>
              <w:t>1.7</w:t>
            </w:r>
          </w:p>
        </w:tc>
        <w:tc>
          <w:tcPr>
            <w:tcW w:w="549" w:type="pct"/>
            <w:tcBorders>
              <w:top w:val="single" w:sz="2" w:space="0" w:color="7F859B"/>
              <w:left w:val="single" w:sz="2" w:space="0" w:color="7F859B"/>
              <w:bottom w:val="single" w:sz="2" w:space="0" w:color="7F859B"/>
              <w:right w:val="single" w:sz="2" w:space="0" w:color="7F859B"/>
            </w:tcBorders>
          </w:tcPr>
          <w:p w14:paraId="2FEA9935" w14:textId="77777777" w:rsidR="002541A8" w:rsidRPr="002541A8" w:rsidRDefault="002541A8" w:rsidP="00CD7977">
            <w:pPr>
              <w:pStyle w:val="TableParagraph"/>
              <w:keepNext/>
              <w:keepLines/>
              <w:spacing w:before="29"/>
              <w:ind w:right="110"/>
              <w:jc w:val="right"/>
              <w:rPr>
                <w:rFonts w:ascii="Calibri Light" w:hAnsi="Calibri Light" w:cs="Calibri Light"/>
                <w:sz w:val="16"/>
              </w:rPr>
            </w:pPr>
            <w:r w:rsidRPr="002541A8">
              <w:rPr>
                <w:rFonts w:ascii="Calibri Light" w:hAnsi="Calibri Light" w:cs="Calibri Light"/>
                <w:sz w:val="16"/>
              </w:rPr>
              <w:t>2</w:t>
            </w:r>
          </w:p>
        </w:tc>
        <w:tc>
          <w:tcPr>
            <w:tcW w:w="549" w:type="pct"/>
            <w:tcBorders>
              <w:top w:val="single" w:sz="2" w:space="0" w:color="7F859B"/>
              <w:left w:val="single" w:sz="2" w:space="0" w:color="7F859B"/>
              <w:bottom w:val="single" w:sz="2" w:space="0" w:color="7F859B"/>
            </w:tcBorders>
          </w:tcPr>
          <w:p w14:paraId="56044FAF"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1.0</w:t>
            </w:r>
          </w:p>
        </w:tc>
        <w:tc>
          <w:tcPr>
            <w:tcW w:w="549" w:type="pct"/>
            <w:tcBorders>
              <w:top w:val="single" w:sz="2" w:space="0" w:color="7F859B"/>
              <w:bottom w:val="single" w:sz="2" w:space="0" w:color="7F859B"/>
              <w:right w:val="single" w:sz="2" w:space="0" w:color="7F859B"/>
            </w:tcBorders>
          </w:tcPr>
          <w:p w14:paraId="7E71C6B6"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1.7</w:t>
            </w:r>
          </w:p>
        </w:tc>
        <w:tc>
          <w:tcPr>
            <w:tcW w:w="549" w:type="pct"/>
            <w:tcBorders>
              <w:top w:val="single" w:sz="2" w:space="0" w:color="7F859B"/>
              <w:left w:val="single" w:sz="2" w:space="0" w:color="7F859B"/>
              <w:bottom w:val="single" w:sz="2" w:space="0" w:color="7F859B"/>
            </w:tcBorders>
          </w:tcPr>
          <w:p w14:paraId="6DE121A9" w14:textId="77777777" w:rsidR="002541A8" w:rsidRPr="002541A8" w:rsidRDefault="002541A8" w:rsidP="00CD7977">
            <w:pPr>
              <w:pStyle w:val="TableParagraph"/>
              <w:keepNext/>
              <w:keepLines/>
              <w:spacing w:before="29"/>
              <w:ind w:right="104"/>
              <w:jc w:val="right"/>
              <w:rPr>
                <w:rFonts w:ascii="Calibri Light" w:hAnsi="Calibri Light" w:cs="Calibri Light"/>
                <w:sz w:val="16"/>
              </w:rPr>
            </w:pPr>
            <w:r w:rsidRPr="002541A8">
              <w:rPr>
                <w:rFonts w:ascii="Calibri Light" w:hAnsi="Calibri Light" w:cs="Calibri Light"/>
                <w:spacing w:val="-5"/>
                <w:sz w:val="16"/>
              </w:rPr>
              <w:t>2.4</w:t>
            </w:r>
          </w:p>
        </w:tc>
        <w:tc>
          <w:tcPr>
            <w:tcW w:w="549" w:type="pct"/>
            <w:tcBorders>
              <w:top w:val="single" w:sz="2" w:space="0" w:color="7F859B"/>
              <w:bottom w:val="single" w:sz="2" w:space="0" w:color="7F859B"/>
              <w:right w:val="single" w:sz="2" w:space="0" w:color="7F859B"/>
            </w:tcBorders>
          </w:tcPr>
          <w:p w14:paraId="70D53FCF"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8.0</w:t>
            </w:r>
          </w:p>
        </w:tc>
        <w:tc>
          <w:tcPr>
            <w:tcW w:w="546" w:type="pct"/>
            <w:tcBorders>
              <w:top w:val="single" w:sz="2" w:space="0" w:color="7F859B"/>
              <w:left w:val="single" w:sz="2" w:space="0" w:color="7F859B"/>
              <w:bottom w:val="single" w:sz="2" w:space="0" w:color="7F859B"/>
              <w:right w:val="nil"/>
            </w:tcBorders>
          </w:tcPr>
          <w:p w14:paraId="3FFDEC4C" w14:textId="77777777" w:rsidR="002541A8" w:rsidRPr="002541A8" w:rsidRDefault="002541A8" w:rsidP="00CD7977">
            <w:pPr>
              <w:pStyle w:val="TableParagraph"/>
              <w:keepNext/>
              <w:keepLines/>
              <w:spacing w:before="29"/>
              <w:ind w:right="113"/>
              <w:jc w:val="right"/>
              <w:rPr>
                <w:rFonts w:ascii="Calibri Light" w:hAnsi="Calibri Light" w:cs="Calibri Light"/>
                <w:sz w:val="16"/>
              </w:rPr>
            </w:pPr>
            <w:r w:rsidRPr="002541A8">
              <w:rPr>
                <w:rFonts w:ascii="Calibri Light" w:hAnsi="Calibri Light" w:cs="Calibri Light"/>
                <w:spacing w:val="-5"/>
                <w:sz w:val="16"/>
              </w:rPr>
              <w:t>1.6</w:t>
            </w:r>
          </w:p>
        </w:tc>
      </w:tr>
      <w:tr w:rsidR="002541A8" w:rsidRPr="002541A8" w14:paraId="57D342F4" w14:textId="77777777" w:rsidTr="009D6DE6">
        <w:trPr>
          <w:trHeight w:val="277"/>
        </w:trPr>
        <w:tc>
          <w:tcPr>
            <w:tcW w:w="1160" w:type="pct"/>
            <w:tcBorders>
              <w:top w:val="single" w:sz="2" w:space="0" w:color="7F859B"/>
              <w:left w:val="nil"/>
              <w:bottom w:val="single" w:sz="2" w:space="0" w:color="7F859B"/>
            </w:tcBorders>
          </w:tcPr>
          <w:p w14:paraId="56ED72EE" w14:textId="77777777" w:rsidR="002541A8" w:rsidRPr="002541A8" w:rsidRDefault="002541A8" w:rsidP="00CD7977">
            <w:pPr>
              <w:pStyle w:val="TableParagraph"/>
              <w:keepNext/>
              <w:keepLines/>
              <w:spacing w:before="29"/>
              <w:ind w:left="103"/>
              <w:rPr>
                <w:rFonts w:ascii="Calibri Light" w:hAnsi="Calibri Light" w:cs="Calibri Light"/>
                <w:sz w:val="16"/>
              </w:rPr>
            </w:pPr>
            <w:r w:rsidRPr="002541A8">
              <w:rPr>
                <w:rFonts w:ascii="Calibri Light" w:hAnsi="Calibri Light" w:cs="Calibri Light"/>
                <w:spacing w:val="-2"/>
                <w:sz w:val="16"/>
              </w:rPr>
              <w:t>Japan</w:t>
            </w:r>
          </w:p>
        </w:tc>
        <w:tc>
          <w:tcPr>
            <w:tcW w:w="549" w:type="pct"/>
            <w:tcBorders>
              <w:top w:val="single" w:sz="2" w:space="0" w:color="7F859B"/>
              <w:bottom w:val="single" w:sz="2" w:space="0" w:color="7F859B"/>
              <w:right w:val="single" w:sz="2" w:space="0" w:color="7F859B"/>
            </w:tcBorders>
          </w:tcPr>
          <w:p w14:paraId="6E5EF20B" w14:textId="77777777" w:rsidR="002541A8" w:rsidRPr="002541A8" w:rsidRDefault="002541A8" w:rsidP="00CD7977">
            <w:pPr>
              <w:pStyle w:val="TableParagraph"/>
              <w:keepNext/>
              <w:keepLines/>
              <w:spacing w:before="29"/>
              <w:ind w:right="102"/>
              <w:jc w:val="right"/>
              <w:rPr>
                <w:rFonts w:ascii="Calibri Light" w:hAnsi="Calibri Light" w:cs="Calibri Light"/>
                <w:sz w:val="16"/>
              </w:rPr>
            </w:pPr>
            <w:r w:rsidRPr="002541A8">
              <w:rPr>
                <w:rFonts w:ascii="Calibri Light" w:hAnsi="Calibri Light" w:cs="Calibri Light"/>
                <w:spacing w:val="-5"/>
                <w:sz w:val="16"/>
              </w:rPr>
              <w:t>0.2</w:t>
            </w:r>
          </w:p>
        </w:tc>
        <w:tc>
          <w:tcPr>
            <w:tcW w:w="549" w:type="pct"/>
            <w:tcBorders>
              <w:top w:val="single" w:sz="2" w:space="0" w:color="7F859B"/>
              <w:left w:val="single" w:sz="2" w:space="0" w:color="7F859B"/>
              <w:bottom w:val="single" w:sz="2" w:space="0" w:color="7F859B"/>
              <w:right w:val="single" w:sz="2" w:space="0" w:color="7F859B"/>
            </w:tcBorders>
          </w:tcPr>
          <w:p w14:paraId="4B788B2E" w14:textId="77777777" w:rsidR="002541A8" w:rsidRPr="002541A8" w:rsidRDefault="002541A8" w:rsidP="00CD7977">
            <w:pPr>
              <w:pStyle w:val="TableParagraph"/>
              <w:keepNext/>
              <w:keepLines/>
              <w:spacing w:before="29"/>
              <w:ind w:right="110"/>
              <w:jc w:val="right"/>
              <w:rPr>
                <w:rFonts w:ascii="Calibri Light" w:hAnsi="Calibri Light" w:cs="Calibri Light"/>
                <w:sz w:val="16"/>
              </w:rPr>
            </w:pPr>
            <w:r w:rsidRPr="002541A8">
              <w:rPr>
                <w:rFonts w:ascii="Calibri Light" w:hAnsi="Calibri Light" w:cs="Calibri Light"/>
                <w:sz w:val="16"/>
              </w:rPr>
              <w:t>2</w:t>
            </w:r>
          </w:p>
        </w:tc>
        <w:tc>
          <w:tcPr>
            <w:tcW w:w="549" w:type="pct"/>
            <w:tcBorders>
              <w:top w:val="single" w:sz="2" w:space="0" w:color="7F859B"/>
              <w:left w:val="single" w:sz="2" w:space="0" w:color="7F859B"/>
              <w:bottom w:val="single" w:sz="2" w:space="0" w:color="7F859B"/>
            </w:tcBorders>
          </w:tcPr>
          <w:p w14:paraId="6A802EDD"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0.9</w:t>
            </w:r>
          </w:p>
        </w:tc>
        <w:tc>
          <w:tcPr>
            <w:tcW w:w="549" w:type="pct"/>
            <w:tcBorders>
              <w:top w:val="single" w:sz="2" w:space="0" w:color="7F859B"/>
              <w:bottom w:val="single" w:sz="2" w:space="0" w:color="7F859B"/>
              <w:right w:val="single" w:sz="2" w:space="0" w:color="7F859B"/>
            </w:tcBorders>
          </w:tcPr>
          <w:p w14:paraId="5292B53E" w14:textId="77777777" w:rsidR="002541A8" w:rsidRPr="002541A8" w:rsidRDefault="002541A8" w:rsidP="00CD7977">
            <w:pPr>
              <w:pStyle w:val="TableParagraph"/>
              <w:keepNext/>
              <w:keepLines/>
              <w:spacing w:before="29"/>
              <w:ind w:right="104"/>
              <w:jc w:val="right"/>
              <w:rPr>
                <w:rFonts w:ascii="Calibri Light" w:hAnsi="Calibri Light" w:cs="Calibri Light"/>
                <w:sz w:val="16"/>
              </w:rPr>
            </w:pPr>
            <w:r w:rsidRPr="002541A8">
              <w:rPr>
                <w:rFonts w:ascii="Calibri Light" w:hAnsi="Calibri Light" w:cs="Calibri Light"/>
                <w:spacing w:val="-5"/>
                <w:sz w:val="16"/>
              </w:rPr>
              <w:t>0.6</w:t>
            </w:r>
          </w:p>
        </w:tc>
        <w:tc>
          <w:tcPr>
            <w:tcW w:w="549" w:type="pct"/>
            <w:tcBorders>
              <w:top w:val="single" w:sz="2" w:space="0" w:color="7F859B"/>
              <w:left w:val="single" w:sz="2" w:space="0" w:color="7F859B"/>
              <w:bottom w:val="single" w:sz="2" w:space="0" w:color="7F859B"/>
            </w:tcBorders>
          </w:tcPr>
          <w:p w14:paraId="613FE702" w14:textId="77777777" w:rsidR="002541A8" w:rsidRPr="002541A8" w:rsidRDefault="002541A8" w:rsidP="00CD7977">
            <w:pPr>
              <w:pStyle w:val="TableParagraph"/>
              <w:keepNext/>
              <w:keepLines/>
              <w:spacing w:before="29"/>
              <w:ind w:right="104"/>
              <w:jc w:val="right"/>
              <w:rPr>
                <w:rFonts w:ascii="Calibri Light" w:hAnsi="Calibri Light" w:cs="Calibri Light"/>
                <w:sz w:val="16"/>
              </w:rPr>
            </w:pPr>
            <w:r w:rsidRPr="002541A8">
              <w:rPr>
                <w:rFonts w:ascii="Calibri Light" w:hAnsi="Calibri Light" w:cs="Calibri Light"/>
                <w:spacing w:val="-5"/>
                <w:sz w:val="16"/>
              </w:rPr>
              <w:t>2.0</w:t>
            </w:r>
          </w:p>
        </w:tc>
        <w:tc>
          <w:tcPr>
            <w:tcW w:w="549" w:type="pct"/>
            <w:tcBorders>
              <w:top w:val="single" w:sz="2" w:space="0" w:color="7F859B"/>
              <w:bottom w:val="single" w:sz="2" w:space="0" w:color="7F859B"/>
              <w:right w:val="single" w:sz="2" w:space="0" w:color="7F859B"/>
            </w:tcBorders>
          </w:tcPr>
          <w:p w14:paraId="6B8E2F9C" w14:textId="77777777" w:rsidR="002541A8" w:rsidRPr="002541A8" w:rsidRDefault="002541A8" w:rsidP="00CD7977">
            <w:pPr>
              <w:pStyle w:val="TableParagraph"/>
              <w:keepNext/>
              <w:keepLines/>
              <w:spacing w:before="29"/>
              <w:ind w:right="107"/>
              <w:jc w:val="right"/>
              <w:rPr>
                <w:rFonts w:ascii="Calibri Light" w:hAnsi="Calibri Light" w:cs="Calibri Light"/>
                <w:sz w:val="16"/>
              </w:rPr>
            </w:pPr>
            <w:r w:rsidRPr="002541A8">
              <w:rPr>
                <w:rFonts w:ascii="Calibri Light" w:hAnsi="Calibri Light" w:cs="Calibri Light"/>
                <w:spacing w:val="-5"/>
                <w:sz w:val="16"/>
              </w:rPr>
              <w:t>3.9</w:t>
            </w:r>
          </w:p>
        </w:tc>
        <w:tc>
          <w:tcPr>
            <w:tcW w:w="546" w:type="pct"/>
            <w:tcBorders>
              <w:top w:val="single" w:sz="2" w:space="0" w:color="7F859B"/>
              <w:left w:val="single" w:sz="2" w:space="0" w:color="7F859B"/>
              <w:bottom w:val="single" w:sz="2" w:space="0" w:color="7F859B"/>
              <w:right w:val="nil"/>
            </w:tcBorders>
          </w:tcPr>
          <w:p w14:paraId="48C5657D" w14:textId="77777777" w:rsidR="002541A8" w:rsidRPr="002541A8" w:rsidRDefault="002541A8" w:rsidP="00CD7977">
            <w:pPr>
              <w:pStyle w:val="TableParagraph"/>
              <w:keepNext/>
              <w:keepLines/>
              <w:spacing w:before="29"/>
              <w:ind w:right="115"/>
              <w:jc w:val="right"/>
              <w:rPr>
                <w:rFonts w:ascii="Calibri Light" w:hAnsi="Calibri Light" w:cs="Calibri Light"/>
                <w:sz w:val="16"/>
              </w:rPr>
            </w:pPr>
            <w:r w:rsidRPr="002541A8">
              <w:rPr>
                <w:rFonts w:ascii="Calibri Light" w:hAnsi="Calibri Light" w:cs="Calibri Light"/>
                <w:spacing w:val="-5"/>
                <w:sz w:val="16"/>
              </w:rPr>
              <w:t>0.9</w:t>
            </w:r>
          </w:p>
        </w:tc>
      </w:tr>
      <w:tr w:rsidR="002541A8" w:rsidRPr="002541A8" w14:paraId="53975460" w14:textId="77777777" w:rsidTr="009D6DE6">
        <w:trPr>
          <w:trHeight w:val="277"/>
        </w:trPr>
        <w:tc>
          <w:tcPr>
            <w:tcW w:w="1160" w:type="pct"/>
            <w:tcBorders>
              <w:top w:val="single" w:sz="2" w:space="0" w:color="7F859B"/>
              <w:left w:val="nil"/>
              <w:bottom w:val="single" w:sz="2" w:space="0" w:color="7F859B"/>
            </w:tcBorders>
          </w:tcPr>
          <w:p w14:paraId="5EBC5C9C" w14:textId="77777777" w:rsidR="002541A8" w:rsidRPr="002541A8" w:rsidRDefault="002541A8" w:rsidP="00CD7977">
            <w:pPr>
              <w:pStyle w:val="TableParagraph"/>
              <w:keepNext/>
              <w:keepLines/>
              <w:spacing w:before="29"/>
              <w:ind w:left="103"/>
              <w:rPr>
                <w:rFonts w:ascii="Calibri Light" w:hAnsi="Calibri Light" w:cs="Calibri Light"/>
                <w:sz w:val="16"/>
              </w:rPr>
            </w:pPr>
            <w:r w:rsidRPr="002541A8">
              <w:rPr>
                <w:rFonts w:ascii="Calibri Light" w:hAnsi="Calibri Light" w:cs="Calibri Light"/>
                <w:spacing w:val="-2"/>
                <w:sz w:val="16"/>
              </w:rPr>
              <w:t>Korea</w:t>
            </w:r>
          </w:p>
        </w:tc>
        <w:tc>
          <w:tcPr>
            <w:tcW w:w="549" w:type="pct"/>
            <w:tcBorders>
              <w:top w:val="single" w:sz="2" w:space="0" w:color="7F859B"/>
              <w:bottom w:val="single" w:sz="2" w:space="0" w:color="7F859B"/>
              <w:right w:val="single" w:sz="2" w:space="0" w:color="7F859B"/>
            </w:tcBorders>
          </w:tcPr>
          <w:p w14:paraId="7B39C1EE" w14:textId="77777777" w:rsidR="002541A8" w:rsidRPr="002541A8" w:rsidRDefault="002541A8" w:rsidP="00CD7977">
            <w:pPr>
              <w:pStyle w:val="TableParagraph"/>
              <w:keepNext/>
              <w:keepLines/>
              <w:spacing w:before="29"/>
              <w:ind w:right="104"/>
              <w:jc w:val="right"/>
              <w:rPr>
                <w:rFonts w:ascii="Calibri Light" w:hAnsi="Calibri Light" w:cs="Calibri Light"/>
                <w:sz w:val="16"/>
              </w:rPr>
            </w:pPr>
            <w:r w:rsidRPr="002541A8">
              <w:rPr>
                <w:rFonts w:ascii="Calibri Light" w:hAnsi="Calibri Light" w:cs="Calibri Light"/>
                <w:spacing w:val="-5"/>
                <w:sz w:val="16"/>
              </w:rPr>
              <w:t>2.9</w:t>
            </w:r>
          </w:p>
        </w:tc>
        <w:tc>
          <w:tcPr>
            <w:tcW w:w="549" w:type="pct"/>
            <w:tcBorders>
              <w:top w:val="single" w:sz="2" w:space="0" w:color="7F859B"/>
              <w:left w:val="single" w:sz="2" w:space="0" w:color="7F859B"/>
              <w:bottom w:val="single" w:sz="2" w:space="0" w:color="7F859B"/>
              <w:right w:val="single" w:sz="2" w:space="0" w:color="7F859B"/>
            </w:tcBorders>
          </w:tcPr>
          <w:p w14:paraId="71D1D1ED" w14:textId="77777777" w:rsidR="002541A8" w:rsidRPr="002541A8" w:rsidRDefault="002541A8" w:rsidP="00CD7977">
            <w:pPr>
              <w:pStyle w:val="TableParagraph"/>
              <w:keepNext/>
              <w:keepLines/>
              <w:spacing w:before="29"/>
              <w:ind w:right="110"/>
              <w:jc w:val="right"/>
              <w:rPr>
                <w:rFonts w:ascii="Calibri Light" w:hAnsi="Calibri Light" w:cs="Calibri Light"/>
                <w:sz w:val="16"/>
              </w:rPr>
            </w:pPr>
            <w:r w:rsidRPr="002541A8">
              <w:rPr>
                <w:rFonts w:ascii="Calibri Light" w:hAnsi="Calibri Light" w:cs="Calibri Light"/>
                <w:sz w:val="16"/>
              </w:rPr>
              <w:t>2</w:t>
            </w:r>
          </w:p>
        </w:tc>
        <w:tc>
          <w:tcPr>
            <w:tcW w:w="549" w:type="pct"/>
            <w:tcBorders>
              <w:top w:val="single" w:sz="2" w:space="0" w:color="7F859B"/>
              <w:left w:val="single" w:sz="2" w:space="0" w:color="7F859B"/>
              <w:bottom w:val="single" w:sz="2" w:space="0" w:color="7F859B"/>
            </w:tcBorders>
          </w:tcPr>
          <w:p w14:paraId="196F64B7"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1.8</w:t>
            </w:r>
          </w:p>
        </w:tc>
        <w:tc>
          <w:tcPr>
            <w:tcW w:w="549" w:type="pct"/>
            <w:tcBorders>
              <w:top w:val="single" w:sz="2" w:space="0" w:color="7F859B"/>
              <w:bottom w:val="single" w:sz="2" w:space="0" w:color="7F859B"/>
              <w:right w:val="single" w:sz="2" w:space="0" w:color="7F859B"/>
            </w:tcBorders>
          </w:tcPr>
          <w:p w14:paraId="61777E72" w14:textId="77777777" w:rsidR="002541A8" w:rsidRPr="002541A8" w:rsidRDefault="002541A8" w:rsidP="00CD7977">
            <w:pPr>
              <w:pStyle w:val="TableParagraph"/>
              <w:keepNext/>
              <w:keepLines/>
              <w:spacing w:before="29"/>
              <w:ind w:right="106"/>
              <w:jc w:val="right"/>
              <w:rPr>
                <w:rFonts w:ascii="Calibri Light" w:hAnsi="Calibri Light" w:cs="Calibri Light"/>
                <w:sz w:val="16"/>
              </w:rPr>
            </w:pPr>
            <w:r w:rsidRPr="002541A8">
              <w:rPr>
                <w:rFonts w:ascii="Calibri Light" w:hAnsi="Calibri Light" w:cs="Calibri Light"/>
                <w:spacing w:val="-5"/>
                <w:sz w:val="16"/>
              </w:rPr>
              <w:t>3.9</w:t>
            </w:r>
          </w:p>
        </w:tc>
        <w:tc>
          <w:tcPr>
            <w:tcW w:w="549" w:type="pct"/>
            <w:tcBorders>
              <w:top w:val="single" w:sz="2" w:space="0" w:color="7F859B"/>
              <w:left w:val="single" w:sz="2" w:space="0" w:color="7F859B"/>
              <w:bottom w:val="single" w:sz="2" w:space="0" w:color="7F859B"/>
            </w:tcBorders>
          </w:tcPr>
          <w:p w14:paraId="403ABD92" w14:textId="77777777" w:rsidR="002541A8" w:rsidRPr="002541A8" w:rsidRDefault="002541A8" w:rsidP="00CD7977">
            <w:pPr>
              <w:pStyle w:val="TableParagraph"/>
              <w:keepNext/>
              <w:keepLines/>
              <w:spacing w:before="29"/>
              <w:ind w:right="104"/>
              <w:jc w:val="right"/>
              <w:rPr>
                <w:rFonts w:ascii="Calibri Light" w:hAnsi="Calibri Light" w:cs="Calibri Light"/>
                <w:sz w:val="16"/>
              </w:rPr>
            </w:pPr>
            <w:r w:rsidRPr="002541A8">
              <w:rPr>
                <w:rFonts w:ascii="Calibri Light" w:hAnsi="Calibri Light" w:cs="Calibri Light"/>
                <w:spacing w:val="-5"/>
                <w:sz w:val="16"/>
              </w:rPr>
              <w:t>3.2</w:t>
            </w:r>
          </w:p>
        </w:tc>
        <w:tc>
          <w:tcPr>
            <w:tcW w:w="549" w:type="pct"/>
            <w:tcBorders>
              <w:top w:val="single" w:sz="2" w:space="0" w:color="7F859B"/>
              <w:bottom w:val="single" w:sz="2" w:space="0" w:color="7F859B"/>
              <w:right w:val="single" w:sz="2" w:space="0" w:color="7F859B"/>
            </w:tcBorders>
          </w:tcPr>
          <w:p w14:paraId="288761EF"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3.6</w:t>
            </w:r>
          </w:p>
        </w:tc>
        <w:tc>
          <w:tcPr>
            <w:tcW w:w="546" w:type="pct"/>
            <w:tcBorders>
              <w:top w:val="single" w:sz="2" w:space="0" w:color="7F859B"/>
              <w:left w:val="single" w:sz="2" w:space="0" w:color="7F859B"/>
              <w:bottom w:val="single" w:sz="2" w:space="0" w:color="7F859B"/>
              <w:right w:val="nil"/>
            </w:tcBorders>
          </w:tcPr>
          <w:p w14:paraId="6CC4C3C5" w14:textId="77777777" w:rsidR="002541A8" w:rsidRPr="002541A8" w:rsidRDefault="002541A8" w:rsidP="00CD7977">
            <w:pPr>
              <w:pStyle w:val="TableParagraph"/>
              <w:keepNext/>
              <w:keepLines/>
              <w:spacing w:before="29"/>
              <w:ind w:right="113"/>
              <w:jc w:val="right"/>
              <w:rPr>
                <w:rFonts w:ascii="Calibri Light" w:hAnsi="Calibri Light" w:cs="Calibri Light"/>
                <w:sz w:val="16"/>
              </w:rPr>
            </w:pPr>
            <w:r w:rsidRPr="002541A8">
              <w:rPr>
                <w:rFonts w:ascii="Calibri Light" w:hAnsi="Calibri Light" w:cs="Calibri Light"/>
                <w:spacing w:val="-5"/>
                <w:sz w:val="16"/>
              </w:rPr>
              <w:t>1.0</w:t>
            </w:r>
          </w:p>
        </w:tc>
      </w:tr>
      <w:tr w:rsidR="002541A8" w:rsidRPr="002541A8" w14:paraId="29B2699A" w14:textId="77777777" w:rsidTr="009D6DE6">
        <w:trPr>
          <w:trHeight w:val="277"/>
        </w:trPr>
        <w:tc>
          <w:tcPr>
            <w:tcW w:w="1160" w:type="pct"/>
            <w:tcBorders>
              <w:top w:val="single" w:sz="2" w:space="0" w:color="7F859B"/>
              <w:left w:val="nil"/>
              <w:bottom w:val="single" w:sz="2" w:space="0" w:color="7F859B"/>
            </w:tcBorders>
          </w:tcPr>
          <w:p w14:paraId="6F8CD1CC" w14:textId="77777777" w:rsidR="002541A8" w:rsidRPr="002541A8" w:rsidRDefault="002541A8" w:rsidP="00CD7977">
            <w:pPr>
              <w:pStyle w:val="TableParagraph"/>
              <w:keepNext/>
              <w:keepLines/>
              <w:spacing w:before="29"/>
              <w:ind w:left="103"/>
              <w:rPr>
                <w:rFonts w:ascii="Calibri Light" w:hAnsi="Calibri Light" w:cs="Calibri Light"/>
                <w:sz w:val="16"/>
              </w:rPr>
            </w:pPr>
            <w:r w:rsidRPr="002541A8">
              <w:rPr>
                <w:rFonts w:ascii="Calibri Light" w:hAnsi="Calibri Light" w:cs="Calibri Light"/>
                <w:sz w:val="16"/>
              </w:rPr>
              <w:t>New</w:t>
            </w:r>
            <w:r w:rsidRPr="002541A8">
              <w:rPr>
                <w:rFonts w:ascii="Calibri Light" w:hAnsi="Calibri Light" w:cs="Calibri Light"/>
                <w:spacing w:val="-2"/>
                <w:sz w:val="16"/>
              </w:rPr>
              <w:t xml:space="preserve"> Zealand</w:t>
            </w:r>
          </w:p>
        </w:tc>
        <w:tc>
          <w:tcPr>
            <w:tcW w:w="549" w:type="pct"/>
            <w:tcBorders>
              <w:top w:val="single" w:sz="2" w:space="0" w:color="7F859B"/>
              <w:bottom w:val="single" w:sz="2" w:space="0" w:color="7F859B"/>
              <w:right w:val="single" w:sz="2" w:space="0" w:color="7F859B"/>
            </w:tcBorders>
          </w:tcPr>
          <w:p w14:paraId="085960AB" w14:textId="77777777" w:rsidR="002541A8" w:rsidRPr="002541A8" w:rsidRDefault="002541A8" w:rsidP="00CD7977">
            <w:pPr>
              <w:pStyle w:val="TableParagraph"/>
              <w:keepNext/>
              <w:keepLines/>
              <w:spacing w:before="29"/>
              <w:ind w:right="102"/>
              <w:jc w:val="right"/>
              <w:rPr>
                <w:rFonts w:ascii="Calibri Light" w:hAnsi="Calibri Light" w:cs="Calibri Light"/>
                <w:sz w:val="16"/>
              </w:rPr>
            </w:pPr>
            <w:r w:rsidRPr="002541A8">
              <w:rPr>
                <w:rFonts w:ascii="Calibri Light" w:hAnsi="Calibri Light" w:cs="Calibri Light"/>
                <w:spacing w:val="-5"/>
                <w:sz w:val="16"/>
              </w:rPr>
              <w:t>2.1</w:t>
            </w:r>
          </w:p>
        </w:tc>
        <w:tc>
          <w:tcPr>
            <w:tcW w:w="549" w:type="pct"/>
            <w:tcBorders>
              <w:top w:val="single" w:sz="2" w:space="0" w:color="7F859B"/>
              <w:left w:val="single" w:sz="2" w:space="0" w:color="7F859B"/>
              <w:bottom w:val="single" w:sz="2" w:space="0" w:color="7F859B"/>
              <w:right w:val="single" w:sz="2" w:space="0" w:color="7F859B"/>
            </w:tcBorders>
          </w:tcPr>
          <w:p w14:paraId="67DE46C7" w14:textId="77777777" w:rsidR="002541A8" w:rsidRPr="002541A8" w:rsidRDefault="002541A8" w:rsidP="00CD7977">
            <w:pPr>
              <w:pStyle w:val="TableParagraph"/>
              <w:keepNext/>
              <w:keepLines/>
              <w:spacing w:before="29"/>
              <w:ind w:right="110"/>
              <w:jc w:val="right"/>
              <w:rPr>
                <w:rFonts w:ascii="Calibri Light" w:hAnsi="Calibri Light" w:cs="Calibri Light"/>
                <w:sz w:val="16"/>
              </w:rPr>
            </w:pPr>
            <w:r w:rsidRPr="002541A8">
              <w:rPr>
                <w:rFonts w:ascii="Calibri Light" w:hAnsi="Calibri Light" w:cs="Calibri Light"/>
                <w:sz w:val="16"/>
              </w:rPr>
              <w:t>2</w:t>
            </w:r>
          </w:p>
        </w:tc>
        <w:tc>
          <w:tcPr>
            <w:tcW w:w="549" w:type="pct"/>
            <w:tcBorders>
              <w:top w:val="single" w:sz="2" w:space="0" w:color="7F859B"/>
              <w:left w:val="single" w:sz="2" w:space="0" w:color="7F859B"/>
              <w:bottom w:val="single" w:sz="2" w:space="0" w:color="7F859B"/>
            </w:tcBorders>
          </w:tcPr>
          <w:p w14:paraId="554E2525"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1.1</w:t>
            </w:r>
          </w:p>
        </w:tc>
        <w:tc>
          <w:tcPr>
            <w:tcW w:w="549" w:type="pct"/>
            <w:tcBorders>
              <w:top w:val="single" w:sz="2" w:space="0" w:color="7F859B"/>
              <w:bottom w:val="single" w:sz="2" w:space="0" w:color="7F859B"/>
              <w:right w:val="single" w:sz="2" w:space="0" w:color="7F859B"/>
            </w:tcBorders>
          </w:tcPr>
          <w:p w14:paraId="31F3E904"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1.8</w:t>
            </w:r>
          </w:p>
        </w:tc>
        <w:tc>
          <w:tcPr>
            <w:tcW w:w="549" w:type="pct"/>
            <w:tcBorders>
              <w:top w:val="single" w:sz="2" w:space="0" w:color="7F859B"/>
              <w:left w:val="single" w:sz="2" w:space="0" w:color="7F859B"/>
              <w:bottom w:val="single" w:sz="2" w:space="0" w:color="7F859B"/>
            </w:tcBorders>
          </w:tcPr>
          <w:p w14:paraId="753EF97E" w14:textId="77777777" w:rsidR="002541A8" w:rsidRPr="002541A8" w:rsidRDefault="002541A8" w:rsidP="00CD7977">
            <w:pPr>
              <w:pStyle w:val="TableParagraph"/>
              <w:keepNext/>
              <w:keepLines/>
              <w:spacing w:before="29"/>
              <w:ind w:right="104"/>
              <w:jc w:val="right"/>
              <w:rPr>
                <w:rFonts w:ascii="Calibri Light" w:hAnsi="Calibri Light" w:cs="Calibri Light"/>
                <w:sz w:val="16"/>
              </w:rPr>
            </w:pPr>
            <w:r w:rsidRPr="002541A8">
              <w:rPr>
                <w:rFonts w:ascii="Calibri Light" w:hAnsi="Calibri Light" w:cs="Calibri Light"/>
                <w:spacing w:val="-5"/>
                <w:sz w:val="16"/>
              </w:rPr>
              <w:t>1.9</w:t>
            </w:r>
          </w:p>
        </w:tc>
        <w:tc>
          <w:tcPr>
            <w:tcW w:w="549" w:type="pct"/>
            <w:tcBorders>
              <w:top w:val="single" w:sz="2" w:space="0" w:color="7F859B"/>
              <w:bottom w:val="single" w:sz="2" w:space="0" w:color="7F859B"/>
              <w:right w:val="single" w:sz="2" w:space="0" w:color="7F859B"/>
            </w:tcBorders>
          </w:tcPr>
          <w:p w14:paraId="0BF65C13"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5.6</w:t>
            </w:r>
          </w:p>
        </w:tc>
        <w:tc>
          <w:tcPr>
            <w:tcW w:w="546" w:type="pct"/>
            <w:tcBorders>
              <w:top w:val="single" w:sz="2" w:space="0" w:color="7F859B"/>
              <w:left w:val="single" w:sz="2" w:space="0" w:color="7F859B"/>
              <w:bottom w:val="single" w:sz="2" w:space="0" w:color="7F859B"/>
              <w:right w:val="nil"/>
            </w:tcBorders>
          </w:tcPr>
          <w:p w14:paraId="0536FDC7" w14:textId="77777777" w:rsidR="002541A8" w:rsidRPr="002541A8" w:rsidRDefault="002541A8" w:rsidP="00CD7977">
            <w:pPr>
              <w:pStyle w:val="TableParagraph"/>
              <w:keepNext/>
              <w:keepLines/>
              <w:spacing w:before="29"/>
              <w:ind w:right="113"/>
              <w:jc w:val="right"/>
              <w:rPr>
                <w:rFonts w:ascii="Calibri Light" w:hAnsi="Calibri Light" w:cs="Calibri Light"/>
                <w:sz w:val="16"/>
              </w:rPr>
            </w:pPr>
            <w:r w:rsidRPr="002541A8">
              <w:rPr>
                <w:rFonts w:ascii="Calibri Light" w:hAnsi="Calibri Light" w:cs="Calibri Light"/>
                <w:spacing w:val="-5"/>
                <w:sz w:val="16"/>
              </w:rPr>
              <w:t>1.5</w:t>
            </w:r>
          </w:p>
        </w:tc>
      </w:tr>
      <w:tr w:rsidR="002541A8" w:rsidRPr="002541A8" w14:paraId="04FC4611" w14:textId="77777777" w:rsidTr="009D6DE6">
        <w:trPr>
          <w:trHeight w:val="277"/>
        </w:trPr>
        <w:tc>
          <w:tcPr>
            <w:tcW w:w="1160" w:type="pct"/>
            <w:tcBorders>
              <w:top w:val="single" w:sz="2" w:space="0" w:color="7F859B"/>
              <w:left w:val="nil"/>
              <w:bottom w:val="single" w:sz="2" w:space="0" w:color="7F859B"/>
            </w:tcBorders>
          </w:tcPr>
          <w:p w14:paraId="3C89F62A" w14:textId="77777777" w:rsidR="002541A8" w:rsidRPr="002541A8" w:rsidRDefault="002541A8" w:rsidP="00CD7977">
            <w:pPr>
              <w:pStyle w:val="TableParagraph"/>
              <w:keepNext/>
              <w:keepLines/>
              <w:spacing w:before="29"/>
              <w:ind w:left="103"/>
              <w:rPr>
                <w:rFonts w:ascii="Calibri Light" w:hAnsi="Calibri Light" w:cs="Calibri Light"/>
                <w:sz w:val="16"/>
              </w:rPr>
            </w:pPr>
            <w:r w:rsidRPr="002541A8">
              <w:rPr>
                <w:rFonts w:ascii="Calibri Light" w:hAnsi="Calibri Light" w:cs="Calibri Light"/>
                <w:spacing w:val="-2"/>
                <w:sz w:val="16"/>
              </w:rPr>
              <w:t>Singapore</w:t>
            </w:r>
          </w:p>
        </w:tc>
        <w:tc>
          <w:tcPr>
            <w:tcW w:w="549" w:type="pct"/>
            <w:tcBorders>
              <w:top w:val="single" w:sz="2" w:space="0" w:color="7F859B"/>
              <w:bottom w:val="single" w:sz="2" w:space="0" w:color="7F859B"/>
              <w:right w:val="single" w:sz="2" w:space="0" w:color="7F859B"/>
            </w:tcBorders>
          </w:tcPr>
          <w:p w14:paraId="13B56C19" w14:textId="77777777" w:rsidR="002541A8" w:rsidRPr="002541A8" w:rsidRDefault="002541A8" w:rsidP="00CD7977">
            <w:pPr>
              <w:pStyle w:val="TableParagraph"/>
              <w:keepNext/>
              <w:keepLines/>
              <w:spacing w:before="29"/>
              <w:ind w:right="102"/>
              <w:jc w:val="right"/>
              <w:rPr>
                <w:rFonts w:ascii="Calibri Light" w:hAnsi="Calibri Light" w:cs="Calibri Light"/>
                <w:sz w:val="16"/>
              </w:rPr>
            </w:pPr>
            <w:r w:rsidRPr="002541A8">
              <w:rPr>
                <w:rFonts w:ascii="Calibri Light" w:hAnsi="Calibri Light" w:cs="Calibri Light"/>
                <w:spacing w:val="-5"/>
                <w:sz w:val="16"/>
              </w:rPr>
              <w:t>1.5</w:t>
            </w:r>
          </w:p>
        </w:tc>
        <w:tc>
          <w:tcPr>
            <w:tcW w:w="549" w:type="pct"/>
            <w:tcBorders>
              <w:top w:val="single" w:sz="2" w:space="0" w:color="7F859B"/>
              <w:left w:val="single" w:sz="2" w:space="0" w:color="7F859B"/>
              <w:bottom w:val="single" w:sz="2" w:space="0" w:color="7F859B"/>
              <w:right w:val="single" w:sz="2" w:space="0" w:color="7F859B"/>
            </w:tcBorders>
          </w:tcPr>
          <w:p w14:paraId="3200AF75" w14:textId="77777777" w:rsidR="002541A8" w:rsidRPr="002541A8" w:rsidRDefault="002541A8" w:rsidP="00CD7977">
            <w:pPr>
              <w:pStyle w:val="TableParagraph"/>
              <w:keepNext/>
              <w:keepLines/>
              <w:spacing w:before="29"/>
              <w:ind w:right="109"/>
              <w:jc w:val="right"/>
              <w:rPr>
                <w:rFonts w:ascii="Calibri Light" w:hAnsi="Calibri Light" w:cs="Calibri Light"/>
                <w:sz w:val="16"/>
              </w:rPr>
            </w:pPr>
            <w:r w:rsidRPr="002541A8">
              <w:rPr>
                <w:rFonts w:ascii="Calibri Light" w:hAnsi="Calibri Light" w:cs="Calibri Light"/>
                <w:spacing w:val="-5"/>
                <w:sz w:val="16"/>
              </w:rPr>
              <w:t>na</w:t>
            </w:r>
          </w:p>
        </w:tc>
        <w:tc>
          <w:tcPr>
            <w:tcW w:w="549" w:type="pct"/>
            <w:tcBorders>
              <w:top w:val="single" w:sz="2" w:space="0" w:color="7F859B"/>
              <w:left w:val="single" w:sz="2" w:space="0" w:color="7F859B"/>
              <w:bottom w:val="single" w:sz="2" w:space="0" w:color="7F859B"/>
            </w:tcBorders>
          </w:tcPr>
          <w:p w14:paraId="5F57F411"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1.7</w:t>
            </w:r>
          </w:p>
        </w:tc>
        <w:tc>
          <w:tcPr>
            <w:tcW w:w="549" w:type="pct"/>
            <w:tcBorders>
              <w:top w:val="single" w:sz="2" w:space="0" w:color="7F859B"/>
              <w:bottom w:val="single" w:sz="2" w:space="0" w:color="7F859B"/>
              <w:right w:val="single" w:sz="2" w:space="0" w:color="7F859B"/>
            </w:tcBorders>
          </w:tcPr>
          <w:p w14:paraId="4C3B24D7"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3.5</w:t>
            </w:r>
          </w:p>
        </w:tc>
        <w:tc>
          <w:tcPr>
            <w:tcW w:w="549" w:type="pct"/>
            <w:tcBorders>
              <w:top w:val="single" w:sz="2" w:space="0" w:color="7F859B"/>
              <w:left w:val="single" w:sz="2" w:space="0" w:color="7F859B"/>
              <w:bottom w:val="single" w:sz="2" w:space="0" w:color="7F859B"/>
            </w:tcBorders>
          </w:tcPr>
          <w:p w14:paraId="14011ED4" w14:textId="77777777" w:rsidR="002541A8" w:rsidRPr="002541A8" w:rsidRDefault="002541A8" w:rsidP="00CD7977">
            <w:pPr>
              <w:pStyle w:val="TableParagraph"/>
              <w:keepNext/>
              <w:keepLines/>
              <w:spacing w:before="29"/>
              <w:ind w:right="104"/>
              <w:jc w:val="right"/>
              <w:rPr>
                <w:rFonts w:ascii="Calibri Light" w:hAnsi="Calibri Light" w:cs="Calibri Light"/>
                <w:sz w:val="16"/>
              </w:rPr>
            </w:pPr>
            <w:r w:rsidRPr="002541A8">
              <w:rPr>
                <w:rFonts w:ascii="Calibri Light" w:hAnsi="Calibri Light" w:cs="Calibri Light"/>
                <w:spacing w:val="-5"/>
                <w:sz w:val="16"/>
              </w:rPr>
              <w:t>4.5</w:t>
            </w:r>
          </w:p>
        </w:tc>
        <w:tc>
          <w:tcPr>
            <w:tcW w:w="549" w:type="pct"/>
            <w:tcBorders>
              <w:top w:val="single" w:sz="2" w:space="0" w:color="7F859B"/>
              <w:bottom w:val="single" w:sz="2" w:space="0" w:color="7F859B"/>
              <w:right w:val="single" w:sz="2" w:space="0" w:color="7F859B"/>
            </w:tcBorders>
          </w:tcPr>
          <w:p w14:paraId="0A0872E0"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2.4</w:t>
            </w:r>
          </w:p>
        </w:tc>
        <w:tc>
          <w:tcPr>
            <w:tcW w:w="546" w:type="pct"/>
            <w:tcBorders>
              <w:top w:val="single" w:sz="2" w:space="0" w:color="7F859B"/>
              <w:left w:val="single" w:sz="2" w:space="0" w:color="7F859B"/>
              <w:bottom w:val="single" w:sz="2" w:space="0" w:color="7F859B"/>
              <w:right w:val="nil"/>
            </w:tcBorders>
          </w:tcPr>
          <w:p w14:paraId="012BB646" w14:textId="77777777" w:rsidR="002541A8" w:rsidRPr="002541A8" w:rsidRDefault="002541A8" w:rsidP="00CD7977">
            <w:pPr>
              <w:pStyle w:val="TableParagraph"/>
              <w:keepNext/>
              <w:keepLines/>
              <w:spacing w:before="29"/>
              <w:ind w:right="113"/>
              <w:jc w:val="right"/>
              <w:rPr>
                <w:rFonts w:ascii="Calibri Light" w:hAnsi="Calibri Light" w:cs="Calibri Light"/>
                <w:sz w:val="16"/>
              </w:rPr>
            </w:pPr>
            <w:r w:rsidRPr="002541A8">
              <w:rPr>
                <w:rFonts w:ascii="Calibri Light" w:hAnsi="Calibri Light" w:cs="Calibri Light"/>
                <w:spacing w:val="-5"/>
                <w:sz w:val="16"/>
              </w:rPr>
              <w:t>0.6</w:t>
            </w:r>
          </w:p>
        </w:tc>
      </w:tr>
      <w:tr w:rsidR="002541A8" w:rsidRPr="002541A8" w14:paraId="711EE429" w14:textId="77777777" w:rsidTr="009D6DE6">
        <w:trPr>
          <w:trHeight w:val="277"/>
        </w:trPr>
        <w:tc>
          <w:tcPr>
            <w:tcW w:w="1160" w:type="pct"/>
            <w:tcBorders>
              <w:top w:val="single" w:sz="2" w:space="0" w:color="7F859B"/>
              <w:left w:val="nil"/>
              <w:bottom w:val="single" w:sz="2" w:space="0" w:color="7F859B"/>
            </w:tcBorders>
          </w:tcPr>
          <w:p w14:paraId="5D18BB37" w14:textId="77777777" w:rsidR="002541A8" w:rsidRPr="002541A8" w:rsidRDefault="002541A8" w:rsidP="00CD7977">
            <w:pPr>
              <w:pStyle w:val="TableParagraph"/>
              <w:keepNext/>
              <w:keepLines/>
              <w:spacing w:before="29"/>
              <w:ind w:left="103"/>
              <w:rPr>
                <w:rFonts w:ascii="Calibri Light" w:hAnsi="Calibri Light" w:cs="Calibri Light"/>
                <w:sz w:val="16"/>
              </w:rPr>
            </w:pPr>
            <w:r w:rsidRPr="002541A8">
              <w:rPr>
                <w:rFonts w:ascii="Calibri Light" w:hAnsi="Calibri Light" w:cs="Calibri Light"/>
                <w:sz w:val="16"/>
              </w:rPr>
              <w:t>United</w:t>
            </w:r>
            <w:r w:rsidRPr="002541A8">
              <w:rPr>
                <w:rFonts w:ascii="Calibri Light" w:hAnsi="Calibri Light" w:cs="Calibri Light"/>
                <w:spacing w:val="-2"/>
                <w:sz w:val="16"/>
              </w:rPr>
              <w:t xml:space="preserve"> Kingdom</w:t>
            </w:r>
          </w:p>
        </w:tc>
        <w:tc>
          <w:tcPr>
            <w:tcW w:w="549" w:type="pct"/>
            <w:tcBorders>
              <w:top w:val="single" w:sz="2" w:space="0" w:color="7F859B"/>
              <w:bottom w:val="single" w:sz="2" w:space="0" w:color="7F859B"/>
              <w:right w:val="single" w:sz="2" w:space="0" w:color="7F859B"/>
            </w:tcBorders>
          </w:tcPr>
          <w:p w14:paraId="18D3056E" w14:textId="77777777" w:rsidR="002541A8" w:rsidRPr="002541A8" w:rsidRDefault="002541A8" w:rsidP="00CD7977">
            <w:pPr>
              <w:pStyle w:val="TableParagraph"/>
              <w:keepNext/>
              <w:keepLines/>
              <w:spacing w:before="29"/>
              <w:ind w:right="102"/>
              <w:jc w:val="right"/>
              <w:rPr>
                <w:rFonts w:ascii="Calibri Light" w:hAnsi="Calibri Light" w:cs="Calibri Light"/>
                <w:sz w:val="16"/>
              </w:rPr>
            </w:pPr>
            <w:r w:rsidRPr="002541A8">
              <w:rPr>
                <w:rFonts w:ascii="Calibri Light" w:hAnsi="Calibri Light" w:cs="Calibri Light"/>
                <w:spacing w:val="-5"/>
                <w:sz w:val="16"/>
              </w:rPr>
              <w:t>2.0</w:t>
            </w:r>
          </w:p>
        </w:tc>
        <w:tc>
          <w:tcPr>
            <w:tcW w:w="549" w:type="pct"/>
            <w:tcBorders>
              <w:top w:val="single" w:sz="2" w:space="0" w:color="7F859B"/>
              <w:left w:val="single" w:sz="2" w:space="0" w:color="7F859B"/>
              <w:bottom w:val="single" w:sz="2" w:space="0" w:color="7F859B"/>
              <w:right w:val="single" w:sz="2" w:space="0" w:color="7F859B"/>
            </w:tcBorders>
          </w:tcPr>
          <w:p w14:paraId="72841C62" w14:textId="77777777" w:rsidR="002541A8" w:rsidRPr="002541A8" w:rsidRDefault="002541A8" w:rsidP="00CD7977">
            <w:pPr>
              <w:pStyle w:val="TableParagraph"/>
              <w:keepNext/>
              <w:keepLines/>
              <w:spacing w:before="29"/>
              <w:ind w:right="110"/>
              <w:jc w:val="right"/>
              <w:rPr>
                <w:rFonts w:ascii="Calibri Light" w:hAnsi="Calibri Light" w:cs="Calibri Light"/>
                <w:sz w:val="16"/>
              </w:rPr>
            </w:pPr>
            <w:r w:rsidRPr="002541A8">
              <w:rPr>
                <w:rFonts w:ascii="Calibri Light" w:hAnsi="Calibri Light" w:cs="Calibri Light"/>
                <w:sz w:val="16"/>
              </w:rPr>
              <w:t>2</w:t>
            </w:r>
          </w:p>
        </w:tc>
        <w:tc>
          <w:tcPr>
            <w:tcW w:w="549" w:type="pct"/>
            <w:tcBorders>
              <w:top w:val="single" w:sz="2" w:space="0" w:color="7F859B"/>
              <w:left w:val="single" w:sz="2" w:space="0" w:color="7F859B"/>
              <w:bottom w:val="single" w:sz="2" w:space="0" w:color="7F859B"/>
            </w:tcBorders>
          </w:tcPr>
          <w:p w14:paraId="5141CA1F"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0.9</w:t>
            </w:r>
          </w:p>
        </w:tc>
        <w:tc>
          <w:tcPr>
            <w:tcW w:w="549" w:type="pct"/>
            <w:tcBorders>
              <w:top w:val="single" w:sz="2" w:space="0" w:color="7F859B"/>
              <w:bottom w:val="single" w:sz="2" w:space="0" w:color="7F859B"/>
              <w:right w:val="single" w:sz="2" w:space="0" w:color="7F859B"/>
            </w:tcBorders>
          </w:tcPr>
          <w:p w14:paraId="63F3DE1A"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1.4</w:t>
            </w:r>
          </w:p>
        </w:tc>
        <w:tc>
          <w:tcPr>
            <w:tcW w:w="549" w:type="pct"/>
            <w:tcBorders>
              <w:top w:val="single" w:sz="2" w:space="0" w:color="7F859B"/>
              <w:left w:val="single" w:sz="2" w:space="0" w:color="7F859B"/>
              <w:bottom w:val="single" w:sz="2" w:space="0" w:color="7F859B"/>
            </w:tcBorders>
          </w:tcPr>
          <w:p w14:paraId="1D9C794B" w14:textId="77777777" w:rsidR="002541A8" w:rsidRPr="002541A8" w:rsidRDefault="002541A8" w:rsidP="00CD7977">
            <w:pPr>
              <w:pStyle w:val="TableParagraph"/>
              <w:keepNext/>
              <w:keepLines/>
              <w:spacing w:before="29"/>
              <w:ind w:right="106"/>
              <w:jc w:val="right"/>
              <w:rPr>
                <w:rFonts w:ascii="Calibri Light" w:hAnsi="Calibri Light" w:cs="Calibri Light"/>
                <w:sz w:val="16"/>
              </w:rPr>
            </w:pPr>
            <w:r w:rsidRPr="002541A8">
              <w:rPr>
                <w:rFonts w:ascii="Calibri Light" w:hAnsi="Calibri Light" w:cs="Calibri Light"/>
                <w:spacing w:val="-5"/>
                <w:sz w:val="16"/>
              </w:rPr>
              <w:t>2.9</w:t>
            </w:r>
          </w:p>
        </w:tc>
        <w:tc>
          <w:tcPr>
            <w:tcW w:w="549" w:type="pct"/>
            <w:tcBorders>
              <w:top w:val="single" w:sz="2" w:space="0" w:color="7F859B"/>
              <w:bottom w:val="single" w:sz="2" w:space="0" w:color="7F859B"/>
              <w:right w:val="single" w:sz="2" w:space="0" w:color="7F859B"/>
            </w:tcBorders>
          </w:tcPr>
          <w:p w14:paraId="16E5F0AA"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6.2</w:t>
            </w:r>
          </w:p>
        </w:tc>
        <w:tc>
          <w:tcPr>
            <w:tcW w:w="546" w:type="pct"/>
            <w:tcBorders>
              <w:top w:val="single" w:sz="2" w:space="0" w:color="7F859B"/>
              <w:left w:val="single" w:sz="2" w:space="0" w:color="7F859B"/>
              <w:bottom w:val="single" w:sz="2" w:space="0" w:color="7F859B"/>
              <w:right w:val="nil"/>
            </w:tcBorders>
          </w:tcPr>
          <w:p w14:paraId="0E4E6900" w14:textId="77777777" w:rsidR="002541A8" w:rsidRPr="002541A8" w:rsidRDefault="002541A8" w:rsidP="00CD7977">
            <w:pPr>
              <w:pStyle w:val="TableParagraph"/>
              <w:keepNext/>
              <w:keepLines/>
              <w:spacing w:before="29"/>
              <w:ind w:right="113"/>
              <w:jc w:val="right"/>
              <w:rPr>
                <w:rFonts w:ascii="Calibri Light" w:hAnsi="Calibri Light" w:cs="Calibri Light"/>
                <w:sz w:val="16"/>
              </w:rPr>
            </w:pPr>
            <w:r w:rsidRPr="002541A8">
              <w:rPr>
                <w:rFonts w:ascii="Calibri Light" w:hAnsi="Calibri Light" w:cs="Calibri Light"/>
                <w:spacing w:val="-5"/>
                <w:sz w:val="16"/>
              </w:rPr>
              <w:t>1.7</w:t>
            </w:r>
          </w:p>
        </w:tc>
      </w:tr>
      <w:tr w:rsidR="002541A8" w:rsidRPr="002541A8" w14:paraId="6BCAD625" w14:textId="77777777" w:rsidTr="009D6DE6">
        <w:trPr>
          <w:trHeight w:val="279"/>
        </w:trPr>
        <w:tc>
          <w:tcPr>
            <w:tcW w:w="1160" w:type="pct"/>
            <w:tcBorders>
              <w:top w:val="single" w:sz="2" w:space="0" w:color="7F859B"/>
              <w:left w:val="nil"/>
              <w:bottom w:val="nil"/>
            </w:tcBorders>
          </w:tcPr>
          <w:p w14:paraId="4923FDD1" w14:textId="77777777" w:rsidR="002541A8" w:rsidRPr="002541A8" w:rsidRDefault="002541A8" w:rsidP="00CD7977">
            <w:pPr>
              <w:pStyle w:val="TableParagraph"/>
              <w:keepNext/>
              <w:keepLines/>
              <w:spacing w:before="29"/>
              <w:ind w:left="103"/>
              <w:rPr>
                <w:rFonts w:ascii="Calibri Light" w:hAnsi="Calibri Light" w:cs="Calibri Light"/>
                <w:sz w:val="16"/>
              </w:rPr>
            </w:pPr>
            <w:r w:rsidRPr="002541A8">
              <w:rPr>
                <w:rFonts w:ascii="Calibri Light" w:hAnsi="Calibri Light" w:cs="Calibri Light"/>
                <w:sz w:val="16"/>
              </w:rPr>
              <w:t>United</w:t>
            </w:r>
            <w:r w:rsidRPr="002541A8">
              <w:rPr>
                <w:rFonts w:ascii="Calibri Light" w:hAnsi="Calibri Light" w:cs="Calibri Light"/>
                <w:spacing w:val="-2"/>
                <w:sz w:val="16"/>
              </w:rPr>
              <w:t xml:space="preserve"> States</w:t>
            </w:r>
          </w:p>
        </w:tc>
        <w:tc>
          <w:tcPr>
            <w:tcW w:w="549" w:type="pct"/>
            <w:tcBorders>
              <w:top w:val="single" w:sz="2" w:space="0" w:color="7F859B"/>
              <w:bottom w:val="nil"/>
              <w:right w:val="single" w:sz="2" w:space="0" w:color="7F859B"/>
            </w:tcBorders>
          </w:tcPr>
          <w:p w14:paraId="04CD1DC3" w14:textId="77777777" w:rsidR="002541A8" w:rsidRPr="002541A8" w:rsidRDefault="002541A8" w:rsidP="00CD7977">
            <w:pPr>
              <w:pStyle w:val="TableParagraph"/>
              <w:keepNext/>
              <w:keepLines/>
              <w:spacing w:before="29"/>
              <w:ind w:right="102"/>
              <w:jc w:val="right"/>
              <w:rPr>
                <w:rFonts w:ascii="Calibri Light" w:hAnsi="Calibri Light" w:cs="Calibri Light"/>
                <w:sz w:val="16"/>
              </w:rPr>
            </w:pPr>
            <w:r w:rsidRPr="002541A8">
              <w:rPr>
                <w:rFonts w:ascii="Calibri Light" w:hAnsi="Calibri Light" w:cs="Calibri Light"/>
                <w:spacing w:val="-5"/>
                <w:sz w:val="16"/>
              </w:rPr>
              <w:t>2.3</w:t>
            </w:r>
          </w:p>
        </w:tc>
        <w:tc>
          <w:tcPr>
            <w:tcW w:w="549" w:type="pct"/>
            <w:tcBorders>
              <w:top w:val="single" w:sz="2" w:space="0" w:color="7F859B"/>
              <w:left w:val="single" w:sz="2" w:space="0" w:color="7F859B"/>
              <w:bottom w:val="nil"/>
              <w:right w:val="single" w:sz="2" w:space="0" w:color="7F859B"/>
            </w:tcBorders>
          </w:tcPr>
          <w:p w14:paraId="4BFB655B" w14:textId="77777777" w:rsidR="002541A8" w:rsidRPr="002541A8" w:rsidRDefault="002541A8" w:rsidP="00CD7977">
            <w:pPr>
              <w:pStyle w:val="TableParagraph"/>
              <w:keepNext/>
              <w:keepLines/>
              <w:spacing w:before="29"/>
              <w:ind w:right="110"/>
              <w:jc w:val="right"/>
              <w:rPr>
                <w:rFonts w:ascii="Calibri Light" w:hAnsi="Calibri Light" w:cs="Calibri Light"/>
                <w:sz w:val="16"/>
              </w:rPr>
            </w:pPr>
            <w:r w:rsidRPr="002541A8">
              <w:rPr>
                <w:rFonts w:ascii="Calibri Light" w:hAnsi="Calibri Light" w:cs="Calibri Light"/>
                <w:sz w:val="16"/>
              </w:rPr>
              <w:t>2</w:t>
            </w:r>
          </w:p>
        </w:tc>
        <w:tc>
          <w:tcPr>
            <w:tcW w:w="549" w:type="pct"/>
            <w:tcBorders>
              <w:top w:val="single" w:sz="2" w:space="0" w:color="7F859B"/>
              <w:left w:val="single" w:sz="2" w:space="0" w:color="7F859B"/>
              <w:bottom w:val="nil"/>
            </w:tcBorders>
          </w:tcPr>
          <w:p w14:paraId="066C31A6"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1.0</w:t>
            </w:r>
          </w:p>
        </w:tc>
        <w:tc>
          <w:tcPr>
            <w:tcW w:w="549" w:type="pct"/>
            <w:tcBorders>
              <w:top w:val="single" w:sz="2" w:space="0" w:color="7F859B"/>
              <w:bottom w:val="nil"/>
              <w:right w:val="single" w:sz="2" w:space="0" w:color="7F859B"/>
            </w:tcBorders>
          </w:tcPr>
          <w:p w14:paraId="7FB95BC2" w14:textId="77777777" w:rsidR="002541A8" w:rsidRPr="002541A8" w:rsidRDefault="002541A8" w:rsidP="00CD7977">
            <w:pPr>
              <w:pStyle w:val="TableParagraph"/>
              <w:keepNext/>
              <w:keepLines/>
              <w:spacing w:before="29"/>
              <w:ind w:right="103"/>
              <w:jc w:val="right"/>
              <w:rPr>
                <w:rFonts w:ascii="Calibri Light" w:hAnsi="Calibri Light" w:cs="Calibri Light"/>
                <w:sz w:val="16"/>
              </w:rPr>
            </w:pPr>
            <w:r w:rsidRPr="002541A8">
              <w:rPr>
                <w:rFonts w:ascii="Calibri Light" w:hAnsi="Calibri Light" w:cs="Calibri Light"/>
                <w:spacing w:val="-5"/>
                <w:sz w:val="16"/>
              </w:rPr>
              <w:t>1.5</w:t>
            </w:r>
          </w:p>
        </w:tc>
        <w:tc>
          <w:tcPr>
            <w:tcW w:w="549" w:type="pct"/>
            <w:tcBorders>
              <w:top w:val="single" w:sz="2" w:space="0" w:color="7F859B"/>
              <w:left w:val="single" w:sz="2" w:space="0" w:color="7F859B"/>
              <w:bottom w:val="nil"/>
            </w:tcBorders>
          </w:tcPr>
          <w:p w14:paraId="050212FF" w14:textId="77777777" w:rsidR="002541A8" w:rsidRPr="002541A8" w:rsidRDefault="002541A8" w:rsidP="00CD7977">
            <w:pPr>
              <w:pStyle w:val="TableParagraph"/>
              <w:keepNext/>
              <w:keepLines/>
              <w:spacing w:before="29"/>
              <w:ind w:right="104"/>
              <w:jc w:val="right"/>
              <w:rPr>
                <w:rFonts w:ascii="Calibri Light" w:hAnsi="Calibri Light" w:cs="Calibri Light"/>
                <w:sz w:val="16"/>
              </w:rPr>
            </w:pPr>
            <w:r w:rsidRPr="002541A8">
              <w:rPr>
                <w:rFonts w:ascii="Calibri Light" w:hAnsi="Calibri Light" w:cs="Calibri Light"/>
                <w:spacing w:val="-5"/>
                <w:sz w:val="16"/>
              </w:rPr>
              <w:t>1.9</w:t>
            </w:r>
          </w:p>
        </w:tc>
        <w:tc>
          <w:tcPr>
            <w:tcW w:w="549" w:type="pct"/>
            <w:tcBorders>
              <w:top w:val="single" w:sz="2" w:space="0" w:color="7F859B"/>
              <w:bottom w:val="nil"/>
              <w:right w:val="single" w:sz="2" w:space="0" w:color="7F859B"/>
            </w:tcBorders>
          </w:tcPr>
          <w:p w14:paraId="3B9F7B4E" w14:textId="77777777" w:rsidR="002541A8" w:rsidRPr="002541A8" w:rsidRDefault="002541A8" w:rsidP="00CD7977">
            <w:pPr>
              <w:pStyle w:val="TableParagraph"/>
              <w:keepNext/>
              <w:keepLines/>
              <w:spacing w:before="29"/>
              <w:ind w:right="105"/>
              <w:jc w:val="right"/>
              <w:rPr>
                <w:rFonts w:ascii="Calibri Light" w:hAnsi="Calibri Light" w:cs="Calibri Light"/>
                <w:sz w:val="16"/>
              </w:rPr>
            </w:pPr>
            <w:r w:rsidRPr="002541A8">
              <w:rPr>
                <w:rFonts w:ascii="Calibri Light" w:hAnsi="Calibri Light" w:cs="Calibri Light"/>
                <w:spacing w:val="-5"/>
                <w:sz w:val="16"/>
              </w:rPr>
              <w:t>5.8</w:t>
            </w:r>
          </w:p>
        </w:tc>
        <w:tc>
          <w:tcPr>
            <w:tcW w:w="546" w:type="pct"/>
            <w:tcBorders>
              <w:top w:val="single" w:sz="2" w:space="0" w:color="7F859B"/>
              <w:left w:val="single" w:sz="2" w:space="0" w:color="7F859B"/>
              <w:bottom w:val="nil"/>
              <w:right w:val="nil"/>
            </w:tcBorders>
          </w:tcPr>
          <w:p w14:paraId="704A41CA" w14:textId="77777777" w:rsidR="002541A8" w:rsidRPr="002541A8" w:rsidRDefault="002541A8" w:rsidP="00CD7977">
            <w:pPr>
              <w:pStyle w:val="TableParagraph"/>
              <w:keepNext/>
              <w:keepLines/>
              <w:spacing w:before="29"/>
              <w:ind w:right="113"/>
              <w:jc w:val="right"/>
              <w:rPr>
                <w:rFonts w:ascii="Calibri Light" w:hAnsi="Calibri Light" w:cs="Calibri Light"/>
                <w:sz w:val="16"/>
              </w:rPr>
            </w:pPr>
            <w:r w:rsidRPr="002541A8">
              <w:rPr>
                <w:rFonts w:ascii="Calibri Light" w:hAnsi="Calibri Light" w:cs="Calibri Light"/>
                <w:spacing w:val="-5"/>
                <w:sz w:val="16"/>
              </w:rPr>
              <w:t>1.6</w:t>
            </w:r>
          </w:p>
        </w:tc>
      </w:tr>
    </w:tbl>
    <w:p w14:paraId="4E053B1F" w14:textId="77777777" w:rsidR="009D6DE6" w:rsidRPr="009D6DE6" w:rsidRDefault="009D6DE6" w:rsidP="00CD7977">
      <w:pPr>
        <w:pStyle w:val="Note"/>
        <w:keepNext/>
        <w:keepLines/>
      </w:pPr>
      <w:r w:rsidRPr="009D6DE6">
        <w:t>Note: Standard deviations and averages are based on annual changes. Inflation targets are as at March 2023. For Canada and New Zealand midpoints of their inflation target ranges of 1–3 per cent are shown. The inflation target for France and Germany is the target for the European Central Bank.</w:t>
      </w:r>
    </w:p>
    <w:p w14:paraId="39BA0421" w14:textId="77777777" w:rsidR="009D6DE6" w:rsidRPr="009D6DE6" w:rsidRDefault="009D6DE6" w:rsidP="00CD7977">
      <w:pPr>
        <w:pStyle w:val="Note"/>
        <w:keepNext/>
        <w:keepLines/>
      </w:pPr>
      <w:r w:rsidRPr="009D6DE6">
        <w:t>Source:</w:t>
      </w:r>
      <w:r w:rsidRPr="009D6DE6">
        <w:rPr>
          <w:spacing w:val="2"/>
        </w:rPr>
        <w:t xml:space="preserve"> </w:t>
      </w:r>
      <w:r w:rsidRPr="009D6DE6">
        <w:t>IMF;</w:t>
      </w:r>
      <w:r w:rsidRPr="009D6DE6">
        <w:rPr>
          <w:spacing w:val="5"/>
        </w:rPr>
        <w:t xml:space="preserve"> </w:t>
      </w:r>
      <w:r w:rsidRPr="009D6DE6">
        <w:t>International</w:t>
      </w:r>
      <w:r w:rsidRPr="009D6DE6">
        <w:rPr>
          <w:spacing w:val="5"/>
        </w:rPr>
        <w:t xml:space="preserve"> </w:t>
      </w:r>
      <w:r w:rsidRPr="009D6DE6">
        <w:t>Labour</w:t>
      </w:r>
      <w:r w:rsidRPr="009D6DE6">
        <w:rPr>
          <w:spacing w:val="5"/>
        </w:rPr>
        <w:t xml:space="preserve"> </w:t>
      </w:r>
      <w:r w:rsidRPr="009D6DE6">
        <w:rPr>
          <w:spacing w:val="-2"/>
        </w:rPr>
        <w:t>Organization.</w:t>
      </w:r>
    </w:p>
    <w:p w14:paraId="5FFD3A95" w14:textId="77777777" w:rsidR="00F41D21" w:rsidRDefault="00F41D21" w:rsidP="005B3F66">
      <w:pPr>
        <w:pStyle w:val="Heading2"/>
      </w:pPr>
      <w:bookmarkStart w:id="27" w:name="_Toc134220999"/>
      <w:r>
        <w:t>Episode</w:t>
      </w:r>
      <w:r>
        <w:rPr>
          <w:spacing w:val="-11"/>
        </w:rPr>
        <w:t xml:space="preserve"> </w:t>
      </w:r>
      <w:r>
        <w:t>1:</w:t>
      </w:r>
      <w:r>
        <w:rPr>
          <w:spacing w:val="-11"/>
        </w:rPr>
        <w:t xml:space="preserve"> </w:t>
      </w:r>
      <w:r>
        <w:t>Undershooting</w:t>
      </w:r>
      <w:r>
        <w:rPr>
          <w:spacing w:val="-11"/>
        </w:rPr>
        <w:t xml:space="preserve"> </w:t>
      </w:r>
      <w:r>
        <w:t>the</w:t>
      </w:r>
      <w:r>
        <w:rPr>
          <w:spacing w:val="-11"/>
        </w:rPr>
        <w:t xml:space="preserve"> </w:t>
      </w:r>
      <w:r>
        <w:t>inflation</w:t>
      </w:r>
      <w:r>
        <w:rPr>
          <w:spacing w:val="-11"/>
        </w:rPr>
        <w:t xml:space="preserve"> </w:t>
      </w:r>
      <w:r w:rsidRPr="00F41D21">
        <w:t>target</w:t>
      </w:r>
      <w:r>
        <w:t xml:space="preserve"> between 2016 and </w:t>
      </w:r>
      <w:r w:rsidRPr="005B3F66">
        <w:t>2019</w:t>
      </w:r>
      <w:bookmarkEnd w:id="27"/>
    </w:p>
    <w:p w14:paraId="38451665" w14:textId="77777777" w:rsidR="00F41D21" w:rsidRDefault="00F41D21" w:rsidP="00F41D21"/>
    <w:p w14:paraId="4B622FB1" w14:textId="4CC4E2FE" w:rsidR="00F41D21" w:rsidRDefault="00F41D21" w:rsidP="00F41D21">
      <w:r>
        <w:t>Criticism about the RBA’s performance from people consulted by the Review focused on the Reserve</w:t>
      </w:r>
      <w:r>
        <w:rPr>
          <w:spacing w:val="-1"/>
        </w:rPr>
        <w:t xml:space="preserve"> </w:t>
      </w:r>
      <w:r>
        <w:t>Bank</w:t>
      </w:r>
      <w:r>
        <w:rPr>
          <w:spacing w:val="-1"/>
        </w:rPr>
        <w:t xml:space="preserve"> </w:t>
      </w:r>
      <w:r>
        <w:t>Board’s</w:t>
      </w:r>
      <w:r>
        <w:rPr>
          <w:spacing w:val="-1"/>
        </w:rPr>
        <w:t xml:space="preserve"> </w:t>
      </w:r>
      <w:r>
        <w:t>actions</w:t>
      </w:r>
      <w:r>
        <w:rPr>
          <w:spacing w:val="-1"/>
        </w:rPr>
        <w:t xml:space="preserve"> </w:t>
      </w:r>
      <w:r>
        <w:t>between</w:t>
      </w:r>
      <w:r>
        <w:rPr>
          <w:spacing w:val="-1"/>
        </w:rPr>
        <w:t xml:space="preserve"> </w:t>
      </w:r>
      <w:r>
        <w:t>2016</w:t>
      </w:r>
      <w:r>
        <w:rPr>
          <w:spacing w:val="-1"/>
        </w:rPr>
        <w:t xml:space="preserve"> </w:t>
      </w:r>
      <w:r>
        <w:t>and</w:t>
      </w:r>
      <w:r>
        <w:rPr>
          <w:spacing w:val="-1"/>
        </w:rPr>
        <w:t xml:space="preserve"> </w:t>
      </w:r>
      <w:r>
        <w:t>2019,</w:t>
      </w:r>
      <w:r>
        <w:rPr>
          <w:spacing w:val="-1"/>
        </w:rPr>
        <w:t xml:space="preserve"> </w:t>
      </w:r>
      <w:r>
        <w:t>when</w:t>
      </w:r>
      <w:r>
        <w:rPr>
          <w:spacing w:val="-1"/>
        </w:rPr>
        <w:t xml:space="preserve"> </w:t>
      </w:r>
      <w:r>
        <w:t>the</w:t>
      </w:r>
      <w:r>
        <w:rPr>
          <w:spacing w:val="-1"/>
        </w:rPr>
        <w:t xml:space="preserve"> </w:t>
      </w:r>
      <w:r>
        <w:t>average</w:t>
      </w:r>
      <w:r>
        <w:rPr>
          <w:spacing w:val="-1"/>
        </w:rPr>
        <w:t xml:space="preserve"> </w:t>
      </w:r>
      <w:r>
        <w:t>trimmed</w:t>
      </w:r>
      <w:r>
        <w:rPr>
          <w:spacing w:val="-1"/>
        </w:rPr>
        <w:t xml:space="preserve"> </w:t>
      </w:r>
      <w:r>
        <w:t>mean</w:t>
      </w:r>
      <w:r>
        <w:rPr>
          <w:spacing w:val="-1"/>
        </w:rPr>
        <w:t xml:space="preserve"> </w:t>
      </w:r>
      <w:r>
        <w:t>inflation rate of 1.6 per cent was below the target of 2 to 3 per cent.</w:t>
      </w:r>
    </w:p>
    <w:p w14:paraId="10CC6ECC" w14:textId="77777777" w:rsidR="00F41D21" w:rsidRDefault="00F41D21" w:rsidP="00F41D21">
      <w:r>
        <w:t>Throughout this period, the RBA consistently expected a tighter labour market and a pick-up in wage growth to lift trimmed mean inflation back to the target range. However, the RBA’s forecasts for increasing inflation were gradual and, at best, the RBA expected inflation to reach only the bottom of the target range (Chart 1.3). At the same time, the RBA expected the unemployment rate to decline gradually but remain above its best estimate of the NAIRU (Chart 1.4).</w:t>
      </w:r>
    </w:p>
    <w:p w14:paraId="3B816F8B" w14:textId="4AA446AE" w:rsidR="00F41D21" w:rsidRDefault="00F41D21" w:rsidP="00916FFF">
      <w:pPr>
        <w:rPr>
          <w:spacing w:val="-2"/>
        </w:rPr>
      </w:pPr>
      <w:r>
        <w:t>In the end, meaningful progress was not made towards the RBA’s targets. Headline and trimmed mean inflation remained below the RBA’s target throughout almost all of the 2016 to 2019 period, averaging 1.7 per cent and 1.6 per cent, respectively. The unemployment rate declined faster than expected, but the lack of an inflation response indicated that the sustainable level</w:t>
      </w:r>
      <w:r w:rsidR="00916FFF">
        <w:t xml:space="preserve"> </w:t>
      </w:r>
      <w:r>
        <w:t>of</w:t>
      </w:r>
      <w:r>
        <w:rPr>
          <w:spacing w:val="1"/>
        </w:rPr>
        <w:t xml:space="preserve"> </w:t>
      </w:r>
      <w:r>
        <w:t>unemployment</w:t>
      </w:r>
      <w:r>
        <w:rPr>
          <w:spacing w:val="2"/>
        </w:rPr>
        <w:t xml:space="preserve"> </w:t>
      </w:r>
      <w:r>
        <w:t>was</w:t>
      </w:r>
      <w:r>
        <w:rPr>
          <w:spacing w:val="2"/>
        </w:rPr>
        <w:t xml:space="preserve"> </w:t>
      </w:r>
      <w:r>
        <w:t>likely</w:t>
      </w:r>
      <w:r>
        <w:rPr>
          <w:spacing w:val="2"/>
        </w:rPr>
        <w:t xml:space="preserve"> </w:t>
      </w:r>
      <w:r>
        <w:t>lower</w:t>
      </w:r>
      <w:r>
        <w:rPr>
          <w:spacing w:val="2"/>
        </w:rPr>
        <w:t xml:space="preserve"> </w:t>
      </w:r>
      <w:r>
        <w:t>still.</w:t>
      </w:r>
      <w:r>
        <w:rPr>
          <w:spacing w:val="2"/>
        </w:rPr>
        <w:t xml:space="preserve"> </w:t>
      </w:r>
      <w:r>
        <w:t>The</w:t>
      </w:r>
      <w:r>
        <w:rPr>
          <w:spacing w:val="2"/>
        </w:rPr>
        <w:t xml:space="preserve"> </w:t>
      </w:r>
      <w:r>
        <w:t>RBA</w:t>
      </w:r>
      <w:r>
        <w:rPr>
          <w:spacing w:val="1"/>
        </w:rPr>
        <w:t xml:space="preserve"> </w:t>
      </w:r>
      <w:r>
        <w:t>revised</w:t>
      </w:r>
      <w:r>
        <w:rPr>
          <w:spacing w:val="2"/>
        </w:rPr>
        <w:t xml:space="preserve"> </w:t>
      </w:r>
      <w:r>
        <w:t>its</w:t>
      </w:r>
      <w:r>
        <w:rPr>
          <w:spacing w:val="2"/>
        </w:rPr>
        <w:t xml:space="preserve"> </w:t>
      </w:r>
      <w:r>
        <w:t>estimate</w:t>
      </w:r>
      <w:r>
        <w:rPr>
          <w:spacing w:val="2"/>
        </w:rPr>
        <w:t xml:space="preserve"> </w:t>
      </w:r>
      <w:r>
        <w:t>of</w:t>
      </w:r>
      <w:r>
        <w:rPr>
          <w:spacing w:val="2"/>
        </w:rPr>
        <w:t xml:space="preserve"> </w:t>
      </w:r>
      <w:r>
        <w:t>the</w:t>
      </w:r>
      <w:r>
        <w:rPr>
          <w:spacing w:val="2"/>
        </w:rPr>
        <w:t xml:space="preserve"> </w:t>
      </w:r>
      <w:r>
        <w:t>NAIRU</w:t>
      </w:r>
      <w:r>
        <w:rPr>
          <w:spacing w:val="2"/>
        </w:rPr>
        <w:t xml:space="preserve"> </w:t>
      </w:r>
      <w:r>
        <w:t>lower</w:t>
      </w:r>
      <w:r>
        <w:rPr>
          <w:spacing w:val="2"/>
        </w:rPr>
        <w:t xml:space="preserve"> </w:t>
      </w:r>
      <w:r>
        <w:rPr>
          <w:spacing w:val="-4"/>
        </w:rPr>
        <w:t>over</w:t>
      </w:r>
      <w:r w:rsidR="00916FFF">
        <w:rPr>
          <w:spacing w:val="-4"/>
        </w:rPr>
        <w:t xml:space="preserve"> </w:t>
      </w:r>
      <w:r>
        <w:t>this</w:t>
      </w:r>
      <w:r>
        <w:rPr>
          <w:spacing w:val="-1"/>
        </w:rPr>
        <w:t xml:space="preserve"> </w:t>
      </w:r>
      <w:r>
        <w:rPr>
          <w:spacing w:val="-2"/>
        </w:rPr>
        <w:t>period.</w:t>
      </w:r>
    </w:p>
    <w:p w14:paraId="6697C369" w14:textId="77777777" w:rsidR="00E741EF" w:rsidRDefault="00E741EF" w:rsidP="00916FFF"/>
    <w:tbl>
      <w:tblPr>
        <w:tblW w:w="5000" w:type="pct"/>
        <w:tblCellMar>
          <w:left w:w="0" w:type="dxa"/>
          <w:right w:w="0" w:type="dxa"/>
        </w:tblCellMar>
        <w:tblLook w:val="01E0" w:firstRow="1" w:lastRow="1" w:firstColumn="1" w:lastColumn="1" w:noHBand="0" w:noVBand="0"/>
      </w:tblPr>
      <w:tblGrid>
        <w:gridCol w:w="4722"/>
        <w:gridCol w:w="4348"/>
      </w:tblGrid>
      <w:tr w:rsidR="00E741EF" w14:paraId="32B60391" w14:textId="77777777" w:rsidTr="00B71852">
        <w:trPr>
          <w:trHeight w:val="475"/>
        </w:trPr>
        <w:tc>
          <w:tcPr>
            <w:tcW w:w="2603" w:type="pct"/>
          </w:tcPr>
          <w:p w14:paraId="03095F02" w14:textId="05F28447" w:rsidR="00E741EF" w:rsidRDefault="00E741EF" w:rsidP="00CD7977">
            <w:pPr>
              <w:pStyle w:val="BoxHeading"/>
              <w:keepLines/>
            </w:pPr>
            <w:r>
              <w:lastRenderedPageBreak/>
              <w:t>Chart</w:t>
            </w:r>
            <w:r>
              <w:rPr>
                <w:spacing w:val="-7"/>
              </w:rPr>
              <w:t xml:space="preserve"> </w:t>
            </w:r>
            <w:r>
              <w:t>1.3:</w:t>
            </w:r>
            <w:r>
              <w:rPr>
                <w:spacing w:val="-7"/>
              </w:rPr>
              <w:t xml:space="preserve"> </w:t>
            </w:r>
            <w:r>
              <w:t>Trimmed</w:t>
            </w:r>
            <w:r>
              <w:rPr>
                <w:spacing w:val="-7"/>
              </w:rPr>
              <w:t xml:space="preserve"> </w:t>
            </w:r>
            <w:r>
              <w:t>mean</w:t>
            </w:r>
            <w:r>
              <w:rPr>
                <w:spacing w:val="-7"/>
              </w:rPr>
              <w:t xml:space="preserve"> </w:t>
            </w:r>
            <w:r>
              <w:t>CPI</w:t>
            </w:r>
            <w:r>
              <w:rPr>
                <w:spacing w:val="-7"/>
              </w:rPr>
              <w:t xml:space="preserve"> </w:t>
            </w:r>
            <w:r>
              <w:t>inflation and RBA forecasts</w:t>
            </w:r>
          </w:p>
        </w:tc>
        <w:tc>
          <w:tcPr>
            <w:tcW w:w="2397" w:type="pct"/>
          </w:tcPr>
          <w:p w14:paraId="0B1B55C4" w14:textId="57F4A931" w:rsidR="00E741EF" w:rsidRDefault="00E741EF" w:rsidP="00CD7977">
            <w:pPr>
              <w:pStyle w:val="BoxHeading"/>
              <w:keepLines/>
            </w:pPr>
            <w:r>
              <w:t>Chart</w:t>
            </w:r>
            <w:r>
              <w:rPr>
                <w:spacing w:val="1"/>
              </w:rPr>
              <w:t xml:space="preserve"> </w:t>
            </w:r>
            <w:r>
              <w:t>1.4:</w:t>
            </w:r>
            <w:r>
              <w:rPr>
                <w:spacing w:val="1"/>
              </w:rPr>
              <w:t xml:space="preserve"> </w:t>
            </w:r>
            <w:r>
              <w:t>Unemployment</w:t>
            </w:r>
            <w:r>
              <w:rPr>
                <w:spacing w:val="1"/>
              </w:rPr>
              <w:t xml:space="preserve"> </w:t>
            </w:r>
            <w:r>
              <w:t>rate</w:t>
            </w:r>
            <w:r>
              <w:rPr>
                <w:spacing w:val="2"/>
              </w:rPr>
              <w:t xml:space="preserve"> </w:t>
            </w:r>
            <w:r>
              <w:rPr>
                <w:spacing w:val="-5"/>
              </w:rPr>
              <w:t>and</w:t>
            </w:r>
            <w:r w:rsidR="00564ECE">
              <w:rPr>
                <w:spacing w:val="-5"/>
              </w:rPr>
              <w:t xml:space="preserve"> </w:t>
            </w:r>
            <w:r>
              <w:t>RBA</w:t>
            </w:r>
            <w:r>
              <w:rPr>
                <w:spacing w:val="4"/>
              </w:rPr>
              <w:t xml:space="preserve"> </w:t>
            </w:r>
            <w:r>
              <w:rPr>
                <w:spacing w:val="-2"/>
              </w:rPr>
              <w:t>forecasts</w:t>
            </w:r>
          </w:p>
        </w:tc>
      </w:tr>
      <w:tr w:rsidR="00914222" w14:paraId="53A3B9FE" w14:textId="77777777" w:rsidTr="00B71852">
        <w:trPr>
          <w:trHeight w:val="475"/>
        </w:trPr>
        <w:tc>
          <w:tcPr>
            <w:tcW w:w="2603" w:type="pct"/>
          </w:tcPr>
          <w:p w14:paraId="40C77C68" w14:textId="2BE534E2" w:rsidR="00914222" w:rsidRDefault="007167E7" w:rsidP="00CD7977">
            <w:pPr>
              <w:keepNext/>
              <w:keepLines/>
            </w:pPr>
            <w:r>
              <w:rPr>
                <w:noProof/>
              </w:rPr>
              <w:drawing>
                <wp:inline distT="0" distB="0" distL="0" distR="0" wp14:anchorId="132A8876" wp14:editId="00B1FD3D">
                  <wp:extent cx="2488697" cy="2360681"/>
                  <wp:effectExtent l="0" t="0" r="6985" b="1905"/>
                  <wp:docPr id="11" name="Picture 11" descr="A line graph of the RBA’s forecast for trimmed mean inflation between November 2016 and May 2018. It shows that actual inflation consistently came in below the RBA’s forecasts during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ine graph of the RBA’s forecast for trimmed mean inflation between November 2016 and May 2018. It shows that actual inflation consistently came in below the RBA’s forecasts during this period.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8697" cy="2360681"/>
                          </a:xfrm>
                          <a:prstGeom prst="rect">
                            <a:avLst/>
                          </a:prstGeom>
                        </pic:spPr>
                      </pic:pic>
                    </a:graphicData>
                  </a:graphic>
                </wp:inline>
              </w:drawing>
            </w:r>
          </w:p>
        </w:tc>
        <w:tc>
          <w:tcPr>
            <w:tcW w:w="2397" w:type="pct"/>
          </w:tcPr>
          <w:p w14:paraId="3FFC7866" w14:textId="627B5BD1" w:rsidR="00914222" w:rsidRDefault="00190939" w:rsidP="00CD7977">
            <w:pPr>
              <w:keepNext/>
              <w:keepLines/>
            </w:pPr>
            <w:r>
              <w:rPr>
                <w:noProof/>
              </w:rPr>
              <w:drawing>
                <wp:inline distT="0" distB="0" distL="0" distR="0" wp14:anchorId="317E50CC" wp14:editId="3C4FFF2C">
                  <wp:extent cx="2594536" cy="2461076"/>
                  <wp:effectExtent l="0" t="0" r="0" b="0"/>
                  <wp:docPr id="10" name="Picture 10" descr="A line graph of the RBA’s forecast for the unemployment rate November 2016 and May 2018. It shows that the RBA’s forecast for the unemployment rate declined gradually over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ine graph of the RBA’s forecast for the unemployment rate November 2016 and May 2018. It shows that the RBA’s forecast for the unemployment rate declined gradually over this period.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99453" cy="2465740"/>
                          </a:xfrm>
                          <a:prstGeom prst="rect">
                            <a:avLst/>
                          </a:prstGeom>
                        </pic:spPr>
                      </pic:pic>
                    </a:graphicData>
                  </a:graphic>
                </wp:inline>
              </w:drawing>
            </w:r>
          </w:p>
        </w:tc>
      </w:tr>
    </w:tbl>
    <w:p w14:paraId="2FB2CDBC" w14:textId="77777777" w:rsidR="00914222" w:rsidRDefault="00914222" w:rsidP="00CD7977">
      <w:pPr>
        <w:pStyle w:val="Note"/>
        <w:keepNext/>
        <w:keepLines/>
      </w:pPr>
      <w:r>
        <w:t>Note: Quarterly unemployment rate data are shown. Model-based estimates of the NAIRU from Cusbert (2017) and Ellis (2019). Central estimates of the NAIRU with 70 per cent confidence intervals are shown in grey. Source: ABS Consumer Price Index; ABS Labour Force Survey; Cusbert (2017); Ellis (2019).</w:t>
      </w:r>
    </w:p>
    <w:p w14:paraId="35809D4C" w14:textId="77777777" w:rsidR="001E7873" w:rsidRDefault="001E7873" w:rsidP="001E7873">
      <w:r>
        <w:t>Most people consulted by the Review concluded with hindsight that monetary policy did not sufficiently support the economy between 2016 and 2019. Over the course of 2015 and 2016, the RBA progressively cut its target for the cash rate – the interest rate charged on overnight loans between banks, the primary way the RBA influences economic conditions – from 2.5 to 1.5 per cent (Chart 1.5). The RBA could have reduced the cash rate target further before reaching the ‘effective lower bound’ – the lowest it can practically go. Instead, the RBA chose not to adjust the cash rate</w:t>
      </w:r>
      <w:r>
        <w:rPr>
          <w:spacing w:val="80"/>
        </w:rPr>
        <w:t xml:space="preserve"> </w:t>
      </w:r>
      <w:r>
        <w:t>for</w:t>
      </w:r>
      <w:r>
        <w:rPr>
          <w:spacing w:val="-1"/>
        </w:rPr>
        <w:t xml:space="preserve"> </w:t>
      </w:r>
      <w:r>
        <w:t>a</w:t>
      </w:r>
      <w:r>
        <w:rPr>
          <w:spacing w:val="-1"/>
        </w:rPr>
        <w:t xml:space="preserve"> </w:t>
      </w:r>
      <w:r>
        <w:t>record</w:t>
      </w:r>
      <w:r>
        <w:rPr>
          <w:spacing w:val="-1"/>
        </w:rPr>
        <w:t xml:space="preserve"> </w:t>
      </w:r>
      <w:r>
        <w:t>30</w:t>
      </w:r>
      <w:r>
        <w:rPr>
          <w:spacing w:val="-1"/>
        </w:rPr>
        <w:t xml:space="preserve"> </w:t>
      </w:r>
      <w:r>
        <w:t>consecutive</w:t>
      </w:r>
      <w:r>
        <w:rPr>
          <w:spacing w:val="-1"/>
        </w:rPr>
        <w:t xml:space="preserve"> </w:t>
      </w:r>
      <w:r>
        <w:t>meetings</w:t>
      </w:r>
      <w:r>
        <w:rPr>
          <w:spacing w:val="-1"/>
        </w:rPr>
        <w:t xml:space="preserve"> </w:t>
      </w:r>
      <w:r>
        <w:t>before</w:t>
      </w:r>
      <w:r>
        <w:rPr>
          <w:spacing w:val="-1"/>
        </w:rPr>
        <w:t xml:space="preserve"> </w:t>
      </w:r>
      <w:r>
        <w:t>reducing</w:t>
      </w:r>
      <w:r>
        <w:rPr>
          <w:spacing w:val="-1"/>
        </w:rPr>
        <w:t xml:space="preserve"> </w:t>
      </w:r>
      <w:r>
        <w:t>the</w:t>
      </w:r>
      <w:r>
        <w:rPr>
          <w:spacing w:val="-1"/>
        </w:rPr>
        <w:t xml:space="preserve"> </w:t>
      </w:r>
      <w:r>
        <w:t>target</w:t>
      </w:r>
      <w:r>
        <w:rPr>
          <w:spacing w:val="-1"/>
        </w:rPr>
        <w:t xml:space="preserve"> </w:t>
      </w:r>
      <w:r>
        <w:t>to</w:t>
      </w:r>
      <w:r>
        <w:rPr>
          <w:spacing w:val="-1"/>
        </w:rPr>
        <w:t xml:space="preserve"> </w:t>
      </w:r>
      <w:r>
        <w:t>0.75</w:t>
      </w:r>
      <w:r>
        <w:rPr>
          <w:spacing w:val="-1"/>
        </w:rPr>
        <w:t xml:space="preserve"> </w:t>
      </w:r>
      <w:r>
        <w:t>per</w:t>
      </w:r>
      <w:r>
        <w:rPr>
          <w:spacing w:val="-1"/>
        </w:rPr>
        <w:t xml:space="preserve"> </w:t>
      </w:r>
      <w:r>
        <w:t>cent</w:t>
      </w:r>
      <w:r>
        <w:rPr>
          <w:spacing w:val="-1"/>
        </w:rPr>
        <w:t xml:space="preserve"> </w:t>
      </w:r>
      <w:r>
        <w:t>between</w:t>
      </w:r>
      <w:r>
        <w:rPr>
          <w:spacing w:val="-1"/>
        </w:rPr>
        <w:t xml:space="preserve"> </w:t>
      </w:r>
      <w:r>
        <w:t>June</w:t>
      </w:r>
      <w:r>
        <w:rPr>
          <w:spacing w:val="-1"/>
        </w:rPr>
        <w:t xml:space="preserve"> </w:t>
      </w:r>
      <w:r>
        <w:t>and October 2019.</w:t>
      </w:r>
    </w:p>
    <w:p w14:paraId="2B269147" w14:textId="7F8AA4C7" w:rsidR="00AE2188" w:rsidRDefault="00AE2188" w:rsidP="0017374A">
      <w:pPr>
        <w:pStyle w:val="BoxHeading"/>
        <w:keepLines/>
      </w:pPr>
      <w:r>
        <w:t>Chart 1.5:</w:t>
      </w:r>
      <w:r>
        <w:rPr>
          <w:spacing w:val="1"/>
        </w:rPr>
        <w:t xml:space="preserve"> </w:t>
      </w:r>
      <w:r>
        <w:t>Cash rate</w:t>
      </w:r>
      <w:r>
        <w:rPr>
          <w:spacing w:val="1"/>
        </w:rPr>
        <w:t xml:space="preserve"> </w:t>
      </w:r>
      <w:r>
        <w:rPr>
          <w:spacing w:val="-2"/>
        </w:rPr>
        <w:t>target</w:t>
      </w:r>
    </w:p>
    <w:p w14:paraId="508FCDCC" w14:textId="58A631B2" w:rsidR="001E7873" w:rsidRDefault="007167E7" w:rsidP="0017374A">
      <w:pPr>
        <w:keepNext/>
        <w:keepLines/>
        <w:spacing w:before="0" w:after="160" w:line="259" w:lineRule="auto"/>
      </w:pPr>
      <w:r>
        <w:rPr>
          <w:noProof/>
        </w:rPr>
        <w:drawing>
          <wp:inline distT="0" distB="0" distL="0" distR="0" wp14:anchorId="7ACD6230" wp14:editId="79EC02CB">
            <wp:extent cx="5131318" cy="2372873"/>
            <wp:effectExtent l="0" t="0" r="0" b="8890"/>
            <wp:docPr id="19" name="Picture 19" descr="A line graph of the RBA’s cash rate target since 1993. Its shows that the cash rate target was progressively reduced throughout the 2010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line graph of the RBA’s cash rate target since 1993. Its shows that the cash rate target was progressively reduced throughout the 2010s.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31318" cy="2372873"/>
                    </a:xfrm>
                    <a:prstGeom prst="rect">
                      <a:avLst/>
                    </a:prstGeom>
                  </pic:spPr>
                </pic:pic>
              </a:graphicData>
            </a:graphic>
          </wp:inline>
        </w:drawing>
      </w:r>
    </w:p>
    <w:p w14:paraId="38F05D63" w14:textId="47779172" w:rsidR="009A7330" w:rsidRDefault="009A7330" w:rsidP="0017374A">
      <w:pPr>
        <w:pStyle w:val="Note"/>
        <w:keepNext/>
        <w:keepLines/>
        <w:rPr>
          <w:spacing w:val="-4"/>
        </w:rPr>
      </w:pPr>
      <w:r>
        <w:t>Source:</w:t>
      </w:r>
      <w:r>
        <w:rPr>
          <w:spacing w:val="-1"/>
        </w:rPr>
        <w:t xml:space="preserve"> </w:t>
      </w:r>
      <w:r>
        <w:rPr>
          <w:spacing w:val="-4"/>
        </w:rPr>
        <w:t>RBA</w:t>
      </w:r>
    </w:p>
    <w:p w14:paraId="784C634D" w14:textId="77777777" w:rsidR="00626BD3" w:rsidRDefault="00626BD3" w:rsidP="00626BD3">
      <w:r>
        <w:t xml:space="preserve">Australia may have had stronger employment and inflation outcomes had interest rates been lower through this period. Using the RBA’s macroeconomic model, the MARTIN model, Gross and Leigh (2022) found that a lower policy rate between 2016 and 2019 could have achieved a lower unemployment rate. At the same time, inflation could have been closer to the RBA’s target. Gross and </w:t>
      </w:r>
      <w:r>
        <w:lastRenderedPageBreak/>
        <w:t>Leigh estimated that foregone employment was equivalent to approximately 270,000 people out of work for a year.</w:t>
      </w:r>
    </w:p>
    <w:p w14:paraId="67A2763C" w14:textId="2775BD5A" w:rsidR="00626BD3" w:rsidRDefault="00626BD3" w:rsidP="00626BD3">
      <w:r>
        <w:t>These</w:t>
      </w:r>
      <w:r>
        <w:rPr>
          <w:spacing w:val="14"/>
        </w:rPr>
        <w:t xml:space="preserve"> </w:t>
      </w:r>
      <w:r>
        <w:t>observations</w:t>
      </w:r>
      <w:r>
        <w:rPr>
          <w:spacing w:val="14"/>
        </w:rPr>
        <w:t xml:space="preserve"> </w:t>
      </w:r>
      <w:r>
        <w:t>raise</w:t>
      </w:r>
      <w:r>
        <w:rPr>
          <w:spacing w:val="14"/>
        </w:rPr>
        <w:t xml:space="preserve"> </w:t>
      </w:r>
      <w:r>
        <w:t>questions</w:t>
      </w:r>
      <w:r>
        <w:rPr>
          <w:spacing w:val="14"/>
        </w:rPr>
        <w:t xml:space="preserve"> </w:t>
      </w:r>
      <w:r>
        <w:t>around</w:t>
      </w:r>
      <w:r>
        <w:rPr>
          <w:spacing w:val="14"/>
        </w:rPr>
        <w:t xml:space="preserve"> </w:t>
      </w:r>
      <w:r>
        <w:t>why</w:t>
      </w:r>
      <w:r>
        <w:rPr>
          <w:spacing w:val="14"/>
        </w:rPr>
        <w:t xml:space="preserve"> </w:t>
      </w:r>
      <w:r>
        <w:t>the</w:t>
      </w:r>
      <w:r>
        <w:rPr>
          <w:spacing w:val="14"/>
        </w:rPr>
        <w:t xml:space="preserve"> </w:t>
      </w:r>
      <w:r>
        <w:t>Reserve</w:t>
      </w:r>
      <w:r>
        <w:rPr>
          <w:spacing w:val="14"/>
        </w:rPr>
        <w:t xml:space="preserve"> </w:t>
      </w:r>
      <w:r>
        <w:t>Bank</w:t>
      </w:r>
      <w:r>
        <w:rPr>
          <w:spacing w:val="14"/>
        </w:rPr>
        <w:t xml:space="preserve"> </w:t>
      </w:r>
      <w:r>
        <w:t>Board</w:t>
      </w:r>
      <w:r>
        <w:rPr>
          <w:spacing w:val="14"/>
        </w:rPr>
        <w:t xml:space="preserve"> </w:t>
      </w:r>
      <w:r>
        <w:t>was</w:t>
      </w:r>
      <w:r>
        <w:rPr>
          <w:spacing w:val="14"/>
        </w:rPr>
        <w:t xml:space="preserve"> </w:t>
      </w:r>
      <w:r>
        <w:t>willing</w:t>
      </w:r>
      <w:r>
        <w:rPr>
          <w:spacing w:val="14"/>
        </w:rPr>
        <w:t xml:space="preserve"> </w:t>
      </w:r>
      <w:r>
        <w:t>to</w:t>
      </w:r>
      <w:r>
        <w:rPr>
          <w:spacing w:val="14"/>
        </w:rPr>
        <w:t xml:space="preserve"> </w:t>
      </w:r>
      <w:r>
        <w:t>accept the prospect of gradual progress towards its inflation and employment targets rather than easing</w:t>
      </w:r>
      <w:r w:rsidR="0017374A">
        <w:t xml:space="preserve"> </w:t>
      </w:r>
      <w:r>
        <w:t>policy further. They also raise questions around why, in the end, even gradual progress towards the inflation target was not achieved.</w:t>
      </w:r>
    </w:p>
    <w:p w14:paraId="008B9B07" w14:textId="77777777" w:rsidR="00320003" w:rsidRDefault="00320003" w:rsidP="00980222">
      <w:pPr>
        <w:pStyle w:val="Heading3"/>
      </w:pPr>
      <w:r>
        <w:t>The</w:t>
      </w:r>
      <w:r>
        <w:rPr>
          <w:spacing w:val="-10"/>
        </w:rPr>
        <w:t xml:space="preserve"> </w:t>
      </w:r>
      <w:r>
        <w:t>RBA</w:t>
      </w:r>
      <w:r>
        <w:rPr>
          <w:spacing w:val="-7"/>
        </w:rPr>
        <w:t xml:space="preserve"> </w:t>
      </w:r>
      <w:r>
        <w:t>expected</w:t>
      </w:r>
      <w:r>
        <w:rPr>
          <w:spacing w:val="-7"/>
        </w:rPr>
        <w:t xml:space="preserve"> </w:t>
      </w:r>
      <w:r>
        <w:t>to</w:t>
      </w:r>
      <w:r>
        <w:rPr>
          <w:spacing w:val="-7"/>
        </w:rPr>
        <w:t xml:space="preserve"> </w:t>
      </w:r>
      <w:r>
        <w:t>make</w:t>
      </w:r>
      <w:r>
        <w:rPr>
          <w:spacing w:val="-7"/>
        </w:rPr>
        <w:t xml:space="preserve"> </w:t>
      </w:r>
      <w:r>
        <w:t>gradual</w:t>
      </w:r>
      <w:r>
        <w:rPr>
          <w:spacing w:val="-7"/>
        </w:rPr>
        <w:t xml:space="preserve"> </w:t>
      </w:r>
      <w:r>
        <w:t>progress</w:t>
      </w:r>
      <w:r>
        <w:rPr>
          <w:spacing w:val="-7"/>
        </w:rPr>
        <w:t xml:space="preserve"> </w:t>
      </w:r>
      <w:r>
        <w:t>towards</w:t>
      </w:r>
      <w:r>
        <w:rPr>
          <w:spacing w:val="-7"/>
        </w:rPr>
        <w:t xml:space="preserve"> </w:t>
      </w:r>
      <w:r>
        <w:t>its</w:t>
      </w:r>
      <w:r>
        <w:rPr>
          <w:spacing w:val="-7"/>
        </w:rPr>
        <w:t xml:space="preserve"> </w:t>
      </w:r>
      <w:r>
        <w:rPr>
          <w:spacing w:val="-2"/>
        </w:rPr>
        <w:t>targets</w:t>
      </w:r>
    </w:p>
    <w:p w14:paraId="06C70E7F" w14:textId="77777777" w:rsidR="00320003" w:rsidRDefault="00320003" w:rsidP="00980222">
      <w:r>
        <w:t>The previous section noted that inflation target misses over this period partly reflected the Reserve Bank Board’s strategy of making gradual progress towards its targets. Professional observers of the RBA and former and current Reserve Bank Board members provided various explanations as to</w:t>
      </w:r>
      <w:r>
        <w:rPr>
          <w:spacing w:val="80"/>
        </w:rPr>
        <w:t xml:space="preserve"> </w:t>
      </w:r>
      <w:r>
        <w:t>why the RBA held the cash rate at 1.5 per cent for most of the period, while expecting inflation to, at best, reach the bottom of the target band in 2 to 3 years. The unemployment rate was expected to remain higher than the RBA’s best estimate of the NAIRU at the time.</w:t>
      </w:r>
    </w:p>
    <w:p w14:paraId="1D83E566" w14:textId="77777777" w:rsidR="00320003" w:rsidRDefault="00320003" w:rsidP="00980222">
      <w:r>
        <w:t xml:space="preserve">During much of this period, the Reserve Bank Board did not provide a detailed account of the factors influencing its decisions in its post-meeting statements and </w:t>
      </w:r>
      <w:r>
        <w:rPr>
          <w:i/>
        </w:rPr>
        <w:t xml:space="preserve">Minutes. </w:t>
      </w:r>
      <w:r>
        <w:t xml:space="preserve">For example, in the </w:t>
      </w:r>
      <w:r>
        <w:rPr>
          <w:i/>
        </w:rPr>
        <w:t xml:space="preserve">Minutes </w:t>
      </w:r>
      <w:r>
        <w:t>of the August 2017 meeting, the Reserve Bank Board added text that there was a ‘need to balance risks associated with high household debt in a low-inflation environment’, without further explanation. Instead, detail about the RBA’s thinking was set out by the RBA executive from time to time in Parliamentary testimonies and speeches.</w:t>
      </w:r>
    </w:p>
    <w:p w14:paraId="038E796E" w14:textId="343FB4A3" w:rsidR="00320003" w:rsidRDefault="00320003" w:rsidP="00980222">
      <w:r>
        <w:t>These public appearances by the RBA executive indicate the Reserve Bank Board and executive were concerned about contributing to risks associated with rising household indebtedness.</w:t>
      </w:r>
      <w:r w:rsidR="00AC655B">
        <w:t xml:space="preserve"> </w:t>
      </w:r>
      <w:r>
        <w:t xml:space="preserve">The RBA expressed concerns about developments in the housing market, particularly the large increase in housing prices and strong growth in investor borrowing. This concern was noted in the </w:t>
      </w:r>
      <w:r>
        <w:rPr>
          <w:i/>
        </w:rPr>
        <w:t xml:space="preserve">Minutes </w:t>
      </w:r>
      <w:r>
        <w:t>on a number of occasions (for example RBA 2017; RBA 2018a). The RBA executive considered that a low level of interest rates might contribute to a build-up of vulnerabilities from higher leverage. In February 2017, Governor Lowe stated:</w:t>
      </w:r>
    </w:p>
    <w:p w14:paraId="0BD52F74" w14:textId="77777777" w:rsidR="00320003" w:rsidRPr="00447C75" w:rsidRDefault="00320003" w:rsidP="00E95949">
      <w:pPr>
        <w:pStyle w:val="italicquote"/>
      </w:pPr>
      <w:r w:rsidRPr="00447C75">
        <w:t>‘With</w:t>
      </w:r>
      <w:r w:rsidRPr="00447C75">
        <w:rPr>
          <w:spacing w:val="-3"/>
        </w:rPr>
        <w:t xml:space="preserve"> </w:t>
      </w:r>
      <w:r w:rsidRPr="00447C75">
        <w:t>household</w:t>
      </w:r>
      <w:r w:rsidRPr="00447C75">
        <w:rPr>
          <w:spacing w:val="-3"/>
        </w:rPr>
        <w:t xml:space="preserve"> </w:t>
      </w:r>
      <w:r w:rsidRPr="00447C75">
        <w:t>debt</w:t>
      </w:r>
      <w:r w:rsidRPr="00447C75">
        <w:rPr>
          <w:spacing w:val="-3"/>
        </w:rPr>
        <w:t xml:space="preserve"> </w:t>
      </w:r>
      <w:r w:rsidRPr="00447C75">
        <w:t>as</w:t>
      </w:r>
      <w:r w:rsidRPr="00447C75">
        <w:rPr>
          <w:spacing w:val="-3"/>
        </w:rPr>
        <w:t xml:space="preserve"> </w:t>
      </w:r>
      <w:r w:rsidRPr="00447C75">
        <w:t>a</w:t>
      </w:r>
      <w:r w:rsidRPr="00447C75">
        <w:rPr>
          <w:spacing w:val="-3"/>
        </w:rPr>
        <w:t xml:space="preserve"> </w:t>
      </w:r>
      <w:r w:rsidRPr="00447C75">
        <w:t>share</w:t>
      </w:r>
      <w:r w:rsidRPr="00447C75">
        <w:rPr>
          <w:spacing w:val="-3"/>
        </w:rPr>
        <w:t xml:space="preserve"> </w:t>
      </w:r>
      <w:r w:rsidRPr="00447C75">
        <w:t>of</w:t>
      </w:r>
      <w:r w:rsidRPr="00447C75">
        <w:rPr>
          <w:spacing w:val="-3"/>
        </w:rPr>
        <w:t xml:space="preserve"> </w:t>
      </w:r>
      <w:r w:rsidRPr="00447C75">
        <w:t>household</w:t>
      </w:r>
      <w:r w:rsidRPr="00447C75">
        <w:rPr>
          <w:spacing w:val="-3"/>
        </w:rPr>
        <w:t xml:space="preserve"> </w:t>
      </w:r>
      <w:r w:rsidRPr="00447C75">
        <w:t>income</w:t>
      </w:r>
      <w:r w:rsidRPr="00447C75">
        <w:rPr>
          <w:spacing w:val="-3"/>
        </w:rPr>
        <w:t xml:space="preserve"> </w:t>
      </w:r>
      <w:r w:rsidRPr="00447C75">
        <w:t>already</w:t>
      </w:r>
      <w:r w:rsidRPr="00447C75">
        <w:rPr>
          <w:spacing w:val="-3"/>
        </w:rPr>
        <w:t xml:space="preserve"> </w:t>
      </w:r>
      <w:r w:rsidRPr="00447C75">
        <w:t>at</w:t>
      </w:r>
      <w:r w:rsidRPr="00447C75">
        <w:rPr>
          <w:spacing w:val="-3"/>
        </w:rPr>
        <w:t xml:space="preserve"> </w:t>
      </w:r>
      <w:r w:rsidRPr="00447C75">
        <w:t>a</w:t>
      </w:r>
      <w:r w:rsidRPr="00447C75">
        <w:rPr>
          <w:spacing w:val="-3"/>
        </w:rPr>
        <w:t xml:space="preserve"> </w:t>
      </w:r>
      <w:r w:rsidRPr="00447C75">
        <w:t>record</w:t>
      </w:r>
      <w:r w:rsidRPr="00447C75">
        <w:rPr>
          <w:spacing w:val="-3"/>
        </w:rPr>
        <w:t xml:space="preserve"> </w:t>
      </w:r>
      <w:r w:rsidRPr="00447C75">
        <w:t>high,</w:t>
      </w:r>
      <w:r w:rsidRPr="00447C75">
        <w:rPr>
          <w:spacing w:val="-3"/>
        </w:rPr>
        <w:t xml:space="preserve"> </w:t>
      </w:r>
      <w:r w:rsidRPr="00447C75">
        <w:t>is</w:t>
      </w:r>
      <w:r w:rsidRPr="00447C75">
        <w:rPr>
          <w:spacing w:val="-3"/>
        </w:rPr>
        <w:t xml:space="preserve"> </w:t>
      </w:r>
      <w:r w:rsidRPr="00447C75">
        <w:t>it</w:t>
      </w:r>
      <w:r w:rsidRPr="00447C75">
        <w:rPr>
          <w:spacing w:val="-3"/>
        </w:rPr>
        <w:t xml:space="preserve"> </w:t>
      </w:r>
      <w:r w:rsidRPr="00447C75">
        <w:t>really</w:t>
      </w:r>
      <w:r w:rsidRPr="00447C75">
        <w:rPr>
          <w:spacing w:val="-3"/>
        </w:rPr>
        <w:t xml:space="preserve"> </w:t>
      </w:r>
      <w:r w:rsidRPr="00447C75">
        <w:t>in</w:t>
      </w:r>
      <w:r w:rsidRPr="00447C75">
        <w:rPr>
          <w:spacing w:val="-3"/>
        </w:rPr>
        <w:t xml:space="preserve"> </w:t>
      </w:r>
      <w:r w:rsidRPr="00447C75">
        <w:t>the national interest to get a little bit more employment growth in the short run at the expense of creating</w:t>
      </w:r>
      <w:r w:rsidRPr="00447C75">
        <w:rPr>
          <w:spacing w:val="-2"/>
        </w:rPr>
        <w:t xml:space="preserve"> </w:t>
      </w:r>
      <w:r w:rsidRPr="00447C75">
        <w:t>vulnerabilities</w:t>
      </w:r>
      <w:r w:rsidRPr="00447C75">
        <w:rPr>
          <w:spacing w:val="-2"/>
        </w:rPr>
        <w:t xml:space="preserve"> </w:t>
      </w:r>
      <w:r w:rsidRPr="00447C75">
        <w:t>which</w:t>
      </w:r>
      <w:r w:rsidRPr="00447C75">
        <w:rPr>
          <w:spacing w:val="-2"/>
        </w:rPr>
        <w:t xml:space="preserve"> </w:t>
      </w:r>
      <w:r w:rsidRPr="00447C75">
        <w:t>could</w:t>
      </w:r>
      <w:r w:rsidRPr="00447C75">
        <w:rPr>
          <w:spacing w:val="-2"/>
        </w:rPr>
        <w:t xml:space="preserve"> </w:t>
      </w:r>
      <w:r w:rsidRPr="00447C75">
        <w:t>become</w:t>
      </w:r>
      <w:r w:rsidRPr="00447C75">
        <w:rPr>
          <w:spacing w:val="-2"/>
        </w:rPr>
        <w:t xml:space="preserve"> </w:t>
      </w:r>
      <w:r w:rsidRPr="00447C75">
        <w:t>quite</w:t>
      </w:r>
      <w:r w:rsidRPr="00447C75">
        <w:rPr>
          <w:spacing w:val="-2"/>
        </w:rPr>
        <w:t xml:space="preserve"> </w:t>
      </w:r>
      <w:r w:rsidRPr="00447C75">
        <w:t>dangerous</w:t>
      </w:r>
      <w:r w:rsidRPr="00447C75">
        <w:rPr>
          <w:spacing w:val="-2"/>
        </w:rPr>
        <w:t xml:space="preserve"> </w:t>
      </w:r>
      <w:r w:rsidRPr="00447C75">
        <w:t>in</w:t>
      </w:r>
      <w:r w:rsidRPr="00447C75">
        <w:rPr>
          <w:spacing w:val="-2"/>
        </w:rPr>
        <w:t xml:space="preserve"> </w:t>
      </w:r>
      <w:r w:rsidRPr="00447C75">
        <w:t>the</w:t>
      </w:r>
      <w:r w:rsidRPr="00447C75">
        <w:rPr>
          <w:spacing w:val="-2"/>
        </w:rPr>
        <w:t xml:space="preserve"> </w:t>
      </w:r>
      <w:r w:rsidRPr="00447C75">
        <w:t>medium</w:t>
      </w:r>
      <w:r w:rsidRPr="00447C75">
        <w:rPr>
          <w:spacing w:val="-2"/>
        </w:rPr>
        <w:t xml:space="preserve"> </w:t>
      </w:r>
      <w:r w:rsidRPr="00447C75">
        <w:t>term?</w:t>
      </w:r>
      <w:r w:rsidRPr="00447C75">
        <w:rPr>
          <w:spacing w:val="-2"/>
        </w:rPr>
        <w:t xml:space="preserve"> </w:t>
      </w:r>
      <w:r w:rsidRPr="00447C75">
        <w:t>I</w:t>
      </w:r>
      <w:r w:rsidRPr="00447C75">
        <w:rPr>
          <w:spacing w:val="-2"/>
        </w:rPr>
        <w:t xml:space="preserve"> </w:t>
      </w:r>
      <w:r w:rsidRPr="00447C75">
        <w:t>accept</w:t>
      </w:r>
      <w:r w:rsidRPr="00447C75">
        <w:rPr>
          <w:spacing w:val="-2"/>
        </w:rPr>
        <w:t xml:space="preserve"> </w:t>
      </w:r>
      <w:r w:rsidRPr="00447C75">
        <w:t>that different people will come to different points on judging that trade-off.’</w:t>
      </w:r>
    </w:p>
    <w:p w14:paraId="0C8A3B5A" w14:textId="77777777" w:rsidR="00320003" w:rsidRPr="00447C75" w:rsidRDefault="00320003" w:rsidP="00E95949">
      <w:pPr>
        <w:pStyle w:val="italicquote"/>
      </w:pPr>
      <w:r w:rsidRPr="00447C75">
        <w:t>Australian</w:t>
      </w:r>
      <w:r w:rsidRPr="00447C75">
        <w:rPr>
          <w:spacing w:val="-2"/>
        </w:rPr>
        <w:t xml:space="preserve"> </w:t>
      </w:r>
      <w:r w:rsidRPr="00447C75">
        <w:t>House</w:t>
      </w:r>
      <w:r w:rsidRPr="00447C75">
        <w:rPr>
          <w:spacing w:val="-1"/>
        </w:rPr>
        <w:t xml:space="preserve"> </w:t>
      </w:r>
      <w:r w:rsidRPr="00447C75">
        <w:t>of</w:t>
      </w:r>
      <w:r w:rsidRPr="00447C75">
        <w:rPr>
          <w:spacing w:val="-1"/>
        </w:rPr>
        <w:t xml:space="preserve"> </w:t>
      </w:r>
      <w:r w:rsidRPr="00447C75">
        <w:t>Representatives</w:t>
      </w:r>
      <w:r w:rsidRPr="00447C75">
        <w:rPr>
          <w:spacing w:val="-1"/>
        </w:rPr>
        <w:t xml:space="preserve"> </w:t>
      </w:r>
      <w:r w:rsidRPr="00447C75">
        <w:rPr>
          <w:spacing w:val="-4"/>
        </w:rPr>
        <w:t>2017</w:t>
      </w:r>
    </w:p>
    <w:p w14:paraId="2E13A6BD" w14:textId="77777777" w:rsidR="00320003" w:rsidRDefault="00320003" w:rsidP="00320003">
      <w:pPr>
        <w:pStyle w:val="BodyText"/>
        <w:spacing w:before="5"/>
        <w:rPr>
          <w:i/>
          <w:sz w:val="16"/>
        </w:rPr>
      </w:pPr>
    </w:p>
    <w:p w14:paraId="42F07F98" w14:textId="77777777" w:rsidR="00320003" w:rsidRDefault="00320003" w:rsidP="00414768">
      <w:r>
        <w:t>The Governor further argued that the Reserve Bank Board’s objective to contribute to ‘economic prosperity and welfare’ gave it a broader mandate than many other central banks. This allowed the Reserve Bank Board to keep interest rates higher than otherwise to limit the build-up of vulnerabilities (Australian House of Representatives 2017).</w:t>
      </w:r>
    </w:p>
    <w:p w14:paraId="1F5BC961" w14:textId="77777777" w:rsidR="00320003" w:rsidRDefault="00320003" w:rsidP="00414768">
      <w:r>
        <w:t>These arguments were echoed in a speech by the Governor in May 2017 (Lowe 2017), which explained how vulnerabilities associated with high household indebtedness and housing prices could affect economic stability.</w:t>
      </w:r>
    </w:p>
    <w:p w14:paraId="5C58EDE3" w14:textId="24508235" w:rsidR="00320003" w:rsidRDefault="00320003" w:rsidP="00E95949">
      <w:pPr>
        <w:pStyle w:val="italicquote"/>
      </w:pPr>
      <w:r>
        <w:t>‘Instead, the issue we have focused on is the possibility of future sharp cuts in household spending because of stretched balance sheets. Given the high levels of debt and housing prices, relative to incomes, it is likely that some households respond to a future shock to income or housing prices by deciding</w:t>
      </w:r>
      <w:r>
        <w:rPr>
          <w:spacing w:val="-2"/>
        </w:rPr>
        <w:t xml:space="preserve"> </w:t>
      </w:r>
      <w:r>
        <w:t>that</w:t>
      </w:r>
      <w:r>
        <w:rPr>
          <w:spacing w:val="-2"/>
        </w:rPr>
        <w:t xml:space="preserve"> </w:t>
      </w:r>
      <w:r>
        <w:t>they</w:t>
      </w:r>
      <w:r>
        <w:rPr>
          <w:spacing w:val="-2"/>
        </w:rPr>
        <w:t xml:space="preserve"> </w:t>
      </w:r>
      <w:r>
        <w:t>have</w:t>
      </w:r>
      <w:r>
        <w:rPr>
          <w:spacing w:val="-2"/>
        </w:rPr>
        <w:t xml:space="preserve"> </w:t>
      </w:r>
      <w:r>
        <w:t>borrowed</w:t>
      </w:r>
      <w:r>
        <w:rPr>
          <w:spacing w:val="-2"/>
        </w:rPr>
        <w:t xml:space="preserve"> </w:t>
      </w:r>
      <w:r>
        <w:t>too</w:t>
      </w:r>
      <w:r>
        <w:rPr>
          <w:spacing w:val="-2"/>
        </w:rPr>
        <w:t xml:space="preserve"> </w:t>
      </w:r>
      <w:r>
        <w:t>much.</w:t>
      </w:r>
      <w:r>
        <w:rPr>
          <w:spacing w:val="-2"/>
        </w:rPr>
        <w:t xml:space="preserve"> </w:t>
      </w:r>
      <w:r>
        <w:t>This</w:t>
      </w:r>
      <w:r>
        <w:rPr>
          <w:spacing w:val="-2"/>
        </w:rPr>
        <w:t xml:space="preserve"> </w:t>
      </w:r>
      <w:r>
        <w:t>could</w:t>
      </w:r>
      <w:r>
        <w:rPr>
          <w:spacing w:val="-2"/>
        </w:rPr>
        <w:t xml:space="preserve"> </w:t>
      </w:r>
      <w:r>
        <w:t>prompt</w:t>
      </w:r>
      <w:r>
        <w:rPr>
          <w:spacing w:val="-2"/>
        </w:rPr>
        <w:t xml:space="preserve"> </w:t>
      </w:r>
      <w:r>
        <w:t>a</w:t>
      </w:r>
      <w:r>
        <w:rPr>
          <w:spacing w:val="-2"/>
        </w:rPr>
        <w:t xml:space="preserve"> </w:t>
      </w:r>
      <w:r>
        <w:t>sharp</w:t>
      </w:r>
      <w:r>
        <w:rPr>
          <w:spacing w:val="-2"/>
        </w:rPr>
        <w:t xml:space="preserve"> </w:t>
      </w:r>
      <w:r>
        <w:t>contraction</w:t>
      </w:r>
      <w:r>
        <w:rPr>
          <w:spacing w:val="-2"/>
        </w:rPr>
        <w:t xml:space="preserve"> </w:t>
      </w:r>
      <w:r>
        <w:t>in</w:t>
      </w:r>
      <w:r>
        <w:rPr>
          <w:spacing w:val="-2"/>
        </w:rPr>
        <w:t xml:space="preserve"> </w:t>
      </w:r>
      <w:r>
        <w:t>their</w:t>
      </w:r>
      <w:r>
        <w:rPr>
          <w:spacing w:val="-2"/>
        </w:rPr>
        <w:t xml:space="preserve"> </w:t>
      </w:r>
      <w:r>
        <w:t xml:space="preserve">spending, as they try to get their balance sheets back into better shape. An otherwise manageable downturn could be turned into something </w:t>
      </w:r>
      <w:r>
        <w:lastRenderedPageBreak/>
        <w:t>more serious. So, the financial stability question is:</w:t>
      </w:r>
      <w:r w:rsidR="0068598E">
        <w:t xml:space="preserve"> </w:t>
      </w:r>
      <w:r>
        <w:t>to</w:t>
      </w:r>
      <w:r>
        <w:rPr>
          <w:spacing w:val="-5"/>
        </w:rPr>
        <w:t xml:space="preserve"> </w:t>
      </w:r>
      <w:r>
        <w:t>what</w:t>
      </w:r>
      <w:r>
        <w:rPr>
          <w:spacing w:val="-2"/>
        </w:rPr>
        <w:t xml:space="preserve"> </w:t>
      </w:r>
      <w:r>
        <w:t>extent</w:t>
      </w:r>
      <w:r>
        <w:rPr>
          <w:spacing w:val="-3"/>
        </w:rPr>
        <w:t xml:space="preserve"> </w:t>
      </w:r>
      <w:r>
        <w:t>does</w:t>
      </w:r>
      <w:r>
        <w:rPr>
          <w:spacing w:val="-2"/>
        </w:rPr>
        <w:t xml:space="preserve"> </w:t>
      </w:r>
      <w:r>
        <w:t>the</w:t>
      </w:r>
      <w:r>
        <w:rPr>
          <w:spacing w:val="-3"/>
        </w:rPr>
        <w:t xml:space="preserve"> </w:t>
      </w:r>
      <w:r>
        <w:t>higher</w:t>
      </w:r>
      <w:r>
        <w:rPr>
          <w:spacing w:val="-2"/>
        </w:rPr>
        <w:t xml:space="preserve"> </w:t>
      </w:r>
      <w:r>
        <w:t>level</w:t>
      </w:r>
      <w:r>
        <w:rPr>
          <w:spacing w:val="-3"/>
        </w:rPr>
        <w:t xml:space="preserve"> </w:t>
      </w:r>
      <w:r>
        <w:t>of</w:t>
      </w:r>
      <w:r>
        <w:rPr>
          <w:spacing w:val="-2"/>
        </w:rPr>
        <w:t xml:space="preserve"> </w:t>
      </w:r>
      <w:r>
        <w:t>household</w:t>
      </w:r>
      <w:r>
        <w:rPr>
          <w:spacing w:val="-3"/>
        </w:rPr>
        <w:t xml:space="preserve"> </w:t>
      </w:r>
      <w:r>
        <w:t>debt</w:t>
      </w:r>
      <w:r>
        <w:rPr>
          <w:spacing w:val="-2"/>
        </w:rPr>
        <w:t xml:space="preserve"> </w:t>
      </w:r>
      <w:r>
        <w:t>make</w:t>
      </w:r>
      <w:r>
        <w:rPr>
          <w:spacing w:val="-3"/>
        </w:rPr>
        <w:t xml:space="preserve"> </w:t>
      </w:r>
      <w:r>
        <w:t>us</w:t>
      </w:r>
      <w:r>
        <w:rPr>
          <w:spacing w:val="-2"/>
        </w:rPr>
        <w:t xml:space="preserve"> </w:t>
      </w:r>
      <w:r>
        <w:t>less</w:t>
      </w:r>
      <w:r>
        <w:rPr>
          <w:spacing w:val="-3"/>
        </w:rPr>
        <w:t xml:space="preserve"> </w:t>
      </w:r>
      <w:r>
        <w:t>resilient</w:t>
      </w:r>
      <w:r>
        <w:rPr>
          <w:spacing w:val="-2"/>
        </w:rPr>
        <w:t xml:space="preserve"> </w:t>
      </w:r>
      <w:r>
        <w:t>to</w:t>
      </w:r>
      <w:r>
        <w:rPr>
          <w:spacing w:val="-3"/>
        </w:rPr>
        <w:t xml:space="preserve"> </w:t>
      </w:r>
      <w:r>
        <w:t>future</w:t>
      </w:r>
      <w:r>
        <w:rPr>
          <w:spacing w:val="-2"/>
        </w:rPr>
        <w:t xml:space="preserve"> shocks?’</w:t>
      </w:r>
    </w:p>
    <w:p w14:paraId="5AAB064A" w14:textId="77777777" w:rsidR="00320003" w:rsidRDefault="00320003" w:rsidP="00320003">
      <w:pPr>
        <w:pStyle w:val="BodyText"/>
        <w:spacing w:before="5"/>
        <w:rPr>
          <w:i/>
          <w:sz w:val="16"/>
        </w:rPr>
      </w:pPr>
    </w:p>
    <w:p w14:paraId="4C94F160" w14:textId="6E1D2324" w:rsidR="00626BD3" w:rsidRDefault="00320003" w:rsidP="00320003">
      <w:r>
        <w:t>Whether these risks around household debt could have justified a higher level of interest rates</w:t>
      </w:r>
      <w:r>
        <w:rPr>
          <w:spacing w:val="80"/>
        </w:rPr>
        <w:t xml:space="preserve"> </w:t>
      </w:r>
      <w:r>
        <w:t>is contentious, as reflected in some submissions to the Review. At the same time, higher interest rates likely contributed to below-target inflation and higher unemployment than otherwise. The decision not to reduce the cash rate further between 2016 and 2019 was an important policy judgement on the part of the Board.</w:t>
      </w:r>
    </w:p>
    <w:p w14:paraId="3951542C" w14:textId="77777777" w:rsidR="001C2523" w:rsidRDefault="001C2523" w:rsidP="001C2523">
      <w:r>
        <w:t>Beyond the issue of household indebtedness, other reasonings within the RBA as to why interest rates should not be lowered included that:</w:t>
      </w:r>
    </w:p>
    <w:p w14:paraId="001701AB" w14:textId="77777777" w:rsidR="001C2523" w:rsidRDefault="001C2523" w:rsidP="0000278A">
      <w:pPr>
        <w:pStyle w:val="Bullet"/>
      </w:pPr>
      <w:r>
        <w:t>It was not possible to fine-tune economic outcomes, and the RBA should instead be a ‘source of stability and confidence’ while wages and inflation gradually picked up.</w:t>
      </w:r>
    </w:p>
    <w:p w14:paraId="723AB144" w14:textId="3C436632" w:rsidR="001C2523" w:rsidRDefault="001C2523" w:rsidP="0000278A">
      <w:pPr>
        <w:pStyle w:val="Bullet"/>
      </w:pPr>
      <w:r>
        <w:t>The</w:t>
      </w:r>
      <w:r w:rsidRPr="001C2523">
        <w:rPr>
          <w:spacing w:val="-2"/>
        </w:rPr>
        <w:t xml:space="preserve"> </w:t>
      </w:r>
      <w:r>
        <w:t>public</w:t>
      </w:r>
      <w:r w:rsidRPr="001C2523">
        <w:rPr>
          <w:spacing w:val="1"/>
        </w:rPr>
        <w:t xml:space="preserve"> </w:t>
      </w:r>
      <w:r>
        <w:t>might</w:t>
      </w:r>
      <w:r w:rsidRPr="001C2523">
        <w:rPr>
          <w:spacing w:val="1"/>
        </w:rPr>
        <w:t xml:space="preserve"> </w:t>
      </w:r>
      <w:r>
        <w:t>interpret additional</w:t>
      </w:r>
      <w:r w:rsidRPr="001C2523">
        <w:rPr>
          <w:spacing w:val="1"/>
        </w:rPr>
        <w:t xml:space="preserve"> </w:t>
      </w:r>
      <w:r>
        <w:t>rate</w:t>
      </w:r>
      <w:r w:rsidRPr="001C2523">
        <w:rPr>
          <w:spacing w:val="1"/>
        </w:rPr>
        <w:t xml:space="preserve"> </w:t>
      </w:r>
      <w:r>
        <w:t>reductions from</w:t>
      </w:r>
      <w:r w:rsidRPr="001C2523">
        <w:rPr>
          <w:spacing w:val="1"/>
        </w:rPr>
        <w:t xml:space="preserve"> </w:t>
      </w:r>
      <w:r>
        <w:t>already</w:t>
      </w:r>
      <w:r w:rsidRPr="001C2523">
        <w:rPr>
          <w:spacing w:val="1"/>
        </w:rPr>
        <w:t xml:space="preserve"> </w:t>
      </w:r>
      <w:r>
        <w:t>low levels</w:t>
      </w:r>
      <w:r w:rsidRPr="001C2523">
        <w:rPr>
          <w:spacing w:val="1"/>
        </w:rPr>
        <w:t xml:space="preserve"> </w:t>
      </w:r>
      <w:r>
        <w:t>as</w:t>
      </w:r>
      <w:r w:rsidRPr="001C2523">
        <w:rPr>
          <w:spacing w:val="1"/>
        </w:rPr>
        <w:t xml:space="preserve"> </w:t>
      </w:r>
      <w:r>
        <w:t>bad</w:t>
      </w:r>
      <w:r w:rsidRPr="001C2523">
        <w:rPr>
          <w:spacing w:val="1"/>
        </w:rPr>
        <w:t xml:space="preserve"> </w:t>
      </w:r>
      <w:r w:rsidRPr="001C2523">
        <w:rPr>
          <w:spacing w:val="-2"/>
        </w:rPr>
        <w:t>news,</w:t>
      </w:r>
      <w:r>
        <w:rPr>
          <w:spacing w:val="-2"/>
        </w:rPr>
        <w:t xml:space="preserve"> </w:t>
      </w:r>
      <w:r>
        <w:t>thereby hurting</w:t>
      </w:r>
      <w:r w:rsidRPr="001C2523">
        <w:rPr>
          <w:spacing w:val="1"/>
        </w:rPr>
        <w:t xml:space="preserve"> </w:t>
      </w:r>
      <w:r>
        <w:t>confidence</w:t>
      </w:r>
      <w:r w:rsidRPr="001C2523">
        <w:rPr>
          <w:spacing w:val="1"/>
        </w:rPr>
        <w:t xml:space="preserve"> </w:t>
      </w:r>
      <w:r>
        <w:t>and</w:t>
      </w:r>
      <w:r w:rsidRPr="001C2523">
        <w:rPr>
          <w:spacing w:val="1"/>
        </w:rPr>
        <w:t xml:space="preserve"> </w:t>
      </w:r>
      <w:r w:rsidRPr="001C2523">
        <w:rPr>
          <w:spacing w:val="-2"/>
        </w:rPr>
        <w:t>activity.</w:t>
      </w:r>
    </w:p>
    <w:p w14:paraId="50AF6E6A" w14:textId="77777777" w:rsidR="001C2523" w:rsidRDefault="001C2523" w:rsidP="0000278A">
      <w:pPr>
        <w:pStyle w:val="Bullet"/>
      </w:pPr>
      <w:r>
        <w:t>It might be prudent to keep some policy room in reserve in case of future downturns (‘keep the powder dry’), an argument explored in a 2017 Reserve Bank Board paper but later dismissed (for example Debelle 2018a).</w:t>
      </w:r>
    </w:p>
    <w:p w14:paraId="752BB1BF" w14:textId="77777777" w:rsidR="001C2523" w:rsidRDefault="001C2523" w:rsidP="0000278A">
      <w:pPr>
        <w:pStyle w:val="Bullet"/>
      </w:pPr>
      <w:r>
        <w:t>Further rate reductions might be less effective at low interest rates for other reasons, including because banks might not fully pass on further cash rate reductions, or the cash flow channel of monetary policy might be weaker.</w:t>
      </w:r>
    </w:p>
    <w:p w14:paraId="545B7D75" w14:textId="05EC7CED" w:rsidR="001C2523" w:rsidRDefault="001C2523" w:rsidP="001C2523">
      <w:r>
        <w:t>The</w:t>
      </w:r>
      <w:r>
        <w:rPr>
          <w:spacing w:val="-2"/>
        </w:rPr>
        <w:t xml:space="preserve"> </w:t>
      </w:r>
      <w:r>
        <w:t>first</w:t>
      </w:r>
      <w:r>
        <w:rPr>
          <w:spacing w:val="1"/>
        </w:rPr>
        <w:t xml:space="preserve"> </w:t>
      </w:r>
      <w:r>
        <w:t>2</w:t>
      </w:r>
      <w:r>
        <w:rPr>
          <w:spacing w:val="1"/>
        </w:rPr>
        <w:t xml:space="preserve"> </w:t>
      </w:r>
      <w:r>
        <w:t>of</w:t>
      </w:r>
      <w:r>
        <w:rPr>
          <w:spacing w:val="1"/>
        </w:rPr>
        <w:t xml:space="preserve"> </w:t>
      </w:r>
      <w:r>
        <w:t>these arguments</w:t>
      </w:r>
      <w:r>
        <w:rPr>
          <w:spacing w:val="1"/>
        </w:rPr>
        <w:t xml:space="preserve"> </w:t>
      </w:r>
      <w:r>
        <w:t>featured</w:t>
      </w:r>
      <w:r>
        <w:rPr>
          <w:spacing w:val="1"/>
        </w:rPr>
        <w:t xml:space="preserve"> </w:t>
      </w:r>
      <w:r>
        <w:t>in</w:t>
      </w:r>
      <w:r>
        <w:rPr>
          <w:spacing w:val="1"/>
        </w:rPr>
        <w:t xml:space="preserve"> </w:t>
      </w:r>
      <w:r>
        <w:t>the RBA’s</w:t>
      </w:r>
      <w:r>
        <w:rPr>
          <w:spacing w:val="1"/>
        </w:rPr>
        <w:t xml:space="preserve"> </w:t>
      </w:r>
      <w:r>
        <w:t>public</w:t>
      </w:r>
      <w:r>
        <w:rPr>
          <w:spacing w:val="1"/>
        </w:rPr>
        <w:t xml:space="preserve"> </w:t>
      </w:r>
      <w:r>
        <w:t>communication.</w:t>
      </w:r>
      <w:r>
        <w:rPr>
          <w:spacing w:val="1"/>
        </w:rPr>
        <w:t xml:space="preserve"> </w:t>
      </w:r>
      <w:r>
        <w:t>Some</w:t>
      </w:r>
      <w:r>
        <w:rPr>
          <w:spacing w:val="1"/>
        </w:rPr>
        <w:t xml:space="preserve"> </w:t>
      </w:r>
      <w:r>
        <w:rPr>
          <w:spacing w:val="-2"/>
        </w:rPr>
        <w:t xml:space="preserve">commentators </w:t>
      </w:r>
      <w:r>
        <w:t xml:space="preserve">outside the RBA cited them as reasons the Reserve Bank Board did not reduce rates further. The Reserve Bank Board’s judgement that it should be a source of stability and confidence featured in the </w:t>
      </w:r>
      <w:r>
        <w:rPr>
          <w:i/>
        </w:rPr>
        <w:t xml:space="preserve">Minutes </w:t>
      </w:r>
      <w:r>
        <w:t>through much of 2018 and early 2019 (for example RBA 2018b; RBA 2019a). The argument that further cash rate reductions might hurt confidence appeared in RBA communications</w:t>
      </w:r>
      <w:r>
        <w:rPr>
          <w:spacing w:val="-3"/>
        </w:rPr>
        <w:t xml:space="preserve"> </w:t>
      </w:r>
      <w:r>
        <w:t>in</w:t>
      </w:r>
      <w:r>
        <w:rPr>
          <w:spacing w:val="-3"/>
        </w:rPr>
        <w:t xml:space="preserve"> </w:t>
      </w:r>
      <w:r>
        <w:t>the</w:t>
      </w:r>
      <w:r>
        <w:rPr>
          <w:spacing w:val="-3"/>
        </w:rPr>
        <w:t xml:space="preserve"> </w:t>
      </w:r>
      <w:r>
        <w:t>second</w:t>
      </w:r>
      <w:r>
        <w:rPr>
          <w:spacing w:val="-3"/>
        </w:rPr>
        <w:t xml:space="preserve"> </w:t>
      </w:r>
      <w:r>
        <w:t>half</w:t>
      </w:r>
      <w:r>
        <w:rPr>
          <w:spacing w:val="-3"/>
        </w:rPr>
        <w:t xml:space="preserve"> </w:t>
      </w:r>
      <w:r>
        <w:t>of</w:t>
      </w:r>
      <w:r>
        <w:rPr>
          <w:spacing w:val="-3"/>
        </w:rPr>
        <w:t xml:space="preserve"> </w:t>
      </w:r>
      <w:r>
        <w:t>2019</w:t>
      </w:r>
      <w:r>
        <w:rPr>
          <w:spacing w:val="-3"/>
        </w:rPr>
        <w:t xml:space="preserve"> </w:t>
      </w:r>
      <w:r>
        <w:t>(for</w:t>
      </w:r>
      <w:r>
        <w:rPr>
          <w:spacing w:val="-3"/>
        </w:rPr>
        <w:t xml:space="preserve"> </w:t>
      </w:r>
      <w:r>
        <w:t>example</w:t>
      </w:r>
      <w:r>
        <w:rPr>
          <w:spacing w:val="-3"/>
        </w:rPr>
        <w:t xml:space="preserve"> </w:t>
      </w:r>
      <w:r>
        <w:t>RBA</w:t>
      </w:r>
      <w:r>
        <w:rPr>
          <w:spacing w:val="-3"/>
        </w:rPr>
        <w:t xml:space="preserve"> </w:t>
      </w:r>
      <w:r>
        <w:t>2019b).</w:t>
      </w:r>
      <w:r>
        <w:rPr>
          <w:spacing w:val="-3"/>
        </w:rPr>
        <w:t xml:space="preserve"> </w:t>
      </w:r>
      <w:r>
        <w:t>The</w:t>
      </w:r>
      <w:r>
        <w:rPr>
          <w:spacing w:val="-3"/>
        </w:rPr>
        <w:t xml:space="preserve"> </w:t>
      </w:r>
      <w:r>
        <w:t>operation</w:t>
      </w:r>
      <w:r>
        <w:rPr>
          <w:spacing w:val="-3"/>
        </w:rPr>
        <w:t xml:space="preserve"> </w:t>
      </w:r>
      <w:r>
        <w:t>of</w:t>
      </w:r>
      <w:r>
        <w:rPr>
          <w:spacing w:val="-3"/>
        </w:rPr>
        <w:t xml:space="preserve"> </w:t>
      </w:r>
      <w:r>
        <w:t>the</w:t>
      </w:r>
      <w:r>
        <w:rPr>
          <w:spacing w:val="-3"/>
        </w:rPr>
        <w:t xml:space="preserve"> </w:t>
      </w:r>
      <w:r>
        <w:t>cash</w:t>
      </w:r>
      <w:r>
        <w:rPr>
          <w:spacing w:val="-3"/>
        </w:rPr>
        <w:t xml:space="preserve"> </w:t>
      </w:r>
      <w:r>
        <w:t>flow channel of monetary policy and pass-through of cash rate reductions were considered in Reserve Bank Board papers in 2016 and 2019, respectively.</w:t>
      </w:r>
    </w:p>
    <w:p w14:paraId="54E8D156" w14:textId="77777777" w:rsidR="001C2523" w:rsidRDefault="001C2523" w:rsidP="001C2523">
      <w:r>
        <w:t xml:space="preserve">It is unclear from the </w:t>
      </w:r>
      <w:r>
        <w:rPr>
          <w:i/>
        </w:rPr>
        <w:t xml:space="preserve">Minutes </w:t>
      </w:r>
      <w:r>
        <w:t>how much weight the Reserve Bank Board placed on these arguments in practice. For example, the view that cash rate reductions might undermine confidence was contested by RBA staff members. Ultimately, the Reserve Bank Board assessed that the net effect</w:t>
      </w:r>
      <w:r>
        <w:rPr>
          <w:spacing w:val="80"/>
          <w:w w:val="150"/>
        </w:rPr>
        <w:t xml:space="preserve"> </w:t>
      </w:r>
      <w:r>
        <w:t>of reductions in the cash rate was still stimulatory, and it reduced the cash rate target further in 2019 (RBA 2019c). In October 2019, the Reserve Bank Board papers acknowledged the argument that a weaker effect of monetary policy might be a case to do more, not less. In its conversations with current and past Board members, the Review heard different accounts about whether housing affordability was or was not a consideration.</w:t>
      </w:r>
    </w:p>
    <w:p w14:paraId="02B3B64C" w14:textId="77777777" w:rsidR="001C2523" w:rsidRDefault="001C2523" w:rsidP="001C2523">
      <w:r>
        <w:t>The variety of explanations provided for the policy choices of the Reserve Bank Board between 2016</w:t>
      </w:r>
      <w:r>
        <w:rPr>
          <w:spacing w:val="-1"/>
        </w:rPr>
        <w:t xml:space="preserve"> </w:t>
      </w:r>
      <w:r>
        <w:t>and</w:t>
      </w:r>
      <w:r>
        <w:rPr>
          <w:spacing w:val="-1"/>
        </w:rPr>
        <w:t xml:space="preserve"> </w:t>
      </w:r>
      <w:r>
        <w:t>2019</w:t>
      </w:r>
      <w:r>
        <w:rPr>
          <w:spacing w:val="-1"/>
        </w:rPr>
        <w:t xml:space="preserve"> </w:t>
      </w:r>
      <w:r>
        <w:t>suggests</w:t>
      </w:r>
      <w:r>
        <w:rPr>
          <w:spacing w:val="-1"/>
        </w:rPr>
        <w:t xml:space="preserve"> </w:t>
      </w:r>
      <w:r>
        <w:t>to</w:t>
      </w:r>
      <w:r>
        <w:rPr>
          <w:spacing w:val="-1"/>
        </w:rPr>
        <w:t xml:space="preserve"> </w:t>
      </w:r>
      <w:r>
        <w:t>the</w:t>
      </w:r>
      <w:r>
        <w:rPr>
          <w:spacing w:val="-1"/>
        </w:rPr>
        <w:t xml:space="preserve"> </w:t>
      </w:r>
      <w:r>
        <w:t>Review</w:t>
      </w:r>
      <w:r>
        <w:rPr>
          <w:spacing w:val="-1"/>
        </w:rPr>
        <w:t xml:space="preserve"> </w:t>
      </w:r>
      <w:r>
        <w:t>that</w:t>
      </w:r>
      <w:r>
        <w:rPr>
          <w:spacing w:val="-1"/>
        </w:rPr>
        <w:t xml:space="preserve"> </w:t>
      </w:r>
      <w:r>
        <w:t>the</w:t>
      </w:r>
      <w:r>
        <w:rPr>
          <w:spacing w:val="-1"/>
        </w:rPr>
        <w:t xml:space="preserve"> </w:t>
      </w:r>
      <w:r>
        <w:t>RBA’s</w:t>
      </w:r>
      <w:r>
        <w:rPr>
          <w:spacing w:val="-1"/>
        </w:rPr>
        <w:t xml:space="preserve"> </w:t>
      </w:r>
      <w:r>
        <w:t>communications</w:t>
      </w:r>
      <w:r>
        <w:rPr>
          <w:spacing w:val="-1"/>
        </w:rPr>
        <w:t xml:space="preserve"> </w:t>
      </w:r>
      <w:r>
        <w:t>about</w:t>
      </w:r>
      <w:r>
        <w:rPr>
          <w:spacing w:val="-1"/>
        </w:rPr>
        <w:t xml:space="preserve"> </w:t>
      </w:r>
      <w:r>
        <w:t>its</w:t>
      </w:r>
      <w:r>
        <w:rPr>
          <w:spacing w:val="-1"/>
        </w:rPr>
        <w:t xml:space="preserve"> </w:t>
      </w:r>
      <w:r>
        <w:t>decision</w:t>
      </w:r>
      <w:r>
        <w:rPr>
          <w:spacing w:val="-1"/>
        </w:rPr>
        <w:t xml:space="preserve"> </w:t>
      </w:r>
      <w:r>
        <w:t>making were unclear. Differences in views about the correct interpretation of ‘economic prosperity and welfare’ likely added to confusion about what the RBA was trying to achieve.</w:t>
      </w:r>
    </w:p>
    <w:p w14:paraId="3D86F6CE" w14:textId="5B1DE9B9" w:rsidR="00674BCF" w:rsidRDefault="001C2523" w:rsidP="001C2523">
      <w:pPr>
        <w:spacing w:before="0" w:after="160" w:line="259" w:lineRule="auto"/>
        <w:rPr>
          <w:rFonts w:ascii="Calibri" w:hAnsi="Calibri" w:cs="Arial"/>
          <w:b/>
          <w:color w:val="204060" w:themeColor="accent1"/>
          <w:kern w:val="32"/>
          <w:sz w:val="44"/>
          <w:szCs w:val="36"/>
        </w:rPr>
      </w:pPr>
      <w:r>
        <w:t xml:space="preserve">The Review’s assessment is that it would have been more transparent had the Reserve Bank Board provided a more detailed explanation of the risks it was concerned about and presented evidence for how these risks could have affected its ability to achieve its policy objectives. It could have also explained how that justified its policy strategy and shared empirical estimates of the trade-offs that it was making between its objectives. This is particularly important given evidence in the economic literature suggested that monetary policy is a costly means to deal with a build-up of financial </w:t>
      </w:r>
      <w:r>
        <w:lastRenderedPageBreak/>
        <w:t>vulnerabilities, particularly relative to more targeted micro and macro prudential tools (for example IMF 2015; Saunders and Tulip 2019; Svensson 2016).</w:t>
      </w:r>
    </w:p>
    <w:p w14:paraId="053F75A7" w14:textId="77777777" w:rsidR="00ED572F" w:rsidRDefault="00ED572F" w:rsidP="00ED572F">
      <w:pPr>
        <w:pStyle w:val="Heading3"/>
      </w:pPr>
      <w:r>
        <w:t>Progress</w:t>
      </w:r>
      <w:r>
        <w:rPr>
          <w:spacing w:val="-8"/>
        </w:rPr>
        <w:t xml:space="preserve"> </w:t>
      </w:r>
      <w:r>
        <w:t>towards</w:t>
      </w:r>
      <w:r>
        <w:rPr>
          <w:spacing w:val="-7"/>
        </w:rPr>
        <w:t xml:space="preserve"> </w:t>
      </w:r>
      <w:r>
        <w:t>the</w:t>
      </w:r>
      <w:r>
        <w:rPr>
          <w:spacing w:val="-7"/>
        </w:rPr>
        <w:t xml:space="preserve"> </w:t>
      </w:r>
      <w:r>
        <w:t>inflation</w:t>
      </w:r>
      <w:r>
        <w:rPr>
          <w:spacing w:val="-7"/>
        </w:rPr>
        <w:t xml:space="preserve"> </w:t>
      </w:r>
      <w:r>
        <w:t>target</w:t>
      </w:r>
      <w:r>
        <w:rPr>
          <w:spacing w:val="-8"/>
        </w:rPr>
        <w:t xml:space="preserve"> </w:t>
      </w:r>
      <w:r>
        <w:t>fell</w:t>
      </w:r>
      <w:r>
        <w:rPr>
          <w:spacing w:val="-7"/>
        </w:rPr>
        <w:t xml:space="preserve"> </w:t>
      </w:r>
      <w:r>
        <w:t>short</w:t>
      </w:r>
      <w:r>
        <w:rPr>
          <w:spacing w:val="-7"/>
        </w:rPr>
        <w:t xml:space="preserve"> </w:t>
      </w:r>
      <w:r>
        <w:t>of</w:t>
      </w:r>
      <w:r>
        <w:rPr>
          <w:spacing w:val="-8"/>
        </w:rPr>
        <w:t xml:space="preserve"> </w:t>
      </w:r>
      <w:r>
        <w:t>the</w:t>
      </w:r>
      <w:r>
        <w:rPr>
          <w:spacing w:val="-7"/>
        </w:rPr>
        <w:t xml:space="preserve"> </w:t>
      </w:r>
      <w:r>
        <w:t>RBA’s</w:t>
      </w:r>
      <w:r>
        <w:rPr>
          <w:spacing w:val="-7"/>
        </w:rPr>
        <w:t xml:space="preserve"> </w:t>
      </w:r>
      <w:r>
        <w:rPr>
          <w:spacing w:val="-2"/>
        </w:rPr>
        <w:t>forecasts</w:t>
      </w:r>
    </w:p>
    <w:p w14:paraId="6E9143AF" w14:textId="77777777" w:rsidR="00ED572F" w:rsidRDefault="00ED572F" w:rsidP="00ED572F">
      <w:r>
        <w:t>During the low inflation period of 2016 to 2019, the RBA’s forecasts for progress towards its</w:t>
      </w:r>
      <w:r>
        <w:rPr>
          <w:spacing w:val="40"/>
        </w:rPr>
        <w:t xml:space="preserve"> </w:t>
      </w:r>
      <w:r>
        <w:t>inflation objective were not realised. The RBA was not alone in seeing inflation undershoot its forecasts (and targets) over this period. It was the experience of many central banks and private sector forecasters. Consultations and empirical analysis commissioned by the Review identified potential explanations, including a structural decline in real interest rates, limited fiscal support and weaker-than-expected prices for imported goods and housing construction.</w:t>
      </w:r>
    </w:p>
    <w:p w14:paraId="55DE945D" w14:textId="77777777" w:rsidR="00ED572F" w:rsidRDefault="00ED572F" w:rsidP="00ED572F">
      <w:r>
        <w:t>A structural decline in neutral real interest rates – the real cash rate at which monetary policy is neither stimulatory nor contractionary – may have contributed to the forecast errors. While it was clear that neutral interest rates were declining, there was considerable uncertainty in real time around the magnitude of the decline (McCririck and Rees 2017). This may have led the RBA and other central banks to overestimate how much support they were providing to their economies, resulting in forecasts for spare capacity and inflation that were too optimistic (see Chapter 2 for details on the structural decline in the neutral interest rate).</w:t>
      </w:r>
    </w:p>
    <w:p w14:paraId="56EE91D2" w14:textId="77777777" w:rsidR="00ED572F" w:rsidRDefault="00ED572F" w:rsidP="00ED572F">
      <w:r>
        <w:t>Some people consulted by the Review pointed to fiscal policy and the role it was playing in Australia. During this period, fiscal consolidation weighed more heavily on domestic demand than the RBA had expected. Prior to the outbreak of the COVID-19 pandemic, the 2019–20 Budget projected a balanced fiscal position for the financial year. At the same time, the cash rate was at historic lows. The Review heard from some that fiscal settings should have been looser to assist monetary policy to bring inflation closer to its target and boost employment.</w:t>
      </w:r>
    </w:p>
    <w:p w14:paraId="1F780961" w14:textId="75A36EB8" w:rsidR="00ED572F" w:rsidRDefault="00ED572F" w:rsidP="00ED572F">
      <w:r>
        <w:t>The Review also considered the results of a modelling exercise conducted by the RBA for the</w:t>
      </w:r>
      <w:r>
        <w:rPr>
          <w:spacing w:val="80"/>
        </w:rPr>
        <w:t xml:space="preserve"> </w:t>
      </w:r>
      <w:r>
        <w:t>Review (RBA 2022a). The exercise used 2 of the RBA’s full-system macroeconomic models – MARTIN and a dynamic stochastic general equilibrium model – to investigate the main drivers of the weaker-than-expected inflation outcomes. While the specific findings are a function of the models’ structures (meaning different models could provide different results), the results suggest that the weakness reflected supply-side factors. Weakness in input costs for housing and imports was particularly important. The latter is consistent with the view that global factors played an important role. Internal RBA forecast reviews from the time indicate that larger-than-expected labour market spare capacity, weaker-than-expected economic growth and structural factors (such as stronger retail competition and global forces) all contributed.</w:t>
      </w:r>
    </w:p>
    <w:p w14:paraId="415534E4" w14:textId="77777777" w:rsidR="00ED572F" w:rsidRDefault="00ED572F" w:rsidP="00ED572F">
      <w:pPr>
        <w:pStyle w:val="Heading3"/>
      </w:pPr>
      <w:r>
        <w:t>The</w:t>
      </w:r>
      <w:r>
        <w:rPr>
          <w:spacing w:val="-10"/>
        </w:rPr>
        <w:t xml:space="preserve"> </w:t>
      </w:r>
      <w:r w:rsidRPr="00ED572F">
        <w:t>Reserve</w:t>
      </w:r>
      <w:r>
        <w:rPr>
          <w:spacing w:val="-10"/>
        </w:rPr>
        <w:t xml:space="preserve"> </w:t>
      </w:r>
      <w:r>
        <w:t>Bank</w:t>
      </w:r>
      <w:r>
        <w:rPr>
          <w:spacing w:val="-10"/>
        </w:rPr>
        <w:t xml:space="preserve"> </w:t>
      </w:r>
      <w:r>
        <w:t>Board</w:t>
      </w:r>
      <w:r>
        <w:rPr>
          <w:spacing w:val="-10"/>
        </w:rPr>
        <w:t xml:space="preserve"> </w:t>
      </w:r>
      <w:r>
        <w:t>could</w:t>
      </w:r>
      <w:r>
        <w:rPr>
          <w:spacing w:val="-10"/>
        </w:rPr>
        <w:t xml:space="preserve"> </w:t>
      </w:r>
      <w:r>
        <w:t>have</w:t>
      </w:r>
      <w:r>
        <w:rPr>
          <w:spacing w:val="-10"/>
        </w:rPr>
        <w:t xml:space="preserve"> </w:t>
      </w:r>
      <w:r>
        <w:t>more</w:t>
      </w:r>
      <w:r>
        <w:rPr>
          <w:spacing w:val="-10"/>
        </w:rPr>
        <w:t xml:space="preserve"> </w:t>
      </w:r>
      <w:r>
        <w:t>thoroughly</w:t>
      </w:r>
      <w:r>
        <w:rPr>
          <w:spacing w:val="-10"/>
        </w:rPr>
        <w:t xml:space="preserve"> </w:t>
      </w:r>
      <w:r>
        <w:t>interrogated</w:t>
      </w:r>
      <w:r>
        <w:rPr>
          <w:spacing w:val="-10"/>
        </w:rPr>
        <w:t xml:space="preserve"> </w:t>
      </w:r>
      <w:r>
        <w:t>the RBA executive’s policy strategy</w:t>
      </w:r>
    </w:p>
    <w:p w14:paraId="7CDAE584" w14:textId="77777777" w:rsidR="00ED572F" w:rsidRDefault="00ED572F" w:rsidP="00ED572F">
      <w:r>
        <w:t>The evidence gathered by the Review suggested that there was not a sufficiently deep ongoing debate around the strategy of accepting gradual progress towards the Reserve Bank Board’s targets. The Board papers contained only limited consideration of alternative strategies, whether because the executive chose not to put them forward or the Board did not ask for this material.</w:t>
      </w:r>
    </w:p>
    <w:p w14:paraId="74A3FF39" w14:textId="77777777" w:rsidR="00ED572F" w:rsidRDefault="00ED572F" w:rsidP="00ED572F">
      <w:r>
        <w:t>In mid-2017, the Reserve Bank Board was provided with a detailed written briefing about the arguments for and against its approach that accepted gradual progress towards its targets to limit the build-up of vulnerabilities associated with rising household indebtedness.</w:t>
      </w:r>
    </w:p>
    <w:p w14:paraId="2C68C3CA" w14:textId="77777777" w:rsidR="0031581A" w:rsidRDefault="0031581A" w:rsidP="0031581A">
      <w:r>
        <w:t>This Board paper included an independent assessment by an overseas expert. These materials equipped</w:t>
      </w:r>
      <w:r>
        <w:rPr>
          <w:spacing w:val="18"/>
        </w:rPr>
        <w:t xml:space="preserve"> </w:t>
      </w:r>
      <w:r>
        <w:t>Reserve</w:t>
      </w:r>
      <w:r>
        <w:rPr>
          <w:spacing w:val="18"/>
        </w:rPr>
        <w:t xml:space="preserve"> </w:t>
      </w:r>
      <w:r>
        <w:t>Bank</w:t>
      </w:r>
      <w:r>
        <w:rPr>
          <w:spacing w:val="18"/>
        </w:rPr>
        <w:t xml:space="preserve"> </w:t>
      </w:r>
      <w:r>
        <w:t>Board</w:t>
      </w:r>
      <w:r>
        <w:rPr>
          <w:spacing w:val="18"/>
        </w:rPr>
        <w:t xml:space="preserve"> </w:t>
      </w:r>
      <w:r>
        <w:t>members</w:t>
      </w:r>
      <w:r>
        <w:rPr>
          <w:spacing w:val="18"/>
        </w:rPr>
        <w:t xml:space="preserve"> </w:t>
      </w:r>
      <w:r>
        <w:t>with</w:t>
      </w:r>
      <w:r>
        <w:rPr>
          <w:spacing w:val="18"/>
        </w:rPr>
        <w:t xml:space="preserve"> </w:t>
      </w:r>
      <w:r>
        <w:t>the</w:t>
      </w:r>
      <w:r>
        <w:rPr>
          <w:spacing w:val="18"/>
        </w:rPr>
        <w:t xml:space="preserve"> </w:t>
      </w:r>
      <w:r>
        <w:t>necessary</w:t>
      </w:r>
      <w:r>
        <w:rPr>
          <w:spacing w:val="18"/>
        </w:rPr>
        <w:t xml:space="preserve"> </w:t>
      </w:r>
      <w:r>
        <w:t>information</w:t>
      </w:r>
      <w:r>
        <w:rPr>
          <w:spacing w:val="18"/>
        </w:rPr>
        <w:t xml:space="preserve"> </w:t>
      </w:r>
      <w:r>
        <w:t>to</w:t>
      </w:r>
      <w:r>
        <w:rPr>
          <w:spacing w:val="18"/>
        </w:rPr>
        <w:t xml:space="preserve"> </w:t>
      </w:r>
      <w:r>
        <w:t>genuinely</w:t>
      </w:r>
      <w:r>
        <w:rPr>
          <w:spacing w:val="18"/>
        </w:rPr>
        <w:t xml:space="preserve"> </w:t>
      </w:r>
      <w:r>
        <w:t xml:space="preserve">explore and debate alternative viewpoints on the appropriateness of the policy strategy. Importantly, the written briefing acknowledged there was a body of empirical research that showed the costs of using interest </w:t>
      </w:r>
      <w:r>
        <w:lastRenderedPageBreak/>
        <w:t>rates to address financial stability risks outweighed the benefits. The material also presented the view that prudential measures were a more effective way of addressing these risks, though warned that conclusions about the effectiveness of these measures remained tentative.</w:t>
      </w:r>
    </w:p>
    <w:p w14:paraId="0F280D35" w14:textId="49E00CA2" w:rsidR="0031581A" w:rsidRDefault="0031581A" w:rsidP="0031581A">
      <w:r>
        <w:t xml:space="preserve">There is limited evidence in Reserve Bank Board papers or meeting </w:t>
      </w:r>
      <w:r>
        <w:rPr>
          <w:i/>
        </w:rPr>
        <w:t xml:space="preserve">Minutes </w:t>
      </w:r>
      <w:r>
        <w:t>that the question was re-examined in a meaningful way over the next 2 years. Between 2016 and 2019, the Reserve Bank Board never took a decision that went against the recommendation of the RBA executive. This is despite inflation consistently undershooting the Reserve Bank Board’s target. Indeed, the Reserve Bank Board papers focused on describing the flow of data and the economic outlook. Throughout most of the period, little discussion in the Board papers was dedicated to policy options or decisions. Alternative views among RBA employees and alternative policy choices – and their costs and benefits – were rarely presented. These written materials did not engage with whether the</w:t>
      </w:r>
      <w:r>
        <w:rPr>
          <w:spacing w:val="18"/>
        </w:rPr>
        <w:t xml:space="preserve"> </w:t>
      </w:r>
      <w:r>
        <w:t>Reserve</w:t>
      </w:r>
      <w:r>
        <w:rPr>
          <w:spacing w:val="18"/>
        </w:rPr>
        <w:t xml:space="preserve"> </w:t>
      </w:r>
      <w:r>
        <w:t>Bank</w:t>
      </w:r>
      <w:r>
        <w:rPr>
          <w:spacing w:val="18"/>
        </w:rPr>
        <w:t xml:space="preserve"> </w:t>
      </w:r>
      <w:r>
        <w:t>Board’s</w:t>
      </w:r>
      <w:r>
        <w:rPr>
          <w:spacing w:val="18"/>
        </w:rPr>
        <w:t xml:space="preserve"> </w:t>
      </w:r>
      <w:r>
        <w:t>strategy</w:t>
      </w:r>
      <w:r>
        <w:rPr>
          <w:spacing w:val="18"/>
        </w:rPr>
        <w:t xml:space="preserve"> </w:t>
      </w:r>
      <w:r>
        <w:t>was</w:t>
      </w:r>
      <w:r>
        <w:rPr>
          <w:spacing w:val="18"/>
        </w:rPr>
        <w:t xml:space="preserve"> </w:t>
      </w:r>
      <w:r>
        <w:t>still</w:t>
      </w:r>
      <w:r>
        <w:rPr>
          <w:spacing w:val="18"/>
        </w:rPr>
        <w:t xml:space="preserve"> </w:t>
      </w:r>
      <w:r>
        <w:t>correct,</w:t>
      </w:r>
      <w:r>
        <w:rPr>
          <w:spacing w:val="18"/>
        </w:rPr>
        <w:t xml:space="preserve"> </w:t>
      </w:r>
      <w:r>
        <w:t>or</w:t>
      </w:r>
      <w:r>
        <w:rPr>
          <w:spacing w:val="18"/>
        </w:rPr>
        <w:t xml:space="preserve"> </w:t>
      </w:r>
      <w:r>
        <w:t>whether</w:t>
      </w:r>
      <w:r>
        <w:rPr>
          <w:spacing w:val="18"/>
        </w:rPr>
        <w:t xml:space="preserve"> </w:t>
      </w:r>
      <w:r>
        <w:t>alternative</w:t>
      </w:r>
      <w:r>
        <w:rPr>
          <w:spacing w:val="18"/>
        </w:rPr>
        <w:t xml:space="preserve"> </w:t>
      </w:r>
      <w:r>
        <w:t>approaches</w:t>
      </w:r>
      <w:r>
        <w:rPr>
          <w:spacing w:val="18"/>
        </w:rPr>
        <w:t xml:space="preserve"> </w:t>
      </w:r>
      <w:r>
        <w:t>should be considered.</w:t>
      </w:r>
    </w:p>
    <w:p w14:paraId="0E8F659A" w14:textId="77777777" w:rsidR="0031581A" w:rsidRDefault="0031581A" w:rsidP="0031581A">
      <w:r>
        <w:t>The Reserve Bank Board was presented with a paper in late 2018 that summarised some arguments for a lower or higher cash rate target. The Board papers further explored alternative policy options in the lead up to the cash rate target cut in June 2019. However, in both cases the papers did not provide a fulsome discussion of the issues that would have enabled the Board to assess and challenge the policy strategy proposed by the RBA executive.</w:t>
      </w:r>
    </w:p>
    <w:p w14:paraId="6CFEA237" w14:textId="77777777" w:rsidR="0031581A" w:rsidRDefault="0031581A" w:rsidP="0031581A">
      <w:pPr>
        <w:pStyle w:val="Heading3"/>
      </w:pPr>
      <w:r>
        <w:t>Conclusion:</w:t>
      </w:r>
      <w:r>
        <w:rPr>
          <w:spacing w:val="-8"/>
        </w:rPr>
        <w:t xml:space="preserve"> </w:t>
      </w:r>
      <w:r>
        <w:t>RBA’s</w:t>
      </w:r>
      <w:r>
        <w:rPr>
          <w:spacing w:val="-7"/>
        </w:rPr>
        <w:t xml:space="preserve"> </w:t>
      </w:r>
      <w:r>
        <w:t>actions</w:t>
      </w:r>
      <w:r>
        <w:rPr>
          <w:spacing w:val="-7"/>
        </w:rPr>
        <w:t xml:space="preserve"> </w:t>
      </w:r>
      <w:r>
        <w:t>between</w:t>
      </w:r>
      <w:r>
        <w:rPr>
          <w:spacing w:val="-7"/>
        </w:rPr>
        <w:t xml:space="preserve"> </w:t>
      </w:r>
      <w:r>
        <w:t>2016</w:t>
      </w:r>
      <w:r>
        <w:rPr>
          <w:spacing w:val="-7"/>
        </w:rPr>
        <w:t xml:space="preserve"> </w:t>
      </w:r>
      <w:r>
        <w:t>and</w:t>
      </w:r>
      <w:r>
        <w:rPr>
          <w:spacing w:val="-7"/>
        </w:rPr>
        <w:t xml:space="preserve"> </w:t>
      </w:r>
      <w:r>
        <w:rPr>
          <w:spacing w:val="-4"/>
        </w:rPr>
        <w:t>2019</w:t>
      </w:r>
    </w:p>
    <w:p w14:paraId="7FA20D8A" w14:textId="77777777" w:rsidR="0031581A" w:rsidRDefault="0031581A" w:rsidP="0031581A">
      <w:r>
        <w:t>The</w:t>
      </w:r>
      <w:r>
        <w:rPr>
          <w:spacing w:val="2"/>
        </w:rPr>
        <w:t xml:space="preserve"> </w:t>
      </w:r>
      <w:r>
        <w:t>RBA’s</w:t>
      </w:r>
      <w:r>
        <w:rPr>
          <w:spacing w:val="3"/>
        </w:rPr>
        <w:t xml:space="preserve"> </w:t>
      </w:r>
      <w:r>
        <w:t>performance</w:t>
      </w:r>
      <w:r>
        <w:rPr>
          <w:spacing w:val="3"/>
        </w:rPr>
        <w:t xml:space="preserve"> </w:t>
      </w:r>
      <w:r>
        <w:t>during</w:t>
      </w:r>
      <w:r>
        <w:rPr>
          <w:spacing w:val="3"/>
        </w:rPr>
        <w:t xml:space="preserve"> </w:t>
      </w:r>
      <w:r>
        <w:t>this</w:t>
      </w:r>
      <w:r>
        <w:rPr>
          <w:spacing w:val="3"/>
        </w:rPr>
        <w:t xml:space="preserve"> </w:t>
      </w:r>
      <w:r>
        <w:t>low</w:t>
      </w:r>
      <w:r>
        <w:rPr>
          <w:spacing w:val="2"/>
        </w:rPr>
        <w:t xml:space="preserve"> </w:t>
      </w:r>
      <w:r>
        <w:t>inflation</w:t>
      </w:r>
      <w:r>
        <w:rPr>
          <w:spacing w:val="3"/>
        </w:rPr>
        <w:t xml:space="preserve"> </w:t>
      </w:r>
      <w:r>
        <w:t>period</w:t>
      </w:r>
      <w:r>
        <w:rPr>
          <w:spacing w:val="3"/>
        </w:rPr>
        <w:t xml:space="preserve"> </w:t>
      </w:r>
      <w:r>
        <w:t>highlights</w:t>
      </w:r>
      <w:r>
        <w:rPr>
          <w:spacing w:val="3"/>
        </w:rPr>
        <w:t xml:space="preserve"> </w:t>
      </w:r>
      <w:r>
        <w:t>the</w:t>
      </w:r>
      <w:r>
        <w:rPr>
          <w:spacing w:val="3"/>
        </w:rPr>
        <w:t xml:space="preserve"> </w:t>
      </w:r>
      <w:r>
        <w:t>importance</w:t>
      </w:r>
      <w:r>
        <w:rPr>
          <w:spacing w:val="3"/>
        </w:rPr>
        <w:t xml:space="preserve"> </w:t>
      </w:r>
      <w:r>
        <w:rPr>
          <w:spacing w:val="-5"/>
        </w:rPr>
        <w:t>of:</w:t>
      </w:r>
    </w:p>
    <w:p w14:paraId="06EE6730" w14:textId="77777777" w:rsidR="0031581A" w:rsidRDefault="0031581A" w:rsidP="0000278A">
      <w:pPr>
        <w:pStyle w:val="Bullet"/>
        <w:rPr>
          <w:rFonts w:cs="Calibri Light"/>
          <w:szCs w:val="22"/>
        </w:rPr>
      </w:pPr>
      <w:r w:rsidRPr="0031581A">
        <w:rPr>
          <w:rFonts w:cs="Calibri Light"/>
          <w:b/>
          <w:szCs w:val="22"/>
        </w:rPr>
        <w:t xml:space="preserve">Clearly specified monetary policy objectives: </w:t>
      </w:r>
      <w:r w:rsidRPr="0031581A">
        <w:rPr>
          <w:rFonts w:cs="Calibri Light"/>
          <w:szCs w:val="22"/>
        </w:rPr>
        <w:t>Greater clarity will help to foster a deeper understanding of the Reserve Bank Board’s actions and allow others to better assess and challenge policy judgements.</w:t>
      </w:r>
    </w:p>
    <w:p w14:paraId="57F5A3CC" w14:textId="77777777" w:rsidR="00D74A66" w:rsidRPr="0031581A" w:rsidRDefault="00D74A66" w:rsidP="0000278A">
      <w:pPr>
        <w:pStyle w:val="Bullet"/>
        <w:rPr>
          <w:rFonts w:cs="Calibri Light"/>
          <w:szCs w:val="22"/>
        </w:rPr>
      </w:pPr>
      <w:r w:rsidRPr="0031581A">
        <w:rPr>
          <w:rFonts w:cs="Calibri Light"/>
          <w:b/>
          <w:szCs w:val="22"/>
        </w:rPr>
        <w:t xml:space="preserve">Transparent and effective external communication: </w:t>
      </w:r>
      <w:r w:rsidRPr="0031581A">
        <w:rPr>
          <w:rFonts w:cs="Calibri Light"/>
          <w:szCs w:val="22"/>
        </w:rPr>
        <w:t>Improved understanding about the factors</w:t>
      </w:r>
      <w:r w:rsidRPr="0031581A">
        <w:rPr>
          <w:rFonts w:cs="Calibri Light"/>
          <w:spacing w:val="-2"/>
          <w:szCs w:val="22"/>
        </w:rPr>
        <w:t xml:space="preserve"> </w:t>
      </w:r>
      <w:r w:rsidRPr="0031581A">
        <w:rPr>
          <w:rFonts w:cs="Calibri Light"/>
          <w:szCs w:val="22"/>
        </w:rPr>
        <w:t>that</w:t>
      </w:r>
      <w:r w:rsidRPr="0031581A">
        <w:rPr>
          <w:rFonts w:cs="Calibri Light"/>
          <w:spacing w:val="-2"/>
          <w:szCs w:val="22"/>
        </w:rPr>
        <w:t xml:space="preserve"> </w:t>
      </w:r>
      <w:r w:rsidRPr="0031581A">
        <w:rPr>
          <w:rFonts w:cs="Calibri Light"/>
          <w:szCs w:val="22"/>
        </w:rPr>
        <w:t>drive</w:t>
      </w:r>
      <w:r w:rsidRPr="0031581A">
        <w:rPr>
          <w:rFonts w:cs="Calibri Light"/>
          <w:spacing w:val="-2"/>
          <w:szCs w:val="22"/>
        </w:rPr>
        <w:t xml:space="preserve"> </w:t>
      </w:r>
      <w:r w:rsidRPr="0031581A">
        <w:rPr>
          <w:rFonts w:cs="Calibri Light"/>
          <w:szCs w:val="22"/>
        </w:rPr>
        <w:t>decisions</w:t>
      </w:r>
      <w:r w:rsidRPr="0031581A">
        <w:rPr>
          <w:rFonts w:cs="Calibri Light"/>
          <w:spacing w:val="-2"/>
          <w:szCs w:val="22"/>
        </w:rPr>
        <w:t xml:space="preserve"> </w:t>
      </w:r>
      <w:r w:rsidRPr="0031581A">
        <w:rPr>
          <w:rFonts w:cs="Calibri Light"/>
          <w:szCs w:val="22"/>
        </w:rPr>
        <w:t>is</w:t>
      </w:r>
      <w:r w:rsidRPr="0031581A">
        <w:rPr>
          <w:rFonts w:cs="Calibri Light"/>
          <w:spacing w:val="-2"/>
          <w:szCs w:val="22"/>
        </w:rPr>
        <w:t xml:space="preserve"> </w:t>
      </w:r>
      <w:r w:rsidRPr="0031581A">
        <w:rPr>
          <w:rFonts w:cs="Calibri Light"/>
          <w:szCs w:val="22"/>
        </w:rPr>
        <w:t>needed</w:t>
      </w:r>
      <w:r w:rsidRPr="0031581A">
        <w:rPr>
          <w:rFonts w:cs="Calibri Light"/>
          <w:spacing w:val="-2"/>
          <w:szCs w:val="22"/>
        </w:rPr>
        <w:t xml:space="preserve"> </w:t>
      </w:r>
      <w:r w:rsidRPr="0031581A">
        <w:rPr>
          <w:rFonts w:cs="Calibri Light"/>
          <w:szCs w:val="22"/>
        </w:rPr>
        <w:t>to</w:t>
      </w:r>
      <w:r w:rsidRPr="0031581A">
        <w:rPr>
          <w:rFonts w:cs="Calibri Light"/>
          <w:spacing w:val="-2"/>
          <w:szCs w:val="22"/>
        </w:rPr>
        <w:t xml:space="preserve"> </w:t>
      </w:r>
      <w:r w:rsidRPr="0031581A">
        <w:rPr>
          <w:rFonts w:cs="Calibri Light"/>
          <w:szCs w:val="22"/>
        </w:rPr>
        <w:t>maintain</w:t>
      </w:r>
      <w:r w:rsidRPr="0031581A">
        <w:rPr>
          <w:rFonts w:cs="Calibri Light"/>
          <w:spacing w:val="-2"/>
          <w:szCs w:val="22"/>
        </w:rPr>
        <w:t xml:space="preserve"> </w:t>
      </w:r>
      <w:r w:rsidRPr="0031581A">
        <w:rPr>
          <w:rFonts w:cs="Calibri Light"/>
          <w:szCs w:val="22"/>
        </w:rPr>
        <w:t>trust</w:t>
      </w:r>
      <w:r w:rsidRPr="0031581A">
        <w:rPr>
          <w:rFonts w:cs="Calibri Light"/>
          <w:spacing w:val="-2"/>
          <w:szCs w:val="22"/>
        </w:rPr>
        <w:t xml:space="preserve"> </w:t>
      </w:r>
      <w:r w:rsidRPr="0031581A">
        <w:rPr>
          <w:rFonts w:cs="Calibri Light"/>
          <w:szCs w:val="22"/>
        </w:rPr>
        <w:t>in</w:t>
      </w:r>
      <w:r w:rsidRPr="0031581A">
        <w:rPr>
          <w:rFonts w:cs="Calibri Light"/>
          <w:spacing w:val="-2"/>
          <w:szCs w:val="22"/>
        </w:rPr>
        <w:t xml:space="preserve"> </w:t>
      </w:r>
      <w:r w:rsidRPr="0031581A">
        <w:rPr>
          <w:rFonts w:cs="Calibri Light"/>
          <w:szCs w:val="22"/>
        </w:rPr>
        <w:t>decision</w:t>
      </w:r>
      <w:r w:rsidRPr="0031581A">
        <w:rPr>
          <w:rFonts w:cs="Calibri Light"/>
          <w:spacing w:val="-2"/>
          <w:szCs w:val="22"/>
        </w:rPr>
        <w:t xml:space="preserve"> </w:t>
      </w:r>
      <w:r w:rsidRPr="0031581A">
        <w:rPr>
          <w:rFonts w:cs="Calibri Light"/>
          <w:szCs w:val="22"/>
        </w:rPr>
        <w:t>making,</w:t>
      </w:r>
      <w:r w:rsidRPr="0031581A">
        <w:rPr>
          <w:rFonts w:cs="Calibri Light"/>
          <w:spacing w:val="-2"/>
          <w:szCs w:val="22"/>
        </w:rPr>
        <w:t xml:space="preserve"> </w:t>
      </w:r>
      <w:r w:rsidRPr="0031581A">
        <w:rPr>
          <w:rFonts w:cs="Calibri Light"/>
          <w:szCs w:val="22"/>
        </w:rPr>
        <w:t>particularly</w:t>
      </w:r>
      <w:r w:rsidRPr="0031581A">
        <w:rPr>
          <w:rFonts w:cs="Calibri Light"/>
          <w:spacing w:val="-2"/>
          <w:szCs w:val="22"/>
        </w:rPr>
        <w:t xml:space="preserve"> </w:t>
      </w:r>
      <w:r w:rsidRPr="0031581A">
        <w:rPr>
          <w:rFonts w:cs="Calibri Light"/>
          <w:szCs w:val="22"/>
        </w:rPr>
        <w:t>when</w:t>
      </w:r>
      <w:r w:rsidRPr="0031581A">
        <w:rPr>
          <w:rFonts w:cs="Calibri Light"/>
          <w:spacing w:val="-2"/>
          <w:szCs w:val="22"/>
        </w:rPr>
        <w:t xml:space="preserve"> </w:t>
      </w:r>
      <w:r w:rsidRPr="0031581A">
        <w:rPr>
          <w:rFonts w:cs="Calibri Light"/>
          <w:szCs w:val="22"/>
        </w:rPr>
        <w:t>the Reserve Bank Board is using the flexibility in its framework. This should include an explanation</w:t>
      </w:r>
      <w:r w:rsidRPr="0031581A">
        <w:rPr>
          <w:rFonts w:cs="Calibri Light"/>
          <w:spacing w:val="40"/>
          <w:szCs w:val="22"/>
        </w:rPr>
        <w:t xml:space="preserve"> </w:t>
      </w:r>
      <w:r w:rsidRPr="0031581A">
        <w:rPr>
          <w:rFonts w:cs="Calibri Light"/>
          <w:szCs w:val="22"/>
        </w:rPr>
        <w:t>of</w:t>
      </w:r>
      <w:r w:rsidRPr="0031581A">
        <w:rPr>
          <w:rFonts w:cs="Calibri Light"/>
          <w:spacing w:val="-3"/>
          <w:szCs w:val="22"/>
        </w:rPr>
        <w:t xml:space="preserve"> </w:t>
      </w:r>
      <w:r w:rsidRPr="0031581A">
        <w:rPr>
          <w:rFonts w:cs="Calibri Light"/>
          <w:szCs w:val="22"/>
        </w:rPr>
        <w:t>the</w:t>
      </w:r>
      <w:r w:rsidRPr="0031581A">
        <w:rPr>
          <w:rFonts w:cs="Calibri Light"/>
          <w:spacing w:val="-3"/>
          <w:szCs w:val="22"/>
        </w:rPr>
        <w:t xml:space="preserve"> </w:t>
      </w:r>
      <w:r w:rsidRPr="0031581A">
        <w:rPr>
          <w:rFonts w:cs="Calibri Light"/>
          <w:szCs w:val="22"/>
        </w:rPr>
        <w:t>trade-offs</w:t>
      </w:r>
      <w:r w:rsidRPr="0031581A">
        <w:rPr>
          <w:rFonts w:cs="Calibri Light"/>
          <w:spacing w:val="-3"/>
          <w:szCs w:val="22"/>
        </w:rPr>
        <w:t xml:space="preserve"> </w:t>
      </w:r>
      <w:r w:rsidRPr="0031581A">
        <w:rPr>
          <w:rFonts w:cs="Calibri Light"/>
          <w:szCs w:val="22"/>
        </w:rPr>
        <w:t>being</w:t>
      </w:r>
      <w:r w:rsidRPr="0031581A">
        <w:rPr>
          <w:rFonts w:cs="Calibri Light"/>
          <w:spacing w:val="-3"/>
          <w:szCs w:val="22"/>
        </w:rPr>
        <w:t xml:space="preserve"> </w:t>
      </w:r>
      <w:r w:rsidRPr="0031581A">
        <w:rPr>
          <w:rFonts w:cs="Calibri Light"/>
          <w:szCs w:val="22"/>
        </w:rPr>
        <w:t>made</w:t>
      </w:r>
      <w:r w:rsidRPr="0031581A">
        <w:rPr>
          <w:rFonts w:cs="Calibri Light"/>
          <w:spacing w:val="-3"/>
          <w:szCs w:val="22"/>
        </w:rPr>
        <w:t xml:space="preserve"> </w:t>
      </w:r>
      <w:r w:rsidRPr="0031581A">
        <w:rPr>
          <w:rFonts w:cs="Calibri Light"/>
          <w:szCs w:val="22"/>
        </w:rPr>
        <w:t>and</w:t>
      </w:r>
      <w:r w:rsidRPr="0031581A">
        <w:rPr>
          <w:rFonts w:cs="Calibri Light"/>
          <w:spacing w:val="-3"/>
          <w:szCs w:val="22"/>
        </w:rPr>
        <w:t xml:space="preserve"> </w:t>
      </w:r>
      <w:r w:rsidRPr="0031581A">
        <w:rPr>
          <w:rFonts w:cs="Calibri Light"/>
          <w:szCs w:val="22"/>
        </w:rPr>
        <w:t>how</w:t>
      </w:r>
      <w:r w:rsidRPr="0031581A">
        <w:rPr>
          <w:rFonts w:cs="Calibri Light"/>
          <w:spacing w:val="-3"/>
          <w:szCs w:val="22"/>
        </w:rPr>
        <w:t xml:space="preserve"> </w:t>
      </w:r>
      <w:r w:rsidRPr="0031581A">
        <w:rPr>
          <w:rFonts w:cs="Calibri Light"/>
          <w:szCs w:val="22"/>
        </w:rPr>
        <w:t>the</w:t>
      </w:r>
      <w:r w:rsidRPr="0031581A">
        <w:rPr>
          <w:rFonts w:cs="Calibri Light"/>
          <w:spacing w:val="-3"/>
          <w:szCs w:val="22"/>
        </w:rPr>
        <w:t xml:space="preserve"> </w:t>
      </w:r>
      <w:r w:rsidRPr="0031581A">
        <w:rPr>
          <w:rFonts w:cs="Calibri Light"/>
          <w:szCs w:val="22"/>
        </w:rPr>
        <w:t>Reserve</w:t>
      </w:r>
      <w:r w:rsidRPr="0031581A">
        <w:rPr>
          <w:rFonts w:cs="Calibri Light"/>
          <w:spacing w:val="-3"/>
          <w:szCs w:val="22"/>
        </w:rPr>
        <w:t xml:space="preserve"> </w:t>
      </w:r>
      <w:r w:rsidRPr="0031581A">
        <w:rPr>
          <w:rFonts w:cs="Calibri Light"/>
          <w:szCs w:val="22"/>
        </w:rPr>
        <w:t>Bank</w:t>
      </w:r>
      <w:r w:rsidRPr="0031581A">
        <w:rPr>
          <w:rFonts w:cs="Calibri Light"/>
          <w:spacing w:val="-3"/>
          <w:szCs w:val="22"/>
        </w:rPr>
        <w:t xml:space="preserve"> </w:t>
      </w:r>
      <w:r w:rsidRPr="0031581A">
        <w:rPr>
          <w:rFonts w:cs="Calibri Light"/>
          <w:szCs w:val="22"/>
        </w:rPr>
        <w:t>Board</w:t>
      </w:r>
      <w:r w:rsidRPr="0031581A">
        <w:rPr>
          <w:rFonts w:cs="Calibri Light"/>
          <w:spacing w:val="-3"/>
          <w:szCs w:val="22"/>
        </w:rPr>
        <w:t xml:space="preserve"> </w:t>
      </w:r>
      <w:r w:rsidRPr="0031581A">
        <w:rPr>
          <w:rFonts w:cs="Calibri Light"/>
          <w:szCs w:val="22"/>
        </w:rPr>
        <w:t>came</w:t>
      </w:r>
      <w:r w:rsidRPr="0031581A">
        <w:rPr>
          <w:rFonts w:cs="Calibri Light"/>
          <w:spacing w:val="-3"/>
          <w:szCs w:val="22"/>
        </w:rPr>
        <w:t xml:space="preserve"> </w:t>
      </w:r>
      <w:r w:rsidRPr="0031581A">
        <w:rPr>
          <w:rFonts w:cs="Calibri Light"/>
          <w:szCs w:val="22"/>
        </w:rPr>
        <w:t>to</w:t>
      </w:r>
      <w:r w:rsidRPr="0031581A">
        <w:rPr>
          <w:rFonts w:cs="Calibri Light"/>
          <w:spacing w:val="-3"/>
          <w:szCs w:val="22"/>
        </w:rPr>
        <w:t xml:space="preserve"> </w:t>
      </w:r>
      <w:r w:rsidRPr="0031581A">
        <w:rPr>
          <w:rFonts w:cs="Calibri Light"/>
          <w:szCs w:val="22"/>
        </w:rPr>
        <w:t>its</w:t>
      </w:r>
      <w:r w:rsidRPr="0031581A">
        <w:rPr>
          <w:rFonts w:cs="Calibri Light"/>
          <w:spacing w:val="-3"/>
          <w:szCs w:val="22"/>
        </w:rPr>
        <w:t xml:space="preserve"> </w:t>
      </w:r>
      <w:r w:rsidRPr="0031581A">
        <w:rPr>
          <w:rFonts w:cs="Calibri Light"/>
          <w:szCs w:val="22"/>
        </w:rPr>
        <w:t>view</w:t>
      </w:r>
      <w:r w:rsidRPr="0031581A">
        <w:rPr>
          <w:rFonts w:cs="Calibri Light"/>
          <w:spacing w:val="-3"/>
          <w:szCs w:val="22"/>
        </w:rPr>
        <w:t xml:space="preserve"> </w:t>
      </w:r>
      <w:r w:rsidRPr="0031581A">
        <w:rPr>
          <w:rFonts w:cs="Calibri Light"/>
          <w:szCs w:val="22"/>
        </w:rPr>
        <w:t>that</w:t>
      </w:r>
      <w:r w:rsidRPr="0031581A">
        <w:rPr>
          <w:rFonts w:cs="Calibri Light"/>
          <w:spacing w:val="-3"/>
          <w:szCs w:val="22"/>
        </w:rPr>
        <w:t xml:space="preserve"> </w:t>
      </w:r>
      <w:r w:rsidRPr="0031581A">
        <w:rPr>
          <w:rFonts w:cs="Calibri Light"/>
          <w:szCs w:val="22"/>
        </w:rPr>
        <w:t>the</w:t>
      </w:r>
      <w:r w:rsidRPr="0031581A">
        <w:rPr>
          <w:rFonts w:cs="Calibri Light"/>
          <w:spacing w:val="-3"/>
          <w:szCs w:val="22"/>
        </w:rPr>
        <w:t xml:space="preserve"> </w:t>
      </w:r>
      <w:r w:rsidRPr="0031581A">
        <w:rPr>
          <w:rFonts w:cs="Calibri Light"/>
          <w:szCs w:val="22"/>
        </w:rPr>
        <w:t>benefits associated with using this flexibility in its framework outweigh the costs.</w:t>
      </w:r>
    </w:p>
    <w:p w14:paraId="0599BAEE" w14:textId="77777777" w:rsidR="00D74A66" w:rsidRDefault="00D74A66" w:rsidP="0000278A">
      <w:pPr>
        <w:pStyle w:val="Bullet"/>
        <w:rPr>
          <w:rFonts w:cs="Calibri Light"/>
          <w:szCs w:val="22"/>
        </w:rPr>
      </w:pPr>
      <w:r w:rsidRPr="0031581A">
        <w:rPr>
          <w:rFonts w:cs="Calibri Light"/>
          <w:b/>
          <w:szCs w:val="22"/>
        </w:rPr>
        <w:t xml:space="preserve">Robust challenge and debate throughout the monetary policy process: </w:t>
      </w:r>
      <w:r w:rsidRPr="0031581A">
        <w:rPr>
          <w:rFonts w:cs="Calibri Light"/>
          <w:szCs w:val="22"/>
        </w:rPr>
        <w:t>Fostering an environment that better encourages challenge and debate, including at the Reserve Bank Board, should help to surface differing views and test policy recommendations. In this regard, the structure and composition of the Board, as well as the nature of the information that the Board receives and requests, are relevant considerations.</w:t>
      </w:r>
    </w:p>
    <w:p w14:paraId="75A4EC90" w14:textId="77777777" w:rsidR="00D74A66" w:rsidRPr="0031581A" w:rsidRDefault="00D74A66" w:rsidP="0000278A">
      <w:pPr>
        <w:pStyle w:val="Bullet"/>
        <w:rPr>
          <w:rFonts w:cs="Calibri Light"/>
          <w:szCs w:val="22"/>
        </w:rPr>
      </w:pPr>
      <w:r w:rsidRPr="0031581A">
        <w:rPr>
          <w:rFonts w:cs="Calibri Light"/>
          <w:b/>
        </w:rPr>
        <w:t xml:space="preserve">Considering the role of other tools in macro-stabilisation: </w:t>
      </w:r>
      <w:r w:rsidRPr="0031581A">
        <w:rPr>
          <w:rFonts w:cs="Calibri Light"/>
        </w:rPr>
        <w:t>Greater engagement is needed with other authorities (including via the Council of Financial Regulators) to adequately consider whether</w:t>
      </w:r>
      <w:r w:rsidRPr="0031581A">
        <w:rPr>
          <w:rFonts w:cs="Calibri Light"/>
          <w:spacing w:val="-4"/>
        </w:rPr>
        <w:t xml:space="preserve"> </w:t>
      </w:r>
      <w:r w:rsidRPr="0031581A">
        <w:rPr>
          <w:rFonts w:cs="Calibri Light"/>
        </w:rPr>
        <w:t>other</w:t>
      </w:r>
      <w:r w:rsidRPr="0031581A">
        <w:rPr>
          <w:rFonts w:cs="Calibri Light"/>
          <w:spacing w:val="-4"/>
        </w:rPr>
        <w:t xml:space="preserve"> </w:t>
      </w:r>
      <w:r w:rsidRPr="0031581A">
        <w:rPr>
          <w:rFonts w:cs="Calibri Light"/>
        </w:rPr>
        <w:t>tools,</w:t>
      </w:r>
      <w:r w:rsidRPr="0031581A">
        <w:rPr>
          <w:rFonts w:cs="Calibri Light"/>
          <w:spacing w:val="-4"/>
        </w:rPr>
        <w:t xml:space="preserve"> </w:t>
      </w:r>
      <w:r w:rsidRPr="0031581A">
        <w:rPr>
          <w:rFonts w:cs="Calibri Light"/>
        </w:rPr>
        <w:t>such</w:t>
      </w:r>
      <w:r w:rsidRPr="0031581A">
        <w:rPr>
          <w:rFonts w:cs="Calibri Light"/>
          <w:spacing w:val="-4"/>
        </w:rPr>
        <w:t xml:space="preserve"> </w:t>
      </w:r>
      <w:r w:rsidRPr="0031581A">
        <w:rPr>
          <w:rFonts w:cs="Calibri Light"/>
        </w:rPr>
        <w:t>as</w:t>
      </w:r>
      <w:r w:rsidRPr="0031581A">
        <w:rPr>
          <w:rFonts w:cs="Calibri Light"/>
          <w:spacing w:val="-4"/>
        </w:rPr>
        <w:t xml:space="preserve"> </w:t>
      </w:r>
      <w:r w:rsidRPr="0031581A">
        <w:rPr>
          <w:rFonts w:cs="Calibri Light"/>
        </w:rPr>
        <w:t>fiscal</w:t>
      </w:r>
      <w:r w:rsidRPr="0031581A">
        <w:rPr>
          <w:rFonts w:cs="Calibri Light"/>
          <w:spacing w:val="-4"/>
        </w:rPr>
        <w:t xml:space="preserve"> </w:t>
      </w:r>
      <w:r w:rsidRPr="0031581A">
        <w:rPr>
          <w:rFonts w:cs="Calibri Light"/>
        </w:rPr>
        <w:t>and</w:t>
      </w:r>
      <w:r w:rsidRPr="0031581A">
        <w:rPr>
          <w:rFonts w:cs="Calibri Light"/>
          <w:spacing w:val="-4"/>
        </w:rPr>
        <w:t xml:space="preserve"> </w:t>
      </w:r>
      <w:r w:rsidRPr="0031581A">
        <w:rPr>
          <w:rFonts w:cs="Calibri Light"/>
        </w:rPr>
        <w:t>macroprudential</w:t>
      </w:r>
      <w:r w:rsidRPr="0031581A">
        <w:rPr>
          <w:rFonts w:cs="Calibri Light"/>
          <w:spacing w:val="-4"/>
        </w:rPr>
        <w:t xml:space="preserve"> </w:t>
      </w:r>
      <w:r w:rsidRPr="0031581A">
        <w:rPr>
          <w:rFonts w:cs="Calibri Light"/>
        </w:rPr>
        <w:t>policies,</w:t>
      </w:r>
      <w:r w:rsidRPr="0031581A">
        <w:rPr>
          <w:rFonts w:cs="Calibri Light"/>
          <w:spacing w:val="-4"/>
        </w:rPr>
        <w:t xml:space="preserve"> </w:t>
      </w:r>
      <w:r w:rsidRPr="0031581A">
        <w:rPr>
          <w:rFonts w:cs="Calibri Light"/>
        </w:rPr>
        <w:t>might</w:t>
      </w:r>
      <w:r w:rsidRPr="0031581A">
        <w:rPr>
          <w:rFonts w:cs="Calibri Light"/>
          <w:spacing w:val="-4"/>
        </w:rPr>
        <w:t xml:space="preserve"> </w:t>
      </w:r>
      <w:r w:rsidRPr="0031581A">
        <w:rPr>
          <w:rFonts w:cs="Calibri Light"/>
        </w:rPr>
        <w:t>help</w:t>
      </w:r>
      <w:r w:rsidRPr="0031581A">
        <w:rPr>
          <w:rFonts w:cs="Calibri Light"/>
          <w:spacing w:val="-4"/>
        </w:rPr>
        <w:t xml:space="preserve"> </w:t>
      </w:r>
      <w:r w:rsidRPr="0031581A">
        <w:rPr>
          <w:rFonts w:cs="Calibri Light"/>
        </w:rPr>
        <w:t>to</w:t>
      </w:r>
      <w:r w:rsidRPr="0031581A">
        <w:rPr>
          <w:rFonts w:cs="Calibri Light"/>
          <w:spacing w:val="-4"/>
        </w:rPr>
        <w:t xml:space="preserve"> </w:t>
      </w:r>
      <w:r w:rsidRPr="0031581A">
        <w:rPr>
          <w:rFonts w:cs="Calibri Light"/>
        </w:rPr>
        <w:t>reduce</w:t>
      </w:r>
      <w:r w:rsidRPr="0031581A">
        <w:rPr>
          <w:rFonts w:cs="Calibri Light"/>
          <w:spacing w:val="-4"/>
        </w:rPr>
        <w:t xml:space="preserve"> </w:t>
      </w:r>
      <w:r w:rsidRPr="0031581A">
        <w:rPr>
          <w:rFonts w:cs="Calibri Light"/>
        </w:rPr>
        <w:t>trade-offs.</w:t>
      </w:r>
    </w:p>
    <w:p w14:paraId="57FD7996" w14:textId="5DCE0D51" w:rsidR="00E4316D" w:rsidRDefault="00E4316D" w:rsidP="005B3F66">
      <w:pPr>
        <w:pStyle w:val="Heading2"/>
        <w:rPr>
          <w:rFonts w:ascii="Open Sans"/>
          <w:b/>
          <w:sz w:val="32"/>
        </w:rPr>
      </w:pPr>
      <w:bookmarkStart w:id="28" w:name="_Toc134221000"/>
      <w:r>
        <w:t>Episode</w:t>
      </w:r>
      <w:r>
        <w:rPr>
          <w:spacing w:val="-18"/>
        </w:rPr>
        <w:t xml:space="preserve"> </w:t>
      </w:r>
      <w:r>
        <w:t>2:</w:t>
      </w:r>
      <w:r>
        <w:rPr>
          <w:spacing w:val="-16"/>
        </w:rPr>
        <w:t xml:space="preserve"> </w:t>
      </w:r>
      <w:r>
        <w:t>Using</w:t>
      </w:r>
      <w:r>
        <w:rPr>
          <w:spacing w:val="-16"/>
        </w:rPr>
        <w:t xml:space="preserve"> </w:t>
      </w:r>
      <w:r>
        <w:t>additional</w:t>
      </w:r>
      <w:r>
        <w:rPr>
          <w:spacing w:val="-16"/>
        </w:rPr>
        <w:t xml:space="preserve"> </w:t>
      </w:r>
      <w:r>
        <w:t>monetary</w:t>
      </w:r>
      <w:r>
        <w:rPr>
          <w:spacing w:val="-16"/>
        </w:rPr>
        <w:t xml:space="preserve"> </w:t>
      </w:r>
      <w:r>
        <w:t>policy</w:t>
      </w:r>
      <w:r>
        <w:rPr>
          <w:spacing w:val="-15"/>
        </w:rPr>
        <w:t xml:space="preserve"> </w:t>
      </w:r>
      <w:r w:rsidRPr="00E4316D">
        <w:t>tools</w:t>
      </w:r>
      <w:r>
        <w:t xml:space="preserve"> </w:t>
      </w:r>
      <w:r w:rsidRPr="00E4316D">
        <w:t>to respond to the COVID-19 pandemic</w:t>
      </w:r>
      <w:bookmarkEnd w:id="28"/>
    </w:p>
    <w:p w14:paraId="60AD1469" w14:textId="77777777" w:rsidR="00E4316D" w:rsidRDefault="00E4316D" w:rsidP="00E4316D">
      <w:pPr>
        <w:pStyle w:val="BodyText"/>
        <w:spacing w:line="225" w:lineRule="auto"/>
        <w:ind w:left="160" w:right="2586"/>
      </w:pPr>
    </w:p>
    <w:p w14:paraId="353BADFE" w14:textId="2184047E" w:rsidR="00E4316D" w:rsidRDefault="00E4316D" w:rsidP="00E4316D">
      <w:r>
        <w:t>Before the pandemic, the Reserve Bank Board had achieved its desired level of policy support through changes in the cash rate target alone. In contrast, many other central banks had been</w:t>
      </w:r>
      <w:r>
        <w:rPr>
          <w:spacing w:val="40"/>
        </w:rPr>
        <w:t xml:space="preserve"> </w:t>
      </w:r>
      <w:r>
        <w:t>using additional monetary policy tools, such as the asset purchase programs introduced during the Global Financial Crisis.</w:t>
      </w:r>
    </w:p>
    <w:p w14:paraId="4D8EAAE9" w14:textId="7FDEFBC3" w:rsidR="00E4316D" w:rsidRDefault="00E4316D" w:rsidP="00E4316D">
      <w:r>
        <w:lastRenderedPageBreak/>
        <w:t>The extraordinary circumstances and extreme uncertainty created by the COVID-19 pandemic prompted</w:t>
      </w:r>
      <w:r>
        <w:rPr>
          <w:spacing w:val="-1"/>
        </w:rPr>
        <w:t xml:space="preserve"> </w:t>
      </w:r>
      <w:r>
        <w:t>the</w:t>
      </w:r>
      <w:r>
        <w:rPr>
          <w:spacing w:val="-1"/>
        </w:rPr>
        <w:t xml:space="preserve"> </w:t>
      </w:r>
      <w:r>
        <w:t>Reserve</w:t>
      </w:r>
      <w:r>
        <w:rPr>
          <w:spacing w:val="-1"/>
        </w:rPr>
        <w:t xml:space="preserve"> </w:t>
      </w:r>
      <w:r>
        <w:t>Bank</w:t>
      </w:r>
      <w:r>
        <w:rPr>
          <w:spacing w:val="-1"/>
        </w:rPr>
        <w:t xml:space="preserve"> </w:t>
      </w:r>
      <w:r>
        <w:t>Board</w:t>
      </w:r>
      <w:r>
        <w:rPr>
          <w:spacing w:val="-1"/>
        </w:rPr>
        <w:t xml:space="preserve"> </w:t>
      </w:r>
      <w:r>
        <w:t>to</w:t>
      </w:r>
      <w:r>
        <w:rPr>
          <w:spacing w:val="-1"/>
        </w:rPr>
        <w:t xml:space="preserve"> </w:t>
      </w:r>
      <w:r>
        <w:t>reduce</w:t>
      </w:r>
      <w:r>
        <w:rPr>
          <w:spacing w:val="-1"/>
        </w:rPr>
        <w:t xml:space="preserve"> </w:t>
      </w:r>
      <w:r>
        <w:t>the</w:t>
      </w:r>
      <w:r>
        <w:rPr>
          <w:spacing w:val="-1"/>
        </w:rPr>
        <w:t xml:space="preserve"> </w:t>
      </w:r>
      <w:r>
        <w:t>cash</w:t>
      </w:r>
      <w:r>
        <w:rPr>
          <w:spacing w:val="-1"/>
        </w:rPr>
        <w:t xml:space="preserve"> </w:t>
      </w:r>
      <w:r>
        <w:t>rate</w:t>
      </w:r>
      <w:r>
        <w:rPr>
          <w:spacing w:val="-1"/>
        </w:rPr>
        <w:t xml:space="preserve"> </w:t>
      </w:r>
      <w:r>
        <w:t>target</w:t>
      </w:r>
      <w:r>
        <w:rPr>
          <w:spacing w:val="-1"/>
        </w:rPr>
        <w:t xml:space="preserve"> </w:t>
      </w:r>
      <w:r>
        <w:t>to</w:t>
      </w:r>
      <w:r>
        <w:rPr>
          <w:spacing w:val="-1"/>
        </w:rPr>
        <w:t xml:space="preserve"> </w:t>
      </w:r>
      <w:r>
        <w:t>what</w:t>
      </w:r>
      <w:r>
        <w:rPr>
          <w:spacing w:val="-1"/>
        </w:rPr>
        <w:t xml:space="preserve"> </w:t>
      </w:r>
      <w:r>
        <w:t>the</w:t>
      </w:r>
      <w:r>
        <w:rPr>
          <w:spacing w:val="-1"/>
        </w:rPr>
        <w:t xml:space="preserve"> </w:t>
      </w:r>
      <w:r>
        <w:t>RBA</w:t>
      </w:r>
      <w:r>
        <w:rPr>
          <w:spacing w:val="-1"/>
        </w:rPr>
        <w:t xml:space="preserve"> </w:t>
      </w:r>
      <w:r>
        <w:t>considered</w:t>
      </w:r>
      <w:r>
        <w:rPr>
          <w:spacing w:val="-1"/>
        </w:rPr>
        <w:t xml:space="preserve"> </w:t>
      </w:r>
      <w:r>
        <w:t>to</w:t>
      </w:r>
      <w:r>
        <w:rPr>
          <w:spacing w:val="-1"/>
        </w:rPr>
        <w:t xml:space="preserve"> </w:t>
      </w:r>
      <w:r>
        <w:t>be the effective lower bound. As a result, the Reserve Bank Board decided to use a range of additional monetary policy tools for the first time to achieve its inflation and employment objectives.</w:t>
      </w:r>
      <w:r w:rsidR="00084C7E">
        <w:rPr>
          <w:rStyle w:val="FootnoteReference"/>
        </w:rPr>
        <w:footnoteReference w:id="2"/>
      </w:r>
      <w:r w:rsidR="00084C7E">
        <w:t xml:space="preserve"> </w:t>
      </w:r>
      <w:r>
        <w:t>Box 1.1 provides a detailed description of the new monetary tools used by the Reserve Bank Board.</w:t>
      </w:r>
    </w:p>
    <w:p w14:paraId="753F8AFA" w14:textId="77777777" w:rsidR="00E4316D" w:rsidRDefault="00E4316D" w:rsidP="00E4316D">
      <w:r>
        <w:t>In assessing</w:t>
      </w:r>
      <w:r>
        <w:rPr>
          <w:spacing w:val="2"/>
        </w:rPr>
        <w:t xml:space="preserve"> </w:t>
      </w:r>
      <w:r>
        <w:t>the</w:t>
      </w:r>
      <w:r>
        <w:rPr>
          <w:spacing w:val="2"/>
        </w:rPr>
        <w:t xml:space="preserve"> </w:t>
      </w:r>
      <w:r>
        <w:t>Reserve</w:t>
      </w:r>
      <w:r>
        <w:rPr>
          <w:spacing w:val="2"/>
        </w:rPr>
        <w:t xml:space="preserve"> </w:t>
      </w:r>
      <w:r>
        <w:t>Bank</w:t>
      </w:r>
      <w:r>
        <w:rPr>
          <w:spacing w:val="2"/>
        </w:rPr>
        <w:t xml:space="preserve"> </w:t>
      </w:r>
      <w:r>
        <w:t>Board’s</w:t>
      </w:r>
      <w:r>
        <w:rPr>
          <w:spacing w:val="2"/>
        </w:rPr>
        <w:t xml:space="preserve"> </w:t>
      </w:r>
      <w:r>
        <w:t>use</w:t>
      </w:r>
      <w:r>
        <w:rPr>
          <w:spacing w:val="2"/>
        </w:rPr>
        <w:t xml:space="preserve"> </w:t>
      </w:r>
      <w:r>
        <w:t>of</w:t>
      </w:r>
      <w:r>
        <w:rPr>
          <w:spacing w:val="2"/>
        </w:rPr>
        <w:t xml:space="preserve"> </w:t>
      </w:r>
      <w:r>
        <w:t>these</w:t>
      </w:r>
      <w:r>
        <w:rPr>
          <w:spacing w:val="2"/>
        </w:rPr>
        <w:t xml:space="preserve"> </w:t>
      </w:r>
      <w:r>
        <w:t>new</w:t>
      </w:r>
      <w:r>
        <w:rPr>
          <w:spacing w:val="2"/>
        </w:rPr>
        <w:t xml:space="preserve"> </w:t>
      </w:r>
      <w:r>
        <w:t>tools,</w:t>
      </w:r>
      <w:r>
        <w:rPr>
          <w:spacing w:val="2"/>
        </w:rPr>
        <w:t xml:space="preserve"> </w:t>
      </w:r>
      <w:r>
        <w:t>the</w:t>
      </w:r>
      <w:r>
        <w:rPr>
          <w:spacing w:val="2"/>
        </w:rPr>
        <w:t xml:space="preserve"> </w:t>
      </w:r>
      <w:r>
        <w:t>Review</w:t>
      </w:r>
      <w:r>
        <w:rPr>
          <w:spacing w:val="2"/>
        </w:rPr>
        <w:t xml:space="preserve"> </w:t>
      </w:r>
      <w:r>
        <w:rPr>
          <w:spacing w:val="-2"/>
        </w:rPr>
        <w:t>considered:</w:t>
      </w:r>
    </w:p>
    <w:p w14:paraId="21C38CF6" w14:textId="77777777" w:rsidR="00E4316D" w:rsidRDefault="00E4316D" w:rsidP="0000278A">
      <w:pPr>
        <w:pStyle w:val="Bullet"/>
      </w:pPr>
      <w:r>
        <w:t>the</w:t>
      </w:r>
      <w:r>
        <w:rPr>
          <w:spacing w:val="-1"/>
        </w:rPr>
        <w:t xml:space="preserve"> </w:t>
      </w:r>
      <w:r>
        <w:t>RBA’s</w:t>
      </w:r>
      <w:r>
        <w:rPr>
          <w:spacing w:val="-1"/>
        </w:rPr>
        <w:t xml:space="preserve"> </w:t>
      </w:r>
      <w:r>
        <w:t>preparation</w:t>
      </w:r>
      <w:r>
        <w:rPr>
          <w:spacing w:val="-1"/>
        </w:rPr>
        <w:t xml:space="preserve"> </w:t>
      </w:r>
      <w:r>
        <w:t>ahead</w:t>
      </w:r>
      <w:r>
        <w:rPr>
          <w:spacing w:val="-1"/>
        </w:rPr>
        <w:t xml:space="preserve"> </w:t>
      </w:r>
      <w:r>
        <w:t>of</w:t>
      </w:r>
      <w:r>
        <w:rPr>
          <w:spacing w:val="-1"/>
        </w:rPr>
        <w:t xml:space="preserve"> </w:t>
      </w:r>
      <w:r>
        <w:rPr>
          <w:spacing w:val="-4"/>
        </w:rPr>
        <w:t>time</w:t>
      </w:r>
    </w:p>
    <w:p w14:paraId="2F9847EE" w14:textId="0F96556F" w:rsidR="00E4316D" w:rsidRDefault="00E4316D" w:rsidP="0000278A">
      <w:pPr>
        <w:pStyle w:val="Bullet"/>
      </w:pPr>
      <w:r>
        <w:t>how</w:t>
      </w:r>
      <w:r w:rsidRPr="00E4316D">
        <w:rPr>
          <w:spacing w:val="3"/>
        </w:rPr>
        <w:t xml:space="preserve"> </w:t>
      </w:r>
      <w:r>
        <w:t>the</w:t>
      </w:r>
      <w:r w:rsidRPr="00E4316D">
        <w:rPr>
          <w:spacing w:val="4"/>
        </w:rPr>
        <w:t xml:space="preserve"> </w:t>
      </w:r>
      <w:r>
        <w:t>Reserve</w:t>
      </w:r>
      <w:r w:rsidRPr="00E4316D">
        <w:rPr>
          <w:spacing w:val="3"/>
        </w:rPr>
        <w:t xml:space="preserve"> </w:t>
      </w:r>
      <w:r>
        <w:t>Bank</w:t>
      </w:r>
      <w:r w:rsidRPr="00E4316D">
        <w:rPr>
          <w:spacing w:val="4"/>
        </w:rPr>
        <w:t xml:space="preserve"> </w:t>
      </w:r>
      <w:r>
        <w:t>Board</w:t>
      </w:r>
      <w:r w:rsidRPr="00E4316D">
        <w:rPr>
          <w:spacing w:val="3"/>
        </w:rPr>
        <w:t xml:space="preserve"> </w:t>
      </w:r>
      <w:r>
        <w:t>made</w:t>
      </w:r>
      <w:r w:rsidRPr="00E4316D">
        <w:rPr>
          <w:spacing w:val="4"/>
        </w:rPr>
        <w:t xml:space="preserve"> </w:t>
      </w:r>
      <w:r>
        <w:t>its</w:t>
      </w:r>
      <w:r w:rsidRPr="00E4316D">
        <w:rPr>
          <w:spacing w:val="3"/>
        </w:rPr>
        <w:t xml:space="preserve"> </w:t>
      </w:r>
      <w:r>
        <w:t>decisions</w:t>
      </w:r>
      <w:r w:rsidRPr="00E4316D">
        <w:rPr>
          <w:spacing w:val="4"/>
        </w:rPr>
        <w:t xml:space="preserve"> </w:t>
      </w:r>
      <w:r>
        <w:t>(including</w:t>
      </w:r>
      <w:r w:rsidRPr="00E4316D">
        <w:rPr>
          <w:spacing w:val="3"/>
        </w:rPr>
        <w:t xml:space="preserve"> </w:t>
      </w:r>
      <w:r>
        <w:t>assessments</w:t>
      </w:r>
      <w:r w:rsidRPr="00E4316D">
        <w:rPr>
          <w:spacing w:val="4"/>
        </w:rPr>
        <w:t xml:space="preserve"> </w:t>
      </w:r>
      <w:r>
        <w:t>of</w:t>
      </w:r>
      <w:r w:rsidRPr="00E4316D">
        <w:rPr>
          <w:spacing w:val="3"/>
        </w:rPr>
        <w:t xml:space="preserve"> </w:t>
      </w:r>
      <w:r>
        <w:t>expected</w:t>
      </w:r>
      <w:r w:rsidRPr="00E4316D">
        <w:rPr>
          <w:spacing w:val="4"/>
        </w:rPr>
        <w:t xml:space="preserve"> </w:t>
      </w:r>
      <w:r w:rsidRPr="00E4316D">
        <w:rPr>
          <w:spacing w:val="-2"/>
        </w:rPr>
        <w:t>benefits</w:t>
      </w:r>
      <w:r>
        <w:rPr>
          <w:spacing w:val="-2"/>
        </w:rPr>
        <w:t xml:space="preserve"> </w:t>
      </w:r>
      <w:r>
        <w:t>and</w:t>
      </w:r>
      <w:r w:rsidRPr="00E4316D">
        <w:rPr>
          <w:spacing w:val="3"/>
        </w:rPr>
        <w:t xml:space="preserve"> </w:t>
      </w:r>
      <w:r>
        <w:t>costs,</w:t>
      </w:r>
      <w:r w:rsidRPr="00E4316D">
        <w:rPr>
          <w:spacing w:val="3"/>
        </w:rPr>
        <w:t xml:space="preserve"> </w:t>
      </w:r>
      <w:r>
        <w:t>risks,</w:t>
      </w:r>
      <w:r w:rsidRPr="00E4316D">
        <w:rPr>
          <w:spacing w:val="3"/>
        </w:rPr>
        <w:t xml:space="preserve"> </w:t>
      </w:r>
      <w:r>
        <w:t>and</w:t>
      </w:r>
      <w:r w:rsidRPr="00E4316D">
        <w:rPr>
          <w:spacing w:val="3"/>
        </w:rPr>
        <w:t xml:space="preserve"> </w:t>
      </w:r>
      <w:r>
        <w:t>impact</w:t>
      </w:r>
      <w:r w:rsidRPr="00E4316D">
        <w:rPr>
          <w:spacing w:val="3"/>
        </w:rPr>
        <w:t xml:space="preserve"> </w:t>
      </w:r>
      <w:r>
        <w:t>on</w:t>
      </w:r>
      <w:r w:rsidRPr="00E4316D">
        <w:rPr>
          <w:spacing w:val="3"/>
        </w:rPr>
        <w:t xml:space="preserve"> </w:t>
      </w:r>
      <w:r>
        <w:t>the</w:t>
      </w:r>
      <w:r w:rsidRPr="00E4316D">
        <w:rPr>
          <w:spacing w:val="4"/>
        </w:rPr>
        <w:t xml:space="preserve"> </w:t>
      </w:r>
      <w:r w:rsidRPr="00E4316D">
        <w:rPr>
          <w:spacing w:val="-2"/>
        </w:rPr>
        <w:t>economy)</w:t>
      </w:r>
    </w:p>
    <w:p w14:paraId="000C4BDC" w14:textId="77777777" w:rsidR="00E4316D" w:rsidRDefault="00E4316D" w:rsidP="0000278A">
      <w:pPr>
        <w:pStyle w:val="Bullet"/>
      </w:pPr>
      <w:r>
        <w:t>the implementation</w:t>
      </w:r>
      <w:r>
        <w:rPr>
          <w:spacing w:val="1"/>
        </w:rPr>
        <w:t xml:space="preserve"> </w:t>
      </w:r>
      <w:r>
        <w:t>and</w:t>
      </w:r>
      <w:r>
        <w:rPr>
          <w:spacing w:val="1"/>
        </w:rPr>
        <w:t xml:space="preserve"> </w:t>
      </w:r>
      <w:r>
        <w:t>ongoing monitoring</w:t>
      </w:r>
      <w:r>
        <w:rPr>
          <w:spacing w:val="1"/>
        </w:rPr>
        <w:t xml:space="preserve"> </w:t>
      </w:r>
      <w:r>
        <w:t>of</w:t>
      </w:r>
      <w:r>
        <w:rPr>
          <w:spacing w:val="1"/>
        </w:rPr>
        <w:t xml:space="preserve"> </w:t>
      </w:r>
      <w:r>
        <w:rPr>
          <w:spacing w:val="-2"/>
        </w:rPr>
        <w:t>policies</w:t>
      </w:r>
    </w:p>
    <w:p w14:paraId="72C6D497" w14:textId="77777777" w:rsidR="00E4316D" w:rsidRDefault="00E4316D" w:rsidP="0000278A">
      <w:pPr>
        <w:pStyle w:val="Bullet"/>
      </w:pPr>
      <w:r>
        <w:t>the RBA’s</w:t>
      </w:r>
      <w:r>
        <w:rPr>
          <w:spacing w:val="1"/>
        </w:rPr>
        <w:t xml:space="preserve"> </w:t>
      </w:r>
      <w:r>
        <w:t>evaluation</w:t>
      </w:r>
      <w:r>
        <w:rPr>
          <w:spacing w:val="1"/>
        </w:rPr>
        <w:t xml:space="preserve"> </w:t>
      </w:r>
      <w:r>
        <w:t>of</w:t>
      </w:r>
      <w:r>
        <w:rPr>
          <w:spacing w:val="1"/>
        </w:rPr>
        <w:t xml:space="preserve"> </w:t>
      </w:r>
      <w:r>
        <w:t>the policies</w:t>
      </w:r>
      <w:r>
        <w:rPr>
          <w:spacing w:val="1"/>
        </w:rPr>
        <w:t xml:space="preserve"> </w:t>
      </w:r>
      <w:r>
        <w:t>after</w:t>
      </w:r>
      <w:r>
        <w:rPr>
          <w:spacing w:val="1"/>
        </w:rPr>
        <w:t xml:space="preserve"> </w:t>
      </w:r>
      <w:r>
        <w:t>the</w:t>
      </w:r>
      <w:r>
        <w:rPr>
          <w:spacing w:val="1"/>
        </w:rPr>
        <w:t xml:space="preserve"> </w:t>
      </w:r>
      <w:r>
        <w:rPr>
          <w:spacing w:val="-4"/>
        </w:rPr>
        <w:t>fact.</w:t>
      </w:r>
    </w:p>
    <w:p w14:paraId="50D6A25C" w14:textId="77777777" w:rsidR="00E4316D" w:rsidRDefault="00E4316D" w:rsidP="00E85372">
      <w:r>
        <w:t>The Review drew on decision-making documents prepared for the Reserve Bank Board, consultations with current and former Reserve Bank Board members and staff members, and advice from external experts with an international perspective.</w:t>
      </w:r>
    </w:p>
    <w:p w14:paraId="08673666" w14:textId="77777777" w:rsidR="00ED7744" w:rsidRDefault="00E4316D" w:rsidP="00E85372">
      <w:r>
        <w:t>Overall, the Review is of the view that the Reserve Bank Board acted decisively and successfully at the onset of the pandemic to protect against more severe outcomes and support the economic recovery.</w:t>
      </w:r>
      <w:r>
        <w:rPr>
          <w:spacing w:val="-3"/>
        </w:rPr>
        <w:t xml:space="preserve"> </w:t>
      </w:r>
      <w:r>
        <w:t>That</w:t>
      </w:r>
      <w:r>
        <w:rPr>
          <w:spacing w:val="-3"/>
        </w:rPr>
        <w:t xml:space="preserve"> </w:t>
      </w:r>
      <w:r>
        <w:t>said,</w:t>
      </w:r>
      <w:r>
        <w:rPr>
          <w:spacing w:val="-3"/>
        </w:rPr>
        <w:t xml:space="preserve"> </w:t>
      </w:r>
      <w:r>
        <w:t>the</w:t>
      </w:r>
      <w:r>
        <w:rPr>
          <w:spacing w:val="-3"/>
        </w:rPr>
        <w:t xml:space="preserve"> </w:t>
      </w:r>
      <w:r>
        <w:t>Review</w:t>
      </w:r>
      <w:r>
        <w:rPr>
          <w:spacing w:val="-3"/>
        </w:rPr>
        <w:t xml:space="preserve"> </w:t>
      </w:r>
      <w:r>
        <w:t>considers,</w:t>
      </w:r>
      <w:r>
        <w:rPr>
          <w:spacing w:val="-3"/>
        </w:rPr>
        <w:t xml:space="preserve"> </w:t>
      </w:r>
      <w:r>
        <w:t>with</w:t>
      </w:r>
      <w:r>
        <w:rPr>
          <w:spacing w:val="-3"/>
        </w:rPr>
        <w:t xml:space="preserve"> </w:t>
      </w:r>
      <w:r>
        <w:t>the</w:t>
      </w:r>
      <w:r>
        <w:rPr>
          <w:spacing w:val="-3"/>
        </w:rPr>
        <w:t xml:space="preserve"> </w:t>
      </w:r>
      <w:r>
        <w:t>benefit</w:t>
      </w:r>
      <w:r>
        <w:rPr>
          <w:spacing w:val="-3"/>
        </w:rPr>
        <w:t xml:space="preserve"> </w:t>
      </w:r>
      <w:r>
        <w:t>of</w:t>
      </w:r>
      <w:r>
        <w:rPr>
          <w:spacing w:val="-3"/>
        </w:rPr>
        <w:t xml:space="preserve"> </w:t>
      </w:r>
      <w:r>
        <w:t>hindsight,</w:t>
      </w:r>
      <w:r>
        <w:rPr>
          <w:spacing w:val="-3"/>
        </w:rPr>
        <w:t xml:space="preserve"> </w:t>
      </w:r>
      <w:r>
        <w:t>that</w:t>
      </w:r>
      <w:r>
        <w:rPr>
          <w:spacing w:val="-3"/>
        </w:rPr>
        <w:t xml:space="preserve"> </w:t>
      </w:r>
      <w:r>
        <w:t>a</w:t>
      </w:r>
      <w:r>
        <w:rPr>
          <w:spacing w:val="-3"/>
        </w:rPr>
        <w:t xml:space="preserve"> </w:t>
      </w:r>
      <w:r>
        <w:t>number</w:t>
      </w:r>
      <w:r>
        <w:rPr>
          <w:spacing w:val="-3"/>
        </w:rPr>
        <w:t xml:space="preserve"> </w:t>
      </w:r>
      <w:r>
        <w:t>of</w:t>
      </w:r>
      <w:r>
        <w:rPr>
          <w:spacing w:val="-1"/>
        </w:rPr>
        <w:t xml:space="preserve"> </w:t>
      </w:r>
      <w:r>
        <w:t>important lessons for the future use of additional monetary policy tools can be drawn.</w:t>
      </w:r>
    </w:p>
    <w:tbl>
      <w:tblPr>
        <w:tblStyle w:val="TableGridLight"/>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2"/>
      </w:tblGrid>
      <w:tr w:rsidR="00882F9C" w14:paraId="6B656F95" w14:textId="77777777" w:rsidTr="00ED7744">
        <w:tc>
          <w:tcPr>
            <w:tcW w:w="5000" w:type="pct"/>
            <w:shd w:val="clear" w:color="auto" w:fill="F9EEDB" w:themeFill="accent6"/>
          </w:tcPr>
          <w:p w14:paraId="794CA2D9" w14:textId="2DDA480E" w:rsidR="00BF0B6A" w:rsidRPr="00BF0B6A" w:rsidRDefault="00ED7744" w:rsidP="00ED7744">
            <w:pPr>
              <w:pStyle w:val="BoxHeading"/>
            </w:pPr>
            <w:r>
              <w:lastRenderedPageBreak/>
              <w:t>Box 1.1: Additional monetary policy tools used during the COVID-19 pandemic</w:t>
            </w:r>
          </w:p>
          <w:p w14:paraId="6CB07F03" w14:textId="046A33AA" w:rsidR="00A72C05" w:rsidRDefault="00A72C05" w:rsidP="005B3F66">
            <w:pPr>
              <w:pStyle w:val="BoxText"/>
              <w:spacing w:before="0"/>
            </w:pPr>
            <w:r>
              <w:t>In response to the pandemic, the Reserve Bank Board reduced the cash rate target to what the RBA considered to be the effective lower bound and used a range of additional monetary policy tools to support the economy.</w:t>
            </w:r>
          </w:p>
          <w:p w14:paraId="4A058BA7" w14:textId="77777777" w:rsidR="00A72C05" w:rsidRDefault="00A72C05" w:rsidP="00736B6A">
            <w:pPr>
              <w:pStyle w:val="BoxText"/>
            </w:pPr>
            <w:r>
              <w:t>Each tool was intended to contribute to an overall easing of financial conditions by lowering borrowing</w:t>
            </w:r>
            <w:r>
              <w:rPr>
                <w:spacing w:val="-1"/>
              </w:rPr>
              <w:t xml:space="preserve"> </w:t>
            </w:r>
            <w:r>
              <w:t>costs,</w:t>
            </w:r>
            <w:r>
              <w:rPr>
                <w:spacing w:val="-1"/>
              </w:rPr>
              <w:t xml:space="preserve"> </w:t>
            </w:r>
            <w:r>
              <w:t>improving</w:t>
            </w:r>
            <w:r>
              <w:rPr>
                <w:spacing w:val="-1"/>
              </w:rPr>
              <w:t xml:space="preserve"> </w:t>
            </w:r>
            <w:r>
              <w:t>access</w:t>
            </w:r>
            <w:r>
              <w:rPr>
                <w:spacing w:val="-1"/>
              </w:rPr>
              <w:t xml:space="preserve"> </w:t>
            </w:r>
            <w:r>
              <w:t>to</w:t>
            </w:r>
            <w:r>
              <w:rPr>
                <w:spacing w:val="-1"/>
              </w:rPr>
              <w:t xml:space="preserve"> </w:t>
            </w:r>
            <w:r>
              <w:t>credit</w:t>
            </w:r>
            <w:r>
              <w:rPr>
                <w:spacing w:val="-1"/>
              </w:rPr>
              <w:t xml:space="preserve"> </w:t>
            </w:r>
            <w:r>
              <w:t>and/or</w:t>
            </w:r>
            <w:r>
              <w:rPr>
                <w:spacing w:val="-1"/>
              </w:rPr>
              <w:t xml:space="preserve"> </w:t>
            </w:r>
            <w:r>
              <w:t>contributing</w:t>
            </w:r>
            <w:r>
              <w:rPr>
                <w:spacing w:val="-1"/>
              </w:rPr>
              <w:t xml:space="preserve"> </w:t>
            </w:r>
            <w:r>
              <w:t>to</w:t>
            </w:r>
            <w:r>
              <w:rPr>
                <w:spacing w:val="-1"/>
              </w:rPr>
              <w:t xml:space="preserve"> </w:t>
            </w:r>
            <w:r>
              <w:t>a</w:t>
            </w:r>
            <w:r>
              <w:rPr>
                <w:spacing w:val="-1"/>
              </w:rPr>
              <w:t xml:space="preserve"> </w:t>
            </w:r>
            <w:r>
              <w:t>lower</w:t>
            </w:r>
            <w:r>
              <w:rPr>
                <w:spacing w:val="-1"/>
              </w:rPr>
              <w:t xml:space="preserve"> </w:t>
            </w:r>
            <w:r>
              <w:t>exchange</w:t>
            </w:r>
            <w:r>
              <w:rPr>
                <w:spacing w:val="-1"/>
              </w:rPr>
              <w:t xml:space="preserve"> </w:t>
            </w:r>
            <w:r>
              <w:t>rate</w:t>
            </w:r>
            <w:r>
              <w:rPr>
                <w:spacing w:val="-1"/>
              </w:rPr>
              <w:t xml:space="preserve"> </w:t>
            </w:r>
            <w:r>
              <w:t>than otherwise. In addition, the tools supported the fiscal response to the pandemic by lowering government borrowing costs (Debelle 2021a). The tools were designed to complement each other and operate as a package.</w:t>
            </w:r>
          </w:p>
          <w:p w14:paraId="4FCA7418" w14:textId="77777777" w:rsidR="00736B6A" w:rsidRPr="00736B6A" w:rsidRDefault="00736B6A" w:rsidP="0068598E">
            <w:pPr>
              <w:pStyle w:val="BoxText"/>
              <w:keepNext/>
              <w:rPr>
                <w:b/>
                <w:bCs/>
              </w:rPr>
            </w:pPr>
            <w:r w:rsidRPr="00736B6A">
              <w:rPr>
                <w:b/>
                <w:bCs/>
              </w:rPr>
              <w:t>Term Funding Facility</w:t>
            </w:r>
          </w:p>
          <w:p w14:paraId="090E4FBB" w14:textId="77777777" w:rsidR="00736B6A" w:rsidRDefault="00736B6A" w:rsidP="0068598E">
            <w:pPr>
              <w:pStyle w:val="BoxText"/>
              <w:keepNext/>
            </w:pPr>
            <w:r>
              <w:t>Term funding schemes typically involve central banks providing low-cost, longer-term funding to</w:t>
            </w:r>
            <w:r>
              <w:rPr>
                <w:spacing w:val="-10"/>
              </w:rPr>
              <w:t xml:space="preserve"> </w:t>
            </w:r>
            <w:r>
              <w:t>banks</w:t>
            </w:r>
            <w:r>
              <w:rPr>
                <w:spacing w:val="-10"/>
              </w:rPr>
              <w:t xml:space="preserve"> </w:t>
            </w:r>
            <w:r>
              <w:t>to</w:t>
            </w:r>
            <w:r>
              <w:rPr>
                <w:spacing w:val="-10"/>
              </w:rPr>
              <w:t xml:space="preserve"> </w:t>
            </w:r>
            <w:r>
              <w:t>help</w:t>
            </w:r>
            <w:r>
              <w:rPr>
                <w:spacing w:val="-10"/>
              </w:rPr>
              <w:t xml:space="preserve"> </w:t>
            </w:r>
            <w:r>
              <w:t>reduce</w:t>
            </w:r>
            <w:r>
              <w:rPr>
                <w:spacing w:val="-10"/>
              </w:rPr>
              <w:t xml:space="preserve"> </w:t>
            </w:r>
            <w:r>
              <w:t>funding</w:t>
            </w:r>
            <w:r>
              <w:rPr>
                <w:spacing w:val="-10"/>
              </w:rPr>
              <w:t xml:space="preserve"> </w:t>
            </w:r>
            <w:r>
              <w:t>costs</w:t>
            </w:r>
            <w:r>
              <w:rPr>
                <w:spacing w:val="-10"/>
              </w:rPr>
              <w:t xml:space="preserve"> </w:t>
            </w:r>
            <w:r>
              <w:t>(and,</w:t>
            </w:r>
            <w:r>
              <w:rPr>
                <w:spacing w:val="-10"/>
              </w:rPr>
              <w:t xml:space="preserve"> </w:t>
            </w:r>
            <w:r>
              <w:t>as</w:t>
            </w:r>
            <w:r>
              <w:rPr>
                <w:spacing w:val="-10"/>
              </w:rPr>
              <w:t xml:space="preserve"> </w:t>
            </w:r>
            <w:r>
              <w:t>a</w:t>
            </w:r>
            <w:r>
              <w:rPr>
                <w:spacing w:val="-10"/>
              </w:rPr>
              <w:t xml:space="preserve"> </w:t>
            </w:r>
            <w:r>
              <w:t>result,</w:t>
            </w:r>
            <w:r>
              <w:rPr>
                <w:spacing w:val="-10"/>
              </w:rPr>
              <w:t xml:space="preserve"> </w:t>
            </w:r>
            <w:r>
              <w:t>interest</w:t>
            </w:r>
            <w:r>
              <w:rPr>
                <w:spacing w:val="-10"/>
              </w:rPr>
              <w:t xml:space="preserve"> </w:t>
            </w:r>
            <w:r>
              <w:t>rates</w:t>
            </w:r>
            <w:r>
              <w:rPr>
                <w:spacing w:val="-10"/>
              </w:rPr>
              <w:t xml:space="preserve"> </w:t>
            </w:r>
            <w:r>
              <w:t>for</w:t>
            </w:r>
            <w:r>
              <w:rPr>
                <w:spacing w:val="-10"/>
              </w:rPr>
              <w:t xml:space="preserve"> </w:t>
            </w:r>
            <w:r>
              <w:t>borrowers).</w:t>
            </w:r>
            <w:r>
              <w:rPr>
                <w:spacing w:val="-10"/>
              </w:rPr>
              <w:t xml:space="preserve"> </w:t>
            </w:r>
            <w:r>
              <w:t>They</w:t>
            </w:r>
            <w:r>
              <w:rPr>
                <w:spacing w:val="-6"/>
              </w:rPr>
              <w:t xml:space="preserve"> </w:t>
            </w:r>
            <w:r>
              <w:t>often include explicit incentives to bolster the supply of credit to businesses.</w:t>
            </w:r>
          </w:p>
          <w:p w14:paraId="05156D76" w14:textId="77777777" w:rsidR="00736B6A" w:rsidRDefault="00736B6A" w:rsidP="00736B6A">
            <w:pPr>
              <w:pStyle w:val="BoxText"/>
            </w:pPr>
            <w:r>
              <w:t>The</w:t>
            </w:r>
            <w:r>
              <w:rPr>
                <w:spacing w:val="-2"/>
              </w:rPr>
              <w:t xml:space="preserve"> </w:t>
            </w:r>
            <w:r>
              <w:t>Reserve</w:t>
            </w:r>
            <w:r>
              <w:rPr>
                <w:spacing w:val="1"/>
              </w:rPr>
              <w:t xml:space="preserve"> </w:t>
            </w:r>
            <w:r>
              <w:t>Bank Board</w:t>
            </w:r>
            <w:r>
              <w:rPr>
                <w:spacing w:val="1"/>
              </w:rPr>
              <w:t xml:space="preserve"> </w:t>
            </w:r>
            <w:r>
              <w:t>established the</w:t>
            </w:r>
            <w:r>
              <w:rPr>
                <w:spacing w:val="1"/>
              </w:rPr>
              <w:t xml:space="preserve"> </w:t>
            </w:r>
            <w:r>
              <w:t>Term Funding</w:t>
            </w:r>
            <w:r>
              <w:rPr>
                <w:spacing w:val="1"/>
              </w:rPr>
              <w:t xml:space="preserve"> </w:t>
            </w:r>
            <w:r>
              <w:t>Facility in</w:t>
            </w:r>
            <w:r>
              <w:rPr>
                <w:spacing w:val="1"/>
              </w:rPr>
              <w:t xml:space="preserve"> </w:t>
            </w:r>
            <w:r>
              <w:t>March 2020.</w:t>
            </w:r>
            <w:r>
              <w:rPr>
                <w:spacing w:val="1"/>
              </w:rPr>
              <w:t xml:space="preserve"> </w:t>
            </w:r>
            <w:r>
              <w:t>It</w:t>
            </w:r>
            <w:r>
              <w:rPr>
                <w:spacing w:val="1"/>
              </w:rPr>
              <w:t xml:space="preserve"> </w:t>
            </w:r>
            <w:r>
              <w:rPr>
                <w:spacing w:val="-2"/>
              </w:rPr>
              <w:t>provided</w:t>
            </w:r>
          </w:p>
          <w:p w14:paraId="22150802" w14:textId="77777777" w:rsidR="00736B6A" w:rsidRDefault="00736B6A" w:rsidP="00736B6A">
            <w:pPr>
              <w:pStyle w:val="BoxText"/>
            </w:pPr>
            <w:r>
              <w:t>3-year</w:t>
            </w:r>
            <w:r>
              <w:rPr>
                <w:spacing w:val="-2"/>
              </w:rPr>
              <w:t xml:space="preserve"> </w:t>
            </w:r>
            <w:r>
              <w:t>funding</w:t>
            </w:r>
            <w:r>
              <w:rPr>
                <w:spacing w:val="-2"/>
              </w:rPr>
              <w:t xml:space="preserve"> </w:t>
            </w:r>
            <w:r>
              <w:t>to</w:t>
            </w:r>
            <w:r>
              <w:rPr>
                <w:spacing w:val="-2"/>
              </w:rPr>
              <w:t xml:space="preserve"> </w:t>
            </w:r>
            <w:r>
              <w:t>banks</w:t>
            </w:r>
            <w:r>
              <w:rPr>
                <w:spacing w:val="-2"/>
              </w:rPr>
              <w:t xml:space="preserve"> </w:t>
            </w:r>
            <w:r>
              <w:t>at</w:t>
            </w:r>
            <w:r>
              <w:rPr>
                <w:spacing w:val="-2"/>
              </w:rPr>
              <w:t xml:space="preserve"> </w:t>
            </w:r>
            <w:r>
              <w:t>a</w:t>
            </w:r>
            <w:r>
              <w:rPr>
                <w:spacing w:val="-2"/>
              </w:rPr>
              <w:t xml:space="preserve"> </w:t>
            </w:r>
            <w:r>
              <w:t>fixed</w:t>
            </w:r>
            <w:r>
              <w:rPr>
                <w:spacing w:val="-2"/>
              </w:rPr>
              <w:t xml:space="preserve"> </w:t>
            </w:r>
            <w:r>
              <w:t>rate</w:t>
            </w:r>
            <w:r>
              <w:rPr>
                <w:spacing w:val="-2"/>
              </w:rPr>
              <w:t xml:space="preserve"> </w:t>
            </w:r>
            <w:r>
              <w:t>of</w:t>
            </w:r>
            <w:r>
              <w:rPr>
                <w:spacing w:val="-2"/>
              </w:rPr>
              <w:t xml:space="preserve"> </w:t>
            </w:r>
            <w:r>
              <w:t>0.25</w:t>
            </w:r>
            <w:r>
              <w:rPr>
                <w:spacing w:val="-2"/>
              </w:rPr>
              <w:t xml:space="preserve"> </w:t>
            </w:r>
            <w:r>
              <w:t>per</w:t>
            </w:r>
            <w:r>
              <w:rPr>
                <w:spacing w:val="-2"/>
              </w:rPr>
              <w:t xml:space="preserve"> </w:t>
            </w:r>
            <w:r>
              <w:t>cent</w:t>
            </w:r>
            <w:r>
              <w:rPr>
                <w:spacing w:val="-2"/>
              </w:rPr>
              <w:t xml:space="preserve"> </w:t>
            </w:r>
            <w:r>
              <w:t>(lowered</w:t>
            </w:r>
            <w:r>
              <w:rPr>
                <w:spacing w:val="-2"/>
              </w:rPr>
              <w:t xml:space="preserve"> </w:t>
            </w:r>
            <w:r>
              <w:t>to</w:t>
            </w:r>
            <w:r>
              <w:rPr>
                <w:spacing w:val="-2"/>
              </w:rPr>
              <w:t xml:space="preserve"> </w:t>
            </w:r>
            <w:r>
              <w:t>0.1</w:t>
            </w:r>
            <w:r>
              <w:rPr>
                <w:spacing w:val="-2"/>
              </w:rPr>
              <w:t xml:space="preserve"> </w:t>
            </w:r>
            <w:r>
              <w:t>per</w:t>
            </w:r>
            <w:r>
              <w:rPr>
                <w:spacing w:val="-2"/>
              </w:rPr>
              <w:t xml:space="preserve"> </w:t>
            </w:r>
            <w:r>
              <w:t>cent</w:t>
            </w:r>
            <w:r>
              <w:rPr>
                <w:spacing w:val="-2"/>
              </w:rPr>
              <w:t xml:space="preserve"> </w:t>
            </w:r>
            <w:r>
              <w:t>in</w:t>
            </w:r>
            <w:r>
              <w:rPr>
                <w:spacing w:val="-2"/>
              </w:rPr>
              <w:t xml:space="preserve"> </w:t>
            </w:r>
            <w:r>
              <w:t>November 2020). The initial funding allowance for each institution was up to 3 per cent of existing outstanding credit, available until 30 September 2020. It provided an additional allowance</w:t>
            </w:r>
            <w:r>
              <w:rPr>
                <w:spacing w:val="40"/>
              </w:rPr>
              <w:t xml:space="preserve"> </w:t>
            </w:r>
            <w:r>
              <w:t>for institutions that increased their lending to businesses, available until 31 March 2021.</w:t>
            </w:r>
          </w:p>
          <w:p w14:paraId="1BE0FAC9" w14:textId="77777777" w:rsidR="00736B6A" w:rsidRDefault="00736B6A" w:rsidP="00736B6A">
            <w:pPr>
              <w:pStyle w:val="BoxText"/>
            </w:pPr>
            <w:r>
              <w:t>The</w:t>
            </w:r>
            <w:r>
              <w:rPr>
                <w:spacing w:val="-5"/>
              </w:rPr>
              <w:t xml:space="preserve"> </w:t>
            </w:r>
            <w:r>
              <w:t>Reserve</w:t>
            </w:r>
            <w:r>
              <w:rPr>
                <w:spacing w:val="-5"/>
              </w:rPr>
              <w:t xml:space="preserve"> </w:t>
            </w:r>
            <w:r>
              <w:t>Bank</w:t>
            </w:r>
            <w:r>
              <w:rPr>
                <w:spacing w:val="-5"/>
              </w:rPr>
              <w:t xml:space="preserve"> </w:t>
            </w:r>
            <w:r>
              <w:t>Board</w:t>
            </w:r>
            <w:r>
              <w:rPr>
                <w:spacing w:val="-5"/>
              </w:rPr>
              <w:t xml:space="preserve"> </w:t>
            </w:r>
            <w:r>
              <w:t>expanded</w:t>
            </w:r>
            <w:r>
              <w:rPr>
                <w:spacing w:val="-5"/>
              </w:rPr>
              <w:t xml:space="preserve"> </w:t>
            </w:r>
            <w:r>
              <w:t>and</w:t>
            </w:r>
            <w:r>
              <w:rPr>
                <w:spacing w:val="-5"/>
              </w:rPr>
              <w:t xml:space="preserve"> </w:t>
            </w:r>
            <w:r>
              <w:t>extended</w:t>
            </w:r>
            <w:r>
              <w:rPr>
                <w:spacing w:val="-5"/>
              </w:rPr>
              <w:t xml:space="preserve"> </w:t>
            </w:r>
            <w:r>
              <w:t>the</w:t>
            </w:r>
            <w:r>
              <w:rPr>
                <w:spacing w:val="-5"/>
              </w:rPr>
              <w:t xml:space="preserve"> </w:t>
            </w:r>
            <w:r>
              <w:t>Term</w:t>
            </w:r>
            <w:r>
              <w:rPr>
                <w:spacing w:val="-5"/>
              </w:rPr>
              <w:t xml:space="preserve"> </w:t>
            </w:r>
            <w:r>
              <w:t>Funding</w:t>
            </w:r>
            <w:r>
              <w:rPr>
                <w:spacing w:val="-5"/>
              </w:rPr>
              <w:t xml:space="preserve"> </w:t>
            </w:r>
            <w:r>
              <w:t>Facility</w:t>
            </w:r>
            <w:r>
              <w:rPr>
                <w:spacing w:val="-5"/>
              </w:rPr>
              <w:t xml:space="preserve"> </w:t>
            </w:r>
            <w:r>
              <w:t>in</w:t>
            </w:r>
            <w:r>
              <w:rPr>
                <w:spacing w:val="-5"/>
              </w:rPr>
              <w:t xml:space="preserve"> </w:t>
            </w:r>
            <w:r>
              <w:t>September 2020. It introduced a supplementary allowance of up to 2 per cent of existing lending, available until 30 June 2021, and extended the deadline for the additional allowance to</w:t>
            </w:r>
            <w:r>
              <w:rPr>
                <w:spacing w:val="40"/>
              </w:rPr>
              <w:t xml:space="preserve"> </w:t>
            </w:r>
            <w:r>
              <w:t>30 June 2021.</w:t>
            </w:r>
          </w:p>
          <w:p w14:paraId="2101C47E" w14:textId="77777777" w:rsidR="00736B6A" w:rsidRDefault="00736B6A" w:rsidP="00736B6A">
            <w:pPr>
              <w:pStyle w:val="BoxText"/>
            </w:pPr>
            <w:r>
              <w:t>The</w:t>
            </w:r>
            <w:r>
              <w:rPr>
                <w:spacing w:val="-1"/>
              </w:rPr>
              <w:t xml:space="preserve"> </w:t>
            </w:r>
            <w:r>
              <w:t>Term Funding Facility closed to new drawdowns</w:t>
            </w:r>
            <w:r>
              <w:rPr>
                <w:spacing w:val="10"/>
              </w:rPr>
              <w:t xml:space="preserve"> </w:t>
            </w:r>
            <w:r>
              <w:t xml:space="preserve">on 30 June </w:t>
            </w:r>
            <w:r>
              <w:rPr>
                <w:spacing w:val="-2"/>
              </w:rPr>
              <w:t>2021.</w:t>
            </w:r>
          </w:p>
          <w:p w14:paraId="1BC416E8" w14:textId="77777777" w:rsidR="00736B6A" w:rsidRPr="00736B6A" w:rsidRDefault="00736B6A" w:rsidP="00736B6A">
            <w:pPr>
              <w:pStyle w:val="BoxText"/>
              <w:rPr>
                <w:b/>
                <w:bCs/>
              </w:rPr>
            </w:pPr>
            <w:r w:rsidRPr="00736B6A">
              <w:rPr>
                <w:b/>
                <w:bCs/>
              </w:rPr>
              <w:t>Forward guidance</w:t>
            </w:r>
          </w:p>
          <w:p w14:paraId="4CAF70A9" w14:textId="77777777" w:rsidR="00736B6A" w:rsidRDefault="00736B6A" w:rsidP="00736B6A">
            <w:pPr>
              <w:pStyle w:val="BoxText"/>
            </w:pPr>
            <w:r>
              <w:t>Forward</w:t>
            </w:r>
            <w:r>
              <w:rPr>
                <w:spacing w:val="-5"/>
              </w:rPr>
              <w:t xml:space="preserve"> </w:t>
            </w:r>
            <w:r>
              <w:t>guidance</w:t>
            </w:r>
            <w:r>
              <w:rPr>
                <w:spacing w:val="-4"/>
              </w:rPr>
              <w:t xml:space="preserve"> </w:t>
            </w:r>
            <w:r>
              <w:t>is</w:t>
            </w:r>
            <w:r>
              <w:rPr>
                <w:spacing w:val="-4"/>
              </w:rPr>
              <w:t xml:space="preserve"> </w:t>
            </w:r>
            <w:r>
              <w:t>a</w:t>
            </w:r>
            <w:r>
              <w:rPr>
                <w:spacing w:val="-4"/>
              </w:rPr>
              <w:t xml:space="preserve"> </w:t>
            </w:r>
            <w:r>
              <w:t>central</w:t>
            </w:r>
            <w:r>
              <w:rPr>
                <w:spacing w:val="-5"/>
              </w:rPr>
              <w:t xml:space="preserve"> </w:t>
            </w:r>
            <w:r>
              <w:t>bank</w:t>
            </w:r>
            <w:r>
              <w:rPr>
                <w:spacing w:val="-4"/>
              </w:rPr>
              <w:t xml:space="preserve"> </w:t>
            </w:r>
            <w:r>
              <w:t>statement</w:t>
            </w:r>
            <w:r>
              <w:rPr>
                <w:spacing w:val="-4"/>
              </w:rPr>
              <w:t xml:space="preserve"> </w:t>
            </w:r>
            <w:r>
              <w:t>that</w:t>
            </w:r>
            <w:r>
              <w:rPr>
                <w:spacing w:val="-4"/>
              </w:rPr>
              <w:t xml:space="preserve"> </w:t>
            </w:r>
            <w:r>
              <w:t>provides</w:t>
            </w:r>
            <w:r>
              <w:rPr>
                <w:spacing w:val="-5"/>
              </w:rPr>
              <w:t xml:space="preserve"> </w:t>
            </w:r>
            <w:r>
              <w:t>explicit</w:t>
            </w:r>
            <w:r>
              <w:rPr>
                <w:spacing w:val="-4"/>
              </w:rPr>
              <w:t xml:space="preserve"> </w:t>
            </w:r>
            <w:r>
              <w:t>information</w:t>
            </w:r>
            <w:r>
              <w:rPr>
                <w:spacing w:val="-4"/>
              </w:rPr>
              <w:t xml:space="preserve"> </w:t>
            </w:r>
            <w:r>
              <w:t>about</w:t>
            </w:r>
            <w:r>
              <w:rPr>
                <w:spacing w:val="-4"/>
              </w:rPr>
              <w:t xml:space="preserve"> </w:t>
            </w:r>
            <w:r>
              <w:rPr>
                <w:spacing w:val="-5"/>
              </w:rPr>
              <w:t>the</w:t>
            </w:r>
          </w:p>
          <w:p w14:paraId="0181EDF2" w14:textId="77777777" w:rsidR="00736B6A" w:rsidRDefault="00736B6A" w:rsidP="00736B6A">
            <w:pPr>
              <w:pStyle w:val="BoxText"/>
            </w:pPr>
            <w:r>
              <w:t>future</w:t>
            </w:r>
            <w:r>
              <w:rPr>
                <w:spacing w:val="-7"/>
              </w:rPr>
              <w:t xml:space="preserve"> </w:t>
            </w:r>
            <w:r>
              <w:t>state</w:t>
            </w:r>
            <w:r>
              <w:rPr>
                <w:spacing w:val="-4"/>
              </w:rPr>
              <w:t xml:space="preserve"> </w:t>
            </w:r>
            <w:r>
              <w:t>of</w:t>
            </w:r>
            <w:r>
              <w:rPr>
                <w:spacing w:val="-5"/>
              </w:rPr>
              <w:t xml:space="preserve"> </w:t>
            </w:r>
            <w:r>
              <w:t>monetary</w:t>
            </w:r>
            <w:r>
              <w:rPr>
                <w:spacing w:val="-4"/>
              </w:rPr>
              <w:t xml:space="preserve"> </w:t>
            </w:r>
            <w:r>
              <w:t>policy.</w:t>
            </w:r>
            <w:r>
              <w:rPr>
                <w:spacing w:val="-5"/>
              </w:rPr>
              <w:t xml:space="preserve"> </w:t>
            </w:r>
            <w:r>
              <w:t>It</w:t>
            </w:r>
            <w:r>
              <w:rPr>
                <w:spacing w:val="-4"/>
              </w:rPr>
              <w:t xml:space="preserve"> </w:t>
            </w:r>
            <w:r>
              <w:t>is</w:t>
            </w:r>
            <w:r>
              <w:rPr>
                <w:spacing w:val="-5"/>
              </w:rPr>
              <w:t xml:space="preserve"> </w:t>
            </w:r>
            <w:r>
              <w:t>intended</w:t>
            </w:r>
            <w:r>
              <w:rPr>
                <w:spacing w:val="-4"/>
              </w:rPr>
              <w:t xml:space="preserve"> </w:t>
            </w:r>
            <w:r>
              <w:t>to</w:t>
            </w:r>
            <w:r>
              <w:rPr>
                <w:spacing w:val="-5"/>
              </w:rPr>
              <w:t xml:space="preserve"> </w:t>
            </w:r>
            <w:r>
              <w:t>influence</w:t>
            </w:r>
            <w:r>
              <w:rPr>
                <w:spacing w:val="-4"/>
              </w:rPr>
              <w:t xml:space="preserve"> </w:t>
            </w:r>
            <w:r>
              <w:t>interest</w:t>
            </w:r>
            <w:r>
              <w:rPr>
                <w:spacing w:val="-5"/>
              </w:rPr>
              <w:t xml:space="preserve"> </w:t>
            </w:r>
            <w:r>
              <w:t>rate</w:t>
            </w:r>
            <w:r>
              <w:rPr>
                <w:spacing w:val="-4"/>
              </w:rPr>
              <w:t xml:space="preserve"> </w:t>
            </w:r>
            <w:r>
              <w:rPr>
                <w:spacing w:val="-2"/>
              </w:rPr>
              <w:t>expectations.</w:t>
            </w:r>
          </w:p>
          <w:p w14:paraId="70921BA0" w14:textId="77777777" w:rsidR="00736B6A" w:rsidRDefault="00736B6A" w:rsidP="00736B6A">
            <w:pPr>
              <w:pStyle w:val="BoxText"/>
            </w:pPr>
            <w:r>
              <w:t>The Reserve Bank Board provided forward guidance in March 2020. This guidance was ‘state-based’, meaning that it committed to keeping the cash rate unchanged until specific economic conditions were met:</w:t>
            </w:r>
          </w:p>
          <w:p w14:paraId="303ACA9B" w14:textId="77777777" w:rsidR="00736B6A" w:rsidRDefault="00736B6A" w:rsidP="003C004C">
            <w:pPr>
              <w:pStyle w:val="italicquote"/>
            </w:pPr>
            <w:r>
              <w:t>‘The</w:t>
            </w:r>
            <w:r>
              <w:rPr>
                <w:spacing w:val="-4"/>
              </w:rPr>
              <w:t xml:space="preserve"> </w:t>
            </w:r>
            <w:r>
              <w:t>Board</w:t>
            </w:r>
            <w:r>
              <w:rPr>
                <w:spacing w:val="-4"/>
              </w:rPr>
              <w:t xml:space="preserve"> </w:t>
            </w:r>
            <w:r>
              <w:t>will</w:t>
            </w:r>
            <w:r>
              <w:rPr>
                <w:spacing w:val="-4"/>
              </w:rPr>
              <w:t xml:space="preserve"> </w:t>
            </w:r>
            <w:r>
              <w:t>not</w:t>
            </w:r>
            <w:r>
              <w:rPr>
                <w:spacing w:val="-4"/>
              </w:rPr>
              <w:t xml:space="preserve"> </w:t>
            </w:r>
            <w:r>
              <w:t>increase</w:t>
            </w:r>
            <w:r>
              <w:rPr>
                <w:spacing w:val="-4"/>
              </w:rPr>
              <w:t xml:space="preserve"> </w:t>
            </w:r>
            <w:r>
              <w:t>the</w:t>
            </w:r>
            <w:r>
              <w:rPr>
                <w:spacing w:val="-4"/>
              </w:rPr>
              <w:t xml:space="preserve"> </w:t>
            </w:r>
            <w:r>
              <w:t>cash</w:t>
            </w:r>
            <w:r>
              <w:rPr>
                <w:spacing w:val="-4"/>
              </w:rPr>
              <w:t xml:space="preserve"> </w:t>
            </w:r>
            <w:r>
              <w:t>rate</w:t>
            </w:r>
            <w:r>
              <w:rPr>
                <w:spacing w:val="-4"/>
              </w:rPr>
              <w:t xml:space="preserve"> </w:t>
            </w:r>
            <w:r>
              <w:t>target</w:t>
            </w:r>
            <w:r>
              <w:rPr>
                <w:spacing w:val="-4"/>
              </w:rPr>
              <w:t xml:space="preserve"> </w:t>
            </w:r>
            <w:r>
              <w:t>until</w:t>
            </w:r>
            <w:r>
              <w:rPr>
                <w:spacing w:val="-4"/>
              </w:rPr>
              <w:t xml:space="preserve"> </w:t>
            </w:r>
            <w:r>
              <w:t>progress</w:t>
            </w:r>
            <w:r>
              <w:rPr>
                <w:spacing w:val="-4"/>
              </w:rPr>
              <w:t xml:space="preserve"> </w:t>
            </w:r>
            <w:r>
              <w:t>is</w:t>
            </w:r>
            <w:r>
              <w:rPr>
                <w:spacing w:val="-4"/>
              </w:rPr>
              <w:t xml:space="preserve"> </w:t>
            </w:r>
            <w:r>
              <w:t>being</w:t>
            </w:r>
            <w:r>
              <w:rPr>
                <w:spacing w:val="-4"/>
              </w:rPr>
              <w:t xml:space="preserve"> </w:t>
            </w:r>
            <w:r>
              <w:t>made</w:t>
            </w:r>
            <w:r>
              <w:rPr>
                <w:spacing w:val="-4"/>
              </w:rPr>
              <w:t xml:space="preserve"> </w:t>
            </w:r>
            <w:r>
              <w:t>towards</w:t>
            </w:r>
            <w:r>
              <w:rPr>
                <w:spacing w:val="-4"/>
              </w:rPr>
              <w:t xml:space="preserve"> </w:t>
            </w:r>
            <w:r>
              <w:t>full employment and it is confident that inflation will be sustainably within the 2–3 per cent target band.’</w:t>
            </w:r>
          </w:p>
          <w:p w14:paraId="5A7B5687" w14:textId="77777777" w:rsidR="00736B6A" w:rsidRDefault="00736B6A" w:rsidP="00736B6A">
            <w:pPr>
              <w:pStyle w:val="BoxText"/>
            </w:pPr>
            <w:r>
              <w:t>The RBA added a ‘calendar-based’ component to their forward guidance in a speech by the Governor in October 2020 and in Reserve Bank Board statements from November 2020.</w:t>
            </w:r>
            <w:r>
              <w:rPr>
                <w:spacing w:val="80"/>
              </w:rPr>
              <w:t xml:space="preserve"> </w:t>
            </w:r>
            <w:r>
              <w:t>They</w:t>
            </w:r>
            <w:r>
              <w:rPr>
                <w:spacing w:val="-1"/>
              </w:rPr>
              <w:t xml:space="preserve"> </w:t>
            </w:r>
            <w:r>
              <w:t>indicated</w:t>
            </w:r>
            <w:r>
              <w:rPr>
                <w:spacing w:val="-1"/>
              </w:rPr>
              <w:t xml:space="preserve"> </w:t>
            </w:r>
            <w:r>
              <w:t>a</w:t>
            </w:r>
            <w:r>
              <w:rPr>
                <w:spacing w:val="-1"/>
              </w:rPr>
              <w:t xml:space="preserve"> </w:t>
            </w:r>
            <w:r>
              <w:t>time</w:t>
            </w:r>
            <w:r>
              <w:rPr>
                <w:spacing w:val="-1"/>
              </w:rPr>
              <w:t xml:space="preserve"> </w:t>
            </w:r>
            <w:r>
              <w:t>horizon</w:t>
            </w:r>
            <w:r>
              <w:rPr>
                <w:spacing w:val="-1"/>
              </w:rPr>
              <w:t xml:space="preserve"> </w:t>
            </w:r>
            <w:r>
              <w:t>of</w:t>
            </w:r>
            <w:r>
              <w:rPr>
                <w:spacing w:val="-1"/>
              </w:rPr>
              <w:t xml:space="preserve"> </w:t>
            </w:r>
            <w:r>
              <w:t>3</w:t>
            </w:r>
            <w:r>
              <w:rPr>
                <w:spacing w:val="-1"/>
              </w:rPr>
              <w:t xml:space="preserve"> </w:t>
            </w:r>
            <w:r>
              <w:t>years</w:t>
            </w:r>
            <w:r>
              <w:rPr>
                <w:spacing w:val="-1"/>
              </w:rPr>
              <w:t xml:space="preserve"> </w:t>
            </w:r>
            <w:r>
              <w:t>over</w:t>
            </w:r>
            <w:r>
              <w:rPr>
                <w:spacing w:val="-1"/>
              </w:rPr>
              <w:t xml:space="preserve"> </w:t>
            </w:r>
            <w:r>
              <w:t>which</w:t>
            </w:r>
            <w:r>
              <w:rPr>
                <w:spacing w:val="-1"/>
              </w:rPr>
              <w:t xml:space="preserve"> </w:t>
            </w:r>
            <w:r>
              <w:t>the</w:t>
            </w:r>
            <w:r>
              <w:rPr>
                <w:spacing w:val="-1"/>
              </w:rPr>
              <w:t xml:space="preserve"> </w:t>
            </w:r>
            <w:r>
              <w:t>cash</w:t>
            </w:r>
            <w:r>
              <w:rPr>
                <w:spacing w:val="-1"/>
              </w:rPr>
              <w:t xml:space="preserve"> </w:t>
            </w:r>
            <w:r>
              <w:t>rate</w:t>
            </w:r>
            <w:r>
              <w:rPr>
                <w:spacing w:val="-1"/>
              </w:rPr>
              <w:t xml:space="preserve"> </w:t>
            </w:r>
            <w:r>
              <w:t>would</w:t>
            </w:r>
            <w:r>
              <w:rPr>
                <w:spacing w:val="-1"/>
              </w:rPr>
              <w:t xml:space="preserve"> </w:t>
            </w:r>
            <w:r>
              <w:t>be</w:t>
            </w:r>
            <w:r>
              <w:rPr>
                <w:spacing w:val="-1"/>
              </w:rPr>
              <w:t xml:space="preserve"> </w:t>
            </w:r>
            <w:r>
              <w:t>unlikely</w:t>
            </w:r>
            <w:r>
              <w:rPr>
                <w:spacing w:val="-1"/>
              </w:rPr>
              <w:t xml:space="preserve"> </w:t>
            </w:r>
            <w:r>
              <w:t>to</w:t>
            </w:r>
            <w:r>
              <w:rPr>
                <w:spacing w:val="-1"/>
              </w:rPr>
              <w:t xml:space="preserve"> </w:t>
            </w:r>
            <w:r>
              <w:t>change:</w:t>
            </w:r>
          </w:p>
          <w:p w14:paraId="30DB3FB1" w14:textId="77777777" w:rsidR="00882F9C" w:rsidRDefault="00736B6A" w:rsidP="003C004C">
            <w:pPr>
              <w:pStyle w:val="italicquote"/>
            </w:pPr>
            <w:r>
              <w:t>‘The Board will not be increasing the cash rate until actual inflation is sustainably within the target</w:t>
            </w:r>
            <w:r>
              <w:rPr>
                <w:spacing w:val="-4"/>
              </w:rPr>
              <w:t xml:space="preserve"> </w:t>
            </w:r>
            <w:r>
              <w:t>range.</w:t>
            </w:r>
            <w:r>
              <w:rPr>
                <w:spacing w:val="-4"/>
              </w:rPr>
              <w:t xml:space="preserve"> </w:t>
            </w:r>
            <w:r>
              <w:t>…</w:t>
            </w:r>
            <w:r>
              <w:rPr>
                <w:spacing w:val="-4"/>
              </w:rPr>
              <w:t xml:space="preserve"> </w:t>
            </w:r>
            <w:r>
              <w:t>On</w:t>
            </w:r>
            <w:r>
              <w:rPr>
                <w:spacing w:val="-4"/>
              </w:rPr>
              <w:t xml:space="preserve"> </w:t>
            </w:r>
            <w:r>
              <w:t>our</w:t>
            </w:r>
            <w:r>
              <w:rPr>
                <w:spacing w:val="-4"/>
              </w:rPr>
              <w:t xml:space="preserve"> </w:t>
            </w:r>
            <w:r>
              <w:t>current</w:t>
            </w:r>
            <w:r>
              <w:rPr>
                <w:spacing w:val="-4"/>
              </w:rPr>
              <w:t xml:space="preserve"> </w:t>
            </w:r>
            <w:r>
              <w:t>outlook</w:t>
            </w:r>
            <w:r>
              <w:rPr>
                <w:spacing w:val="-4"/>
              </w:rPr>
              <w:t xml:space="preserve"> </w:t>
            </w:r>
            <w:r>
              <w:t>for</w:t>
            </w:r>
            <w:r>
              <w:rPr>
                <w:spacing w:val="-4"/>
              </w:rPr>
              <w:t xml:space="preserve"> </w:t>
            </w:r>
            <w:r>
              <w:t>the</w:t>
            </w:r>
            <w:r>
              <w:rPr>
                <w:spacing w:val="-4"/>
              </w:rPr>
              <w:t xml:space="preserve"> </w:t>
            </w:r>
            <w:r>
              <w:t>economy…this</w:t>
            </w:r>
            <w:r>
              <w:rPr>
                <w:spacing w:val="-4"/>
              </w:rPr>
              <w:t xml:space="preserve"> </w:t>
            </w:r>
            <w:r>
              <w:t>is</w:t>
            </w:r>
            <w:r>
              <w:rPr>
                <w:spacing w:val="-4"/>
              </w:rPr>
              <w:t xml:space="preserve"> </w:t>
            </w:r>
            <w:r>
              <w:t>still</w:t>
            </w:r>
            <w:r>
              <w:rPr>
                <w:spacing w:val="-4"/>
              </w:rPr>
              <w:t xml:space="preserve"> </w:t>
            </w:r>
            <w:r>
              <w:t>some</w:t>
            </w:r>
            <w:r>
              <w:rPr>
                <w:spacing w:val="-4"/>
              </w:rPr>
              <w:t xml:space="preserve"> </w:t>
            </w:r>
            <w:r>
              <w:t>years</w:t>
            </w:r>
            <w:r>
              <w:rPr>
                <w:spacing w:val="-4"/>
              </w:rPr>
              <w:t xml:space="preserve"> </w:t>
            </w:r>
            <w:r>
              <w:t>away.</w:t>
            </w:r>
            <w:r>
              <w:rPr>
                <w:spacing w:val="-4"/>
              </w:rPr>
              <w:t xml:space="preserve"> </w:t>
            </w:r>
            <w:r>
              <w:t>So,</w:t>
            </w:r>
            <w:r>
              <w:rPr>
                <w:spacing w:val="-4"/>
              </w:rPr>
              <w:t xml:space="preserve"> </w:t>
            </w:r>
            <w:r>
              <w:t>we</w:t>
            </w:r>
            <w:r>
              <w:rPr>
                <w:spacing w:val="-4"/>
              </w:rPr>
              <w:t xml:space="preserve"> </w:t>
            </w:r>
            <w:r>
              <w:t>do not expect to be increasing the cash rate for at least three years.’</w:t>
            </w:r>
          </w:p>
          <w:p w14:paraId="3297F4F3" w14:textId="77777777" w:rsidR="00CB078C" w:rsidRDefault="00CB078C" w:rsidP="00CB078C">
            <w:r>
              <w:t>This</w:t>
            </w:r>
            <w:r>
              <w:rPr>
                <w:spacing w:val="2"/>
              </w:rPr>
              <w:t xml:space="preserve"> </w:t>
            </w:r>
            <w:r>
              <w:t>language</w:t>
            </w:r>
            <w:r>
              <w:rPr>
                <w:spacing w:val="2"/>
              </w:rPr>
              <w:t xml:space="preserve"> </w:t>
            </w:r>
            <w:r>
              <w:t>was</w:t>
            </w:r>
            <w:r>
              <w:rPr>
                <w:spacing w:val="2"/>
              </w:rPr>
              <w:t xml:space="preserve"> </w:t>
            </w:r>
            <w:r>
              <w:t>updated</w:t>
            </w:r>
            <w:r>
              <w:rPr>
                <w:spacing w:val="2"/>
              </w:rPr>
              <w:t xml:space="preserve"> </w:t>
            </w:r>
            <w:r>
              <w:t>in</w:t>
            </w:r>
            <w:r>
              <w:rPr>
                <w:spacing w:val="2"/>
              </w:rPr>
              <w:t xml:space="preserve"> </w:t>
            </w:r>
            <w:r>
              <w:t>February</w:t>
            </w:r>
            <w:r>
              <w:rPr>
                <w:spacing w:val="2"/>
              </w:rPr>
              <w:t xml:space="preserve"> </w:t>
            </w:r>
            <w:r>
              <w:rPr>
                <w:spacing w:val="-4"/>
              </w:rPr>
              <w:t>2021:</w:t>
            </w:r>
          </w:p>
          <w:p w14:paraId="6815005E" w14:textId="78A9132E" w:rsidR="00CB078C" w:rsidRDefault="00CB078C" w:rsidP="00CB078C">
            <w:pPr>
              <w:pStyle w:val="italicquote"/>
              <w:rPr>
                <w:sz w:val="18"/>
              </w:rPr>
            </w:pPr>
            <w:r>
              <w:lastRenderedPageBreak/>
              <w:t>‘The</w:t>
            </w:r>
            <w:r>
              <w:rPr>
                <w:spacing w:val="-3"/>
              </w:rPr>
              <w:t xml:space="preserve"> </w:t>
            </w:r>
            <w:r w:rsidRPr="00CB078C">
              <w:t>Board will not increase the cash rate until actual inflation is sustainably within the 2 to 3 per cent target range. … The Board does not expect these conditions to be met until 2024 at the earliest.’</w:t>
            </w:r>
          </w:p>
          <w:p w14:paraId="08040704" w14:textId="10A5E8B8" w:rsidR="00CB078C" w:rsidRPr="00CB078C" w:rsidRDefault="00CB078C" w:rsidP="00CB078C">
            <w:r>
              <w:t>The</w:t>
            </w:r>
            <w:r>
              <w:rPr>
                <w:spacing w:val="-5"/>
              </w:rPr>
              <w:t xml:space="preserve"> </w:t>
            </w:r>
            <w:r>
              <w:t>Reserve</w:t>
            </w:r>
            <w:r>
              <w:rPr>
                <w:spacing w:val="-5"/>
              </w:rPr>
              <w:t xml:space="preserve"> </w:t>
            </w:r>
            <w:r>
              <w:t>Bank</w:t>
            </w:r>
            <w:r>
              <w:rPr>
                <w:spacing w:val="-5"/>
              </w:rPr>
              <w:t xml:space="preserve"> </w:t>
            </w:r>
            <w:r>
              <w:t>Board</w:t>
            </w:r>
            <w:r>
              <w:rPr>
                <w:spacing w:val="-5"/>
              </w:rPr>
              <w:t xml:space="preserve"> </w:t>
            </w:r>
            <w:r>
              <w:t>maintained</w:t>
            </w:r>
            <w:r>
              <w:rPr>
                <w:spacing w:val="-5"/>
              </w:rPr>
              <w:t xml:space="preserve"> </w:t>
            </w:r>
            <w:r>
              <w:t>this</w:t>
            </w:r>
            <w:r>
              <w:rPr>
                <w:spacing w:val="-5"/>
              </w:rPr>
              <w:t xml:space="preserve"> </w:t>
            </w:r>
            <w:r>
              <w:t>calendar-based</w:t>
            </w:r>
            <w:r>
              <w:rPr>
                <w:spacing w:val="-5"/>
              </w:rPr>
              <w:t xml:space="preserve"> </w:t>
            </w:r>
            <w:r>
              <w:t>component</w:t>
            </w:r>
            <w:r>
              <w:rPr>
                <w:spacing w:val="-5"/>
              </w:rPr>
              <w:t xml:space="preserve"> </w:t>
            </w:r>
            <w:r>
              <w:t>of</w:t>
            </w:r>
            <w:r>
              <w:rPr>
                <w:spacing w:val="-5"/>
              </w:rPr>
              <w:t xml:space="preserve"> </w:t>
            </w:r>
            <w:r>
              <w:t>forward</w:t>
            </w:r>
            <w:r>
              <w:rPr>
                <w:spacing w:val="-5"/>
              </w:rPr>
              <w:t xml:space="preserve"> </w:t>
            </w:r>
            <w:r>
              <w:t>guidance</w:t>
            </w:r>
            <w:r>
              <w:rPr>
                <w:spacing w:val="-5"/>
              </w:rPr>
              <w:t xml:space="preserve"> </w:t>
            </w:r>
            <w:r>
              <w:t>until November 2021. It continued state-based forward guidance until May 2022.</w:t>
            </w:r>
          </w:p>
          <w:p w14:paraId="5238EC2B" w14:textId="77777777" w:rsidR="00CB078C" w:rsidRPr="00CB078C" w:rsidRDefault="00CB078C" w:rsidP="00E631D1">
            <w:pPr>
              <w:keepNext/>
              <w:keepLines/>
              <w:rPr>
                <w:b/>
                <w:bCs/>
              </w:rPr>
            </w:pPr>
            <w:r w:rsidRPr="00CB078C">
              <w:rPr>
                <w:b/>
                <w:bCs/>
              </w:rPr>
              <w:t>Yield</w:t>
            </w:r>
            <w:r w:rsidRPr="00CB078C">
              <w:rPr>
                <w:b/>
                <w:bCs/>
                <w:spacing w:val="4"/>
              </w:rPr>
              <w:t xml:space="preserve"> </w:t>
            </w:r>
            <w:r w:rsidRPr="00CB078C">
              <w:rPr>
                <w:b/>
                <w:bCs/>
                <w:spacing w:val="-2"/>
              </w:rPr>
              <w:t>target</w:t>
            </w:r>
          </w:p>
          <w:p w14:paraId="7B129ECA" w14:textId="43BFB9E0" w:rsidR="00CB078C" w:rsidRDefault="00CB078C" w:rsidP="00E631D1">
            <w:pPr>
              <w:keepNext/>
              <w:keepLines/>
            </w:pPr>
            <w:r>
              <w:t>A</w:t>
            </w:r>
            <w:r>
              <w:rPr>
                <w:spacing w:val="-2"/>
              </w:rPr>
              <w:t xml:space="preserve"> </w:t>
            </w:r>
            <w:r>
              <w:t>yield</w:t>
            </w:r>
            <w:r>
              <w:rPr>
                <w:spacing w:val="1"/>
              </w:rPr>
              <w:t xml:space="preserve"> </w:t>
            </w:r>
            <w:r>
              <w:t>target involves</w:t>
            </w:r>
            <w:r>
              <w:rPr>
                <w:spacing w:val="1"/>
              </w:rPr>
              <w:t xml:space="preserve"> </w:t>
            </w:r>
            <w:r>
              <w:t>a central</w:t>
            </w:r>
            <w:r>
              <w:rPr>
                <w:spacing w:val="1"/>
              </w:rPr>
              <w:t xml:space="preserve"> </w:t>
            </w:r>
            <w:r>
              <w:t>bank setting</w:t>
            </w:r>
            <w:r>
              <w:rPr>
                <w:spacing w:val="1"/>
              </w:rPr>
              <w:t xml:space="preserve"> </w:t>
            </w:r>
            <w:r>
              <w:t>a target</w:t>
            </w:r>
            <w:r>
              <w:rPr>
                <w:spacing w:val="1"/>
              </w:rPr>
              <w:t xml:space="preserve"> </w:t>
            </w:r>
            <w:r>
              <w:t>for a</w:t>
            </w:r>
            <w:r>
              <w:rPr>
                <w:spacing w:val="1"/>
              </w:rPr>
              <w:t xml:space="preserve"> </w:t>
            </w:r>
            <w:r>
              <w:t>term interest</w:t>
            </w:r>
            <w:r>
              <w:rPr>
                <w:spacing w:val="1"/>
              </w:rPr>
              <w:t xml:space="preserve"> </w:t>
            </w:r>
            <w:r>
              <w:t>rate and</w:t>
            </w:r>
            <w:r>
              <w:rPr>
                <w:spacing w:val="1"/>
              </w:rPr>
              <w:t xml:space="preserve"> </w:t>
            </w:r>
            <w:r>
              <w:t>pledging</w:t>
            </w:r>
            <w:r>
              <w:rPr>
                <w:spacing w:val="1"/>
              </w:rPr>
              <w:t xml:space="preserve"> </w:t>
            </w:r>
            <w:r>
              <w:rPr>
                <w:spacing w:val="-5"/>
              </w:rPr>
              <w:t xml:space="preserve">to </w:t>
            </w:r>
            <w:r>
              <w:t>buy</w:t>
            </w:r>
            <w:r>
              <w:rPr>
                <w:spacing w:val="-3"/>
              </w:rPr>
              <w:t xml:space="preserve"> </w:t>
            </w:r>
            <w:r>
              <w:t>(or</w:t>
            </w:r>
            <w:r>
              <w:rPr>
                <w:spacing w:val="-1"/>
              </w:rPr>
              <w:t xml:space="preserve"> </w:t>
            </w:r>
            <w:r>
              <w:t>sell)</w:t>
            </w:r>
            <w:r>
              <w:rPr>
                <w:spacing w:val="-1"/>
              </w:rPr>
              <w:t xml:space="preserve"> </w:t>
            </w:r>
            <w:r>
              <w:t>enough</w:t>
            </w:r>
            <w:r>
              <w:rPr>
                <w:spacing w:val="-1"/>
              </w:rPr>
              <w:t xml:space="preserve"> </w:t>
            </w:r>
            <w:r>
              <w:t>bonds</w:t>
            </w:r>
            <w:r>
              <w:rPr>
                <w:spacing w:val="-1"/>
              </w:rPr>
              <w:t xml:space="preserve"> </w:t>
            </w:r>
            <w:r>
              <w:t>to</w:t>
            </w:r>
            <w:r>
              <w:rPr>
                <w:spacing w:val="-1"/>
              </w:rPr>
              <w:t xml:space="preserve"> </w:t>
            </w:r>
            <w:r>
              <w:t>keep</w:t>
            </w:r>
            <w:r>
              <w:rPr>
                <w:spacing w:val="-1"/>
              </w:rPr>
              <w:t xml:space="preserve"> </w:t>
            </w:r>
            <w:r>
              <w:t>the rate</w:t>
            </w:r>
            <w:r>
              <w:rPr>
                <w:spacing w:val="-1"/>
              </w:rPr>
              <w:t xml:space="preserve"> </w:t>
            </w:r>
            <w:r>
              <w:t>from</w:t>
            </w:r>
            <w:r>
              <w:rPr>
                <w:spacing w:val="-1"/>
              </w:rPr>
              <w:t xml:space="preserve"> </w:t>
            </w:r>
            <w:r>
              <w:t>rising</w:t>
            </w:r>
            <w:r>
              <w:rPr>
                <w:spacing w:val="-1"/>
              </w:rPr>
              <w:t xml:space="preserve"> </w:t>
            </w:r>
            <w:r>
              <w:t>above</w:t>
            </w:r>
            <w:r>
              <w:rPr>
                <w:spacing w:val="-1"/>
              </w:rPr>
              <w:t xml:space="preserve"> </w:t>
            </w:r>
            <w:r>
              <w:t>(or</w:t>
            </w:r>
            <w:r>
              <w:rPr>
                <w:spacing w:val="-1"/>
              </w:rPr>
              <w:t xml:space="preserve"> </w:t>
            </w:r>
            <w:r>
              <w:t>falling</w:t>
            </w:r>
            <w:r>
              <w:rPr>
                <w:spacing w:val="-1"/>
              </w:rPr>
              <w:t xml:space="preserve"> </w:t>
            </w:r>
            <w:r>
              <w:t>below)</w:t>
            </w:r>
            <w:r>
              <w:rPr>
                <w:spacing w:val="-1"/>
              </w:rPr>
              <w:t xml:space="preserve"> </w:t>
            </w:r>
            <w:r>
              <w:t xml:space="preserve">its </w:t>
            </w:r>
            <w:r>
              <w:rPr>
                <w:spacing w:val="-2"/>
              </w:rPr>
              <w:t>target.</w:t>
            </w:r>
          </w:p>
          <w:p w14:paraId="1462A4B2" w14:textId="77777777" w:rsidR="00CB078C" w:rsidRDefault="00CB078C" w:rsidP="00CB078C">
            <w:r>
              <w:t>The Reserve Bank Board introduced a target for the yield on 3-year Australian Government bonds</w:t>
            </w:r>
            <w:r>
              <w:rPr>
                <w:spacing w:val="-1"/>
              </w:rPr>
              <w:t xml:space="preserve"> </w:t>
            </w:r>
            <w:r>
              <w:t>of</w:t>
            </w:r>
            <w:r>
              <w:rPr>
                <w:spacing w:val="-1"/>
              </w:rPr>
              <w:t xml:space="preserve"> </w:t>
            </w:r>
            <w:r>
              <w:t>around</w:t>
            </w:r>
            <w:r>
              <w:rPr>
                <w:spacing w:val="-1"/>
              </w:rPr>
              <w:t xml:space="preserve"> </w:t>
            </w:r>
            <w:r>
              <w:t>0.25</w:t>
            </w:r>
            <w:r>
              <w:rPr>
                <w:spacing w:val="-1"/>
              </w:rPr>
              <w:t xml:space="preserve"> </w:t>
            </w:r>
            <w:r>
              <w:t>per</w:t>
            </w:r>
            <w:r>
              <w:rPr>
                <w:spacing w:val="-1"/>
              </w:rPr>
              <w:t xml:space="preserve"> </w:t>
            </w:r>
            <w:r>
              <w:t>cent</w:t>
            </w:r>
            <w:r>
              <w:rPr>
                <w:spacing w:val="-1"/>
              </w:rPr>
              <w:t xml:space="preserve"> </w:t>
            </w:r>
            <w:r>
              <w:t>in</w:t>
            </w:r>
            <w:r>
              <w:rPr>
                <w:spacing w:val="-1"/>
              </w:rPr>
              <w:t xml:space="preserve"> </w:t>
            </w:r>
            <w:r>
              <w:t>March</w:t>
            </w:r>
            <w:r>
              <w:rPr>
                <w:spacing w:val="-1"/>
              </w:rPr>
              <w:t xml:space="preserve"> </w:t>
            </w:r>
            <w:r>
              <w:t>2020</w:t>
            </w:r>
            <w:r>
              <w:rPr>
                <w:spacing w:val="-1"/>
              </w:rPr>
              <w:t xml:space="preserve"> </w:t>
            </w:r>
            <w:r>
              <w:t>(lowered</w:t>
            </w:r>
            <w:r>
              <w:rPr>
                <w:spacing w:val="-1"/>
              </w:rPr>
              <w:t xml:space="preserve"> </w:t>
            </w:r>
            <w:r>
              <w:t>to</w:t>
            </w:r>
            <w:r>
              <w:rPr>
                <w:spacing w:val="-1"/>
              </w:rPr>
              <w:t xml:space="preserve"> </w:t>
            </w:r>
            <w:r>
              <w:t>0.1</w:t>
            </w:r>
            <w:r>
              <w:rPr>
                <w:spacing w:val="-1"/>
              </w:rPr>
              <w:t xml:space="preserve"> </w:t>
            </w:r>
            <w:r>
              <w:t>per</w:t>
            </w:r>
            <w:r>
              <w:rPr>
                <w:spacing w:val="-1"/>
              </w:rPr>
              <w:t xml:space="preserve"> </w:t>
            </w:r>
            <w:r>
              <w:t>cent</w:t>
            </w:r>
            <w:r>
              <w:rPr>
                <w:spacing w:val="-1"/>
              </w:rPr>
              <w:t xml:space="preserve"> </w:t>
            </w:r>
            <w:r>
              <w:t>in</w:t>
            </w:r>
            <w:r>
              <w:rPr>
                <w:spacing w:val="-1"/>
              </w:rPr>
              <w:t xml:space="preserve"> </w:t>
            </w:r>
            <w:r>
              <w:t>November</w:t>
            </w:r>
            <w:r>
              <w:rPr>
                <w:spacing w:val="-1"/>
              </w:rPr>
              <w:t xml:space="preserve"> </w:t>
            </w:r>
            <w:r>
              <w:t>2020).</w:t>
            </w:r>
            <w:r>
              <w:rPr>
                <w:spacing w:val="-1"/>
              </w:rPr>
              <w:t xml:space="preserve"> </w:t>
            </w:r>
            <w:r>
              <w:t>It viewed the yield target as reinforcing its forward guidance for the cash rate. In practice, this operated</w:t>
            </w:r>
            <w:r>
              <w:rPr>
                <w:spacing w:val="-2"/>
              </w:rPr>
              <w:t xml:space="preserve"> </w:t>
            </w:r>
            <w:r>
              <w:t>as</w:t>
            </w:r>
            <w:r>
              <w:rPr>
                <w:spacing w:val="-2"/>
              </w:rPr>
              <w:t xml:space="preserve"> </w:t>
            </w:r>
            <w:r>
              <w:t>a</w:t>
            </w:r>
            <w:r>
              <w:rPr>
                <w:spacing w:val="-2"/>
              </w:rPr>
              <w:t xml:space="preserve"> </w:t>
            </w:r>
            <w:r>
              <w:t>ceiling</w:t>
            </w:r>
            <w:r>
              <w:rPr>
                <w:spacing w:val="-2"/>
              </w:rPr>
              <w:t xml:space="preserve"> </w:t>
            </w:r>
            <w:r>
              <w:t>on</w:t>
            </w:r>
            <w:r>
              <w:rPr>
                <w:spacing w:val="-2"/>
              </w:rPr>
              <w:t xml:space="preserve"> </w:t>
            </w:r>
            <w:r>
              <w:t>yields.</w:t>
            </w:r>
            <w:r>
              <w:rPr>
                <w:spacing w:val="-2"/>
              </w:rPr>
              <w:t xml:space="preserve"> </w:t>
            </w:r>
            <w:r>
              <w:t>The</w:t>
            </w:r>
            <w:r>
              <w:rPr>
                <w:spacing w:val="-2"/>
              </w:rPr>
              <w:t xml:space="preserve"> </w:t>
            </w:r>
            <w:r>
              <w:t>RBA</w:t>
            </w:r>
            <w:r>
              <w:rPr>
                <w:spacing w:val="-2"/>
              </w:rPr>
              <w:t xml:space="preserve"> </w:t>
            </w:r>
            <w:r>
              <w:t>supported</w:t>
            </w:r>
            <w:r>
              <w:rPr>
                <w:spacing w:val="-2"/>
              </w:rPr>
              <w:t xml:space="preserve"> </w:t>
            </w:r>
            <w:r>
              <w:t>the</w:t>
            </w:r>
            <w:r>
              <w:rPr>
                <w:spacing w:val="-2"/>
              </w:rPr>
              <w:t xml:space="preserve"> </w:t>
            </w:r>
            <w:r>
              <w:t>target</w:t>
            </w:r>
            <w:r>
              <w:rPr>
                <w:spacing w:val="-2"/>
              </w:rPr>
              <w:t xml:space="preserve"> </w:t>
            </w:r>
            <w:r>
              <w:t>through</w:t>
            </w:r>
            <w:r>
              <w:rPr>
                <w:spacing w:val="-2"/>
              </w:rPr>
              <w:t xml:space="preserve"> </w:t>
            </w:r>
            <w:r>
              <w:t>bond</w:t>
            </w:r>
            <w:r>
              <w:rPr>
                <w:spacing w:val="-2"/>
              </w:rPr>
              <w:t xml:space="preserve"> </w:t>
            </w:r>
            <w:r>
              <w:t>purchases</w:t>
            </w:r>
            <w:r>
              <w:rPr>
                <w:spacing w:val="-2"/>
              </w:rPr>
              <w:t xml:space="preserve"> </w:t>
            </w:r>
            <w:r>
              <w:t>in</w:t>
            </w:r>
            <w:r>
              <w:rPr>
                <w:spacing w:val="-2"/>
              </w:rPr>
              <w:t xml:space="preserve"> </w:t>
            </w:r>
            <w:r>
              <w:t>the secondary</w:t>
            </w:r>
            <w:r>
              <w:rPr>
                <w:spacing w:val="-4"/>
              </w:rPr>
              <w:t xml:space="preserve"> </w:t>
            </w:r>
            <w:r>
              <w:t>market</w:t>
            </w:r>
            <w:r>
              <w:rPr>
                <w:spacing w:val="-4"/>
              </w:rPr>
              <w:t xml:space="preserve"> </w:t>
            </w:r>
            <w:r>
              <w:t>when</w:t>
            </w:r>
            <w:r>
              <w:rPr>
                <w:spacing w:val="-3"/>
              </w:rPr>
              <w:t xml:space="preserve"> </w:t>
            </w:r>
            <w:r>
              <w:t>needed.</w:t>
            </w:r>
            <w:r>
              <w:rPr>
                <w:spacing w:val="-3"/>
              </w:rPr>
              <w:t xml:space="preserve"> </w:t>
            </w:r>
            <w:r>
              <w:t>The</w:t>
            </w:r>
            <w:r>
              <w:rPr>
                <w:spacing w:val="-3"/>
              </w:rPr>
              <w:t xml:space="preserve"> </w:t>
            </w:r>
            <w:r>
              <w:t>target</w:t>
            </w:r>
            <w:r>
              <w:rPr>
                <w:spacing w:val="-4"/>
              </w:rPr>
              <w:t xml:space="preserve"> </w:t>
            </w:r>
            <w:r>
              <w:t>focused</w:t>
            </w:r>
            <w:r>
              <w:rPr>
                <w:spacing w:val="-4"/>
              </w:rPr>
              <w:t xml:space="preserve"> </w:t>
            </w:r>
            <w:r>
              <w:t>on</w:t>
            </w:r>
            <w:r>
              <w:rPr>
                <w:spacing w:val="-3"/>
              </w:rPr>
              <w:t xml:space="preserve"> </w:t>
            </w:r>
            <w:r>
              <w:t>the</w:t>
            </w:r>
            <w:r>
              <w:rPr>
                <w:spacing w:val="-3"/>
              </w:rPr>
              <w:t xml:space="preserve"> </w:t>
            </w:r>
            <w:r>
              <w:t>bond</w:t>
            </w:r>
            <w:r>
              <w:rPr>
                <w:spacing w:val="-4"/>
              </w:rPr>
              <w:t xml:space="preserve"> </w:t>
            </w:r>
            <w:r>
              <w:t>that</w:t>
            </w:r>
            <w:r>
              <w:rPr>
                <w:spacing w:val="-4"/>
              </w:rPr>
              <w:t xml:space="preserve"> </w:t>
            </w:r>
            <w:r>
              <w:t>was</w:t>
            </w:r>
            <w:r>
              <w:rPr>
                <w:spacing w:val="-3"/>
              </w:rPr>
              <w:t xml:space="preserve"> </w:t>
            </w:r>
            <w:r>
              <w:t>closest</w:t>
            </w:r>
            <w:r>
              <w:rPr>
                <w:spacing w:val="-4"/>
              </w:rPr>
              <w:t xml:space="preserve"> </w:t>
            </w:r>
            <w:r>
              <w:t>in</w:t>
            </w:r>
            <w:r>
              <w:rPr>
                <w:spacing w:val="-3"/>
              </w:rPr>
              <w:t xml:space="preserve"> </w:t>
            </w:r>
            <w:r>
              <w:t>maturity to 3 years: the April 2023 bond until October 2020 and the April 2024 bond thereafter.</w:t>
            </w:r>
          </w:p>
          <w:p w14:paraId="2754F724" w14:textId="77777777" w:rsidR="00CB078C" w:rsidRDefault="00CB078C" w:rsidP="00CB078C">
            <w:r>
              <w:t>The</w:t>
            </w:r>
            <w:r>
              <w:rPr>
                <w:spacing w:val="1"/>
              </w:rPr>
              <w:t xml:space="preserve"> </w:t>
            </w:r>
            <w:r>
              <w:t>yield</w:t>
            </w:r>
            <w:r>
              <w:rPr>
                <w:spacing w:val="1"/>
              </w:rPr>
              <w:t xml:space="preserve"> </w:t>
            </w:r>
            <w:r>
              <w:t>target</w:t>
            </w:r>
            <w:r>
              <w:rPr>
                <w:spacing w:val="1"/>
              </w:rPr>
              <w:t xml:space="preserve"> </w:t>
            </w:r>
            <w:r>
              <w:t>was</w:t>
            </w:r>
            <w:r>
              <w:rPr>
                <w:spacing w:val="1"/>
              </w:rPr>
              <w:t xml:space="preserve"> </w:t>
            </w:r>
            <w:r>
              <w:t>discontinued</w:t>
            </w:r>
            <w:r>
              <w:rPr>
                <w:spacing w:val="1"/>
              </w:rPr>
              <w:t xml:space="preserve"> </w:t>
            </w:r>
            <w:r>
              <w:t>in</w:t>
            </w:r>
            <w:r>
              <w:rPr>
                <w:spacing w:val="1"/>
              </w:rPr>
              <w:t xml:space="preserve"> </w:t>
            </w:r>
            <w:r>
              <w:t>November</w:t>
            </w:r>
            <w:r>
              <w:rPr>
                <w:spacing w:val="1"/>
              </w:rPr>
              <w:t xml:space="preserve"> </w:t>
            </w:r>
            <w:r>
              <w:rPr>
                <w:spacing w:val="-4"/>
              </w:rPr>
              <w:t>2021.</w:t>
            </w:r>
          </w:p>
          <w:p w14:paraId="05A35CC5" w14:textId="77777777" w:rsidR="00CB078C" w:rsidRPr="00E631D1" w:rsidRDefault="00CB078C" w:rsidP="00E631D1">
            <w:pPr>
              <w:rPr>
                <w:b/>
                <w:bCs/>
              </w:rPr>
            </w:pPr>
            <w:r w:rsidRPr="00E631D1">
              <w:rPr>
                <w:b/>
                <w:bCs/>
              </w:rPr>
              <w:t>Bond</w:t>
            </w:r>
            <w:r w:rsidRPr="00E631D1">
              <w:rPr>
                <w:b/>
                <w:bCs/>
                <w:spacing w:val="1"/>
              </w:rPr>
              <w:t xml:space="preserve"> </w:t>
            </w:r>
            <w:r w:rsidRPr="00E631D1">
              <w:rPr>
                <w:b/>
                <w:bCs/>
              </w:rPr>
              <w:t>purchase</w:t>
            </w:r>
            <w:r w:rsidRPr="00E631D1">
              <w:rPr>
                <w:b/>
                <w:bCs/>
                <w:spacing w:val="2"/>
              </w:rPr>
              <w:t xml:space="preserve"> </w:t>
            </w:r>
            <w:r w:rsidRPr="00E631D1">
              <w:rPr>
                <w:b/>
                <w:bCs/>
                <w:spacing w:val="-2"/>
              </w:rPr>
              <w:t>program</w:t>
            </w:r>
          </w:p>
          <w:p w14:paraId="6A8BCE58" w14:textId="77777777" w:rsidR="00CB078C" w:rsidRDefault="00CB078C" w:rsidP="00E631D1">
            <w:r>
              <w:t>Asset (or bond) purchase programs involve central banks purchasing assets (usually government bonds) with the aim of easing financial conditions by lowering funding costs and influencing the exchange rate.</w:t>
            </w:r>
          </w:p>
          <w:p w14:paraId="63C3237F" w14:textId="47790E46" w:rsidR="00CB078C" w:rsidRDefault="00CB078C" w:rsidP="00E631D1">
            <w:r>
              <w:t>The</w:t>
            </w:r>
            <w:r>
              <w:rPr>
                <w:spacing w:val="-8"/>
              </w:rPr>
              <w:t xml:space="preserve"> </w:t>
            </w:r>
            <w:r>
              <w:t>Reserve</w:t>
            </w:r>
            <w:r>
              <w:rPr>
                <w:spacing w:val="-8"/>
              </w:rPr>
              <w:t xml:space="preserve"> </w:t>
            </w:r>
            <w:r>
              <w:t>Bank</w:t>
            </w:r>
            <w:r>
              <w:rPr>
                <w:spacing w:val="-8"/>
              </w:rPr>
              <w:t xml:space="preserve"> </w:t>
            </w:r>
            <w:r>
              <w:t>Board</w:t>
            </w:r>
            <w:r>
              <w:rPr>
                <w:spacing w:val="-8"/>
              </w:rPr>
              <w:t xml:space="preserve"> </w:t>
            </w:r>
            <w:r>
              <w:t>commenced</w:t>
            </w:r>
            <w:r>
              <w:rPr>
                <w:spacing w:val="-8"/>
              </w:rPr>
              <w:t xml:space="preserve"> </w:t>
            </w:r>
            <w:r>
              <w:t>a</w:t>
            </w:r>
            <w:r>
              <w:rPr>
                <w:spacing w:val="-8"/>
              </w:rPr>
              <w:t xml:space="preserve"> </w:t>
            </w:r>
            <w:r>
              <w:t>bond</w:t>
            </w:r>
            <w:r>
              <w:rPr>
                <w:spacing w:val="-8"/>
              </w:rPr>
              <w:t xml:space="preserve"> </w:t>
            </w:r>
            <w:r>
              <w:t>purchase</w:t>
            </w:r>
            <w:r>
              <w:rPr>
                <w:spacing w:val="-8"/>
              </w:rPr>
              <w:t xml:space="preserve"> </w:t>
            </w:r>
            <w:r>
              <w:t>program</w:t>
            </w:r>
            <w:r>
              <w:rPr>
                <w:spacing w:val="-8"/>
              </w:rPr>
              <w:t xml:space="preserve"> </w:t>
            </w:r>
            <w:r>
              <w:t>in</w:t>
            </w:r>
            <w:r>
              <w:rPr>
                <w:spacing w:val="-8"/>
              </w:rPr>
              <w:t xml:space="preserve"> </w:t>
            </w:r>
            <w:r>
              <w:t>November</w:t>
            </w:r>
            <w:r>
              <w:rPr>
                <w:spacing w:val="-8"/>
              </w:rPr>
              <w:t xml:space="preserve"> </w:t>
            </w:r>
            <w:r>
              <w:t>2020.</w:t>
            </w:r>
            <w:r>
              <w:rPr>
                <w:spacing w:val="-8"/>
              </w:rPr>
              <w:t xml:space="preserve"> </w:t>
            </w:r>
            <w:r>
              <w:t>The</w:t>
            </w:r>
            <w:r>
              <w:rPr>
                <w:spacing w:val="-8"/>
              </w:rPr>
              <w:t xml:space="preserve"> </w:t>
            </w:r>
            <w:r>
              <w:t>initial commitment was $100 billion of bond purchases to be made over 6 months, at maturities</w:t>
            </w:r>
            <w:r w:rsidR="00E631D1">
              <w:t xml:space="preserve"> </w:t>
            </w:r>
            <w:r>
              <w:t>of</w:t>
            </w:r>
            <w:r>
              <w:rPr>
                <w:spacing w:val="-7"/>
              </w:rPr>
              <w:t xml:space="preserve"> </w:t>
            </w:r>
            <w:r>
              <w:t>around</w:t>
            </w:r>
            <w:r>
              <w:rPr>
                <w:spacing w:val="-7"/>
              </w:rPr>
              <w:t xml:space="preserve"> </w:t>
            </w:r>
            <w:r>
              <w:t>5</w:t>
            </w:r>
            <w:r>
              <w:rPr>
                <w:spacing w:val="-7"/>
              </w:rPr>
              <w:t xml:space="preserve"> </w:t>
            </w:r>
            <w:r>
              <w:t>to</w:t>
            </w:r>
            <w:r>
              <w:rPr>
                <w:spacing w:val="-7"/>
              </w:rPr>
              <w:t xml:space="preserve"> </w:t>
            </w:r>
            <w:r>
              <w:t>10</w:t>
            </w:r>
            <w:r>
              <w:rPr>
                <w:spacing w:val="-7"/>
              </w:rPr>
              <w:t xml:space="preserve"> </w:t>
            </w:r>
            <w:r>
              <w:t>years.</w:t>
            </w:r>
            <w:r>
              <w:rPr>
                <w:spacing w:val="-7"/>
              </w:rPr>
              <w:t xml:space="preserve"> </w:t>
            </w:r>
            <w:r>
              <w:t>The</w:t>
            </w:r>
            <w:r>
              <w:rPr>
                <w:spacing w:val="-7"/>
              </w:rPr>
              <w:t xml:space="preserve"> </w:t>
            </w:r>
            <w:r>
              <w:t>purchases</w:t>
            </w:r>
            <w:r>
              <w:rPr>
                <w:spacing w:val="-7"/>
              </w:rPr>
              <w:t xml:space="preserve"> </w:t>
            </w:r>
            <w:r>
              <w:t>were</w:t>
            </w:r>
            <w:r>
              <w:rPr>
                <w:spacing w:val="-7"/>
              </w:rPr>
              <w:t xml:space="preserve"> </w:t>
            </w:r>
            <w:r>
              <w:t>made</w:t>
            </w:r>
            <w:r>
              <w:rPr>
                <w:spacing w:val="-7"/>
              </w:rPr>
              <w:t xml:space="preserve"> </w:t>
            </w:r>
            <w:r>
              <w:t>at</w:t>
            </w:r>
            <w:r>
              <w:rPr>
                <w:spacing w:val="-7"/>
              </w:rPr>
              <w:t xml:space="preserve"> </w:t>
            </w:r>
            <w:r>
              <w:t>a</w:t>
            </w:r>
            <w:r>
              <w:rPr>
                <w:spacing w:val="-7"/>
              </w:rPr>
              <w:t xml:space="preserve"> </w:t>
            </w:r>
            <w:r>
              <w:t>rate</w:t>
            </w:r>
            <w:r>
              <w:rPr>
                <w:spacing w:val="-7"/>
              </w:rPr>
              <w:t xml:space="preserve"> </w:t>
            </w:r>
            <w:r>
              <w:t>of</w:t>
            </w:r>
            <w:r>
              <w:rPr>
                <w:spacing w:val="-7"/>
              </w:rPr>
              <w:t xml:space="preserve"> </w:t>
            </w:r>
            <w:r>
              <w:t>$5</w:t>
            </w:r>
            <w:r>
              <w:rPr>
                <w:spacing w:val="-7"/>
              </w:rPr>
              <w:t xml:space="preserve"> </w:t>
            </w:r>
            <w:r>
              <w:t>billion</w:t>
            </w:r>
            <w:r>
              <w:rPr>
                <w:spacing w:val="-7"/>
              </w:rPr>
              <w:t xml:space="preserve"> </w:t>
            </w:r>
            <w:r>
              <w:t>a</w:t>
            </w:r>
            <w:r>
              <w:rPr>
                <w:spacing w:val="-7"/>
              </w:rPr>
              <w:t xml:space="preserve"> </w:t>
            </w:r>
            <w:r>
              <w:t>week,</w:t>
            </w:r>
            <w:r>
              <w:rPr>
                <w:spacing w:val="-7"/>
              </w:rPr>
              <w:t xml:space="preserve"> </w:t>
            </w:r>
            <w:r>
              <w:t>split</w:t>
            </w:r>
            <w:r>
              <w:rPr>
                <w:spacing w:val="-7"/>
              </w:rPr>
              <w:t xml:space="preserve"> </w:t>
            </w:r>
            <w:r>
              <w:t>80/20 across</w:t>
            </w:r>
            <w:r>
              <w:rPr>
                <w:spacing w:val="-7"/>
              </w:rPr>
              <w:t xml:space="preserve"> </w:t>
            </w:r>
            <w:r>
              <w:t>nominal</w:t>
            </w:r>
            <w:r>
              <w:rPr>
                <w:spacing w:val="-5"/>
              </w:rPr>
              <w:t xml:space="preserve"> </w:t>
            </w:r>
            <w:r>
              <w:t>bonds</w:t>
            </w:r>
            <w:r>
              <w:rPr>
                <w:spacing w:val="-5"/>
              </w:rPr>
              <w:t xml:space="preserve"> </w:t>
            </w:r>
            <w:r>
              <w:t>issued</w:t>
            </w:r>
            <w:r>
              <w:rPr>
                <w:spacing w:val="-5"/>
              </w:rPr>
              <w:t xml:space="preserve"> </w:t>
            </w:r>
            <w:r>
              <w:t>by</w:t>
            </w:r>
            <w:r>
              <w:rPr>
                <w:spacing w:val="-5"/>
              </w:rPr>
              <w:t xml:space="preserve"> </w:t>
            </w:r>
            <w:r>
              <w:t>the</w:t>
            </w:r>
            <w:r>
              <w:rPr>
                <w:spacing w:val="-4"/>
              </w:rPr>
              <w:t xml:space="preserve"> </w:t>
            </w:r>
            <w:r>
              <w:t>Australian</w:t>
            </w:r>
            <w:r>
              <w:rPr>
                <w:spacing w:val="-5"/>
              </w:rPr>
              <w:t xml:space="preserve"> </w:t>
            </w:r>
            <w:r>
              <w:t>Government,</w:t>
            </w:r>
            <w:r>
              <w:rPr>
                <w:spacing w:val="-5"/>
              </w:rPr>
              <w:t xml:space="preserve"> </w:t>
            </w:r>
            <w:r>
              <w:t>and</w:t>
            </w:r>
            <w:r>
              <w:rPr>
                <w:spacing w:val="-5"/>
              </w:rPr>
              <w:t xml:space="preserve"> </w:t>
            </w:r>
            <w:r>
              <w:t>the</w:t>
            </w:r>
            <w:r>
              <w:rPr>
                <w:spacing w:val="-5"/>
              </w:rPr>
              <w:t xml:space="preserve"> </w:t>
            </w:r>
            <w:r>
              <w:t>states</w:t>
            </w:r>
            <w:r>
              <w:rPr>
                <w:spacing w:val="-5"/>
              </w:rPr>
              <w:t xml:space="preserve"> </w:t>
            </w:r>
            <w:r>
              <w:t>and</w:t>
            </w:r>
            <w:r>
              <w:rPr>
                <w:spacing w:val="-4"/>
              </w:rPr>
              <w:t xml:space="preserve"> </w:t>
            </w:r>
            <w:r>
              <w:rPr>
                <w:spacing w:val="-2"/>
              </w:rPr>
              <w:t>territories.</w:t>
            </w:r>
          </w:p>
          <w:p w14:paraId="5035A87C" w14:textId="77777777" w:rsidR="00CB078C" w:rsidRDefault="00CB078C" w:rsidP="00E631D1">
            <w:r>
              <w:t>The bond purchase program was extended on 3 occasions. In February 2021, the Reserve Bank</w:t>
            </w:r>
            <w:r>
              <w:rPr>
                <w:spacing w:val="-1"/>
              </w:rPr>
              <w:t xml:space="preserve"> </w:t>
            </w:r>
            <w:r>
              <w:t>Board</w:t>
            </w:r>
            <w:r>
              <w:rPr>
                <w:spacing w:val="-1"/>
              </w:rPr>
              <w:t xml:space="preserve"> </w:t>
            </w:r>
            <w:r>
              <w:t>committed</w:t>
            </w:r>
            <w:r>
              <w:rPr>
                <w:spacing w:val="-1"/>
              </w:rPr>
              <w:t xml:space="preserve"> </w:t>
            </w:r>
            <w:r>
              <w:t>to</w:t>
            </w:r>
            <w:r>
              <w:rPr>
                <w:spacing w:val="-1"/>
              </w:rPr>
              <w:t xml:space="preserve"> </w:t>
            </w:r>
            <w:r>
              <w:t>purchasing</w:t>
            </w:r>
            <w:r>
              <w:rPr>
                <w:spacing w:val="-1"/>
              </w:rPr>
              <w:t xml:space="preserve"> </w:t>
            </w:r>
            <w:r>
              <w:t>another</w:t>
            </w:r>
            <w:r>
              <w:rPr>
                <w:spacing w:val="-1"/>
              </w:rPr>
              <w:t xml:space="preserve"> </w:t>
            </w:r>
            <w:r>
              <w:t>$100</w:t>
            </w:r>
            <w:r>
              <w:rPr>
                <w:spacing w:val="-1"/>
              </w:rPr>
              <w:t xml:space="preserve"> </w:t>
            </w:r>
            <w:r>
              <w:t>billion</w:t>
            </w:r>
            <w:r>
              <w:rPr>
                <w:spacing w:val="-1"/>
              </w:rPr>
              <w:t xml:space="preserve"> </w:t>
            </w:r>
            <w:r>
              <w:t>of</w:t>
            </w:r>
            <w:r>
              <w:rPr>
                <w:spacing w:val="-1"/>
              </w:rPr>
              <w:t xml:space="preserve"> </w:t>
            </w:r>
            <w:r>
              <w:t>government</w:t>
            </w:r>
            <w:r>
              <w:rPr>
                <w:spacing w:val="-1"/>
              </w:rPr>
              <w:t xml:space="preserve"> </w:t>
            </w:r>
            <w:r>
              <w:t>bonds</w:t>
            </w:r>
            <w:r>
              <w:rPr>
                <w:spacing w:val="-1"/>
              </w:rPr>
              <w:t xml:space="preserve"> </w:t>
            </w:r>
            <w:r>
              <w:t>from</w:t>
            </w:r>
            <w:r>
              <w:rPr>
                <w:spacing w:val="-1"/>
              </w:rPr>
              <w:t xml:space="preserve"> </w:t>
            </w:r>
            <w:r>
              <w:t>April to September 2021 at the same pace of $5 billion a week. In July 2021, the Reserve Bank Board announced it would continue purchases until November 2021, but at a tapered rate of $4 billion a week. In September 2021, purchases were extended until February 2022 at the same weekly rate.</w:t>
            </w:r>
          </w:p>
          <w:p w14:paraId="358D85B9" w14:textId="77777777" w:rsidR="00CB078C" w:rsidRDefault="00CB078C" w:rsidP="00E631D1">
            <w:r>
              <w:t>The</w:t>
            </w:r>
            <w:r>
              <w:rPr>
                <w:spacing w:val="2"/>
              </w:rPr>
              <w:t xml:space="preserve"> </w:t>
            </w:r>
            <w:r>
              <w:t>bond</w:t>
            </w:r>
            <w:r>
              <w:rPr>
                <w:spacing w:val="2"/>
              </w:rPr>
              <w:t xml:space="preserve"> </w:t>
            </w:r>
            <w:r>
              <w:t>purchase</w:t>
            </w:r>
            <w:r>
              <w:rPr>
                <w:spacing w:val="3"/>
              </w:rPr>
              <w:t xml:space="preserve"> </w:t>
            </w:r>
            <w:r>
              <w:t>program</w:t>
            </w:r>
            <w:r>
              <w:rPr>
                <w:spacing w:val="2"/>
              </w:rPr>
              <w:t xml:space="preserve"> </w:t>
            </w:r>
            <w:r>
              <w:t>ended</w:t>
            </w:r>
            <w:r>
              <w:rPr>
                <w:spacing w:val="3"/>
              </w:rPr>
              <w:t xml:space="preserve"> </w:t>
            </w:r>
            <w:r>
              <w:t>in</w:t>
            </w:r>
            <w:r>
              <w:rPr>
                <w:spacing w:val="2"/>
              </w:rPr>
              <w:t xml:space="preserve"> </w:t>
            </w:r>
            <w:r>
              <w:t>February</w:t>
            </w:r>
            <w:r>
              <w:rPr>
                <w:spacing w:val="3"/>
              </w:rPr>
              <w:t xml:space="preserve"> </w:t>
            </w:r>
            <w:r>
              <w:rPr>
                <w:spacing w:val="-4"/>
              </w:rPr>
              <w:t>2022.</w:t>
            </w:r>
          </w:p>
          <w:p w14:paraId="114FDA89" w14:textId="77777777" w:rsidR="00CB078C" w:rsidRDefault="00CB078C" w:rsidP="00E631D1">
            <w:r>
              <w:t>The Reserve Bank Board’s use of additional monetary policy tools during the pandemic was similar in many respects to its central bank peers. Like most of its peers, the Reserve Bank Board reduced the cash rate to what it judged to be the effective lower bound but did not take its policy rate negative. Many peer central banks also introduced forward guidance, a bond purchase program and a term funding scheme.</w:t>
            </w:r>
          </w:p>
          <w:p w14:paraId="6AE84329" w14:textId="5DE6EABE" w:rsidR="001947C4" w:rsidRPr="005073DA" w:rsidRDefault="00CB078C" w:rsidP="00E631D1">
            <w:r>
              <w:t>One</w:t>
            </w:r>
            <w:r>
              <w:rPr>
                <w:spacing w:val="-3"/>
              </w:rPr>
              <w:t xml:space="preserve"> </w:t>
            </w:r>
            <w:r>
              <w:t>unusual feature</w:t>
            </w:r>
            <w:r>
              <w:rPr>
                <w:spacing w:val="-1"/>
              </w:rPr>
              <w:t xml:space="preserve"> </w:t>
            </w:r>
            <w:r>
              <w:t>of the</w:t>
            </w:r>
            <w:r>
              <w:rPr>
                <w:spacing w:val="-1"/>
              </w:rPr>
              <w:t xml:space="preserve"> </w:t>
            </w:r>
            <w:r>
              <w:t>RBA’s package</w:t>
            </w:r>
            <w:r>
              <w:rPr>
                <w:spacing w:val="-1"/>
              </w:rPr>
              <w:t xml:space="preserve"> </w:t>
            </w:r>
            <w:r>
              <w:t>was the</w:t>
            </w:r>
            <w:r>
              <w:rPr>
                <w:spacing w:val="-1"/>
              </w:rPr>
              <w:t xml:space="preserve"> </w:t>
            </w:r>
            <w:r>
              <w:t>use of</w:t>
            </w:r>
            <w:r>
              <w:rPr>
                <w:spacing w:val="-1"/>
              </w:rPr>
              <w:t xml:space="preserve"> </w:t>
            </w:r>
            <w:r>
              <w:t>a yield</w:t>
            </w:r>
            <w:r>
              <w:rPr>
                <w:spacing w:val="-1"/>
              </w:rPr>
              <w:t xml:space="preserve"> </w:t>
            </w:r>
            <w:r>
              <w:t>target. No</w:t>
            </w:r>
            <w:r>
              <w:rPr>
                <w:spacing w:val="-1"/>
              </w:rPr>
              <w:t xml:space="preserve"> </w:t>
            </w:r>
            <w:r>
              <w:t xml:space="preserve">other peer </w:t>
            </w:r>
            <w:r>
              <w:rPr>
                <w:spacing w:val="-2"/>
              </w:rPr>
              <w:t>central</w:t>
            </w:r>
            <w:r w:rsidR="00E631D1">
              <w:rPr>
                <w:spacing w:val="-2"/>
              </w:rPr>
              <w:t xml:space="preserve"> </w:t>
            </w:r>
            <w:r>
              <w:t>bank introduced a yield target in response to the COVID-19 pandemic. However, the Bank of</w:t>
            </w:r>
            <w:r>
              <w:rPr>
                <w:spacing w:val="-1"/>
              </w:rPr>
              <w:t xml:space="preserve"> </w:t>
            </w:r>
            <w:r>
              <w:t>Japan</w:t>
            </w:r>
            <w:r>
              <w:rPr>
                <w:spacing w:val="-1"/>
              </w:rPr>
              <w:t xml:space="preserve"> </w:t>
            </w:r>
            <w:r>
              <w:t>has</w:t>
            </w:r>
            <w:r>
              <w:rPr>
                <w:spacing w:val="-1"/>
              </w:rPr>
              <w:t xml:space="preserve"> </w:t>
            </w:r>
            <w:r>
              <w:t>operated</w:t>
            </w:r>
            <w:r>
              <w:rPr>
                <w:spacing w:val="-1"/>
              </w:rPr>
              <w:t xml:space="preserve"> </w:t>
            </w:r>
            <w:r>
              <w:t>a</w:t>
            </w:r>
            <w:r>
              <w:rPr>
                <w:spacing w:val="-1"/>
              </w:rPr>
              <w:t xml:space="preserve"> </w:t>
            </w:r>
            <w:r>
              <w:t>yield</w:t>
            </w:r>
            <w:r>
              <w:rPr>
                <w:spacing w:val="-1"/>
              </w:rPr>
              <w:t xml:space="preserve"> </w:t>
            </w:r>
            <w:r>
              <w:t>target</w:t>
            </w:r>
            <w:r>
              <w:rPr>
                <w:spacing w:val="-1"/>
              </w:rPr>
              <w:t xml:space="preserve"> </w:t>
            </w:r>
            <w:r>
              <w:t>since</w:t>
            </w:r>
            <w:r>
              <w:rPr>
                <w:spacing w:val="-1"/>
              </w:rPr>
              <w:t xml:space="preserve"> </w:t>
            </w:r>
            <w:r>
              <w:t>2016,</w:t>
            </w:r>
            <w:r>
              <w:rPr>
                <w:spacing w:val="-1"/>
              </w:rPr>
              <w:t xml:space="preserve"> </w:t>
            </w:r>
            <w:r>
              <w:t>and</w:t>
            </w:r>
            <w:r>
              <w:rPr>
                <w:spacing w:val="-1"/>
              </w:rPr>
              <w:t xml:space="preserve"> </w:t>
            </w:r>
            <w:r>
              <w:t>the</w:t>
            </w:r>
            <w:r>
              <w:rPr>
                <w:spacing w:val="-1"/>
              </w:rPr>
              <w:t xml:space="preserve"> </w:t>
            </w:r>
            <w:r>
              <w:t>US</w:t>
            </w:r>
            <w:r>
              <w:rPr>
                <w:spacing w:val="-1"/>
              </w:rPr>
              <w:t xml:space="preserve"> </w:t>
            </w:r>
            <w:r>
              <w:t>Federal</w:t>
            </w:r>
            <w:r>
              <w:rPr>
                <w:spacing w:val="-1"/>
              </w:rPr>
              <w:t xml:space="preserve"> </w:t>
            </w:r>
            <w:r>
              <w:t>Reserve</w:t>
            </w:r>
            <w:r>
              <w:rPr>
                <w:spacing w:val="-1"/>
              </w:rPr>
              <w:t xml:space="preserve"> </w:t>
            </w:r>
            <w:r>
              <w:t>had</w:t>
            </w:r>
            <w:r>
              <w:rPr>
                <w:spacing w:val="-1"/>
              </w:rPr>
              <w:t xml:space="preserve"> </w:t>
            </w:r>
            <w:r>
              <w:t>previously</w:t>
            </w:r>
            <w:r w:rsidR="00E631D1">
              <w:t xml:space="preserve"> </w:t>
            </w:r>
            <w:r>
              <w:t>considered how such targets might be implemented (Federal Reserve 2010). Some aspects of the implementation of additional monetary policies also differed to other peer central banks.</w:t>
            </w:r>
          </w:p>
        </w:tc>
      </w:tr>
    </w:tbl>
    <w:p w14:paraId="196FCB95" w14:textId="77777777" w:rsidR="00E4316D" w:rsidRDefault="00E4316D" w:rsidP="00E631D1"/>
    <w:p w14:paraId="6F30C59A" w14:textId="77777777" w:rsidR="00857A0A" w:rsidRDefault="00857A0A" w:rsidP="00857A0A">
      <w:pPr>
        <w:pStyle w:val="Heading3"/>
      </w:pPr>
      <w:r>
        <w:lastRenderedPageBreak/>
        <w:t>March</w:t>
      </w:r>
      <w:r>
        <w:rPr>
          <w:spacing w:val="-11"/>
        </w:rPr>
        <w:t xml:space="preserve"> </w:t>
      </w:r>
      <w:r>
        <w:t>2020:</w:t>
      </w:r>
      <w:r>
        <w:rPr>
          <w:spacing w:val="-8"/>
        </w:rPr>
        <w:t xml:space="preserve"> </w:t>
      </w:r>
      <w:r>
        <w:t>Initial</w:t>
      </w:r>
      <w:r>
        <w:rPr>
          <w:spacing w:val="-8"/>
        </w:rPr>
        <w:t xml:space="preserve"> </w:t>
      </w:r>
      <w:r>
        <w:t>response</w:t>
      </w:r>
      <w:r>
        <w:rPr>
          <w:spacing w:val="-8"/>
        </w:rPr>
        <w:t xml:space="preserve"> </w:t>
      </w:r>
      <w:r>
        <w:t>to</w:t>
      </w:r>
      <w:r>
        <w:rPr>
          <w:spacing w:val="-8"/>
        </w:rPr>
        <w:t xml:space="preserve"> </w:t>
      </w:r>
      <w:r>
        <w:t>the</w:t>
      </w:r>
      <w:r>
        <w:rPr>
          <w:spacing w:val="-8"/>
        </w:rPr>
        <w:t xml:space="preserve"> </w:t>
      </w:r>
      <w:r>
        <w:t>COVID-19</w:t>
      </w:r>
      <w:r>
        <w:rPr>
          <w:spacing w:val="-8"/>
        </w:rPr>
        <w:t xml:space="preserve"> </w:t>
      </w:r>
      <w:r>
        <w:rPr>
          <w:spacing w:val="-2"/>
        </w:rPr>
        <w:t>pandemic</w:t>
      </w:r>
    </w:p>
    <w:p w14:paraId="3D19999C" w14:textId="77777777" w:rsidR="00857A0A" w:rsidRDefault="00857A0A" w:rsidP="00857A0A">
      <w:r>
        <w:t>The Reserve Bank Board announced its initial response to the COVID-19 pandemic on 19 March 2020.</w:t>
      </w:r>
      <w:r>
        <w:rPr>
          <w:spacing w:val="-1"/>
        </w:rPr>
        <w:t xml:space="preserve"> </w:t>
      </w:r>
      <w:r>
        <w:t>The</w:t>
      </w:r>
      <w:r>
        <w:rPr>
          <w:spacing w:val="-1"/>
        </w:rPr>
        <w:t xml:space="preserve"> </w:t>
      </w:r>
      <w:r>
        <w:t>response</w:t>
      </w:r>
      <w:r>
        <w:rPr>
          <w:spacing w:val="-1"/>
        </w:rPr>
        <w:t xml:space="preserve"> </w:t>
      </w:r>
      <w:r>
        <w:t>included</w:t>
      </w:r>
      <w:r>
        <w:rPr>
          <w:spacing w:val="-1"/>
        </w:rPr>
        <w:t xml:space="preserve"> </w:t>
      </w:r>
      <w:r>
        <w:t>a</w:t>
      </w:r>
      <w:r>
        <w:rPr>
          <w:spacing w:val="-1"/>
        </w:rPr>
        <w:t xml:space="preserve"> </w:t>
      </w:r>
      <w:r>
        <w:t>reduction</w:t>
      </w:r>
      <w:r>
        <w:rPr>
          <w:spacing w:val="-1"/>
        </w:rPr>
        <w:t xml:space="preserve"> </w:t>
      </w:r>
      <w:r>
        <w:t>in</w:t>
      </w:r>
      <w:r>
        <w:rPr>
          <w:spacing w:val="-1"/>
        </w:rPr>
        <w:t xml:space="preserve"> </w:t>
      </w:r>
      <w:r>
        <w:t>the</w:t>
      </w:r>
      <w:r>
        <w:rPr>
          <w:spacing w:val="-1"/>
        </w:rPr>
        <w:t xml:space="preserve"> </w:t>
      </w:r>
      <w:r>
        <w:t>cash</w:t>
      </w:r>
      <w:r>
        <w:rPr>
          <w:spacing w:val="-1"/>
        </w:rPr>
        <w:t xml:space="preserve"> </w:t>
      </w:r>
      <w:r>
        <w:t>rate</w:t>
      </w:r>
      <w:r>
        <w:rPr>
          <w:spacing w:val="-1"/>
        </w:rPr>
        <w:t xml:space="preserve"> </w:t>
      </w:r>
      <w:r>
        <w:t>target</w:t>
      </w:r>
      <w:r>
        <w:rPr>
          <w:spacing w:val="-1"/>
        </w:rPr>
        <w:t xml:space="preserve"> </w:t>
      </w:r>
      <w:r>
        <w:t>to</w:t>
      </w:r>
      <w:r>
        <w:rPr>
          <w:spacing w:val="-1"/>
        </w:rPr>
        <w:t xml:space="preserve"> </w:t>
      </w:r>
      <w:r>
        <w:t>an</w:t>
      </w:r>
      <w:r>
        <w:rPr>
          <w:spacing w:val="-1"/>
        </w:rPr>
        <w:t xml:space="preserve"> </w:t>
      </w:r>
      <w:r>
        <w:t>historic</w:t>
      </w:r>
      <w:r>
        <w:rPr>
          <w:spacing w:val="-1"/>
        </w:rPr>
        <w:t xml:space="preserve"> </w:t>
      </w:r>
      <w:r>
        <w:t>low</w:t>
      </w:r>
      <w:r>
        <w:rPr>
          <w:spacing w:val="-1"/>
        </w:rPr>
        <w:t xml:space="preserve"> </w:t>
      </w:r>
      <w:r>
        <w:t>of</w:t>
      </w:r>
      <w:r>
        <w:rPr>
          <w:spacing w:val="-1"/>
        </w:rPr>
        <w:t xml:space="preserve"> </w:t>
      </w:r>
      <w:r>
        <w:t>0.25</w:t>
      </w:r>
      <w:r>
        <w:rPr>
          <w:spacing w:val="-1"/>
        </w:rPr>
        <w:t xml:space="preserve"> </w:t>
      </w:r>
      <w:r>
        <w:t>per</w:t>
      </w:r>
      <w:r>
        <w:rPr>
          <w:spacing w:val="-1"/>
        </w:rPr>
        <w:t xml:space="preserve"> </w:t>
      </w:r>
      <w:r>
        <w:t>cent and a package of additional monetary policy tools. The package included a yield target, term funding facility and state-based forward guidance (Box 1.1). The size and speed of the response were motivated by the Reserve Bank Board’s desire to do ‘whatever is necessary’ to support the economy (Lowe 2020a).</w:t>
      </w:r>
    </w:p>
    <w:p w14:paraId="1A26C878" w14:textId="77777777" w:rsidR="00857A0A" w:rsidRDefault="00857A0A" w:rsidP="00857A0A">
      <w:r>
        <w:t>The Review recognises the significant challenges of decision making in a period of such extreme uncertainty. The health advice was dire. The economic outlook justified quick decision making, which unavoidably came with extra risk. The RBA and Reserve Bank Board deserve considerable credit for the initial response to the pandemic. They were decisive at a time of national crisis and extreme uncertainty and the collective actions of government and the RBA avoided the worst.</w:t>
      </w:r>
    </w:p>
    <w:p w14:paraId="5CE5726B" w14:textId="77777777" w:rsidR="00857A0A" w:rsidRDefault="00857A0A" w:rsidP="00857A0A">
      <w:r>
        <w:t>There were some shortcomings in decision-making processes during this crisis that offer valuable lessons for the future. They highlight the importance of having strong and systematic frameworks in place ahead of time to help guide decision makers during periods of extreme uncertainty.</w:t>
      </w:r>
    </w:p>
    <w:p w14:paraId="22012E1A" w14:textId="77777777" w:rsidR="00857A0A" w:rsidRDefault="00857A0A" w:rsidP="00857A0A">
      <w:pPr>
        <w:pStyle w:val="Heading4"/>
      </w:pPr>
      <w:r>
        <w:t>Preparatory</w:t>
      </w:r>
      <w:r>
        <w:rPr>
          <w:spacing w:val="-1"/>
        </w:rPr>
        <w:t xml:space="preserve"> </w:t>
      </w:r>
      <w:r>
        <w:t>work</w:t>
      </w:r>
      <w:r>
        <w:rPr>
          <w:spacing w:val="1"/>
        </w:rPr>
        <w:t xml:space="preserve"> </w:t>
      </w:r>
      <w:r>
        <w:t>on</w:t>
      </w:r>
      <w:r>
        <w:rPr>
          <w:spacing w:val="2"/>
        </w:rPr>
        <w:t xml:space="preserve"> </w:t>
      </w:r>
      <w:r>
        <w:t>the</w:t>
      </w:r>
      <w:r>
        <w:rPr>
          <w:spacing w:val="1"/>
        </w:rPr>
        <w:t xml:space="preserve"> </w:t>
      </w:r>
      <w:r>
        <w:t>use</w:t>
      </w:r>
      <w:r>
        <w:rPr>
          <w:spacing w:val="1"/>
        </w:rPr>
        <w:t xml:space="preserve"> </w:t>
      </w:r>
      <w:r>
        <w:t>of</w:t>
      </w:r>
      <w:r>
        <w:rPr>
          <w:spacing w:val="2"/>
        </w:rPr>
        <w:t xml:space="preserve"> </w:t>
      </w:r>
      <w:r>
        <w:t>additional</w:t>
      </w:r>
      <w:r>
        <w:rPr>
          <w:spacing w:val="1"/>
        </w:rPr>
        <w:t xml:space="preserve"> </w:t>
      </w:r>
      <w:r>
        <w:t>monetary</w:t>
      </w:r>
      <w:r>
        <w:rPr>
          <w:spacing w:val="1"/>
        </w:rPr>
        <w:t xml:space="preserve"> </w:t>
      </w:r>
      <w:r>
        <w:t>policy</w:t>
      </w:r>
      <w:r>
        <w:rPr>
          <w:spacing w:val="2"/>
        </w:rPr>
        <w:t xml:space="preserve"> </w:t>
      </w:r>
      <w:r>
        <w:rPr>
          <w:spacing w:val="-2"/>
        </w:rPr>
        <w:t>tools</w:t>
      </w:r>
    </w:p>
    <w:p w14:paraId="225258F7" w14:textId="77777777" w:rsidR="00857A0A" w:rsidRDefault="00857A0A" w:rsidP="00857A0A">
      <w:r>
        <w:t>The</w:t>
      </w:r>
      <w:r>
        <w:rPr>
          <w:spacing w:val="-1"/>
        </w:rPr>
        <w:t xml:space="preserve"> </w:t>
      </w:r>
      <w:r>
        <w:t>RBA</w:t>
      </w:r>
      <w:r>
        <w:rPr>
          <w:spacing w:val="-1"/>
        </w:rPr>
        <w:t xml:space="preserve"> </w:t>
      </w:r>
      <w:r>
        <w:t>had</w:t>
      </w:r>
      <w:r>
        <w:rPr>
          <w:spacing w:val="-1"/>
        </w:rPr>
        <w:t xml:space="preserve"> </w:t>
      </w:r>
      <w:r>
        <w:t>done</w:t>
      </w:r>
      <w:r>
        <w:rPr>
          <w:spacing w:val="-1"/>
        </w:rPr>
        <w:t xml:space="preserve"> </w:t>
      </w:r>
      <w:r>
        <w:t>some</w:t>
      </w:r>
      <w:r>
        <w:rPr>
          <w:spacing w:val="-1"/>
        </w:rPr>
        <w:t xml:space="preserve"> </w:t>
      </w:r>
      <w:r>
        <w:t>preparatory</w:t>
      </w:r>
      <w:r>
        <w:rPr>
          <w:spacing w:val="-1"/>
        </w:rPr>
        <w:t xml:space="preserve"> </w:t>
      </w:r>
      <w:r>
        <w:t>work</w:t>
      </w:r>
      <w:r>
        <w:rPr>
          <w:spacing w:val="-1"/>
        </w:rPr>
        <w:t xml:space="preserve"> </w:t>
      </w:r>
      <w:r>
        <w:t>ahead</w:t>
      </w:r>
      <w:r>
        <w:rPr>
          <w:spacing w:val="-1"/>
        </w:rPr>
        <w:t xml:space="preserve"> </w:t>
      </w:r>
      <w:r>
        <w:t>of</w:t>
      </w:r>
      <w:r>
        <w:rPr>
          <w:spacing w:val="-1"/>
        </w:rPr>
        <w:t xml:space="preserve"> </w:t>
      </w:r>
      <w:r>
        <w:t>the</w:t>
      </w:r>
      <w:r>
        <w:rPr>
          <w:spacing w:val="-1"/>
        </w:rPr>
        <w:t xml:space="preserve"> </w:t>
      </w:r>
      <w:r>
        <w:t>crisis.</w:t>
      </w:r>
      <w:r>
        <w:rPr>
          <w:spacing w:val="-1"/>
        </w:rPr>
        <w:t xml:space="preserve"> </w:t>
      </w:r>
      <w:r>
        <w:t>In</w:t>
      </w:r>
      <w:r>
        <w:rPr>
          <w:spacing w:val="-1"/>
        </w:rPr>
        <w:t xml:space="preserve"> </w:t>
      </w:r>
      <w:r>
        <w:t>mid-2019,</w:t>
      </w:r>
      <w:r>
        <w:rPr>
          <w:spacing w:val="-1"/>
        </w:rPr>
        <w:t xml:space="preserve"> </w:t>
      </w:r>
      <w:r>
        <w:t>the</w:t>
      </w:r>
      <w:r>
        <w:rPr>
          <w:spacing w:val="-1"/>
        </w:rPr>
        <w:t xml:space="preserve"> </w:t>
      </w:r>
      <w:r>
        <w:t>Reserve</w:t>
      </w:r>
      <w:r>
        <w:rPr>
          <w:spacing w:val="-1"/>
        </w:rPr>
        <w:t xml:space="preserve"> </w:t>
      </w:r>
      <w:r>
        <w:t>Bank</w:t>
      </w:r>
      <w:r>
        <w:rPr>
          <w:spacing w:val="-1"/>
        </w:rPr>
        <w:t xml:space="preserve"> </w:t>
      </w:r>
      <w:r>
        <w:t>Board was presented with options to pursue if the cash rate reached its effective lower bound and further support was required. The preferred option presented in the Reserve Bank Board paper was a package that included reducing the cash rate target, purchasing bonds and providing state-based forward guidance. The paper made no explicit mention of a yield target and noted there would be little benefit from a term funding facility (in most circumstances). The paper also noted some of the risks of calendar-based forward guidance.</w:t>
      </w:r>
    </w:p>
    <w:p w14:paraId="43A82D85" w14:textId="6A9D48DD" w:rsidR="00857A0A" w:rsidRDefault="00857A0A" w:rsidP="00857A0A">
      <w:r>
        <w:t>The support package introduced in March 2020 differed from the preferred option presented</w:t>
      </w:r>
      <w:r>
        <w:rPr>
          <w:spacing w:val="80"/>
        </w:rPr>
        <w:t xml:space="preserve"> </w:t>
      </w:r>
      <w:r>
        <w:t>in</w:t>
      </w:r>
      <w:r>
        <w:rPr>
          <w:spacing w:val="-1"/>
        </w:rPr>
        <w:t xml:space="preserve"> </w:t>
      </w:r>
      <w:r>
        <w:t>2019.</w:t>
      </w:r>
      <w:r>
        <w:rPr>
          <w:spacing w:val="-1"/>
        </w:rPr>
        <w:t xml:space="preserve"> </w:t>
      </w:r>
      <w:r>
        <w:t>No</w:t>
      </w:r>
      <w:r>
        <w:rPr>
          <w:spacing w:val="-1"/>
        </w:rPr>
        <w:t xml:space="preserve"> </w:t>
      </w:r>
      <w:r>
        <w:t>explanation</w:t>
      </w:r>
      <w:r>
        <w:rPr>
          <w:spacing w:val="-1"/>
        </w:rPr>
        <w:t xml:space="preserve"> </w:t>
      </w:r>
      <w:r>
        <w:t>for</w:t>
      </w:r>
      <w:r>
        <w:rPr>
          <w:spacing w:val="-1"/>
        </w:rPr>
        <w:t xml:space="preserve"> </w:t>
      </w:r>
      <w:r>
        <w:t>the</w:t>
      </w:r>
      <w:r>
        <w:rPr>
          <w:spacing w:val="-1"/>
        </w:rPr>
        <w:t xml:space="preserve"> </w:t>
      </w:r>
      <w:r>
        <w:t>change</w:t>
      </w:r>
      <w:r>
        <w:rPr>
          <w:spacing w:val="-1"/>
        </w:rPr>
        <w:t xml:space="preserve"> </w:t>
      </w:r>
      <w:r>
        <w:t>was</w:t>
      </w:r>
      <w:r>
        <w:rPr>
          <w:spacing w:val="-1"/>
        </w:rPr>
        <w:t xml:space="preserve"> </w:t>
      </w:r>
      <w:r>
        <w:t>offered</w:t>
      </w:r>
      <w:r>
        <w:rPr>
          <w:spacing w:val="-1"/>
        </w:rPr>
        <w:t xml:space="preserve"> </w:t>
      </w:r>
      <w:r>
        <w:t>in</w:t>
      </w:r>
      <w:r>
        <w:rPr>
          <w:spacing w:val="-1"/>
        </w:rPr>
        <w:t xml:space="preserve"> </w:t>
      </w:r>
      <w:r>
        <w:t>written</w:t>
      </w:r>
      <w:r>
        <w:rPr>
          <w:spacing w:val="-1"/>
        </w:rPr>
        <w:t xml:space="preserve"> </w:t>
      </w:r>
      <w:r>
        <w:t>materials</w:t>
      </w:r>
      <w:r>
        <w:rPr>
          <w:spacing w:val="-1"/>
        </w:rPr>
        <w:t xml:space="preserve"> </w:t>
      </w:r>
      <w:r>
        <w:t>provided</w:t>
      </w:r>
      <w:r>
        <w:rPr>
          <w:spacing w:val="-1"/>
        </w:rPr>
        <w:t xml:space="preserve"> </w:t>
      </w:r>
      <w:r>
        <w:t>to</w:t>
      </w:r>
      <w:r>
        <w:rPr>
          <w:spacing w:val="-1"/>
        </w:rPr>
        <w:t xml:space="preserve"> </w:t>
      </w:r>
      <w:r>
        <w:t>the</w:t>
      </w:r>
      <w:r>
        <w:rPr>
          <w:spacing w:val="-1"/>
        </w:rPr>
        <w:t xml:space="preserve"> </w:t>
      </w:r>
      <w:r>
        <w:t>Reserve Bank Board in 2020. Further, the written materials only briefly described how each program would operate and a short qualitative discussion of risks.</w:t>
      </w:r>
    </w:p>
    <w:p w14:paraId="0B735AF5" w14:textId="2F30AF72" w:rsidR="00857A0A" w:rsidRDefault="00857A0A" w:rsidP="00857A0A">
      <w:r>
        <w:t>The</w:t>
      </w:r>
      <w:r>
        <w:rPr>
          <w:spacing w:val="-2"/>
        </w:rPr>
        <w:t xml:space="preserve"> </w:t>
      </w:r>
      <w:r>
        <w:t>attraction</w:t>
      </w:r>
      <w:r>
        <w:rPr>
          <w:spacing w:val="1"/>
        </w:rPr>
        <w:t xml:space="preserve"> </w:t>
      </w:r>
      <w:r>
        <w:t>of</w:t>
      </w:r>
      <w:r>
        <w:rPr>
          <w:spacing w:val="1"/>
        </w:rPr>
        <w:t xml:space="preserve"> </w:t>
      </w:r>
      <w:r>
        <w:t>a yield</w:t>
      </w:r>
      <w:r>
        <w:rPr>
          <w:spacing w:val="1"/>
        </w:rPr>
        <w:t xml:space="preserve"> </w:t>
      </w:r>
      <w:r>
        <w:t>target</w:t>
      </w:r>
      <w:r>
        <w:rPr>
          <w:spacing w:val="1"/>
        </w:rPr>
        <w:t xml:space="preserve"> </w:t>
      </w:r>
      <w:r>
        <w:t>is that,</w:t>
      </w:r>
      <w:r>
        <w:rPr>
          <w:spacing w:val="1"/>
        </w:rPr>
        <w:t xml:space="preserve"> </w:t>
      </w:r>
      <w:r>
        <w:t>if</w:t>
      </w:r>
      <w:r>
        <w:rPr>
          <w:spacing w:val="1"/>
        </w:rPr>
        <w:t xml:space="preserve"> </w:t>
      </w:r>
      <w:r>
        <w:t>credible,</w:t>
      </w:r>
      <w:r>
        <w:rPr>
          <w:spacing w:val="1"/>
        </w:rPr>
        <w:t xml:space="preserve"> </w:t>
      </w:r>
      <w:r>
        <w:t>it requires</w:t>
      </w:r>
      <w:r>
        <w:rPr>
          <w:spacing w:val="1"/>
        </w:rPr>
        <w:t xml:space="preserve"> </w:t>
      </w:r>
      <w:r>
        <w:t>fewer</w:t>
      </w:r>
      <w:r>
        <w:rPr>
          <w:spacing w:val="1"/>
        </w:rPr>
        <w:t xml:space="preserve"> </w:t>
      </w:r>
      <w:r>
        <w:t>purchases of</w:t>
      </w:r>
      <w:r>
        <w:rPr>
          <w:spacing w:val="1"/>
        </w:rPr>
        <w:t xml:space="preserve"> </w:t>
      </w:r>
      <w:r>
        <w:t>bonds</w:t>
      </w:r>
      <w:r>
        <w:rPr>
          <w:spacing w:val="1"/>
        </w:rPr>
        <w:t xml:space="preserve"> </w:t>
      </w:r>
      <w:r>
        <w:t>to</w:t>
      </w:r>
      <w:r>
        <w:rPr>
          <w:spacing w:val="1"/>
        </w:rPr>
        <w:t xml:space="preserve"> </w:t>
      </w:r>
      <w:r>
        <w:rPr>
          <w:spacing w:val="-2"/>
        </w:rPr>
        <w:t xml:space="preserve">initially </w:t>
      </w:r>
      <w:r>
        <w:t>achieve the target. However, the Reserve Bank Board written materials gave little attention to</w:t>
      </w:r>
      <w:r>
        <w:rPr>
          <w:spacing w:val="-2"/>
        </w:rPr>
        <w:t xml:space="preserve"> </w:t>
      </w:r>
      <w:r>
        <w:t>how unusual a</w:t>
      </w:r>
      <w:r>
        <w:rPr>
          <w:spacing w:val="1"/>
        </w:rPr>
        <w:t xml:space="preserve"> </w:t>
      </w:r>
      <w:r>
        <w:t>yield target was internationally</w:t>
      </w:r>
      <w:r>
        <w:rPr>
          <w:spacing w:val="1"/>
        </w:rPr>
        <w:t xml:space="preserve"> </w:t>
      </w:r>
      <w:r>
        <w:t>or the fact that</w:t>
      </w:r>
      <w:r>
        <w:rPr>
          <w:spacing w:val="1"/>
        </w:rPr>
        <w:t xml:space="preserve"> </w:t>
      </w:r>
      <w:r>
        <w:t>there was no</w:t>
      </w:r>
      <w:r>
        <w:rPr>
          <w:spacing w:val="1"/>
        </w:rPr>
        <w:t xml:space="preserve"> </w:t>
      </w:r>
      <w:r>
        <w:rPr>
          <w:spacing w:val="-2"/>
        </w:rPr>
        <w:t xml:space="preserve">international </w:t>
      </w:r>
      <w:r>
        <w:t>precedent for exiting from a yield target. The written materials also did not consider the plausible risk that the yield target might make it more difficult to change course if economic circumstances changed quickly.</w:t>
      </w:r>
    </w:p>
    <w:p w14:paraId="1D3FFE77" w14:textId="77777777" w:rsidR="00857A0A" w:rsidRDefault="00857A0A" w:rsidP="00857A0A">
      <w:pPr>
        <w:pStyle w:val="Heading4"/>
      </w:pPr>
      <w:r>
        <w:t>Information</w:t>
      </w:r>
      <w:r>
        <w:rPr>
          <w:spacing w:val="-1"/>
        </w:rPr>
        <w:t xml:space="preserve"> </w:t>
      </w:r>
      <w:r>
        <w:t>received</w:t>
      </w:r>
      <w:r>
        <w:rPr>
          <w:spacing w:val="2"/>
        </w:rPr>
        <w:t xml:space="preserve"> </w:t>
      </w:r>
      <w:r>
        <w:t>and</w:t>
      </w:r>
      <w:r>
        <w:rPr>
          <w:spacing w:val="2"/>
        </w:rPr>
        <w:t xml:space="preserve"> </w:t>
      </w:r>
      <w:r>
        <w:t>requested</w:t>
      </w:r>
      <w:r>
        <w:rPr>
          <w:spacing w:val="1"/>
        </w:rPr>
        <w:t xml:space="preserve"> </w:t>
      </w:r>
      <w:r>
        <w:t>by</w:t>
      </w:r>
      <w:r>
        <w:rPr>
          <w:spacing w:val="2"/>
        </w:rPr>
        <w:t xml:space="preserve"> </w:t>
      </w:r>
      <w:r>
        <w:t>the</w:t>
      </w:r>
      <w:r>
        <w:rPr>
          <w:spacing w:val="2"/>
        </w:rPr>
        <w:t xml:space="preserve"> </w:t>
      </w:r>
      <w:r>
        <w:t>Reserve</w:t>
      </w:r>
      <w:r>
        <w:rPr>
          <w:spacing w:val="2"/>
        </w:rPr>
        <w:t xml:space="preserve"> </w:t>
      </w:r>
      <w:r>
        <w:t>Bank</w:t>
      </w:r>
      <w:r>
        <w:rPr>
          <w:spacing w:val="1"/>
        </w:rPr>
        <w:t xml:space="preserve"> </w:t>
      </w:r>
      <w:r>
        <w:t>Board</w:t>
      </w:r>
      <w:r>
        <w:rPr>
          <w:spacing w:val="2"/>
        </w:rPr>
        <w:t xml:space="preserve"> </w:t>
      </w:r>
      <w:r>
        <w:t>to</w:t>
      </w:r>
      <w:r>
        <w:rPr>
          <w:spacing w:val="2"/>
        </w:rPr>
        <w:t xml:space="preserve"> </w:t>
      </w:r>
      <w:r>
        <w:t>support</w:t>
      </w:r>
      <w:r>
        <w:rPr>
          <w:spacing w:val="2"/>
        </w:rPr>
        <w:t xml:space="preserve"> </w:t>
      </w:r>
      <w:r>
        <w:rPr>
          <w:spacing w:val="-2"/>
        </w:rPr>
        <w:t>deliberations</w:t>
      </w:r>
    </w:p>
    <w:p w14:paraId="3B11CFC1" w14:textId="77777777" w:rsidR="00857A0A" w:rsidRDefault="00857A0A" w:rsidP="00857A0A">
      <w:r>
        <w:t>The Reserve Bank Board was not provided with, and on the available evidence did not demand, enough information in advance to fully debate and challenge the key design choices for the tools proposed by the RBA executive. For example, the term funding facility option presented to the Reserve Bank Board proposed to offer banks funding at a fixed interest rate. It was acknowledged in written materials that this approach carried some interest rate risk. But the risk was said to be small and warranted and was not quantified. The paper did not explore the option of offering an attractive floating interest rate, such as in the Bank of England’s otherwise similar program.</w:t>
      </w:r>
    </w:p>
    <w:p w14:paraId="6217EF58" w14:textId="77777777" w:rsidR="00A368CD" w:rsidRDefault="00A368CD" w:rsidP="00A368CD">
      <w:r>
        <w:t>This was an option that carried less interest rate risk and would arguably have made little difference to the attractiveness of the scheme, with interest rates expected to remain low. As such, Reserve Bank Board members would have benefited if they had received or requested information in order to properly assess whether the fixed interest rate approach was best.</w:t>
      </w:r>
    </w:p>
    <w:p w14:paraId="4B45F888" w14:textId="77777777" w:rsidR="00A368CD" w:rsidRDefault="00A368CD" w:rsidP="00A368CD">
      <w:r>
        <w:t>The RBA developed a set of internal papers outlining more detail on the design of the yield target and term funding facility, but these materials were not provided to the Reserve Bank Board.</w:t>
      </w:r>
    </w:p>
    <w:p w14:paraId="565C5305" w14:textId="77777777" w:rsidR="00A368CD" w:rsidRDefault="00A368CD" w:rsidP="00A368CD">
      <w:r>
        <w:lastRenderedPageBreak/>
        <w:t>These papers considered the design of the programs, including some discussion of risks and how the proposed term funding facility would compare with programs overseas. The RBA considered these materials to have a level of technical detail that was not required for the Reserve Bank Board’s decision.</w:t>
      </w:r>
    </w:p>
    <w:p w14:paraId="2EE9C9F3" w14:textId="77777777" w:rsidR="00A368CD" w:rsidRDefault="00A368CD" w:rsidP="00A368CD">
      <w:r>
        <w:t>The Review’s assessment is that these materials included information that would have been valuable for the Reserve Bank Board and would have helped them think about risks and implementation, as well as frame questions. It is not unusual for there to be more detailed background work that is not incorporated into the formal decision-making documents. However, the Review considered that members of a monetary policy decision-making body should be expected to have the time, expertise and support from staff members to consider evidence and advice in papers of a technical nature and of such length.</w:t>
      </w:r>
    </w:p>
    <w:p w14:paraId="2E0C2339" w14:textId="77777777" w:rsidR="00A368CD" w:rsidRDefault="00A368CD" w:rsidP="00A368CD">
      <w:pPr>
        <w:pStyle w:val="Heading4"/>
      </w:pPr>
      <w:r>
        <w:t>Judgements made</w:t>
      </w:r>
      <w:r>
        <w:rPr>
          <w:spacing w:val="3"/>
        </w:rPr>
        <w:t xml:space="preserve"> </w:t>
      </w:r>
      <w:r>
        <w:t>under</w:t>
      </w:r>
      <w:r>
        <w:rPr>
          <w:spacing w:val="3"/>
        </w:rPr>
        <w:t xml:space="preserve"> </w:t>
      </w:r>
      <w:r>
        <w:t>pressure</w:t>
      </w:r>
      <w:r>
        <w:rPr>
          <w:spacing w:val="3"/>
        </w:rPr>
        <w:t xml:space="preserve"> </w:t>
      </w:r>
      <w:r>
        <w:t>and</w:t>
      </w:r>
      <w:r>
        <w:rPr>
          <w:spacing w:val="3"/>
        </w:rPr>
        <w:t xml:space="preserve"> </w:t>
      </w:r>
      <w:r>
        <w:t>uncertainty</w:t>
      </w:r>
      <w:r>
        <w:rPr>
          <w:spacing w:val="3"/>
        </w:rPr>
        <w:t xml:space="preserve"> </w:t>
      </w:r>
      <w:r>
        <w:t>require</w:t>
      </w:r>
      <w:r>
        <w:rPr>
          <w:spacing w:val="3"/>
        </w:rPr>
        <w:t xml:space="preserve"> </w:t>
      </w:r>
      <w:r>
        <w:rPr>
          <w:spacing w:val="-2"/>
        </w:rPr>
        <w:t>expertise</w:t>
      </w:r>
    </w:p>
    <w:p w14:paraId="22B01807" w14:textId="77777777" w:rsidR="00A368CD" w:rsidRDefault="00A368CD" w:rsidP="00A368CD">
      <w:r>
        <w:t>This episode underscores that Reserve Bank Board members make judgements on complex monetary policy issues, sometimes in periods of extreme uncertainty. These judgements require some expertise in the matters at hand. For example, people with a deep practical understanding</w:t>
      </w:r>
      <w:r>
        <w:rPr>
          <w:spacing w:val="80"/>
        </w:rPr>
        <w:t xml:space="preserve"> </w:t>
      </w:r>
      <w:r>
        <w:t>of the financial system and markets would have been well placed to challenge and offer alternative views on the design of key policies.</w:t>
      </w:r>
    </w:p>
    <w:p w14:paraId="5896819C" w14:textId="77777777" w:rsidR="00A368CD" w:rsidRDefault="00A368CD" w:rsidP="00A368CD">
      <w:r>
        <w:t>The lack of detail in Reserve Bank Board materials and short time frame to discuss them (see Chapter 3) limits the depth of Reserve Bank Board members’ engagement on issues. The effect of this is to concentrate responsibility on the RBA executive and the Governor in particular. This poses risks to the robustness of decision making and downplays the role the Reserve Bank Board can</w:t>
      </w:r>
      <w:r>
        <w:rPr>
          <w:spacing w:val="80"/>
        </w:rPr>
        <w:t xml:space="preserve"> </w:t>
      </w:r>
      <w:r>
        <w:t>play in supporting the RBA’s executive.</w:t>
      </w:r>
    </w:p>
    <w:p w14:paraId="20F718F0" w14:textId="77777777" w:rsidR="00A368CD" w:rsidRDefault="00A368CD" w:rsidP="00A368CD">
      <w:r>
        <w:t>The approach of doing ‘whatever is necessary’ in a crisis is not unconditional. Selecting between options requires an understanding of how the tool or intervention works in practice, and how the various measures work together as a package (Orphanides 2023). It requires the Reserve Bank Board to explicitly test the benefits and costs and to form a judgement about the net benefit, to assess the conditions for successful implementation, to test how different tools interact, and to judge how and when the intervention should be stopped or reversed.</w:t>
      </w:r>
    </w:p>
    <w:p w14:paraId="42846BCE" w14:textId="77777777" w:rsidR="00A368CD" w:rsidRDefault="00A368CD" w:rsidP="00A368CD">
      <w:r>
        <w:t>The fact that a crisis curtails the time to develop options reinforces the importance of having strong preparatory work in place ahead of time. While no one could have predicted the onset of the</w:t>
      </w:r>
      <w:r>
        <w:rPr>
          <w:spacing w:val="-1"/>
        </w:rPr>
        <w:t xml:space="preserve"> </w:t>
      </w:r>
      <w:r>
        <w:t>pandemic</w:t>
      </w:r>
      <w:r>
        <w:rPr>
          <w:spacing w:val="-1"/>
        </w:rPr>
        <w:t xml:space="preserve"> </w:t>
      </w:r>
      <w:r>
        <w:t>in</w:t>
      </w:r>
      <w:r>
        <w:rPr>
          <w:spacing w:val="-1"/>
        </w:rPr>
        <w:t xml:space="preserve"> </w:t>
      </w:r>
      <w:r>
        <w:t>2020</w:t>
      </w:r>
      <w:r>
        <w:rPr>
          <w:spacing w:val="-1"/>
        </w:rPr>
        <w:t xml:space="preserve"> </w:t>
      </w:r>
      <w:r>
        <w:t>or</w:t>
      </w:r>
      <w:r>
        <w:rPr>
          <w:spacing w:val="-1"/>
        </w:rPr>
        <w:t xml:space="preserve"> </w:t>
      </w:r>
      <w:r>
        <w:t>the</w:t>
      </w:r>
      <w:r>
        <w:rPr>
          <w:spacing w:val="-1"/>
        </w:rPr>
        <w:t xml:space="preserve"> </w:t>
      </w:r>
      <w:r>
        <w:t>Russian</w:t>
      </w:r>
      <w:r>
        <w:rPr>
          <w:spacing w:val="-1"/>
        </w:rPr>
        <w:t xml:space="preserve"> </w:t>
      </w:r>
      <w:r>
        <w:t>invasion</w:t>
      </w:r>
      <w:r>
        <w:rPr>
          <w:spacing w:val="-1"/>
        </w:rPr>
        <w:t xml:space="preserve"> </w:t>
      </w:r>
      <w:r>
        <w:t>of</w:t>
      </w:r>
      <w:r>
        <w:rPr>
          <w:spacing w:val="-1"/>
        </w:rPr>
        <w:t xml:space="preserve"> </w:t>
      </w:r>
      <w:r>
        <w:t>Ukraine</w:t>
      </w:r>
      <w:r>
        <w:rPr>
          <w:spacing w:val="-1"/>
        </w:rPr>
        <w:t xml:space="preserve"> </w:t>
      </w:r>
      <w:r>
        <w:t>in</w:t>
      </w:r>
      <w:r>
        <w:rPr>
          <w:spacing w:val="-1"/>
        </w:rPr>
        <w:t xml:space="preserve"> </w:t>
      </w:r>
      <w:r>
        <w:t>2022,</w:t>
      </w:r>
      <w:r>
        <w:rPr>
          <w:spacing w:val="-1"/>
        </w:rPr>
        <w:t xml:space="preserve"> </w:t>
      </w:r>
      <w:r>
        <w:t>some</w:t>
      </w:r>
      <w:r>
        <w:rPr>
          <w:spacing w:val="-1"/>
        </w:rPr>
        <w:t xml:space="preserve"> </w:t>
      </w:r>
      <w:r>
        <w:t>of</w:t>
      </w:r>
      <w:r>
        <w:rPr>
          <w:spacing w:val="-1"/>
        </w:rPr>
        <w:t xml:space="preserve"> </w:t>
      </w:r>
      <w:r>
        <w:t>the</w:t>
      </w:r>
      <w:r>
        <w:rPr>
          <w:spacing w:val="-1"/>
        </w:rPr>
        <w:t xml:space="preserve"> </w:t>
      </w:r>
      <w:r>
        <w:t>shortcomings</w:t>
      </w:r>
      <w:r>
        <w:rPr>
          <w:spacing w:val="-1"/>
        </w:rPr>
        <w:t xml:space="preserve"> </w:t>
      </w:r>
      <w:r>
        <w:t>of</w:t>
      </w:r>
      <w:r>
        <w:rPr>
          <w:spacing w:val="-1"/>
        </w:rPr>
        <w:t xml:space="preserve"> </w:t>
      </w:r>
      <w:r>
        <w:t>the yield target may have been avoided had it been thoroughly assessed in 2019. The episode also highlights that, during a crisis, adopting policies that have not been subject to preparatory work entails additional risks compared with using those that have been more fully developed. In the context of a crisis, there is less scope to explore and understand these additional risks.</w:t>
      </w:r>
    </w:p>
    <w:p w14:paraId="4901FD03" w14:textId="5E7E2BAB" w:rsidR="00D63FFE" w:rsidRDefault="00A368CD" w:rsidP="00A368CD">
      <w:pPr>
        <w:rPr>
          <w:spacing w:val="-2"/>
        </w:rPr>
      </w:pPr>
      <w:r>
        <w:t>Collectively, these factors limited the Reserve Bank Board’s ability to interrogate the specifics</w:t>
      </w:r>
      <w:r>
        <w:rPr>
          <w:spacing w:val="40"/>
        </w:rPr>
        <w:t xml:space="preserve"> </w:t>
      </w:r>
      <w:r>
        <w:t>of the complex new tools and provide alternative views to the proposals provided by the RBA executive. This suggests an opportunity to make the policy process more robust by increasing the extent to which the Board is able to engage with and test policy proposals put to it by</w:t>
      </w:r>
      <w:r w:rsidR="00D63FFE">
        <w:t xml:space="preserve"> </w:t>
      </w:r>
      <w:r>
        <w:t>the</w:t>
      </w:r>
      <w:r>
        <w:rPr>
          <w:spacing w:val="-2"/>
        </w:rPr>
        <w:t xml:space="preserve"> executive.</w:t>
      </w:r>
    </w:p>
    <w:p w14:paraId="5CA9C12E" w14:textId="77777777" w:rsidR="00D63FFE" w:rsidRDefault="00D63FFE" w:rsidP="00D63FFE">
      <w:pPr>
        <w:pStyle w:val="Heading3"/>
      </w:pPr>
      <w:r>
        <w:t>September</w:t>
      </w:r>
      <w:r>
        <w:rPr>
          <w:spacing w:val="-3"/>
        </w:rPr>
        <w:t xml:space="preserve"> </w:t>
      </w:r>
      <w:r>
        <w:t>to November</w:t>
      </w:r>
      <w:r>
        <w:rPr>
          <w:spacing w:val="-1"/>
        </w:rPr>
        <w:t xml:space="preserve"> </w:t>
      </w:r>
      <w:r>
        <w:t>2020: Additional</w:t>
      </w:r>
      <w:r>
        <w:rPr>
          <w:spacing w:val="-1"/>
        </w:rPr>
        <w:t xml:space="preserve"> </w:t>
      </w:r>
      <w:r>
        <w:t>monetary support</w:t>
      </w:r>
    </w:p>
    <w:p w14:paraId="7764F074" w14:textId="77777777" w:rsidR="00D63FFE" w:rsidRDefault="00D63FFE" w:rsidP="00D63FFE">
      <w:r>
        <w:t>From September to November 2020, the Reserve Bank Board expanded and extended existing programs and introduced a new monetary policy tool. The changes were motivated by the RBA’s assessment that additional monetary support was required.</w:t>
      </w:r>
    </w:p>
    <w:p w14:paraId="76697DCF" w14:textId="77777777" w:rsidR="00D63FFE" w:rsidRDefault="00D63FFE" w:rsidP="00D63FFE">
      <w:r>
        <w:lastRenderedPageBreak/>
        <w:t>In September 2020, the Reserve Bank Board expanded and extended the Term Funding Facility. The Reserve Bank Board also announced that the target bond for the yield target would move from the April 2023 bond to the April 2024 bond. This in effect meant a one-year extension of the yield target.</w:t>
      </w:r>
    </w:p>
    <w:p w14:paraId="480C6F27" w14:textId="77777777" w:rsidR="00D63FFE" w:rsidRDefault="00D63FFE" w:rsidP="00D63FFE">
      <w:r>
        <w:t>In October 2020, a speech by the Governor introduced a calendar-based component to the RBA’s forward guidance. It also updated the state-based forward guidance to link to economic outcomes rather than forecasts, as discussed at the prior Reserve Bank Board meeting.</w:t>
      </w:r>
    </w:p>
    <w:p w14:paraId="45B54986" w14:textId="08BAC322" w:rsidR="00D63FFE" w:rsidRDefault="00D63FFE" w:rsidP="00D63FFE">
      <w:r>
        <w:t>In</w:t>
      </w:r>
      <w:r>
        <w:rPr>
          <w:spacing w:val="-2"/>
        </w:rPr>
        <w:t xml:space="preserve"> </w:t>
      </w:r>
      <w:r>
        <w:t>November 2020, the Reserve Bank Board announced it would commence a</w:t>
      </w:r>
      <w:r>
        <w:rPr>
          <w:spacing w:val="1"/>
        </w:rPr>
        <w:t xml:space="preserve"> </w:t>
      </w:r>
      <w:r>
        <w:rPr>
          <w:spacing w:val="-4"/>
        </w:rPr>
        <w:t xml:space="preserve">bond </w:t>
      </w:r>
      <w:r>
        <w:t>purchase</w:t>
      </w:r>
      <w:r>
        <w:rPr>
          <w:spacing w:val="-2"/>
        </w:rPr>
        <w:t xml:space="preserve"> program.</w:t>
      </w:r>
    </w:p>
    <w:p w14:paraId="56D26787" w14:textId="77777777" w:rsidR="00D63FFE" w:rsidRDefault="00D63FFE" w:rsidP="00D63FFE">
      <w:r>
        <w:t>There</w:t>
      </w:r>
      <w:r>
        <w:rPr>
          <w:spacing w:val="18"/>
        </w:rPr>
        <w:t xml:space="preserve"> </w:t>
      </w:r>
      <w:r>
        <w:t>were</w:t>
      </w:r>
      <w:r>
        <w:rPr>
          <w:spacing w:val="18"/>
        </w:rPr>
        <w:t xml:space="preserve"> </w:t>
      </w:r>
      <w:r>
        <w:t>valid</w:t>
      </w:r>
      <w:r>
        <w:rPr>
          <w:spacing w:val="18"/>
        </w:rPr>
        <w:t xml:space="preserve"> </w:t>
      </w:r>
      <w:r>
        <w:t>economic</w:t>
      </w:r>
      <w:r>
        <w:rPr>
          <w:spacing w:val="18"/>
        </w:rPr>
        <w:t xml:space="preserve"> </w:t>
      </w:r>
      <w:r>
        <w:t>arguments</w:t>
      </w:r>
      <w:r>
        <w:rPr>
          <w:spacing w:val="18"/>
        </w:rPr>
        <w:t xml:space="preserve"> </w:t>
      </w:r>
      <w:r>
        <w:t>for</w:t>
      </w:r>
      <w:r>
        <w:rPr>
          <w:spacing w:val="18"/>
        </w:rPr>
        <w:t xml:space="preserve"> </w:t>
      </w:r>
      <w:r>
        <w:t>and</w:t>
      </w:r>
      <w:r>
        <w:rPr>
          <w:spacing w:val="18"/>
        </w:rPr>
        <w:t xml:space="preserve"> </w:t>
      </w:r>
      <w:r>
        <w:t>against</w:t>
      </w:r>
      <w:r>
        <w:rPr>
          <w:spacing w:val="18"/>
        </w:rPr>
        <w:t xml:space="preserve"> </w:t>
      </w:r>
      <w:r>
        <w:t>providing</w:t>
      </w:r>
      <w:r>
        <w:rPr>
          <w:spacing w:val="18"/>
        </w:rPr>
        <w:t xml:space="preserve"> </w:t>
      </w:r>
      <w:r>
        <w:t>additional</w:t>
      </w:r>
      <w:r>
        <w:rPr>
          <w:spacing w:val="18"/>
        </w:rPr>
        <w:t xml:space="preserve"> </w:t>
      </w:r>
      <w:r>
        <w:t>monetary</w:t>
      </w:r>
      <w:r>
        <w:rPr>
          <w:spacing w:val="18"/>
        </w:rPr>
        <w:t xml:space="preserve"> </w:t>
      </w:r>
      <w:r>
        <w:t>policy support in late 2020 that many central banks around the world were weighing. The RBA was forecasting a long and slow recovery, there was significant uncertainty about the economic outlook, and ongoing concern about further outbreaks of the virus. At the same time, early indications were that activity and employment outcomes would not be as bad as expected earlier in the year. Some individuals consulted by the Review noted the significant stimulus already provided and suggested that additional stimulus was unnecessary at this point (Orphanides 2023). Regardless of the merits of the case for providing additional support, the Review’s assessment is that the Reserve Bank</w:t>
      </w:r>
      <w:r>
        <w:rPr>
          <w:spacing w:val="40"/>
        </w:rPr>
        <w:t xml:space="preserve"> </w:t>
      </w:r>
      <w:r>
        <w:t>Board did not receive or request sufficient material to support a robust debate about whether further monetary support was required.</w:t>
      </w:r>
    </w:p>
    <w:p w14:paraId="3D9342CB" w14:textId="77777777" w:rsidR="00D63FFE" w:rsidRDefault="00D63FFE" w:rsidP="00D63FFE">
      <w:pPr>
        <w:pStyle w:val="Heading4"/>
      </w:pPr>
      <w:r>
        <w:t>Cost-benefit</w:t>
      </w:r>
      <w:r>
        <w:rPr>
          <w:spacing w:val="2"/>
        </w:rPr>
        <w:t xml:space="preserve"> </w:t>
      </w:r>
      <w:r>
        <w:t>analysis</w:t>
      </w:r>
      <w:r>
        <w:rPr>
          <w:spacing w:val="3"/>
        </w:rPr>
        <w:t xml:space="preserve"> </w:t>
      </w:r>
      <w:r>
        <w:t>for</w:t>
      </w:r>
      <w:r>
        <w:rPr>
          <w:spacing w:val="3"/>
        </w:rPr>
        <w:t xml:space="preserve"> </w:t>
      </w:r>
      <w:r>
        <w:t>the</w:t>
      </w:r>
      <w:r>
        <w:rPr>
          <w:spacing w:val="3"/>
        </w:rPr>
        <w:t xml:space="preserve"> </w:t>
      </w:r>
      <w:r>
        <w:t>bond</w:t>
      </w:r>
      <w:r>
        <w:rPr>
          <w:spacing w:val="3"/>
        </w:rPr>
        <w:t xml:space="preserve"> </w:t>
      </w:r>
      <w:r>
        <w:t>purchase</w:t>
      </w:r>
      <w:r>
        <w:rPr>
          <w:spacing w:val="3"/>
        </w:rPr>
        <w:t xml:space="preserve"> </w:t>
      </w:r>
      <w:r>
        <w:rPr>
          <w:spacing w:val="-2"/>
        </w:rPr>
        <w:t>program</w:t>
      </w:r>
    </w:p>
    <w:p w14:paraId="557644C1" w14:textId="77777777" w:rsidR="00D63FFE" w:rsidRDefault="00D63FFE" w:rsidP="00D63FFE">
      <w:r>
        <w:t>The Review identified other aspects of the RBA’s processes that could better support decision making.</w:t>
      </w:r>
    </w:p>
    <w:p w14:paraId="3538863E" w14:textId="77777777" w:rsidR="00D63FFE" w:rsidRDefault="00D63FFE" w:rsidP="00D63FFE">
      <w:r>
        <w:t>Unlike in March 2020, the RBA executive, staff members and the Reserve Bank Board had more time to prepare a case for additional monetary support, develop options, conduct risk analysis and consider clear exit strategies, particularly in the case that these risks materialised.</w:t>
      </w:r>
    </w:p>
    <w:p w14:paraId="5482C21A" w14:textId="77777777" w:rsidR="00D63FFE" w:rsidRDefault="00D63FFE" w:rsidP="00D63FFE">
      <w:r>
        <w:t>Prior to the start of the bond purchase program, the Reserve Bank Board was presented with the view in Board papers that the economic effects of the program were likely to be small, although no supporting analysis was provided. The Reserve Bank Board papers did not address why a program targeted at the 4-to-10-year segment of the yield curve would have a significant economic or financial impact, particularly given housing finance and bank funding in Australia (unlike in some other countries) largely occurs at the short end of the term structure. The Reserve Bank Board was provided with general information about financial risks associated with bond purchases, without specifying what they would look like for this program, any order of magnitude, or whether it could accelerate exit from the 3-year yield target.</w:t>
      </w:r>
    </w:p>
    <w:p w14:paraId="0A5B3DEC" w14:textId="02EB4C48" w:rsidR="00D63FFE" w:rsidRPr="00D97B2A" w:rsidRDefault="00D63FFE" w:rsidP="00D63FFE">
      <w:r>
        <w:t>The RBA highlighted in Reserve Bank Board papers that Australia stood out among its peers in not having an asset purchase program across the yield curve. The Review heard in consultations that part of the motivation for implementing the bond purchase program was to match its peers. The RBA in part motivated decisions about extensions of the program by referring to the actions of</w:t>
      </w:r>
      <w:r w:rsidR="00D97B2A">
        <w:t xml:space="preserve"> </w:t>
      </w:r>
      <w:r>
        <w:t>its peers, in the context of the impact on the exchange rate. However, no supporting analysis was provided to the Reserve Bank Board.</w:t>
      </w:r>
    </w:p>
    <w:p w14:paraId="6403A18B" w14:textId="77777777" w:rsidR="00811A4B" w:rsidRDefault="00811A4B" w:rsidP="00811A4B">
      <w:r>
        <w:t>The Reserve Bank Board would have been better equipped to consider and decide whether to pursue the program if they had received or requested more analysis on how it might interact with the specific features of Australia’s economy and financial system, as well as quantitative cost-</w:t>
      </w:r>
      <w:r>
        <w:rPr>
          <w:spacing w:val="40"/>
        </w:rPr>
        <w:t xml:space="preserve"> </w:t>
      </w:r>
      <w:r>
        <w:t>benefit analysis tailored to the specifics of the program. This type of analysis is particularly relevant for a bond purchase program given it has uncertain benefits and involves significant financial risks with fiscal impacts (Box 1.2).</w:t>
      </w:r>
    </w:p>
    <w:p w14:paraId="05F3823B" w14:textId="6AC65066" w:rsidR="00811A4B" w:rsidRDefault="00811A4B" w:rsidP="00085E50">
      <w:r>
        <w:t xml:space="preserve">With the benefit of hindsight, the economic benefits of the bond purchase program appear to have been small relative to the scale and potential cost of the program. According to RBA modelling conducted following the completion of the program and provided to the Review, the program is </w:t>
      </w:r>
      <w:r>
        <w:lastRenderedPageBreak/>
        <w:t>estimated to have provided over 3 years a cumulative boost to nominal GDP of $25 billion and</w:t>
      </w:r>
      <w:r w:rsidR="00085E50">
        <w:t xml:space="preserve"> </w:t>
      </w:r>
      <w:r>
        <w:t>real GDP of $13.5 billion, and a total increase in employment of 37,000 jobs. This compares with estimates of the potential direct financial losses associated with the program of between $35 and</w:t>
      </w:r>
      <w:r w:rsidR="00085E50">
        <w:t xml:space="preserve"> </w:t>
      </w:r>
      <w:r>
        <w:t>$58</w:t>
      </w:r>
      <w:r>
        <w:rPr>
          <w:spacing w:val="-4"/>
        </w:rPr>
        <w:t xml:space="preserve"> </w:t>
      </w:r>
      <w:r>
        <w:t>billion</w:t>
      </w:r>
      <w:r>
        <w:rPr>
          <w:spacing w:val="-4"/>
        </w:rPr>
        <w:t xml:space="preserve"> </w:t>
      </w:r>
      <w:r>
        <w:t>(RBA</w:t>
      </w:r>
      <w:r>
        <w:rPr>
          <w:spacing w:val="-4"/>
        </w:rPr>
        <w:t xml:space="preserve"> </w:t>
      </w:r>
      <w:r>
        <w:t>2022b;</w:t>
      </w:r>
      <w:r>
        <w:rPr>
          <w:spacing w:val="-4"/>
        </w:rPr>
        <w:t xml:space="preserve"> </w:t>
      </w:r>
      <w:r>
        <w:t>Box</w:t>
      </w:r>
      <w:r>
        <w:rPr>
          <w:spacing w:val="-3"/>
        </w:rPr>
        <w:t xml:space="preserve"> </w:t>
      </w:r>
      <w:r>
        <w:rPr>
          <w:spacing w:val="-2"/>
        </w:rPr>
        <w:t>1.2).</w:t>
      </w:r>
    </w:p>
    <w:p w14:paraId="69D7B6E5" w14:textId="77777777" w:rsidR="00811A4B" w:rsidRDefault="00811A4B" w:rsidP="00085E50">
      <w:r>
        <w:t>At the same time, the financial costs have been much larger than was expected. This reflects that interest rates have had to rise much faster than was contemplated in response to stronger than expected inflation.</w:t>
      </w:r>
    </w:p>
    <w:p w14:paraId="13906881" w14:textId="77777777" w:rsidR="00811A4B" w:rsidRDefault="00811A4B" w:rsidP="00085E50">
      <w:r>
        <w:t>To the Review, this episode highlights the value in undertaking thorough risk assessments</w:t>
      </w:r>
      <w:r>
        <w:rPr>
          <w:spacing w:val="80"/>
          <w:w w:val="150"/>
        </w:rPr>
        <w:t xml:space="preserve"> </w:t>
      </w:r>
      <w:r>
        <w:t>for new policy options in advance, and after the fact, in drawing lessons from them for future decision making.</w:t>
      </w:r>
    </w:p>
    <w:p w14:paraId="4886863C" w14:textId="77777777" w:rsidR="00811A4B" w:rsidRDefault="00811A4B" w:rsidP="00085E50">
      <w:pPr>
        <w:pStyle w:val="Heading4"/>
      </w:pPr>
      <w:r>
        <w:t>Ongoing</w:t>
      </w:r>
      <w:r>
        <w:rPr>
          <w:spacing w:val="-1"/>
        </w:rPr>
        <w:t xml:space="preserve"> </w:t>
      </w:r>
      <w:r>
        <w:t xml:space="preserve">risk monitoring and </w:t>
      </w:r>
      <w:r>
        <w:rPr>
          <w:spacing w:val="-2"/>
        </w:rPr>
        <w:t>assessments</w:t>
      </w:r>
    </w:p>
    <w:p w14:paraId="047A4BD8" w14:textId="6BD87DEA" w:rsidR="00D63FFE" w:rsidRDefault="00811A4B" w:rsidP="00811A4B">
      <w:r>
        <w:t>The</w:t>
      </w:r>
      <w:r>
        <w:rPr>
          <w:spacing w:val="-12"/>
        </w:rPr>
        <w:t xml:space="preserve"> </w:t>
      </w:r>
      <w:r>
        <w:t>RBA’s</w:t>
      </w:r>
      <w:r>
        <w:rPr>
          <w:spacing w:val="-12"/>
        </w:rPr>
        <w:t xml:space="preserve"> </w:t>
      </w:r>
      <w:r>
        <w:t>processes</w:t>
      </w:r>
      <w:r>
        <w:rPr>
          <w:spacing w:val="-12"/>
        </w:rPr>
        <w:t xml:space="preserve"> </w:t>
      </w:r>
      <w:r>
        <w:t>for</w:t>
      </w:r>
      <w:r>
        <w:rPr>
          <w:spacing w:val="-11"/>
        </w:rPr>
        <w:t xml:space="preserve"> </w:t>
      </w:r>
      <w:r>
        <w:t>monitoring</w:t>
      </w:r>
      <w:r>
        <w:rPr>
          <w:spacing w:val="-12"/>
        </w:rPr>
        <w:t xml:space="preserve"> </w:t>
      </w:r>
      <w:r>
        <w:t>ongoing</w:t>
      </w:r>
      <w:r>
        <w:rPr>
          <w:spacing w:val="-12"/>
        </w:rPr>
        <w:t xml:space="preserve"> </w:t>
      </w:r>
      <w:r>
        <w:t>financial</w:t>
      </w:r>
      <w:r>
        <w:rPr>
          <w:spacing w:val="-11"/>
        </w:rPr>
        <w:t xml:space="preserve"> </w:t>
      </w:r>
      <w:r>
        <w:t>risks</w:t>
      </w:r>
      <w:r>
        <w:rPr>
          <w:spacing w:val="-12"/>
        </w:rPr>
        <w:t xml:space="preserve"> </w:t>
      </w:r>
      <w:r>
        <w:t>related</w:t>
      </w:r>
      <w:r>
        <w:rPr>
          <w:spacing w:val="-12"/>
        </w:rPr>
        <w:t xml:space="preserve"> </w:t>
      </w:r>
      <w:r>
        <w:t>to</w:t>
      </w:r>
      <w:r>
        <w:rPr>
          <w:spacing w:val="-11"/>
        </w:rPr>
        <w:t xml:space="preserve"> </w:t>
      </w:r>
      <w:r>
        <w:t>the</w:t>
      </w:r>
      <w:r>
        <w:rPr>
          <w:spacing w:val="-12"/>
        </w:rPr>
        <w:t xml:space="preserve"> </w:t>
      </w:r>
      <w:r>
        <w:t>bond</w:t>
      </w:r>
      <w:r>
        <w:rPr>
          <w:spacing w:val="-12"/>
        </w:rPr>
        <w:t xml:space="preserve"> </w:t>
      </w:r>
      <w:r>
        <w:t>purchase</w:t>
      </w:r>
      <w:r>
        <w:rPr>
          <w:spacing w:val="-11"/>
        </w:rPr>
        <w:t xml:space="preserve"> </w:t>
      </w:r>
      <w:r>
        <w:t>program</w:t>
      </w:r>
      <w:r>
        <w:rPr>
          <w:spacing w:val="-12"/>
        </w:rPr>
        <w:t xml:space="preserve"> </w:t>
      </w:r>
      <w:r>
        <w:t>and the</w:t>
      </w:r>
      <w:r>
        <w:rPr>
          <w:spacing w:val="-3"/>
        </w:rPr>
        <w:t xml:space="preserve"> </w:t>
      </w:r>
      <w:r>
        <w:t>Term</w:t>
      </w:r>
      <w:r>
        <w:rPr>
          <w:spacing w:val="-3"/>
        </w:rPr>
        <w:t xml:space="preserve"> </w:t>
      </w:r>
      <w:r>
        <w:t>Funding</w:t>
      </w:r>
      <w:r>
        <w:rPr>
          <w:spacing w:val="-3"/>
        </w:rPr>
        <w:t xml:space="preserve"> </w:t>
      </w:r>
      <w:r>
        <w:t>Facility</w:t>
      </w:r>
      <w:r>
        <w:rPr>
          <w:spacing w:val="-3"/>
        </w:rPr>
        <w:t xml:space="preserve"> </w:t>
      </w:r>
      <w:r>
        <w:t>were</w:t>
      </w:r>
      <w:r>
        <w:rPr>
          <w:spacing w:val="-3"/>
        </w:rPr>
        <w:t xml:space="preserve"> </w:t>
      </w:r>
      <w:r>
        <w:t>incomplete.</w:t>
      </w:r>
      <w:r>
        <w:rPr>
          <w:spacing w:val="-3"/>
        </w:rPr>
        <w:t xml:space="preserve"> </w:t>
      </w:r>
      <w:r>
        <w:t>In</w:t>
      </w:r>
      <w:r>
        <w:rPr>
          <w:spacing w:val="-3"/>
        </w:rPr>
        <w:t xml:space="preserve"> </w:t>
      </w:r>
      <w:r>
        <w:t>particular,</w:t>
      </w:r>
      <w:r>
        <w:rPr>
          <w:spacing w:val="-3"/>
        </w:rPr>
        <w:t xml:space="preserve"> </w:t>
      </w:r>
      <w:r>
        <w:t>the</w:t>
      </w:r>
      <w:r>
        <w:rPr>
          <w:spacing w:val="-3"/>
        </w:rPr>
        <w:t xml:space="preserve"> </w:t>
      </w:r>
      <w:r>
        <w:t>RBA’s</w:t>
      </w:r>
      <w:r>
        <w:rPr>
          <w:spacing w:val="-3"/>
        </w:rPr>
        <w:t xml:space="preserve"> </w:t>
      </w:r>
      <w:r>
        <w:t>regular</w:t>
      </w:r>
      <w:r>
        <w:rPr>
          <w:spacing w:val="-3"/>
        </w:rPr>
        <w:t xml:space="preserve"> </w:t>
      </w:r>
      <w:r>
        <w:t>risk</w:t>
      </w:r>
      <w:r>
        <w:rPr>
          <w:spacing w:val="-3"/>
        </w:rPr>
        <w:t xml:space="preserve"> </w:t>
      </w:r>
      <w:r>
        <w:t>assessments</w:t>
      </w:r>
      <w:r>
        <w:rPr>
          <w:spacing w:val="-3"/>
        </w:rPr>
        <w:t xml:space="preserve"> </w:t>
      </w:r>
      <w:r>
        <w:t>did</w:t>
      </w:r>
      <w:r>
        <w:rPr>
          <w:spacing w:val="-3"/>
        </w:rPr>
        <w:t xml:space="preserve"> </w:t>
      </w:r>
      <w:r>
        <w:t>not pay</w:t>
      </w:r>
      <w:r>
        <w:rPr>
          <w:spacing w:val="-1"/>
        </w:rPr>
        <w:t xml:space="preserve"> </w:t>
      </w:r>
      <w:r>
        <w:t>sufficient</w:t>
      </w:r>
      <w:r>
        <w:rPr>
          <w:spacing w:val="-1"/>
        </w:rPr>
        <w:t xml:space="preserve"> </w:t>
      </w:r>
      <w:r>
        <w:t>attention</w:t>
      </w:r>
      <w:r>
        <w:rPr>
          <w:spacing w:val="-1"/>
        </w:rPr>
        <w:t xml:space="preserve"> </w:t>
      </w:r>
      <w:r>
        <w:t>to</w:t>
      </w:r>
      <w:r>
        <w:rPr>
          <w:spacing w:val="-1"/>
        </w:rPr>
        <w:t xml:space="preserve"> </w:t>
      </w:r>
      <w:r>
        <w:t>the</w:t>
      </w:r>
      <w:r>
        <w:rPr>
          <w:spacing w:val="-1"/>
        </w:rPr>
        <w:t xml:space="preserve"> </w:t>
      </w:r>
      <w:r>
        <w:t>risks</w:t>
      </w:r>
      <w:r>
        <w:rPr>
          <w:spacing w:val="-1"/>
        </w:rPr>
        <w:t xml:space="preserve"> </w:t>
      </w:r>
      <w:r>
        <w:t>posed</w:t>
      </w:r>
      <w:r>
        <w:rPr>
          <w:spacing w:val="-1"/>
        </w:rPr>
        <w:t xml:space="preserve"> </w:t>
      </w:r>
      <w:r>
        <w:t>to</w:t>
      </w:r>
      <w:r>
        <w:rPr>
          <w:spacing w:val="-1"/>
        </w:rPr>
        <w:t xml:space="preserve"> </w:t>
      </w:r>
      <w:r>
        <w:t>the</w:t>
      </w:r>
      <w:r>
        <w:rPr>
          <w:spacing w:val="-1"/>
        </w:rPr>
        <w:t xml:space="preserve"> </w:t>
      </w:r>
      <w:r>
        <w:t>RBA’s</w:t>
      </w:r>
      <w:r>
        <w:rPr>
          <w:spacing w:val="-1"/>
        </w:rPr>
        <w:t xml:space="preserve"> </w:t>
      </w:r>
      <w:r>
        <w:t>earnings</w:t>
      </w:r>
      <w:r>
        <w:rPr>
          <w:spacing w:val="-1"/>
        </w:rPr>
        <w:t xml:space="preserve"> </w:t>
      </w:r>
      <w:r>
        <w:t>if</w:t>
      </w:r>
      <w:r>
        <w:rPr>
          <w:spacing w:val="-1"/>
        </w:rPr>
        <w:t xml:space="preserve"> </w:t>
      </w:r>
      <w:r>
        <w:t>the</w:t>
      </w:r>
      <w:r>
        <w:rPr>
          <w:spacing w:val="-1"/>
        </w:rPr>
        <w:t xml:space="preserve"> </w:t>
      </w:r>
      <w:r>
        <w:t>cash</w:t>
      </w:r>
      <w:r>
        <w:rPr>
          <w:spacing w:val="-1"/>
        </w:rPr>
        <w:t xml:space="preserve"> </w:t>
      </w:r>
      <w:r>
        <w:t>rate</w:t>
      </w:r>
      <w:r>
        <w:rPr>
          <w:spacing w:val="-1"/>
        </w:rPr>
        <w:t xml:space="preserve"> </w:t>
      </w:r>
      <w:r>
        <w:t>increased</w:t>
      </w:r>
      <w:r>
        <w:rPr>
          <w:spacing w:val="-1"/>
        </w:rPr>
        <w:t xml:space="preserve"> </w:t>
      </w:r>
      <w:r>
        <w:t>by</w:t>
      </w:r>
      <w:r>
        <w:rPr>
          <w:spacing w:val="-1"/>
        </w:rPr>
        <w:t xml:space="preserve"> </w:t>
      </w:r>
      <w:r>
        <w:t>more than</w:t>
      </w:r>
      <w:r>
        <w:rPr>
          <w:spacing w:val="-3"/>
        </w:rPr>
        <w:t xml:space="preserve"> </w:t>
      </w:r>
      <w:r>
        <w:t>expected.</w:t>
      </w:r>
      <w:r>
        <w:rPr>
          <w:spacing w:val="-3"/>
        </w:rPr>
        <w:t xml:space="preserve"> </w:t>
      </w:r>
      <w:r>
        <w:t>These</w:t>
      </w:r>
      <w:r>
        <w:rPr>
          <w:spacing w:val="-3"/>
        </w:rPr>
        <w:t xml:space="preserve"> </w:t>
      </w:r>
      <w:r>
        <w:t>risk</w:t>
      </w:r>
      <w:r>
        <w:rPr>
          <w:spacing w:val="-3"/>
        </w:rPr>
        <w:t xml:space="preserve"> </w:t>
      </w:r>
      <w:r>
        <w:t>assessments,</w:t>
      </w:r>
      <w:r>
        <w:rPr>
          <w:spacing w:val="-3"/>
        </w:rPr>
        <w:t xml:space="preserve"> </w:t>
      </w:r>
      <w:r>
        <w:t>including</w:t>
      </w:r>
      <w:r>
        <w:rPr>
          <w:spacing w:val="-3"/>
        </w:rPr>
        <w:t xml:space="preserve"> </w:t>
      </w:r>
      <w:r>
        <w:t>written</w:t>
      </w:r>
      <w:r>
        <w:rPr>
          <w:spacing w:val="-3"/>
        </w:rPr>
        <w:t xml:space="preserve"> </w:t>
      </w:r>
      <w:r>
        <w:t>material</w:t>
      </w:r>
      <w:r>
        <w:rPr>
          <w:spacing w:val="-3"/>
        </w:rPr>
        <w:t xml:space="preserve"> </w:t>
      </w:r>
      <w:r>
        <w:t>that</w:t>
      </w:r>
      <w:r>
        <w:rPr>
          <w:spacing w:val="-3"/>
        </w:rPr>
        <w:t xml:space="preserve"> </w:t>
      </w:r>
      <w:r>
        <w:t>went</w:t>
      </w:r>
      <w:r>
        <w:rPr>
          <w:spacing w:val="-3"/>
        </w:rPr>
        <w:t xml:space="preserve"> </w:t>
      </w:r>
      <w:r>
        <w:t>to</w:t>
      </w:r>
      <w:r>
        <w:rPr>
          <w:spacing w:val="-3"/>
        </w:rPr>
        <w:t xml:space="preserve"> </w:t>
      </w:r>
      <w:r>
        <w:t>the</w:t>
      </w:r>
      <w:r>
        <w:rPr>
          <w:spacing w:val="-3"/>
        </w:rPr>
        <w:t xml:space="preserve"> </w:t>
      </w:r>
      <w:r>
        <w:t>Audit</w:t>
      </w:r>
      <w:r>
        <w:rPr>
          <w:spacing w:val="-3"/>
        </w:rPr>
        <w:t xml:space="preserve"> </w:t>
      </w:r>
      <w:r>
        <w:t>Committee, did</w:t>
      </w:r>
      <w:r>
        <w:rPr>
          <w:spacing w:val="-2"/>
        </w:rPr>
        <w:t xml:space="preserve"> </w:t>
      </w:r>
      <w:r>
        <w:t>not</w:t>
      </w:r>
      <w:r>
        <w:rPr>
          <w:spacing w:val="-2"/>
        </w:rPr>
        <w:t xml:space="preserve"> </w:t>
      </w:r>
      <w:r>
        <w:t>contain</w:t>
      </w:r>
      <w:r>
        <w:rPr>
          <w:spacing w:val="-2"/>
        </w:rPr>
        <w:t xml:space="preserve"> </w:t>
      </w:r>
      <w:r>
        <w:t>any</w:t>
      </w:r>
      <w:r>
        <w:rPr>
          <w:spacing w:val="-2"/>
        </w:rPr>
        <w:t xml:space="preserve"> </w:t>
      </w:r>
      <w:r>
        <w:t>scenario</w:t>
      </w:r>
      <w:r>
        <w:rPr>
          <w:spacing w:val="-2"/>
        </w:rPr>
        <w:t xml:space="preserve"> </w:t>
      </w:r>
      <w:r>
        <w:t>analysis</w:t>
      </w:r>
      <w:r>
        <w:rPr>
          <w:spacing w:val="-2"/>
        </w:rPr>
        <w:t xml:space="preserve"> </w:t>
      </w:r>
      <w:r>
        <w:t>detailing</w:t>
      </w:r>
      <w:r>
        <w:rPr>
          <w:spacing w:val="-2"/>
        </w:rPr>
        <w:t xml:space="preserve"> </w:t>
      </w:r>
      <w:r>
        <w:t>the</w:t>
      </w:r>
      <w:r>
        <w:rPr>
          <w:spacing w:val="-2"/>
        </w:rPr>
        <w:t xml:space="preserve"> </w:t>
      </w:r>
      <w:r>
        <w:t>earnings</w:t>
      </w:r>
      <w:r>
        <w:rPr>
          <w:spacing w:val="-2"/>
        </w:rPr>
        <w:t xml:space="preserve"> </w:t>
      </w:r>
      <w:r>
        <w:t>impact</w:t>
      </w:r>
      <w:r>
        <w:rPr>
          <w:spacing w:val="-2"/>
        </w:rPr>
        <w:t xml:space="preserve"> </w:t>
      </w:r>
      <w:r>
        <w:t>of</w:t>
      </w:r>
      <w:r>
        <w:rPr>
          <w:spacing w:val="-2"/>
        </w:rPr>
        <w:t xml:space="preserve"> </w:t>
      </w:r>
      <w:r>
        <w:t>unexpected</w:t>
      </w:r>
      <w:r>
        <w:rPr>
          <w:spacing w:val="-2"/>
        </w:rPr>
        <w:t xml:space="preserve"> </w:t>
      </w:r>
      <w:r>
        <w:t>movements</w:t>
      </w:r>
      <w:r>
        <w:rPr>
          <w:spacing w:val="-2"/>
        </w:rPr>
        <w:t xml:space="preserve"> </w:t>
      </w:r>
      <w:r>
        <w:t>in</w:t>
      </w:r>
      <w:r>
        <w:rPr>
          <w:spacing w:val="-2"/>
        </w:rPr>
        <w:t xml:space="preserve"> </w:t>
      </w:r>
      <w:r>
        <w:t>the cash rate arising from these programs until August 2022.</w:t>
      </w:r>
    </w:p>
    <w:p w14:paraId="5C598E01" w14:textId="77777777" w:rsidR="009E6A21" w:rsidRDefault="009E6A21" w:rsidP="009E6A21">
      <w:pPr>
        <w:pStyle w:val="Heading4"/>
      </w:pPr>
      <w:r>
        <w:t>Decisions</w:t>
      </w:r>
      <w:r>
        <w:rPr>
          <w:spacing w:val="5"/>
        </w:rPr>
        <w:t xml:space="preserve"> </w:t>
      </w:r>
      <w:r>
        <w:t>about</w:t>
      </w:r>
      <w:r>
        <w:rPr>
          <w:spacing w:val="6"/>
        </w:rPr>
        <w:t xml:space="preserve"> </w:t>
      </w:r>
      <w:r>
        <w:t>calendar-based</w:t>
      </w:r>
      <w:r>
        <w:rPr>
          <w:spacing w:val="6"/>
        </w:rPr>
        <w:t xml:space="preserve"> </w:t>
      </w:r>
      <w:r>
        <w:t>forward</w:t>
      </w:r>
      <w:r>
        <w:rPr>
          <w:spacing w:val="6"/>
        </w:rPr>
        <w:t xml:space="preserve"> </w:t>
      </w:r>
      <w:r>
        <w:rPr>
          <w:spacing w:val="-2"/>
        </w:rPr>
        <w:t>guidance</w:t>
      </w:r>
    </w:p>
    <w:p w14:paraId="7069D536" w14:textId="3B6FD7AD" w:rsidR="009E6A21" w:rsidRDefault="009E6A21" w:rsidP="009E6A21">
      <w:r>
        <w:t>The Reserve</w:t>
      </w:r>
      <w:r>
        <w:rPr>
          <w:spacing w:val="2"/>
        </w:rPr>
        <w:t xml:space="preserve"> </w:t>
      </w:r>
      <w:r>
        <w:t>Bank</w:t>
      </w:r>
      <w:r>
        <w:rPr>
          <w:spacing w:val="2"/>
        </w:rPr>
        <w:t xml:space="preserve"> </w:t>
      </w:r>
      <w:r>
        <w:t>Board</w:t>
      </w:r>
      <w:r>
        <w:rPr>
          <w:spacing w:val="2"/>
        </w:rPr>
        <w:t xml:space="preserve"> </w:t>
      </w:r>
      <w:r>
        <w:t>did</w:t>
      </w:r>
      <w:r>
        <w:rPr>
          <w:spacing w:val="2"/>
        </w:rPr>
        <w:t xml:space="preserve"> </w:t>
      </w:r>
      <w:r>
        <w:t>not</w:t>
      </w:r>
      <w:r>
        <w:rPr>
          <w:spacing w:val="2"/>
        </w:rPr>
        <w:t xml:space="preserve"> </w:t>
      </w:r>
      <w:r>
        <w:t>receive</w:t>
      </w:r>
      <w:r>
        <w:rPr>
          <w:spacing w:val="2"/>
        </w:rPr>
        <w:t xml:space="preserve"> </w:t>
      </w:r>
      <w:r>
        <w:t>any</w:t>
      </w:r>
      <w:r>
        <w:rPr>
          <w:spacing w:val="2"/>
        </w:rPr>
        <w:t xml:space="preserve"> </w:t>
      </w:r>
      <w:r>
        <w:t>written</w:t>
      </w:r>
      <w:r>
        <w:rPr>
          <w:spacing w:val="2"/>
        </w:rPr>
        <w:t xml:space="preserve"> </w:t>
      </w:r>
      <w:r>
        <w:t>briefings</w:t>
      </w:r>
      <w:r>
        <w:rPr>
          <w:spacing w:val="2"/>
        </w:rPr>
        <w:t xml:space="preserve"> </w:t>
      </w:r>
      <w:r>
        <w:t>proposing</w:t>
      </w:r>
      <w:r>
        <w:rPr>
          <w:spacing w:val="2"/>
        </w:rPr>
        <w:t xml:space="preserve"> </w:t>
      </w:r>
      <w:r>
        <w:t>calendar-based</w:t>
      </w:r>
      <w:r>
        <w:rPr>
          <w:spacing w:val="3"/>
        </w:rPr>
        <w:t xml:space="preserve"> </w:t>
      </w:r>
      <w:r>
        <w:rPr>
          <w:spacing w:val="-2"/>
        </w:rPr>
        <w:t xml:space="preserve">forward </w:t>
      </w:r>
      <w:r>
        <w:t>guidance</w:t>
      </w:r>
      <w:r>
        <w:rPr>
          <w:spacing w:val="-2"/>
        </w:rPr>
        <w:t xml:space="preserve"> </w:t>
      </w:r>
      <w:r>
        <w:t>before</w:t>
      </w:r>
      <w:r>
        <w:rPr>
          <w:spacing w:val="1"/>
        </w:rPr>
        <w:t xml:space="preserve"> </w:t>
      </w:r>
      <w:r>
        <w:t>it</w:t>
      </w:r>
      <w:r>
        <w:rPr>
          <w:spacing w:val="1"/>
        </w:rPr>
        <w:t xml:space="preserve"> </w:t>
      </w:r>
      <w:r>
        <w:t>was</w:t>
      </w:r>
      <w:r>
        <w:rPr>
          <w:spacing w:val="1"/>
        </w:rPr>
        <w:t xml:space="preserve"> </w:t>
      </w:r>
      <w:r>
        <w:t>introduced</w:t>
      </w:r>
      <w:r>
        <w:rPr>
          <w:spacing w:val="1"/>
        </w:rPr>
        <w:t xml:space="preserve"> </w:t>
      </w:r>
      <w:r>
        <w:t>by</w:t>
      </w:r>
      <w:r>
        <w:rPr>
          <w:spacing w:val="1"/>
        </w:rPr>
        <w:t xml:space="preserve"> </w:t>
      </w:r>
      <w:r>
        <w:t>the Governor</w:t>
      </w:r>
      <w:r>
        <w:rPr>
          <w:spacing w:val="1"/>
        </w:rPr>
        <w:t xml:space="preserve"> </w:t>
      </w:r>
      <w:r>
        <w:t>in</w:t>
      </w:r>
      <w:r>
        <w:rPr>
          <w:spacing w:val="1"/>
        </w:rPr>
        <w:t xml:space="preserve"> </w:t>
      </w:r>
      <w:r>
        <w:t>a</w:t>
      </w:r>
      <w:r>
        <w:rPr>
          <w:spacing w:val="1"/>
        </w:rPr>
        <w:t xml:space="preserve"> </w:t>
      </w:r>
      <w:r>
        <w:t>speech</w:t>
      </w:r>
      <w:r>
        <w:rPr>
          <w:spacing w:val="1"/>
        </w:rPr>
        <w:t xml:space="preserve"> </w:t>
      </w:r>
      <w:r>
        <w:t>in</w:t>
      </w:r>
      <w:r>
        <w:rPr>
          <w:spacing w:val="1"/>
        </w:rPr>
        <w:t xml:space="preserve"> </w:t>
      </w:r>
      <w:r>
        <w:t>mid-October</w:t>
      </w:r>
      <w:r>
        <w:rPr>
          <w:spacing w:val="1"/>
        </w:rPr>
        <w:t xml:space="preserve"> </w:t>
      </w:r>
      <w:r>
        <w:rPr>
          <w:spacing w:val="-2"/>
        </w:rPr>
        <w:t>2020.</w:t>
      </w:r>
    </w:p>
    <w:p w14:paraId="628AAE31" w14:textId="5C2A7290" w:rsidR="009E6A21" w:rsidRDefault="009E6A21" w:rsidP="009E6A21">
      <w:r>
        <w:t xml:space="preserve">The October 2020 meeting </w:t>
      </w:r>
      <w:r>
        <w:rPr>
          <w:i/>
        </w:rPr>
        <w:t xml:space="preserve">Minutes </w:t>
      </w:r>
      <w:r>
        <w:t>record the Board’s shift to focusing on getting actual inflation in the band before raising rates but not the introduction of a calendar-based element to the guidance. The new focus on calendar-based guidance was not presented to the Reserve Bank</w:t>
      </w:r>
      <w:r w:rsidR="006F5ABE">
        <w:t xml:space="preserve"> </w:t>
      </w:r>
      <w:r>
        <w:t>Board for decision as a policy instrument. That said, Reserve Bank Board members were aware that the RBA’s base case forecasts, along with existing guidance and the yield target, implied that the cash rate would not change for at least 3 years. The Reserve Bank Board considered in August and November 2020 scenarios under which inflation pressures turned out to be stronger than in the base case, but these scenarios did not address the implications for the policy rate and, in turn, the forward guidance.</w:t>
      </w:r>
    </w:p>
    <w:p w14:paraId="05A39E89" w14:textId="4E767691" w:rsidR="009E6A21" w:rsidRDefault="009E6A21" w:rsidP="009E6A21">
      <w:r>
        <w:t>The lack of written briefing for the Reserve Bank Board at the outset is notable given the RBA’s advice on forward guidance to the Board in 2019 which focused on the drawbacks and risks of calendar-based guidance. Based on the Review’s consultations and Reserve Bank Board materials, the introduction of calendar-based guidance was not treated in the same way as other policy</w:t>
      </w:r>
      <w:r>
        <w:rPr>
          <w:spacing w:val="40"/>
        </w:rPr>
        <w:t xml:space="preserve"> </w:t>
      </w:r>
      <w:r>
        <w:t>shifts, and there was no documented discussion of the risks and implications of this shift. The lack of consultation reduced the opportunity for the Reserve Bank Board to debate, challenge and collectively own the decision.</w:t>
      </w:r>
    </w:p>
    <w:p w14:paraId="5947D710" w14:textId="7105ABBC" w:rsidR="009E6A21" w:rsidRDefault="009E6A21" w:rsidP="009E6A21">
      <w:pPr>
        <w:rPr>
          <w:spacing w:val="-2"/>
        </w:rPr>
      </w:pPr>
      <w:r>
        <w:t>Many central banks used forward guidance during the pandemic, although the RBA’s calendar- based guidance design was different in several respects. In contrast to most of its peers, the RBA offered guidance over a long time-horizon and did not update its guidance as the economic outlook changed (Box 1.3). This made the RBA particularly vulnerable to unexpected (positive) economic developments. The Reserve Bank Board written materials also provided relatively little recognition</w:t>
      </w:r>
      <w:r>
        <w:rPr>
          <w:spacing w:val="80"/>
        </w:rPr>
        <w:t xml:space="preserve"> </w:t>
      </w:r>
      <w:r>
        <w:t>of international experience that there was a risk of guidance being misunderstood (Committee on the Global Financial System 2019) or discussion of how to exit from the guidance should upside</w:t>
      </w:r>
      <w:r>
        <w:rPr>
          <w:spacing w:val="40"/>
        </w:rPr>
        <w:t xml:space="preserve"> </w:t>
      </w:r>
      <w:r>
        <w:t>risks to inflation materialise.</w:t>
      </w: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27392A" w14:paraId="59BD47C6" w14:textId="77777777" w:rsidTr="009434C3">
        <w:tc>
          <w:tcPr>
            <w:tcW w:w="5000" w:type="pct"/>
            <w:tcBorders>
              <w:top w:val="nil"/>
              <w:left w:val="nil"/>
              <w:bottom w:val="nil"/>
              <w:right w:val="nil"/>
            </w:tcBorders>
            <w:shd w:val="clear" w:color="auto" w:fill="F9EEDB" w:themeFill="accent6"/>
          </w:tcPr>
          <w:p w14:paraId="6522865A" w14:textId="77777777" w:rsidR="0027392A" w:rsidRDefault="00811E33" w:rsidP="00811E33">
            <w:pPr>
              <w:pStyle w:val="BoxHeading"/>
            </w:pPr>
            <w:r>
              <w:lastRenderedPageBreak/>
              <w:t>Box</w:t>
            </w:r>
            <w:r>
              <w:rPr>
                <w:spacing w:val="2"/>
              </w:rPr>
              <w:t xml:space="preserve"> </w:t>
            </w:r>
            <w:r>
              <w:t>1.2:</w:t>
            </w:r>
            <w:r>
              <w:rPr>
                <w:spacing w:val="2"/>
              </w:rPr>
              <w:t xml:space="preserve"> </w:t>
            </w:r>
            <w:r>
              <w:t>Fiscal</w:t>
            </w:r>
            <w:r>
              <w:rPr>
                <w:spacing w:val="2"/>
              </w:rPr>
              <w:t xml:space="preserve"> </w:t>
            </w:r>
            <w:r>
              <w:t>costs</w:t>
            </w:r>
            <w:r>
              <w:rPr>
                <w:spacing w:val="3"/>
              </w:rPr>
              <w:t xml:space="preserve"> </w:t>
            </w:r>
            <w:r>
              <w:t>of</w:t>
            </w:r>
            <w:r>
              <w:rPr>
                <w:spacing w:val="2"/>
              </w:rPr>
              <w:t xml:space="preserve"> </w:t>
            </w:r>
            <w:r>
              <w:t>additional</w:t>
            </w:r>
            <w:r>
              <w:rPr>
                <w:spacing w:val="2"/>
              </w:rPr>
              <w:t xml:space="preserve"> </w:t>
            </w:r>
            <w:r>
              <w:t>monetary</w:t>
            </w:r>
            <w:r>
              <w:rPr>
                <w:spacing w:val="2"/>
              </w:rPr>
              <w:t xml:space="preserve"> </w:t>
            </w:r>
            <w:r>
              <w:t>policy</w:t>
            </w:r>
            <w:r>
              <w:rPr>
                <w:spacing w:val="3"/>
              </w:rPr>
              <w:t xml:space="preserve"> </w:t>
            </w:r>
            <w:r>
              <w:rPr>
                <w:spacing w:val="-4"/>
              </w:rPr>
              <w:t>tools</w:t>
            </w:r>
            <w:r w:rsidRPr="005073DA">
              <w:t xml:space="preserve"> </w:t>
            </w:r>
            <w:r w:rsidR="0027392A" w:rsidRPr="005073DA">
              <w:t>Box text</w:t>
            </w:r>
          </w:p>
          <w:p w14:paraId="7FAE909B" w14:textId="77777777" w:rsidR="009434C3" w:rsidRDefault="009434C3" w:rsidP="00FF6583">
            <w:r>
              <w:t>The Reserve Bank Board’s use of additional monetary policy tools at the start of the COVID-19 pandemic resulted in a significant expansion of the RBA’s balance sheet. The RBA’s assets expanded as it purchased government bonds (under the bond purchase program) and</w:t>
            </w:r>
            <w:r>
              <w:rPr>
                <w:spacing w:val="80"/>
              </w:rPr>
              <w:t xml:space="preserve"> </w:t>
            </w:r>
            <w:r>
              <w:t>issued banks with 3-year loans at a fixed interest rate (under the Term Funding Facility). The RBA’s liabilities expanded as it funded bond purchases and loans by crediting the exchange settlement accounts of the respective financial institutions.</w:t>
            </w:r>
          </w:p>
          <w:p w14:paraId="110DD853" w14:textId="7A0FD014" w:rsidR="009434C3" w:rsidRDefault="009434C3" w:rsidP="00FF6583">
            <w:r>
              <w:t>The</w:t>
            </w:r>
            <w:r>
              <w:rPr>
                <w:spacing w:val="-1"/>
              </w:rPr>
              <w:t xml:space="preserve"> </w:t>
            </w:r>
            <w:r>
              <w:t>RBA</w:t>
            </w:r>
            <w:r>
              <w:rPr>
                <w:spacing w:val="1"/>
              </w:rPr>
              <w:t xml:space="preserve"> </w:t>
            </w:r>
            <w:r>
              <w:t>projects</w:t>
            </w:r>
            <w:r>
              <w:rPr>
                <w:spacing w:val="1"/>
              </w:rPr>
              <w:t xml:space="preserve"> </w:t>
            </w:r>
            <w:r>
              <w:t>that</w:t>
            </w:r>
            <w:r>
              <w:rPr>
                <w:spacing w:val="1"/>
              </w:rPr>
              <w:t xml:space="preserve"> </w:t>
            </w:r>
            <w:r>
              <w:t>the</w:t>
            </w:r>
            <w:r>
              <w:rPr>
                <w:spacing w:val="1"/>
              </w:rPr>
              <w:t xml:space="preserve"> </w:t>
            </w:r>
            <w:r>
              <w:t>cumulative</w:t>
            </w:r>
            <w:r>
              <w:rPr>
                <w:spacing w:val="1"/>
              </w:rPr>
              <w:t xml:space="preserve"> </w:t>
            </w:r>
            <w:r>
              <w:t>financial</w:t>
            </w:r>
            <w:r>
              <w:rPr>
                <w:spacing w:val="1"/>
              </w:rPr>
              <w:t xml:space="preserve"> </w:t>
            </w:r>
            <w:r>
              <w:t>cost</w:t>
            </w:r>
            <w:r>
              <w:rPr>
                <w:spacing w:val="1"/>
              </w:rPr>
              <w:t xml:space="preserve"> </w:t>
            </w:r>
            <w:r>
              <w:t>of</w:t>
            </w:r>
            <w:r>
              <w:rPr>
                <w:spacing w:val="1"/>
              </w:rPr>
              <w:t xml:space="preserve"> </w:t>
            </w:r>
            <w:r>
              <w:t>the</w:t>
            </w:r>
            <w:r>
              <w:rPr>
                <w:spacing w:val="1"/>
              </w:rPr>
              <w:t xml:space="preserve"> </w:t>
            </w:r>
            <w:r>
              <w:t>bond</w:t>
            </w:r>
            <w:r>
              <w:rPr>
                <w:spacing w:val="1"/>
              </w:rPr>
              <w:t xml:space="preserve"> </w:t>
            </w:r>
            <w:r>
              <w:t>purchase</w:t>
            </w:r>
            <w:r>
              <w:rPr>
                <w:spacing w:val="1"/>
              </w:rPr>
              <w:t xml:space="preserve"> </w:t>
            </w:r>
            <w:r>
              <w:t>program</w:t>
            </w:r>
            <w:r>
              <w:rPr>
                <w:spacing w:val="1"/>
              </w:rPr>
              <w:t xml:space="preserve"> </w:t>
            </w:r>
            <w:r>
              <w:t>to</w:t>
            </w:r>
            <w:r>
              <w:rPr>
                <w:spacing w:val="2"/>
              </w:rPr>
              <w:t xml:space="preserve"> </w:t>
            </w:r>
            <w:r>
              <w:rPr>
                <w:spacing w:val="-5"/>
              </w:rPr>
              <w:t>its</w:t>
            </w:r>
            <w:r w:rsidR="00FF6583">
              <w:rPr>
                <w:spacing w:val="-5"/>
              </w:rPr>
              <w:t xml:space="preserve"> </w:t>
            </w:r>
            <w:r>
              <w:t>underlying</w:t>
            </w:r>
            <w:r>
              <w:rPr>
                <w:spacing w:val="-2"/>
              </w:rPr>
              <w:t xml:space="preserve"> </w:t>
            </w:r>
            <w:r>
              <w:t>earnings</w:t>
            </w:r>
            <w:r>
              <w:rPr>
                <w:spacing w:val="1"/>
              </w:rPr>
              <w:t xml:space="preserve"> </w:t>
            </w:r>
            <w:r>
              <w:t>over</w:t>
            </w:r>
            <w:r>
              <w:rPr>
                <w:spacing w:val="1"/>
              </w:rPr>
              <w:t xml:space="preserve"> </w:t>
            </w:r>
            <w:r>
              <w:t>the</w:t>
            </w:r>
            <w:r>
              <w:rPr>
                <w:spacing w:val="1"/>
              </w:rPr>
              <w:t xml:space="preserve"> </w:t>
            </w:r>
            <w:r>
              <w:t>next</w:t>
            </w:r>
            <w:r>
              <w:rPr>
                <w:spacing w:val="1"/>
              </w:rPr>
              <w:t xml:space="preserve"> </w:t>
            </w:r>
            <w:r>
              <w:t>decade</w:t>
            </w:r>
            <w:r>
              <w:rPr>
                <w:spacing w:val="1"/>
              </w:rPr>
              <w:t xml:space="preserve"> </w:t>
            </w:r>
            <w:r>
              <w:t>is</w:t>
            </w:r>
            <w:r>
              <w:rPr>
                <w:spacing w:val="1"/>
              </w:rPr>
              <w:t xml:space="preserve"> </w:t>
            </w:r>
            <w:r>
              <w:t>likely</w:t>
            </w:r>
            <w:r>
              <w:rPr>
                <w:spacing w:val="1"/>
              </w:rPr>
              <w:t xml:space="preserve"> </w:t>
            </w:r>
            <w:r>
              <w:t>to</w:t>
            </w:r>
            <w:r>
              <w:rPr>
                <w:spacing w:val="1"/>
              </w:rPr>
              <w:t xml:space="preserve"> </w:t>
            </w:r>
            <w:r>
              <w:t>be</w:t>
            </w:r>
            <w:r>
              <w:rPr>
                <w:spacing w:val="1"/>
              </w:rPr>
              <w:t xml:space="preserve"> </w:t>
            </w:r>
            <w:r>
              <w:t>large,</w:t>
            </w:r>
            <w:r>
              <w:rPr>
                <w:spacing w:val="1"/>
              </w:rPr>
              <w:t xml:space="preserve"> </w:t>
            </w:r>
            <w:r>
              <w:t>at</w:t>
            </w:r>
            <w:r>
              <w:rPr>
                <w:spacing w:val="1"/>
              </w:rPr>
              <w:t xml:space="preserve"> </w:t>
            </w:r>
            <w:r>
              <w:t>between</w:t>
            </w:r>
            <w:r>
              <w:rPr>
                <w:spacing w:val="1"/>
              </w:rPr>
              <w:t xml:space="preserve"> </w:t>
            </w:r>
            <w:r>
              <w:t>$35</w:t>
            </w:r>
            <w:r>
              <w:rPr>
                <w:spacing w:val="1"/>
              </w:rPr>
              <w:t xml:space="preserve"> </w:t>
            </w:r>
            <w:r>
              <w:t>billion</w:t>
            </w:r>
            <w:r>
              <w:rPr>
                <w:spacing w:val="1"/>
              </w:rPr>
              <w:t xml:space="preserve"> </w:t>
            </w:r>
            <w:r>
              <w:rPr>
                <w:spacing w:val="-5"/>
              </w:rPr>
              <w:t>and</w:t>
            </w:r>
            <w:r w:rsidR="00FF6583">
              <w:rPr>
                <w:spacing w:val="-5"/>
              </w:rPr>
              <w:t xml:space="preserve"> </w:t>
            </w:r>
            <w:r>
              <w:t>$58</w:t>
            </w:r>
            <w:r w:rsidR="00FF6583">
              <w:t> </w:t>
            </w:r>
            <w:r>
              <w:t>billion (RBA 2022b). The RBA provided information to the Review indicating that the cost</w:t>
            </w:r>
            <w:r>
              <w:rPr>
                <w:spacing w:val="40"/>
              </w:rPr>
              <w:t xml:space="preserve"> </w:t>
            </w:r>
            <w:r>
              <w:t>of the Term Funding Facility is also likely to be large, in the order of $8 billion. These programs incur a substantial cost because the interest rate paid by the RBA on reserves used to fund bond purchases and the Term Funding Facility are linked to the cash rate (and so have increased significantly recently), while the returns on the corresponding assets are fixed. At</w:t>
            </w:r>
            <w:r>
              <w:rPr>
                <w:spacing w:val="40"/>
              </w:rPr>
              <w:t xml:space="preserve"> </w:t>
            </w:r>
            <w:r>
              <w:t>the same time, the market value of bonds purchased by the RBA have declined as bond yields have risen, resulting in large unrealised valuation losses.</w:t>
            </w:r>
          </w:p>
          <w:p w14:paraId="5B309495" w14:textId="77777777" w:rsidR="009434C3" w:rsidRDefault="009434C3" w:rsidP="00FF6583">
            <w:r>
              <w:t>The ultimate financial gain or loss for both programs is not yet certain, however, and will depend on the path of the cash rate in coming years. It is also important to note that these estimates do not capture the full effect of the schemes on the public finances. For example, the schemes are likely to have lowered the cost of government debt issuance somewhat, as well as raising revenue and reducing expenditure through the modest boost they provided to economic activity.</w:t>
            </w:r>
          </w:p>
          <w:p w14:paraId="71C10D50" w14:textId="77777777" w:rsidR="009434C3" w:rsidRDefault="009434C3" w:rsidP="00FF6583">
            <w:r>
              <w:t>Many other advanced central banks have reported significant losses from their use of additional monetary policy tools in the pandemic, including the US Federal Reserve, Bank of England and the Bank of Canada. For example, Levin and others (2022) estimated that the US Federal Reserve’s pandemic quantitative easing program will reduce dividends to the US Government by US$760 billion over the next decade.</w:t>
            </w:r>
          </w:p>
          <w:p w14:paraId="1628B991" w14:textId="52AFA662" w:rsidR="009434C3" w:rsidRDefault="009434C3" w:rsidP="00FF6583">
            <w:r>
              <w:t>The RBA’s losses will ultimately result in lower government revenue than otherwise. The RBA has indicated that its preference is to offset accumulated losses and replenish its capital before resuming paying dividends to the Government. In its 2022 Annual Report, the RBA did not expect these conditions to be met within its projection period, which extended to 2032 (RBA 2022c). By contrast, the average annual dividend paid to the Australian Government in the 5</w:t>
            </w:r>
            <w:r w:rsidR="00FF6583">
              <w:t> </w:t>
            </w:r>
            <w:r>
              <w:t>years prior to the pandemic was $1.7 billion.</w:t>
            </w:r>
          </w:p>
          <w:p w14:paraId="3FDC49B7" w14:textId="69FB70C3" w:rsidR="00811E33" w:rsidRDefault="009434C3" w:rsidP="009434C3">
            <w:r>
              <w:t>A lesson from this episode is that additional monetary policies that entail asset purchases amplify the interactions between monetary and fiscal policy, and that additional monetary policies can accrue significant fiscal costs. Therefore, they should be considered alongside the relative net benefits of other fiscal efforts to support the most effective policy mix and consideration of the risks to the public sector balance sheet as a whole</w:t>
            </w:r>
            <w:r w:rsidR="00FF6583">
              <w:t>.</w:t>
            </w:r>
          </w:p>
          <w:p w14:paraId="4C404C55" w14:textId="1C3950B8" w:rsidR="00FF6583" w:rsidRPr="00811E33" w:rsidRDefault="00FF6583" w:rsidP="00FF6583">
            <w:r>
              <w:t xml:space="preserve">The Reserve Bank Board decided not to seek a government indemnity for the bond purchase program. By contrast, some other central banks use indemnities to transfer gains or losses from asset purchases directly to the government budget. The Reserve Bank Board made a judgement that it would ultimately make no difference to the overall public sector balance sheet, as any losses from bond purchases ultimately accrue to the government balance sheet, whether via reduced dividends or an indemnity. Nonetheless, the spillovers of additional monetary policy tools to fiscal policy show the importance of ongoing discussions between monetary and fiscal authorities, including consideration in advance of the risks. Discussion regarding an indemnity is </w:t>
            </w:r>
            <w:r>
              <w:lastRenderedPageBreak/>
              <w:t>a clear mechanism to recognise these interactions between monetary and fiscal policy concretely ahead of time.</w:t>
            </w:r>
          </w:p>
        </w:tc>
      </w:tr>
    </w:tbl>
    <w:p w14:paraId="588B2204" w14:textId="3D82C27E" w:rsidR="001577E0" w:rsidRDefault="001577E0" w:rsidP="001577E0"/>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1D2D61" w14:paraId="742A2D89" w14:textId="77777777" w:rsidTr="001D2D61">
        <w:tc>
          <w:tcPr>
            <w:tcW w:w="5000" w:type="pct"/>
            <w:tcBorders>
              <w:top w:val="nil"/>
              <w:left w:val="nil"/>
              <w:bottom w:val="nil"/>
              <w:right w:val="nil"/>
            </w:tcBorders>
            <w:shd w:val="clear" w:color="auto" w:fill="F9EEDB" w:themeFill="accent6"/>
          </w:tcPr>
          <w:p w14:paraId="6C9D96F9" w14:textId="7BA91701" w:rsidR="00A30E7D" w:rsidRDefault="00A30E7D" w:rsidP="00A30E7D">
            <w:pPr>
              <w:pStyle w:val="BoxHeading"/>
              <w:rPr>
                <w:rFonts w:ascii="Open Sans"/>
                <w:b w:val="0"/>
                <w:color w:val="000000"/>
                <w:sz w:val="18"/>
              </w:rPr>
            </w:pPr>
            <w:r>
              <w:t>Box 1.3: Internationa</w:t>
            </w:r>
            <w:r w:rsidRPr="00A30E7D">
              <w:t>l comparison of the use of forward guidance during the COVID-19 pandemic</w:t>
            </w:r>
          </w:p>
          <w:p w14:paraId="73611479" w14:textId="77777777" w:rsidR="00FC7202" w:rsidRDefault="00FC7202" w:rsidP="00FC7202">
            <w:pPr>
              <w:pStyle w:val="BoxText"/>
            </w:pPr>
            <w:r>
              <w:t>Most advanced economy central banks used some form of forward guidance during the pandemic. The most common form of guidance was state-based guidance. The US Federal Reserve, the Bank of England and Bank of Japan all offered solely state-based guidance, linking a future increase in the policy rate explicitly to progress towards its inflation target. Like the RBA, most other comparable central banks provided some form of calendar-based guidance alongside state-based guidance.</w:t>
            </w:r>
          </w:p>
          <w:p w14:paraId="73328521" w14:textId="6E5B608A" w:rsidR="001D2D61" w:rsidRPr="005073DA" w:rsidRDefault="00FC7202" w:rsidP="00FC7202">
            <w:pPr>
              <w:pStyle w:val="BoxText"/>
            </w:pPr>
            <w:r>
              <w:t>Relative to the RBA, most other central banks that offered calendar-based guidance provided it over a shorter time horizon or updated it more frequently than the RBA (Table 1.3). For example, the Reserve Bank of New Zealand and Norges Bank provided calendar-based guidance, but only for 12-month and 6-month periods, respectively. The Bank of Canada provided 3-year guidance in 2020, but this was updated and shortened twice in 2021 as the economic outlook improved. The Sveriges Riksbank was the only comparable central bank to offer guidance out to 2024 for a similar length of time as the RBA.</w:t>
            </w:r>
          </w:p>
        </w:tc>
      </w:tr>
    </w:tbl>
    <w:p w14:paraId="43CCF7CE" w14:textId="77777777" w:rsidR="001577E0" w:rsidRDefault="001577E0">
      <w:pPr>
        <w:spacing w:before="0" w:after="160" w:line="259" w:lineRule="auto"/>
        <w:rPr>
          <w:spacing w:val="-2"/>
        </w:rPr>
      </w:pPr>
    </w:p>
    <w:p w14:paraId="295E1A63" w14:textId="1EA04F5E" w:rsidR="00D63FFE" w:rsidRDefault="00D63FFE">
      <w:pPr>
        <w:spacing w:before="0" w:after="160" w:line="259" w:lineRule="auto"/>
        <w:rPr>
          <w:spacing w:val="-2"/>
        </w:rPr>
      </w:pPr>
      <w:r>
        <w:rPr>
          <w:spacing w:val="-2"/>
        </w:rPr>
        <w:br w:type="page"/>
      </w:r>
    </w:p>
    <w:p w14:paraId="3886C7D8" w14:textId="77777777" w:rsidR="000078A2" w:rsidRDefault="000078A2" w:rsidP="00F044D1">
      <w:pPr>
        <w:pStyle w:val="BoxHeading"/>
      </w:pPr>
      <w:r>
        <w:lastRenderedPageBreak/>
        <w:t>Table</w:t>
      </w:r>
      <w:r>
        <w:rPr>
          <w:spacing w:val="1"/>
        </w:rPr>
        <w:t xml:space="preserve"> </w:t>
      </w:r>
      <w:r>
        <w:t>1.3:</w:t>
      </w:r>
      <w:r>
        <w:rPr>
          <w:spacing w:val="2"/>
        </w:rPr>
        <w:t xml:space="preserve"> </w:t>
      </w:r>
      <w:r>
        <w:t>Use</w:t>
      </w:r>
      <w:r>
        <w:rPr>
          <w:spacing w:val="2"/>
        </w:rPr>
        <w:t xml:space="preserve"> </w:t>
      </w:r>
      <w:r>
        <w:t>of</w:t>
      </w:r>
      <w:r>
        <w:rPr>
          <w:spacing w:val="1"/>
        </w:rPr>
        <w:t xml:space="preserve"> </w:t>
      </w:r>
      <w:r>
        <w:t>calendar-based</w:t>
      </w:r>
      <w:r>
        <w:rPr>
          <w:spacing w:val="2"/>
        </w:rPr>
        <w:t xml:space="preserve"> </w:t>
      </w:r>
      <w:r>
        <w:t>forward</w:t>
      </w:r>
      <w:r>
        <w:rPr>
          <w:spacing w:val="2"/>
        </w:rPr>
        <w:t xml:space="preserve"> </w:t>
      </w:r>
      <w:r>
        <w:rPr>
          <w:spacing w:val="-2"/>
        </w:rPr>
        <w:t>guidance</w:t>
      </w:r>
    </w:p>
    <w:tbl>
      <w:tblPr>
        <w:tblW w:w="5000" w:type="pct"/>
        <w:tblBorders>
          <w:top w:val="single" w:sz="2" w:space="0" w:color="204160"/>
          <w:left w:val="single" w:sz="2" w:space="0" w:color="204160"/>
          <w:bottom w:val="single" w:sz="2" w:space="0" w:color="204160"/>
          <w:right w:val="single" w:sz="2" w:space="0" w:color="204160"/>
          <w:insideH w:val="single" w:sz="2" w:space="0" w:color="204160"/>
          <w:insideV w:val="single" w:sz="2" w:space="0" w:color="204160"/>
        </w:tblBorders>
        <w:shd w:val="clear" w:color="auto" w:fill="FFFFFF" w:themeFill="background1"/>
        <w:tblCellMar>
          <w:left w:w="0" w:type="dxa"/>
          <w:right w:w="0" w:type="dxa"/>
        </w:tblCellMar>
        <w:tblLook w:val="01E0" w:firstRow="1" w:lastRow="1" w:firstColumn="1" w:lastColumn="1" w:noHBand="0" w:noVBand="0"/>
      </w:tblPr>
      <w:tblGrid>
        <w:gridCol w:w="1799"/>
        <w:gridCol w:w="7271"/>
      </w:tblGrid>
      <w:tr w:rsidR="008B1969" w14:paraId="75649398" w14:textId="77777777" w:rsidTr="00634496">
        <w:trPr>
          <w:trHeight w:val="477"/>
        </w:trPr>
        <w:tc>
          <w:tcPr>
            <w:tcW w:w="992" w:type="pct"/>
            <w:tcBorders>
              <w:top w:val="nil"/>
              <w:left w:val="nil"/>
              <w:bottom w:val="single" w:sz="4" w:space="0" w:color="auto"/>
            </w:tcBorders>
            <w:shd w:val="clear" w:color="auto" w:fill="FFFFFF" w:themeFill="background1"/>
          </w:tcPr>
          <w:p w14:paraId="16819148" w14:textId="77777777" w:rsidR="008B1969" w:rsidRPr="000078A2" w:rsidRDefault="008B1969" w:rsidP="00F22AE5">
            <w:pPr>
              <w:pStyle w:val="TableParagraph"/>
              <w:spacing w:before="115"/>
              <w:ind w:left="110"/>
              <w:rPr>
                <w:rFonts w:ascii="Calibri Light" w:hAnsi="Calibri Light" w:cs="Calibri Light"/>
                <w:b/>
                <w:szCs w:val="28"/>
              </w:rPr>
            </w:pPr>
            <w:bookmarkStart w:id="29" w:name="_Hlk133507653"/>
            <w:r w:rsidRPr="000078A2">
              <w:rPr>
                <w:rFonts w:ascii="Calibri Light" w:hAnsi="Calibri Light" w:cs="Calibri Light"/>
                <w:b/>
                <w:color w:val="204160"/>
                <w:szCs w:val="28"/>
              </w:rPr>
              <w:t>Central</w:t>
            </w:r>
            <w:r w:rsidRPr="000078A2">
              <w:rPr>
                <w:rFonts w:ascii="Calibri Light" w:hAnsi="Calibri Light" w:cs="Calibri Light"/>
                <w:b/>
                <w:color w:val="204160"/>
                <w:spacing w:val="-3"/>
                <w:szCs w:val="28"/>
              </w:rPr>
              <w:t xml:space="preserve"> </w:t>
            </w:r>
            <w:r w:rsidRPr="000078A2">
              <w:rPr>
                <w:rFonts w:ascii="Calibri Light" w:hAnsi="Calibri Light" w:cs="Calibri Light"/>
                <w:b/>
                <w:color w:val="204160"/>
                <w:spacing w:val="-4"/>
                <w:szCs w:val="28"/>
              </w:rPr>
              <w:t>Bank</w:t>
            </w:r>
          </w:p>
        </w:tc>
        <w:tc>
          <w:tcPr>
            <w:tcW w:w="4008" w:type="pct"/>
            <w:tcBorders>
              <w:top w:val="nil"/>
              <w:bottom w:val="single" w:sz="4" w:space="0" w:color="auto"/>
              <w:right w:val="nil"/>
            </w:tcBorders>
            <w:shd w:val="clear" w:color="auto" w:fill="FFFFFF" w:themeFill="background1"/>
          </w:tcPr>
          <w:p w14:paraId="03AF4130" w14:textId="77777777" w:rsidR="008B1969" w:rsidRPr="000078A2" w:rsidRDefault="008B1969" w:rsidP="00F22AE5">
            <w:pPr>
              <w:pStyle w:val="TableParagraph"/>
              <w:spacing w:before="115"/>
              <w:ind w:left="167"/>
              <w:rPr>
                <w:rFonts w:ascii="Calibri Light" w:hAnsi="Calibri Light" w:cs="Calibri Light"/>
                <w:b/>
                <w:szCs w:val="28"/>
              </w:rPr>
            </w:pPr>
            <w:r w:rsidRPr="000078A2">
              <w:rPr>
                <w:rFonts w:ascii="Calibri Light" w:hAnsi="Calibri Light" w:cs="Calibri Light"/>
                <w:b/>
                <w:color w:val="204160"/>
                <w:szCs w:val="28"/>
              </w:rPr>
              <w:t>Summary</w:t>
            </w:r>
            <w:r w:rsidRPr="000078A2">
              <w:rPr>
                <w:rFonts w:ascii="Calibri Light" w:hAnsi="Calibri Light" w:cs="Calibri Light"/>
                <w:b/>
                <w:color w:val="204160"/>
                <w:spacing w:val="2"/>
                <w:szCs w:val="28"/>
              </w:rPr>
              <w:t xml:space="preserve"> </w:t>
            </w:r>
            <w:r w:rsidRPr="000078A2">
              <w:rPr>
                <w:rFonts w:ascii="Calibri Light" w:hAnsi="Calibri Light" w:cs="Calibri Light"/>
                <w:b/>
                <w:color w:val="204160"/>
                <w:szCs w:val="28"/>
              </w:rPr>
              <w:t>of</w:t>
            </w:r>
            <w:r w:rsidRPr="000078A2">
              <w:rPr>
                <w:rFonts w:ascii="Calibri Light" w:hAnsi="Calibri Light" w:cs="Calibri Light"/>
                <w:b/>
                <w:color w:val="204160"/>
                <w:spacing w:val="2"/>
                <w:szCs w:val="28"/>
              </w:rPr>
              <w:t xml:space="preserve"> </w:t>
            </w:r>
            <w:r w:rsidRPr="000078A2">
              <w:rPr>
                <w:rFonts w:ascii="Calibri Light" w:hAnsi="Calibri Light" w:cs="Calibri Light"/>
                <w:b/>
                <w:color w:val="204160"/>
                <w:spacing w:val="-2"/>
                <w:szCs w:val="28"/>
              </w:rPr>
              <w:t>Approach</w:t>
            </w:r>
          </w:p>
        </w:tc>
      </w:tr>
      <w:tr w:rsidR="008B1969" w14:paraId="02BAE39B" w14:textId="77777777" w:rsidTr="00634496">
        <w:trPr>
          <w:trHeight w:val="1278"/>
        </w:trPr>
        <w:tc>
          <w:tcPr>
            <w:tcW w:w="992" w:type="pct"/>
            <w:tcBorders>
              <w:top w:val="single" w:sz="4" w:space="0" w:color="auto"/>
              <w:left w:val="nil"/>
              <w:bottom w:val="single" w:sz="2" w:space="0" w:color="7F859B"/>
            </w:tcBorders>
            <w:shd w:val="clear" w:color="auto" w:fill="FFFFFF" w:themeFill="background1"/>
          </w:tcPr>
          <w:p w14:paraId="2E7F2129" w14:textId="77777777" w:rsidR="008B1969" w:rsidRPr="000078A2" w:rsidRDefault="008B1969" w:rsidP="00F22AE5">
            <w:pPr>
              <w:pStyle w:val="TableParagraph"/>
              <w:spacing w:before="183" w:line="225" w:lineRule="auto"/>
              <w:ind w:left="110" w:right="271"/>
              <w:rPr>
                <w:rFonts w:ascii="Calibri Light" w:hAnsi="Calibri Light" w:cs="Calibri Light"/>
                <w:b/>
                <w:szCs w:val="28"/>
              </w:rPr>
            </w:pPr>
            <w:r w:rsidRPr="000078A2">
              <w:rPr>
                <w:rFonts w:ascii="Calibri Light" w:hAnsi="Calibri Light" w:cs="Calibri Light"/>
                <w:b/>
                <w:spacing w:val="-2"/>
                <w:szCs w:val="28"/>
              </w:rPr>
              <w:t xml:space="preserve">Reserve </w:t>
            </w:r>
            <w:r w:rsidRPr="000078A2">
              <w:rPr>
                <w:rFonts w:ascii="Calibri Light" w:hAnsi="Calibri Light" w:cs="Calibri Light"/>
                <w:b/>
                <w:spacing w:val="-4"/>
                <w:szCs w:val="28"/>
              </w:rPr>
              <w:t>Bank</w:t>
            </w:r>
          </w:p>
          <w:p w14:paraId="5E27EDF2" w14:textId="77777777" w:rsidR="008B1969" w:rsidRPr="000078A2" w:rsidRDefault="008B1969" w:rsidP="00F22AE5">
            <w:pPr>
              <w:pStyle w:val="TableParagraph"/>
              <w:spacing w:line="233" w:lineRule="exact"/>
              <w:ind w:left="110"/>
              <w:rPr>
                <w:rFonts w:ascii="Calibri Light" w:hAnsi="Calibri Light" w:cs="Calibri Light"/>
                <w:b/>
                <w:szCs w:val="28"/>
              </w:rPr>
            </w:pPr>
            <w:r w:rsidRPr="000078A2">
              <w:rPr>
                <w:rFonts w:ascii="Calibri Light" w:hAnsi="Calibri Light" w:cs="Calibri Light"/>
                <w:b/>
                <w:szCs w:val="28"/>
              </w:rPr>
              <w:t>of</w:t>
            </w:r>
            <w:r w:rsidRPr="000078A2">
              <w:rPr>
                <w:rFonts w:ascii="Calibri Light" w:hAnsi="Calibri Light" w:cs="Calibri Light"/>
                <w:b/>
                <w:spacing w:val="-4"/>
                <w:szCs w:val="28"/>
              </w:rPr>
              <w:t xml:space="preserve"> </w:t>
            </w:r>
            <w:r w:rsidRPr="000078A2">
              <w:rPr>
                <w:rFonts w:ascii="Calibri Light" w:hAnsi="Calibri Light" w:cs="Calibri Light"/>
                <w:b/>
                <w:spacing w:val="-2"/>
                <w:szCs w:val="28"/>
              </w:rPr>
              <w:t>Australia</w:t>
            </w:r>
          </w:p>
        </w:tc>
        <w:tc>
          <w:tcPr>
            <w:tcW w:w="4008" w:type="pct"/>
            <w:tcBorders>
              <w:top w:val="single" w:sz="4" w:space="0" w:color="auto"/>
              <w:bottom w:val="single" w:sz="2" w:space="0" w:color="7F859B"/>
              <w:right w:val="nil"/>
            </w:tcBorders>
            <w:shd w:val="clear" w:color="auto" w:fill="FFFFFF" w:themeFill="background1"/>
          </w:tcPr>
          <w:p w14:paraId="3CE044C4" w14:textId="77777777" w:rsidR="008B1969" w:rsidRPr="000078A2" w:rsidRDefault="008B1969" w:rsidP="00F22AE5">
            <w:pPr>
              <w:pStyle w:val="TableParagraph"/>
              <w:spacing w:before="183" w:line="225" w:lineRule="auto"/>
              <w:ind w:left="167" w:right="78"/>
              <w:rPr>
                <w:rFonts w:ascii="Calibri Light" w:hAnsi="Calibri Light" w:cs="Calibri Light"/>
                <w:szCs w:val="28"/>
              </w:rPr>
            </w:pPr>
            <w:r w:rsidRPr="000078A2">
              <w:rPr>
                <w:rFonts w:ascii="Calibri Light" w:hAnsi="Calibri Light" w:cs="Calibri Light"/>
                <w:szCs w:val="28"/>
              </w:rPr>
              <w:t>Provided state-based guidance from March 2020 until May 2022. Calendar-based guidance was added in October 2020. The initial time horizon</w:t>
            </w:r>
            <w:r w:rsidRPr="000078A2">
              <w:rPr>
                <w:rFonts w:ascii="Calibri Light" w:hAnsi="Calibri Light" w:cs="Calibri Light"/>
                <w:spacing w:val="-3"/>
                <w:szCs w:val="28"/>
              </w:rPr>
              <w:t xml:space="preserve"> </w:t>
            </w:r>
            <w:r w:rsidRPr="000078A2">
              <w:rPr>
                <w:rFonts w:ascii="Calibri Light" w:hAnsi="Calibri Light" w:cs="Calibri Light"/>
                <w:szCs w:val="28"/>
              </w:rPr>
              <w:t>was</w:t>
            </w:r>
            <w:r w:rsidRPr="000078A2">
              <w:rPr>
                <w:rFonts w:ascii="Calibri Light" w:hAnsi="Calibri Light" w:cs="Calibri Light"/>
                <w:spacing w:val="-3"/>
                <w:szCs w:val="28"/>
              </w:rPr>
              <w:t xml:space="preserve"> </w:t>
            </w:r>
            <w:r w:rsidRPr="000078A2">
              <w:rPr>
                <w:rFonts w:ascii="Calibri Light" w:hAnsi="Calibri Light" w:cs="Calibri Light"/>
                <w:szCs w:val="28"/>
              </w:rPr>
              <w:t>3</w:t>
            </w:r>
            <w:r w:rsidRPr="000078A2">
              <w:rPr>
                <w:rFonts w:ascii="Calibri Light" w:hAnsi="Calibri Light" w:cs="Calibri Light"/>
                <w:spacing w:val="-3"/>
                <w:szCs w:val="28"/>
              </w:rPr>
              <w:t xml:space="preserve"> </w:t>
            </w:r>
            <w:r w:rsidRPr="000078A2">
              <w:rPr>
                <w:rFonts w:ascii="Calibri Light" w:hAnsi="Calibri Light" w:cs="Calibri Light"/>
                <w:szCs w:val="28"/>
              </w:rPr>
              <w:t>years,</w:t>
            </w:r>
            <w:r w:rsidRPr="000078A2">
              <w:rPr>
                <w:rFonts w:ascii="Calibri Light" w:hAnsi="Calibri Light" w:cs="Calibri Light"/>
                <w:spacing w:val="-3"/>
                <w:szCs w:val="28"/>
              </w:rPr>
              <w:t xml:space="preserve"> </w:t>
            </w:r>
            <w:r w:rsidRPr="000078A2">
              <w:rPr>
                <w:rFonts w:ascii="Calibri Light" w:hAnsi="Calibri Light" w:cs="Calibri Light"/>
                <w:szCs w:val="28"/>
              </w:rPr>
              <w:t>which</w:t>
            </w:r>
            <w:r w:rsidRPr="000078A2">
              <w:rPr>
                <w:rFonts w:ascii="Calibri Light" w:hAnsi="Calibri Light" w:cs="Calibri Light"/>
                <w:spacing w:val="-3"/>
                <w:szCs w:val="28"/>
              </w:rPr>
              <w:t xml:space="preserve"> </w:t>
            </w:r>
            <w:r w:rsidRPr="000078A2">
              <w:rPr>
                <w:rFonts w:ascii="Calibri Light" w:hAnsi="Calibri Light" w:cs="Calibri Light"/>
                <w:szCs w:val="28"/>
              </w:rPr>
              <w:t>was</w:t>
            </w:r>
            <w:r w:rsidRPr="000078A2">
              <w:rPr>
                <w:rFonts w:ascii="Calibri Light" w:hAnsi="Calibri Light" w:cs="Calibri Light"/>
                <w:spacing w:val="-3"/>
                <w:szCs w:val="28"/>
              </w:rPr>
              <w:t xml:space="preserve"> </w:t>
            </w:r>
            <w:r w:rsidRPr="000078A2">
              <w:rPr>
                <w:rFonts w:ascii="Calibri Light" w:hAnsi="Calibri Light" w:cs="Calibri Light"/>
                <w:szCs w:val="28"/>
              </w:rPr>
              <w:t>updated</w:t>
            </w:r>
            <w:r w:rsidRPr="000078A2">
              <w:rPr>
                <w:rFonts w:ascii="Calibri Light" w:hAnsi="Calibri Light" w:cs="Calibri Light"/>
                <w:spacing w:val="-3"/>
                <w:szCs w:val="28"/>
              </w:rPr>
              <w:t xml:space="preserve"> </w:t>
            </w:r>
            <w:r w:rsidRPr="000078A2">
              <w:rPr>
                <w:rFonts w:ascii="Calibri Light" w:hAnsi="Calibri Light" w:cs="Calibri Light"/>
                <w:szCs w:val="28"/>
              </w:rPr>
              <w:t>to</w:t>
            </w:r>
            <w:r w:rsidRPr="000078A2">
              <w:rPr>
                <w:rFonts w:ascii="Calibri Light" w:hAnsi="Calibri Light" w:cs="Calibri Light"/>
                <w:spacing w:val="-3"/>
                <w:szCs w:val="28"/>
              </w:rPr>
              <w:t xml:space="preserve"> </w:t>
            </w:r>
            <w:r w:rsidRPr="000078A2">
              <w:rPr>
                <w:rFonts w:ascii="Calibri Light" w:hAnsi="Calibri Light" w:cs="Calibri Light"/>
                <w:szCs w:val="28"/>
              </w:rPr>
              <w:t>‘until</w:t>
            </w:r>
            <w:r w:rsidRPr="000078A2">
              <w:rPr>
                <w:rFonts w:ascii="Calibri Light" w:hAnsi="Calibri Light" w:cs="Calibri Light"/>
                <w:spacing w:val="-3"/>
                <w:szCs w:val="28"/>
              </w:rPr>
              <w:t xml:space="preserve"> </w:t>
            </w:r>
            <w:r w:rsidRPr="000078A2">
              <w:rPr>
                <w:rFonts w:ascii="Calibri Light" w:hAnsi="Calibri Light" w:cs="Calibri Light"/>
                <w:szCs w:val="28"/>
              </w:rPr>
              <w:t>2024’</w:t>
            </w:r>
            <w:r w:rsidRPr="000078A2">
              <w:rPr>
                <w:rFonts w:ascii="Calibri Light" w:hAnsi="Calibri Light" w:cs="Calibri Light"/>
                <w:spacing w:val="-3"/>
                <w:szCs w:val="28"/>
              </w:rPr>
              <w:t xml:space="preserve"> </w:t>
            </w:r>
            <w:r w:rsidRPr="000078A2">
              <w:rPr>
                <w:rFonts w:ascii="Calibri Light" w:hAnsi="Calibri Light" w:cs="Calibri Light"/>
                <w:szCs w:val="28"/>
              </w:rPr>
              <w:t>in</w:t>
            </w:r>
            <w:r w:rsidRPr="000078A2">
              <w:rPr>
                <w:rFonts w:ascii="Calibri Light" w:hAnsi="Calibri Light" w:cs="Calibri Light"/>
                <w:spacing w:val="-3"/>
                <w:szCs w:val="28"/>
              </w:rPr>
              <w:t xml:space="preserve"> </w:t>
            </w:r>
            <w:r w:rsidRPr="000078A2">
              <w:rPr>
                <w:rFonts w:ascii="Calibri Light" w:hAnsi="Calibri Light" w:cs="Calibri Light"/>
                <w:szCs w:val="28"/>
              </w:rPr>
              <w:t>February</w:t>
            </w:r>
            <w:r w:rsidRPr="000078A2">
              <w:rPr>
                <w:rFonts w:ascii="Calibri Light" w:hAnsi="Calibri Light" w:cs="Calibri Light"/>
                <w:spacing w:val="-3"/>
                <w:szCs w:val="28"/>
              </w:rPr>
              <w:t xml:space="preserve"> </w:t>
            </w:r>
            <w:r w:rsidRPr="000078A2">
              <w:rPr>
                <w:rFonts w:ascii="Calibri Light" w:hAnsi="Calibri Light" w:cs="Calibri Light"/>
                <w:szCs w:val="28"/>
              </w:rPr>
              <w:t>2021. This guidance remained in place until November 2021.</w:t>
            </w:r>
          </w:p>
        </w:tc>
      </w:tr>
      <w:tr w:rsidR="008B1969" w14:paraId="2F138A69" w14:textId="77777777" w:rsidTr="00634496">
        <w:trPr>
          <w:trHeight w:val="1276"/>
        </w:trPr>
        <w:tc>
          <w:tcPr>
            <w:tcW w:w="992" w:type="pct"/>
            <w:tcBorders>
              <w:top w:val="single" w:sz="2" w:space="0" w:color="7F859B"/>
              <w:left w:val="nil"/>
              <w:bottom w:val="single" w:sz="2" w:space="0" w:color="7F859B"/>
            </w:tcBorders>
            <w:shd w:val="clear" w:color="auto" w:fill="FFFFFF" w:themeFill="background1"/>
          </w:tcPr>
          <w:p w14:paraId="56BA60F6" w14:textId="77777777" w:rsidR="008B1969" w:rsidRPr="000078A2" w:rsidRDefault="008B1969" w:rsidP="00F22AE5">
            <w:pPr>
              <w:pStyle w:val="TableParagraph"/>
              <w:spacing w:before="181" w:line="225" w:lineRule="auto"/>
              <w:ind w:left="110" w:right="271"/>
              <w:rPr>
                <w:rFonts w:ascii="Calibri Light" w:hAnsi="Calibri Light" w:cs="Calibri Light"/>
                <w:b/>
                <w:szCs w:val="28"/>
              </w:rPr>
            </w:pPr>
            <w:r w:rsidRPr="000078A2">
              <w:rPr>
                <w:rFonts w:ascii="Calibri Light" w:hAnsi="Calibri Light" w:cs="Calibri Light"/>
                <w:b/>
                <w:szCs w:val="28"/>
              </w:rPr>
              <w:t>Bank</w:t>
            </w:r>
            <w:r w:rsidRPr="000078A2">
              <w:rPr>
                <w:rFonts w:ascii="Calibri Light" w:hAnsi="Calibri Light" w:cs="Calibri Light"/>
                <w:b/>
                <w:spacing w:val="-12"/>
                <w:szCs w:val="28"/>
              </w:rPr>
              <w:t xml:space="preserve"> </w:t>
            </w:r>
            <w:r w:rsidRPr="000078A2">
              <w:rPr>
                <w:rFonts w:ascii="Calibri Light" w:hAnsi="Calibri Light" w:cs="Calibri Light"/>
                <w:b/>
                <w:szCs w:val="28"/>
              </w:rPr>
              <w:t xml:space="preserve">of </w:t>
            </w:r>
            <w:r w:rsidRPr="000078A2">
              <w:rPr>
                <w:rFonts w:ascii="Calibri Light" w:hAnsi="Calibri Light" w:cs="Calibri Light"/>
                <w:b/>
                <w:spacing w:val="-2"/>
                <w:szCs w:val="28"/>
              </w:rPr>
              <w:t>Canada</w:t>
            </w:r>
          </w:p>
        </w:tc>
        <w:tc>
          <w:tcPr>
            <w:tcW w:w="4008" w:type="pct"/>
            <w:tcBorders>
              <w:top w:val="single" w:sz="2" w:space="0" w:color="7F859B"/>
              <w:bottom w:val="single" w:sz="2" w:space="0" w:color="7F859B"/>
              <w:right w:val="nil"/>
            </w:tcBorders>
            <w:shd w:val="clear" w:color="auto" w:fill="FFFFFF" w:themeFill="background1"/>
          </w:tcPr>
          <w:p w14:paraId="4726AB4A" w14:textId="77777777" w:rsidR="008B1969" w:rsidRPr="000078A2" w:rsidRDefault="008B1969" w:rsidP="00F22AE5">
            <w:pPr>
              <w:pStyle w:val="TableParagraph"/>
              <w:spacing w:before="181" w:line="225" w:lineRule="auto"/>
              <w:ind w:left="167"/>
              <w:rPr>
                <w:rFonts w:ascii="Calibri Light" w:hAnsi="Calibri Light" w:cs="Calibri Light"/>
                <w:szCs w:val="28"/>
              </w:rPr>
            </w:pPr>
            <w:r w:rsidRPr="000078A2">
              <w:rPr>
                <w:rFonts w:ascii="Calibri Light" w:hAnsi="Calibri Light" w:cs="Calibri Light"/>
                <w:szCs w:val="28"/>
              </w:rPr>
              <w:t>Provided state-based guidance from July 2020 until January 2022. Conditional,</w:t>
            </w:r>
            <w:r w:rsidRPr="000078A2">
              <w:rPr>
                <w:rFonts w:ascii="Calibri Light" w:hAnsi="Calibri Light" w:cs="Calibri Light"/>
                <w:spacing w:val="-2"/>
                <w:szCs w:val="28"/>
              </w:rPr>
              <w:t xml:space="preserve"> </w:t>
            </w:r>
            <w:r w:rsidRPr="000078A2">
              <w:rPr>
                <w:rFonts w:ascii="Calibri Light" w:hAnsi="Calibri Light" w:cs="Calibri Light"/>
                <w:szCs w:val="28"/>
              </w:rPr>
              <w:t>calendar-based</w:t>
            </w:r>
            <w:r w:rsidRPr="000078A2">
              <w:rPr>
                <w:rFonts w:ascii="Calibri Light" w:hAnsi="Calibri Light" w:cs="Calibri Light"/>
                <w:spacing w:val="-2"/>
                <w:szCs w:val="28"/>
              </w:rPr>
              <w:t xml:space="preserve"> </w:t>
            </w:r>
            <w:r w:rsidRPr="000078A2">
              <w:rPr>
                <w:rFonts w:ascii="Calibri Light" w:hAnsi="Calibri Light" w:cs="Calibri Light"/>
                <w:szCs w:val="28"/>
              </w:rPr>
              <w:t>guidance</w:t>
            </w:r>
            <w:r w:rsidRPr="000078A2">
              <w:rPr>
                <w:rFonts w:ascii="Calibri Light" w:hAnsi="Calibri Light" w:cs="Calibri Light"/>
                <w:spacing w:val="-2"/>
                <w:szCs w:val="28"/>
              </w:rPr>
              <w:t xml:space="preserve"> </w:t>
            </w:r>
            <w:r w:rsidRPr="000078A2">
              <w:rPr>
                <w:rFonts w:ascii="Calibri Light" w:hAnsi="Calibri Light" w:cs="Calibri Light"/>
                <w:szCs w:val="28"/>
              </w:rPr>
              <w:t>was</w:t>
            </w:r>
            <w:r w:rsidRPr="000078A2">
              <w:rPr>
                <w:rFonts w:ascii="Calibri Light" w:hAnsi="Calibri Light" w:cs="Calibri Light"/>
                <w:spacing w:val="-2"/>
                <w:szCs w:val="28"/>
              </w:rPr>
              <w:t xml:space="preserve"> </w:t>
            </w:r>
            <w:r w:rsidRPr="000078A2">
              <w:rPr>
                <w:rFonts w:ascii="Calibri Light" w:hAnsi="Calibri Light" w:cs="Calibri Light"/>
                <w:szCs w:val="28"/>
              </w:rPr>
              <w:t>added</w:t>
            </w:r>
            <w:r w:rsidRPr="000078A2">
              <w:rPr>
                <w:rFonts w:ascii="Calibri Light" w:hAnsi="Calibri Light" w:cs="Calibri Light"/>
                <w:spacing w:val="-2"/>
                <w:szCs w:val="28"/>
              </w:rPr>
              <w:t xml:space="preserve"> </w:t>
            </w:r>
            <w:r w:rsidRPr="000078A2">
              <w:rPr>
                <w:rFonts w:ascii="Calibri Light" w:hAnsi="Calibri Light" w:cs="Calibri Light"/>
                <w:szCs w:val="28"/>
              </w:rPr>
              <w:t>in</w:t>
            </w:r>
            <w:r w:rsidRPr="000078A2">
              <w:rPr>
                <w:rFonts w:ascii="Calibri Light" w:hAnsi="Calibri Light" w:cs="Calibri Light"/>
                <w:spacing w:val="-2"/>
                <w:szCs w:val="28"/>
              </w:rPr>
              <w:t xml:space="preserve"> </w:t>
            </w:r>
            <w:r w:rsidRPr="000078A2">
              <w:rPr>
                <w:rFonts w:ascii="Calibri Light" w:hAnsi="Calibri Light" w:cs="Calibri Light"/>
                <w:szCs w:val="28"/>
              </w:rPr>
              <w:t>October</w:t>
            </w:r>
            <w:r w:rsidRPr="000078A2">
              <w:rPr>
                <w:rFonts w:ascii="Calibri Light" w:hAnsi="Calibri Light" w:cs="Calibri Light"/>
                <w:spacing w:val="-2"/>
                <w:szCs w:val="28"/>
              </w:rPr>
              <w:t xml:space="preserve"> </w:t>
            </w:r>
            <w:r w:rsidRPr="000078A2">
              <w:rPr>
                <w:rFonts w:ascii="Calibri Light" w:hAnsi="Calibri Light" w:cs="Calibri Light"/>
                <w:szCs w:val="28"/>
              </w:rPr>
              <w:t>2020.</w:t>
            </w:r>
          </w:p>
          <w:p w14:paraId="31861245" w14:textId="77777777" w:rsidR="008B1969" w:rsidRPr="000078A2" w:rsidRDefault="008B1969" w:rsidP="00F22AE5">
            <w:pPr>
              <w:pStyle w:val="TableParagraph"/>
              <w:spacing w:line="225" w:lineRule="exact"/>
              <w:ind w:left="167"/>
              <w:rPr>
                <w:rFonts w:ascii="Calibri Light" w:hAnsi="Calibri Light" w:cs="Calibri Light"/>
                <w:szCs w:val="28"/>
              </w:rPr>
            </w:pPr>
            <w:r w:rsidRPr="000078A2">
              <w:rPr>
                <w:rFonts w:ascii="Calibri Light" w:hAnsi="Calibri Light" w:cs="Calibri Light"/>
                <w:szCs w:val="28"/>
              </w:rPr>
              <w:t xml:space="preserve">The initial time horizon was 3 years, but it was updated twice in 2021 </w:t>
            </w:r>
            <w:r w:rsidRPr="000078A2">
              <w:rPr>
                <w:rFonts w:ascii="Calibri Light" w:hAnsi="Calibri Light" w:cs="Calibri Light"/>
                <w:spacing w:val="-5"/>
                <w:szCs w:val="28"/>
              </w:rPr>
              <w:t>to</w:t>
            </w:r>
          </w:p>
          <w:p w14:paraId="7F77B97A" w14:textId="77777777" w:rsidR="008B1969" w:rsidRPr="000078A2" w:rsidRDefault="008B1969" w:rsidP="00F22AE5">
            <w:pPr>
              <w:pStyle w:val="TableParagraph"/>
              <w:spacing w:line="238" w:lineRule="exact"/>
              <w:ind w:left="167"/>
              <w:rPr>
                <w:rFonts w:ascii="Calibri Light" w:hAnsi="Calibri Light" w:cs="Calibri Light"/>
                <w:szCs w:val="28"/>
              </w:rPr>
            </w:pPr>
            <w:r w:rsidRPr="000078A2">
              <w:rPr>
                <w:rFonts w:ascii="Calibri Light" w:hAnsi="Calibri Light" w:cs="Calibri Light"/>
                <w:szCs w:val="28"/>
              </w:rPr>
              <w:t>shorten the</w:t>
            </w:r>
            <w:r w:rsidRPr="000078A2">
              <w:rPr>
                <w:rFonts w:ascii="Calibri Light" w:hAnsi="Calibri Light" w:cs="Calibri Light"/>
                <w:spacing w:val="2"/>
                <w:szCs w:val="28"/>
              </w:rPr>
              <w:t xml:space="preserve"> </w:t>
            </w:r>
            <w:r w:rsidRPr="000078A2">
              <w:rPr>
                <w:rFonts w:ascii="Calibri Light" w:hAnsi="Calibri Light" w:cs="Calibri Light"/>
                <w:szCs w:val="28"/>
              </w:rPr>
              <w:t>horizon.</w:t>
            </w:r>
            <w:r w:rsidRPr="000078A2">
              <w:rPr>
                <w:rFonts w:ascii="Calibri Light" w:hAnsi="Calibri Light" w:cs="Calibri Light"/>
                <w:spacing w:val="3"/>
                <w:szCs w:val="28"/>
              </w:rPr>
              <w:t xml:space="preserve"> </w:t>
            </w:r>
            <w:r w:rsidRPr="000078A2">
              <w:rPr>
                <w:rFonts w:ascii="Calibri Light" w:hAnsi="Calibri Light" w:cs="Calibri Light"/>
                <w:szCs w:val="28"/>
              </w:rPr>
              <w:t>Forward</w:t>
            </w:r>
            <w:r w:rsidRPr="000078A2">
              <w:rPr>
                <w:rFonts w:ascii="Calibri Light" w:hAnsi="Calibri Light" w:cs="Calibri Light"/>
                <w:spacing w:val="2"/>
                <w:szCs w:val="28"/>
              </w:rPr>
              <w:t xml:space="preserve"> </w:t>
            </w:r>
            <w:r w:rsidRPr="000078A2">
              <w:rPr>
                <w:rFonts w:ascii="Calibri Light" w:hAnsi="Calibri Light" w:cs="Calibri Light"/>
                <w:szCs w:val="28"/>
              </w:rPr>
              <w:t>guidance</w:t>
            </w:r>
            <w:r w:rsidRPr="000078A2">
              <w:rPr>
                <w:rFonts w:ascii="Calibri Light" w:hAnsi="Calibri Light" w:cs="Calibri Light"/>
                <w:spacing w:val="2"/>
                <w:szCs w:val="28"/>
              </w:rPr>
              <w:t xml:space="preserve"> </w:t>
            </w:r>
            <w:r w:rsidRPr="000078A2">
              <w:rPr>
                <w:rFonts w:ascii="Calibri Light" w:hAnsi="Calibri Light" w:cs="Calibri Light"/>
                <w:szCs w:val="28"/>
              </w:rPr>
              <w:t>was</w:t>
            </w:r>
            <w:r w:rsidRPr="000078A2">
              <w:rPr>
                <w:rFonts w:ascii="Calibri Light" w:hAnsi="Calibri Light" w:cs="Calibri Light"/>
                <w:spacing w:val="3"/>
                <w:szCs w:val="28"/>
              </w:rPr>
              <w:t xml:space="preserve"> </w:t>
            </w:r>
            <w:r w:rsidRPr="000078A2">
              <w:rPr>
                <w:rFonts w:ascii="Calibri Light" w:hAnsi="Calibri Light" w:cs="Calibri Light"/>
                <w:szCs w:val="28"/>
              </w:rPr>
              <w:t>dropped</w:t>
            </w:r>
            <w:r w:rsidRPr="000078A2">
              <w:rPr>
                <w:rFonts w:ascii="Calibri Light" w:hAnsi="Calibri Light" w:cs="Calibri Light"/>
                <w:spacing w:val="2"/>
                <w:szCs w:val="28"/>
              </w:rPr>
              <w:t xml:space="preserve"> </w:t>
            </w:r>
            <w:r w:rsidRPr="000078A2">
              <w:rPr>
                <w:rFonts w:ascii="Calibri Light" w:hAnsi="Calibri Light" w:cs="Calibri Light"/>
                <w:szCs w:val="28"/>
              </w:rPr>
              <w:t>in</w:t>
            </w:r>
            <w:r w:rsidRPr="000078A2">
              <w:rPr>
                <w:rFonts w:ascii="Calibri Light" w:hAnsi="Calibri Light" w:cs="Calibri Light"/>
                <w:spacing w:val="2"/>
                <w:szCs w:val="28"/>
              </w:rPr>
              <w:t xml:space="preserve"> </w:t>
            </w:r>
            <w:r w:rsidRPr="000078A2">
              <w:rPr>
                <w:rFonts w:ascii="Calibri Light" w:hAnsi="Calibri Light" w:cs="Calibri Light"/>
                <w:szCs w:val="28"/>
              </w:rPr>
              <w:t>January</w:t>
            </w:r>
            <w:r w:rsidRPr="000078A2">
              <w:rPr>
                <w:rFonts w:ascii="Calibri Light" w:hAnsi="Calibri Light" w:cs="Calibri Light"/>
                <w:spacing w:val="3"/>
                <w:szCs w:val="28"/>
              </w:rPr>
              <w:t xml:space="preserve"> </w:t>
            </w:r>
            <w:r w:rsidRPr="000078A2">
              <w:rPr>
                <w:rFonts w:ascii="Calibri Light" w:hAnsi="Calibri Light" w:cs="Calibri Light"/>
                <w:spacing w:val="-2"/>
                <w:szCs w:val="28"/>
              </w:rPr>
              <w:t>2022.</w:t>
            </w:r>
          </w:p>
        </w:tc>
      </w:tr>
      <w:tr w:rsidR="008B1969" w14:paraId="5E9DABFB" w14:textId="77777777" w:rsidTr="00634496">
        <w:trPr>
          <w:trHeight w:val="1276"/>
        </w:trPr>
        <w:tc>
          <w:tcPr>
            <w:tcW w:w="992" w:type="pct"/>
            <w:tcBorders>
              <w:top w:val="single" w:sz="2" w:space="0" w:color="7F859B"/>
              <w:left w:val="nil"/>
              <w:bottom w:val="single" w:sz="2" w:space="0" w:color="7F859B"/>
            </w:tcBorders>
            <w:shd w:val="clear" w:color="auto" w:fill="FFFFFF" w:themeFill="background1"/>
          </w:tcPr>
          <w:p w14:paraId="1BB1B92F" w14:textId="77777777" w:rsidR="008B1969" w:rsidRPr="000078A2" w:rsidRDefault="008B1969" w:rsidP="00F22AE5">
            <w:pPr>
              <w:pStyle w:val="TableParagraph"/>
              <w:spacing w:before="181" w:line="225" w:lineRule="auto"/>
              <w:ind w:left="110"/>
              <w:rPr>
                <w:rFonts w:ascii="Calibri Light" w:hAnsi="Calibri Light" w:cs="Calibri Light"/>
                <w:b/>
                <w:szCs w:val="28"/>
              </w:rPr>
            </w:pPr>
            <w:r w:rsidRPr="000078A2">
              <w:rPr>
                <w:rFonts w:ascii="Calibri Light" w:hAnsi="Calibri Light" w:cs="Calibri Light"/>
                <w:b/>
                <w:spacing w:val="-2"/>
                <w:szCs w:val="28"/>
              </w:rPr>
              <w:t xml:space="preserve">European </w:t>
            </w:r>
            <w:r w:rsidRPr="000078A2">
              <w:rPr>
                <w:rFonts w:ascii="Calibri Light" w:hAnsi="Calibri Light" w:cs="Calibri Light"/>
                <w:b/>
                <w:szCs w:val="28"/>
              </w:rPr>
              <w:t>Central</w:t>
            </w:r>
            <w:r w:rsidRPr="000078A2">
              <w:rPr>
                <w:rFonts w:ascii="Calibri Light" w:hAnsi="Calibri Light" w:cs="Calibri Light"/>
                <w:b/>
                <w:spacing w:val="-12"/>
                <w:szCs w:val="28"/>
              </w:rPr>
              <w:t xml:space="preserve"> </w:t>
            </w:r>
            <w:r w:rsidRPr="000078A2">
              <w:rPr>
                <w:rFonts w:ascii="Calibri Light" w:hAnsi="Calibri Light" w:cs="Calibri Light"/>
                <w:b/>
                <w:szCs w:val="28"/>
              </w:rPr>
              <w:t>Bank</w:t>
            </w:r>
          </w:p>
        </w:tc>
        <w:tc>
          <w:tcPr>
            <w:tcW w:w="4008" w:type="pct"/>
            <w:tcBorders>
              <w:top w:val="single" w:sz="2" w:space="0" w:color="7F859B"/>
              <w:bottom w:val="single" w:sz="2" w:space="0" w:color="7F859B"/>
              <w:right w:val="nil"/>
            </w:tcBorders>
            <w:shd w:val="clear" w:color="auto" w:fill="FFFFFF" w:themeFill="background1"/>
          </w:tcPr>
          <w:p w14:paraId="0C1A0E27" w14:textId="77777777" w:rsidR="008B1969" w:rsidRPr="000078A2" w:rsidRDefault="008B1969" w:rsidP="00F22AE5">
            <w:pPr>
              <w:pStyle w:val="TableParagraph"/>
              <w:spacing w:before="181" w:line="225" w:lineRule="auto"/>
              <w:ind w:left="167" w:right="47"/>
              <w:rPr>
                <w:rFonts w:ascii="Calibri Light" w:hAnsi="Calibri Light" w:cs="Calibri Light"/>
                <w:szCs w:val="28"/>
              </w:rPr>
            </w:pPr>
            <w:r w:rsidRPr="000078A2">
              <w:rPr>
                <w:rFonts w:ascii="Calibri Light" w:hAnsi="Calibri Light" w:cs="Calibri Light"/>
                <w:szCs w:val="28"/>
              </w:rPr>
              <w:t>Provided state-based forward guidance from March 2020 until June 2022,</w:t>
            </w:r>
            <w:r w:rsidRPr="000078A2">
              <w:rPr>
                <w:rFonts w:ascii="Calibri Light" w:hAnsi="Calibri Light" w:cs="Calibri Light"/>
                <w:spacing w:val="-1"/>
                <w:szCs w:val="28"/>
              </w:rPr>
              <w:t xml:space="preserve"> </w:t>
            </w:r>
            <w:r w:rsidRPr="000078A2">
              <w:rPr>
                <w:rFonts w:ascii="Calibri Light" w:hAnsi="Calibri Light" w:cs="Calibri Light"/>
                <w:szCs w:val="28"/>
              </w:rPr>
              <w:t>linking</w:t>
            </w:r>
            <w:r w:rsidRPr="000078A2">
              <w:rPr>
                <w:rFonts w:ascii="Calibri Light" w:hAnsi="Calibri Light" w:cs="Calibri Light"/>
                <w:spacing w:val="-1"/>
                <w:szCs w:val="28"/>
              </w:rPr>
              <w:t xml:space="preserve"> </w:t>
            </w:r>
            <w:r w:rsidRPr="000078A2">
              <w:rPr>
                <w:rFonts w:ascii="Calibri Light" w:hAnsi="Calibri Light" w:cs="Calibri Light"/>
                <w:szCs w:val="28"/>
              </w:rPr>
              <w:t>a</w:t>
            </w:r>
            <w:r w:rsidRPr="000078A2">
              <w:rPr>
                <w:rFonts w:ascii="Calibri Light" w:hAnsi="Calibri Light" w:cs="Calibri Light"/>
                <w:spacing w:val="-1"/>
                <w:szCs w:val="28"/>
              </w:rPr>
              <w:t xml:space="preserve"> </w:t>
            </w:r>
            <w:r w:rsidRPr="000078A2">
              <w:rPr>
                <w:rFonts w:ascii="Calibri Light" w:hAnsi="Calibri Light" w:cs="Calibri Light"/>
                <w:szCs w:val="28"/>
              </w:rPr>
              <w:t>future</w:t>
            </w:r>
            <w:r w:rsidRPr="000078A2">
              <w:rPr>
                <w:rFonts w:ascii="Calibri Light" w:hAnsi="Calibri Light" w:cs="Calibri Light"/>
                <w:spacing w:val="-1"/>
                <w:szCs w:val="28"/>
              </w:rPr>
              <w:t xml:space="preserve"> </w:t>
            </w:r>
            <w:r w:rsidRPr="000078A2">
              <w:rPr>
                <w:rFonts w:ascii="Calibri Light" w:hAnsi="Calibri Light" w:cs="Calibri Light"/>
                <w:szCs w:val="28"/>
              </w:rPr>
              <w:t>increase</w:t>
            </w:r>
            <w:r w:rsidRPr="000078A2">
              <w:rPr>
                <w:rFonts w:ascii="Calibri Light" w:hAnsi="Calibri Light" w:cs="Calibri Light"/>
                <w:spacing w:val="-1"/>
                <w:szCs w:val="28"/>
              </w:rPr>
              <w:t xml:space="preserve"> </w:t>
            </w:r>
            <w:r w:rsidRPr="000078A2">
              <w:rPr>
                <w:rFonts w:ascii="Calibri Light" w:hAnsi="Calibri Light" w:cs="Calibri Light"/>
                <w:szCs w:val="28"/>
              </w:rPr>
              <w:t>in</w:t>
            </w:r>
            <w:r w:rsidRPr="000078A2">
              <w:rPr>
                <w:rFonts w:ascii="Calibri Light" w:hAnsi="Calibri Light" w:cs="Calibri Light"/>
                <w:spacing w:val="-1"/>
                <w:szCs w:val="28"/>
              </w:rPr>
              <w:t xml:space="preserve"> </w:t>
            </w:r>
            <w:r w:rsidRPr="000078A2">
              <w:rPr>
                <w:rFonts w:ascii="Calibri Light" w:hAnsi="Calibri Light" w:cs="Calibri Light"/>
                <w:szCs w:val="28"/>
              </w:rPr>
              <w:t>the</w:t>
            </w:r>
            <w:r w:rsidRPr="000078A2">
              <w:rPr>
                <w:rFonts w:ascii="Calibri Light" w:hAnsi="Calibri Light" w:cs="Calibri Light"/>
                <w:spacing w:val="-1"/>
                <w:szCs w:val="28"/>
              </w:rPr>
              <w:t xml:space="preserve"> </w:t>
            </w:r>
            <w:r w:rsidRPr="000078A2">
              <w:rPr>
                <w:rFonts w:ascii="Calibri Light" w:hAnsi="Calibri Light" w:cs="Calibri Light"/>
                <w:szCs w:val="28"/>
              </w:rPr>
              <w:t>policy</w:t>
            </w:r>
            <w:r w:rsidRPr="000078A2">
              <w:rPr>
                <w:rFonts w:ascii="Calibri Light" w:hAnsi="Calibri Light" w:cs="Calibri Light"/>
                <w:spacing w:val="-1"/>
                <w:szCs w:val="28"/>
              </w:rPr>
              <w:t xml:space="preserve"> </w:t>
            </w:r>
            <w:r w:rsidRPr="000078A2">
              <w:rPr>
                <w:rFonts w:ascii="Calibri Light" w:hAnsi="Calibri Light" w:cs="Calibri Light"/>
                <w:szCs w:val="28"/>
              </w:rPr>
              <w:t>rate</w:t>
            </w:r>
            <w:r w:rsidRPr="000078A2">
              <w:rPr>
                <w:rFonts w:ascii="Calibri Light" w:hAnsi="Calibri Light" w:cs="Calibri Light"/>
                <w:spacing w:val="-1"/>
                <w:szCs w:val="28"/>
              </w:rPr>
              <w:t xml:space="preserve"> </w:t>
            </w:r>
            <w:r w:rsidRPr="000078A2">
              <w:rPr>
                <w:rFonts w:ascii="Calibri Light" w:hAnsi="Calibri Light" w:cs="Calibri Light"/>
                <w:szCs w:val="28"/>
              </w:rPr>
              <w:t>to</w:t>
            </w:r>
            <w:r w:rsidRPr="000078A2">
              <w:rPr>
                <w:rFonts w:ascii="Calibri Light" w:hAnsi="Calibri Light" w:cs="Calibri Light"/>
                <w:spacing w:val="-1"/>
                <w:szCs w:val="28"/>
              </w:rPr>
              <w:t xml:space="preserve"> </w:t>
            </w:r>
            <w:r w:rsidRPr="000078A2">
              <w:rPr>
                <w:rFonts w:ascii="Calibri Light" w:hAnsi="Calibri Light" w:cs="Calibri Light"/>
                <w:szCs w:val="28"/>
              </w:rPr>
              <w:t>an</w:t>
            </w:r>
            <w:r w:rsidRPr="000078A2">
              <w:rPr>
                <w:rFonts w:ascii="Calibri Light" w:hAnsi="Calibri Light" w:cs="Calibri Light"/>
                <w:spacing w:val="-1"/>
                <w:szCs w:val="28"/>
              </w:rPr>
              <w:t xml:space="preserve"> </w:t>
            </w:r>
            <w:r w:rsidRPr="000078A2">
              <w:rPr>
                <w:rFonts w:ascii="Calibri Light" w:hAnsi="Calibri Light" w:cs="Calibri Light"/>
                <w:szCs w:val="28"/>
              </w:rPr>
              <w:t>inflation</w:t>
            </w:r>
            <w:r w:rsidRPr="000078A2">
              <w:rPr>
                <w:rFonts w:ascii="Calibri Light" w:hAnsi="Calibri Light" w:cs="Calibri Light"/>
                <w:spacing w:val="-1"/>
                <w:szCs w:val="28"/>
              </w:rPr>
              <w:t xml:space="preserve"> </w:t>
            </w:r>
            <w:r w:rsidRPr="000078A2">
              <w:rPr>
                <w:rFonts w:ascii="Calibri Light" w:hAnsi="Calibri Light" w:cs="Calibri Light"/>
                <w:szCs w:val="28"/>
              </w:rPr>
              <w:t>threshold. Calendar-based guidance was provided in a speech in late 2021 that the policy rate was unlikely to rise in 2022.</w:t>
            </w:r>
          </w:p>
        </w:tc>
      </w:tr>
      <w:tr w:rsidR="008B1969" w14:paraId="0245D7DA" w14:textId="77777777" w:rsidTr="00634496">
        <w:trPr>
          <w:trHeight w:val="1849"/>
        </w:trPr>
        <w:tc>
          <w:tcPr>
            <w:tcW w:w="992" w:type="pct"/>
            <w:tcBorders>
              <w:top w:val="single" w:sz="2" w:space="0" w:color="7F859B"/>
              <w:left w:val="nil"/>
              <w:bottom w:val="single" w:sz="2" w:space="0" w:color="7F859B"/>
            </w:tcBorders>
            <w:shd w:val="clear" w:color="auto" w:fill="FFFFFF" w:themeFill="background1"/>
          </w:tcPr>
          <w:p w14:paraId="61DBB6C4" w14:textId="77777777" w:rsidR="008B1969" w:rsidRPr="000078A2" w:rsidRDefault="008B1969" w:rsidP="00F22AE5">
            <w:pPr>
              <w:pStyle w:val="TableParagraph"/>
              <w:spacing w:before="181" w:line="225" w:lineRule="auto"/>
              <w:ind w:left="110" w:right="271"/>
              <w:rPr>
                <w:rFonts w:ascii="Calibri Light" w:hAnsi="Calibri Light" w:cs="Calibri Light"/>
                <w:b/>
                <w:szCs w:val="28"/>
              </w:rPr>
            </w:pPr>
            <w:r w:rsidRPr="000078A2">
              <w:rPr>
                <w:rFonts w:ascii="Calibri Light" w:hAnsi="Calibri Light" w:cs="Calibri Light"/>
                <w:b/>
                <w:spacing w:val="-2"/>
                <w:szCs w:val="28"/>
              </w:rPr>
              <w:t xml:space="preserve">Reserve </w:t>
            </w:r>
            <w:r w:rsidRPr="000078A2">
              <w:rPr>
                <w:rFonts w:ascii="Calibri Light" w:hAnsi="Calibri Light" w:cs="Calibri Light"/>
                <w:b/>
                <w:spacing w:val="-4"/>
                <w:szCs w:val="28"/>
              </w:rPr>
              <w:t>Bank</w:t>
            </w:r>
          </w:p>
          <w:p w14:paraId="44FF5D56" w14:textId="77777777" w:rsidR="008B1969" w:rsidRPr="000078A2" w:rsidRDefault="008B1969" w:rsidP="00F22AE5">
            <w:pPr>
              <w:pStyle w:val="TableParagraph"/>
              <w:spacing w:line="225" w:lineRule="auto"/>
              <w:ind w:left="110" w:right="271"/>
              <w:rPr>
                <w:rFonts w:ascii="Calibri Light" w:hAnsi="Calibri Light" w:cs="Calibri Light"/>
                <w:b/>
                <w:szCs w:val="28"/>
              </w:rPr>
            </w:pPr>
            <w:r w:rsidRPr="000078A2">
              <w:rPr>
                <w:rFonts w:ascii="Calibri Light" w:hAnsi="Calibri Light" w:cs="Calibri Light"/>
                <w:b/>
                <w:szCs w:val="28"/>
              </w:rPr>
              <w:t xml:space="preserve">of New </w:t>
            </w:r>
            <w:r w:rsidRPr="000078A2">
              <w:rPr>
                <w:rFonts w:ascii="Calibri Light" w:hAnsi="Calibri Light" w:cs="Calibri Light"/>
                <w:b/>
                <w:spacing w:val="-2"/>
                <w:szCs w:val="28"/>
              </w:rPr>
              <w:t>Zealand</w:t>
            </w:r>
          </w:p>
        </w:tc>
        <w:tc>
          <w:tcPr>
            <w:tcW w:w="4008" w:type="pct"/>
            <w:tcBorders>
              <w:top w:val="single" w:sz="2" w:space="0" w:color="7F859B"/>
              <w:bottom w:val="single" w:sz="2" w:space="0" w:color="7F859B"/>
              <w:right w:val="nil"/>
            </w:tcBorders>
            <w:shd w:val="clear" w:color="auto" w:fill="FFFFFF" w:themeFill="background1"/>
          </w:tcPr>
          <w:p w14:paraId="13AC87CF" w14:textId="77777777" w:rsidR="008B1969" w:rsidRPr="000078A2" w:rsidRDefault="008B1969" w:rsidP="00F22AE5">
            <w:pPr>
              <w:pStyle w:val="TableParagraph"/>
              <w:spacing w:before="181" w:line="225" w:lineRule="auto"/>
              <w:ind w:left="167" w:right="310"/>
              <w:jc w:val="both"/>
              <w:rPr>
                <w:rFonts w:ascii="Calibri Light" w:hAnsi="Calibri Light" w:cs="Calibri Light"/>
                <w:szCs w:val="28"/>
              </w:rPr>
            </w:pPr>
            <w:r w:rsidRPr="000078A2">
              <w:rPr>
                <w:rFonts w:ascii="Calibri Light" w:hAnsi="Calibri Light" w:cs="Calibri Light"/>
                <w:szCs w:val="28"/>
              </w:rPr>
              <w:t>Provided</w:t>
            </w:r>
            <w:r w:rsidRPr="000078A2">
              <w:rPr>
                <w:rFonts w:ascii="Calibri Light" w:hAnsi="Calibri Light" w:cs="Calibri Light"/>
                <w:spacing w:val="-1"/>
                <w:szCs w:val="28"/>
              </w:rPr>
              <w:t xml:space="preserve"> </w:t>
            </w:r>
            <w:r w:rsidRPr="000078A2">
              <w:rPr>
                <w:rFonts w:ascii="Calibri Light" w:hAnsi="Calibri Light" w:cs="Calibri Light"/>
                <w:szCs w:val="28"/>
              </w:rPr>
              <w:t>calendar-based</w:t>
            </w:r>
            <w:r w:rsidRPr="000078A2">
              <w:rPr>
                <w:rFonts w:ascii="Calibri Light" w:hAnsi="Calibri Light" w:cs="Calibri Light"/>
                <w:spacing w:val="-1"/>
                <w:szCs w:val="28"/>
              </w:rPr>
              <w:t xml:space="preserve"> </w:t>
            </w:r>
            <w:r w:rsidRPr="000078A2">
              <w:rPr>
                <w:rFonts w:ascii="Calibri Light" w:hAnsi="Calibri Light" w:cs="Calibri Light"/>
                <w:szCs w:val="28"/>
              </w:rPr>
              <w:t>guidance</w:t>
            </w:r>
            <w:r w:rsidRPr="000078A2">
              <w:rPr>
                <w:rFonts w:ascii="Calibri Light" w:hAnsi="Calibri Light" w:cs="Calibri Light"/>
                <w:spacing w:val="-1"/>
                <w:szCs w:val="28"/>
              </w:rPr>
              <w:t xml:space="preserve"> </w:t>
            </w:r>
            <w:r w:rsidRPr="000078A2">
              <w:rPr>
                <w:rFonts w:ascii="Calibri Light" w:hAnsi="Calibri Light" w:cs="Calibri Light"/>
                <w:szCs w:val="28"/>
              </w:rPr>
              <w:t>in</w:t>
            </w:r>
            <w:r w:rsidRPr="000078A2">
              <w:rPr>
                <w:rFonts w:ascii="Calibri Light" w:hAnsi="Calibri Light" w:cs="Calibri Light"/>
                <w:spacing w:val="-1"/>
                <w:szCs w:val="28"/>
              </w:rPr>
              <w:t xml:space="preserve"> </w:t>
            </w:r>
            <w:r w:rsidRPr="000078A2">
              <w:rPr>
                <w:rFonts w:ascii="Calibri Light" w:hAnsi="Calibri Light" w:cs="Calibri Light"/>
                <w:szCs w:val="28"/>
              </w:rPr>
              <w:t>March</w:t>
            </w:r>
            <w:r w:rsidRPr="000078A2">
              <w:rPr>
                <w:rFonts w:ascii="Calibri Light" w:hAnsi="Calibri Light" w:cs="Calibri Light"/>
                <w:spacing w:val="-1"/>
                <w:szCs w:val="28"/>
              </w:rPr>
              <w:t xml:space="preserve"> </w:t>
            </w:r>
            <w:r w:rsidRPr="000078A2">
              <w:rPr>
                <w:rFonts w:ascii="Calibri Light" w:hAnsi="Calibri Light" w:cs="Calibri Light"/>
                <w:szCs w:val="28"/>
              </w:rPr>
              <w:t>2020</w:t>
            </w:r>
            <w:r w:rsidRPr="000078A2">
              <w:rPr>
                <w:rFonts w:ascii="Calibri Light" w:hAnsi="Calibri Light" w:cs="Calibri Light"/>
                <w:spacing w:val="-1"/>
                <w:szCs w:val="28"/>
              </w:rPr>
              <w:t xml:space="preserve"> </w:t>
            </w:r>
            <w:r w:rsidRPr="000078A2">
              <w:rPr>
                <w:rFonts w:ascii="Calibri Light" w:hAnsi="Calibri Light" w:cs="Calibri Light"/>
                <w:szCs w:val="28"/>
              </w:rPr>
              <w:t>that</w:t>
            </w:r>
            <w:r w:rsidRPr="000078A2">
              <w:rPr>
                <w:rFonts w:ascii="Calibri Light" w:hAnsi="Calibri Light" w:cs="Calibri Light"/>
                <w:spacing w:val="-1"/>
                <w:szCs w:val="28"/>
              </w:rPr>
              <w:t xml:space="preserve"> </w:t>
            </w:r>
            <w:r w:rsidRPr="000078A2">
              <w:rPr>
                <w:rFonts w:ascii="Calibri Light" w:hAnsi="Calibri Light" w:cs="Calibri Light"/>
                <w:szCs w:val="28"/>
              </w:rPr>
              <w:t>the</w:t>
            </w:r>
            <w:r w:rsidRPr="000078A2">
              <w:rPr>
                <w:rFonts w:ascii="Calibri Light" w:hAnsi="Calibri Light" w:cs="Calibri Light"/>
                <w:spacing w:val="-1"/>
                <w:szCs w:val="28"/>
              </w:rPr>
              <w:t xml:space="preserve"> </w:t>
            </w:r>
            <w:r w:rsidRPr="000078A2">
              <w:rPr>
                <w:rFonts w:ascii="Calibri Light" w:hAnsi="Calibri Light" w:cs="Calibri Light"/>
                <w:szCs w:val="28"/>
              </w:rPr>
              <w:t>policy</w:t>
            </w:r>
            <w:r w:rsidRPr="000078A2">
              <w:rPr>
                <w:rFonts w:ascii="Calibri Light" w:hAnsi="Calibri Light" w:cs="Calibri Light"/>
                <w:spacing w:val="-1"/>
                <w:szCs w:val="28"/>
              </w:rPr>
              <w:t xml:space="preserve"> </w:t>
            </w:r>
            <w:r w:rsidRPr="000078A2">
              <w:rPr>
                <w:rFonts w:ascii="Calibri Light" w:hAnsi="Calibri Light" w:cs="Calibri Light"/>
                <w:szCs w:val="28"/>
              </w:rPr>
              <w:t>rate would</w:t>
            </w:r>
            <w:r w:rsidRPr="000078A2">
              <w:rPr>
                <w:rFonts w:ascii="Calibri Light" w:hAnsi="Calibri Light" w:cs="Calibri Light"/>
                <w:spacing w:val="-4"/>
                <w:szCs w:val="28"/>
              </w:rPr>
              <w:t xml:space="preserve"> </w:t>
            </w:r>
            <w:r w:rsidRPr="000078A2">
              <w:rPr>
                <w:rFonts w:ascii="Calibri Light" w:hAnsi="Calibri Light" w:cs="Calibri Light"/>
                <w:szCs w:val="28"/>
              </w:rPr>
              <w:t>remain</w:t>
            </w:r>
            <w:r w:rsidRPr="000078A2">
              <w:rPr>
                <w:rFonts w:ascii="Calibri Light" w:hAnsi="Calibri Light" w:cs="Calibri Light"/>
                <w:spacing w:val="-4"/>
                <w:szCs w:val="28"/>
              </w:rPr>
              <w:t xml:space="preserve"> </w:t>
            </w:r>
            <w:r w:rsidRPr="000078A2">
              <w:rPr>
                <w:rFonts w:ascii="Calibri Light" w:hAnsi="Calibri Light" w:cs="Calibri Light"/>
                <w:szCs w:val="28"/>
              </w:rPr>
              <w:t>unchanged</w:t>
            </w:r>
            <w:r w:rsidRPr="000078A2">
              <w:rPr>
                <w:rFonts w:ascii="Calibri Light" w:hAnsi="Calibri Light" w:cs="Calibri Light"/>
                <w:spacing w:val="-4"/>
                <w:szCs w:val="28"/>
              </w:rPr>
              <w:t xml:space="preserve"> </w:t>
            </w:r>
            <w:r w:rsidRPr="000078A2">
              <w:rPr>
                <w:rFonts w:ascii="Calibri Light" w:hAnsi="Calibri Light" w:cs="Calibri Light"/>
                <w:szCs w:val="28"/>
              </w:rPr>
              <w:t>for</w:t>
            </w:r>
            <w:r w:rsidRPr="000078A2">
              <w:rPr>
                <w:rFonts w:ascii="Calibri Light" w:hAnsi="Calibri Light" w:cs="Calibri Light"/>
                <w:spacing w:val="-4"/>
                <w:szCs w:val="28"/>
              </w:rPr>
              <w:t xml:space="preserve"> </w:t>
            </w:r>
            <w:r w:rsidRPr="000078A2">
              <w:rPr>
                <w:rFonts w:ascii="Calibri Light" w:hAnsi="Calibri Light" w:cs="Calibri Light"/>
                <w:szCs w:val="28"/>
              </w:rPr>
              <w:t>a</w:t>
            </w:r>
            <w:r w:rsidRPr="000078A2">
              <w:rPr>
                <w:rFonts w:ascii="Calibri Light" w:hAnsi="Calibri Light" w:cs="Calibri Light"/>
                <w:spacing w:val="-4"/>
                <w:szCs w:val="28"/>
              </w:rPr>
              <w:t xml:space="preserve"> </w:t>
            </w:r>
            <w:r w:rsidRPr="000078A2">
              <w:rPr>
                <w:rFonts w:ascii="Calibri Light" w:hAnsi="Calibri Light" w:cs="Calibri Light"/>
                <w:szCs w:val="28"/>
              </w:rPr>
              <w:t>fixed</w:t>
            </w:r>
            <w:r w:rsidRPr="000078A2">
              <w:rPr>
                <w:rFonts w:ascii="Calibri Light" w:hAnsi="Calibri Light" w:cs="Calibri Light"/>
                <w:spacing w:val="-4"/>
                <w:szCs w:val="28"/>
              </w:rPr>
              <w:t xml:space="preserve"> </w:t>
            </w:r>
            <w:r w:rsidRPr="000078A2">
              <w:rPr>
                <w:rFonts w:ascii="Calibri Light" w:hAnsi="Calibri Light" w:cs="Calibri Light"/>
                <w:szCs w:val="28"/>
              </w:rPr>
              <w:t>12-month</w:t>
            </w:r>
            <w:r w:rsidRPr="000078A2">
              <w:rPr>
                <w:rFonts w:ascii="Calibri Light" w:hAnsi="Calibri Light" w:cs="Calibri Light"/>
                <w:spacing w:val="-4"/>
                <w:szCs w:val="28"/>
              </w:rPr>
              <w:t xml:space="preserve"> </w:t>
            </w:r>
            <w:r w:rsidRPr="000078A2">
              <w:rPr>
                <w:rFonts w:ascii="Calibri Light" w:hAnsi="Calibri Light" w:cs="Calibri Light"/>
                <w:szCs w:val="28"/>
              </w:rPr>
              <w:t>horizon.</w:t>
            </w:r>
            <w:r w:rsidRPr="000078A2">
              <w:rPr>
                <w:rFonts w:ascii="Calibri Light" w:hAnsi="Calibri Light" w:cs="Calibri Light"/>
                <w:spacing w:val="-4"/>
                <w:szCs w:val="28"/>
              </w:rPr>
              <w:t xml:space="preserve"> </w:t>
            </w:r>
            <w:r w:rsidRPr="000078A2">
              <w:rPr>
                <w:rFonts w:ascii="Calibri Light" w:hAnsi="Calibri Light" w:cs="Calibri Light"/>
                <w:szCs w:val="28"/>
              </w:rPr>
              <w:t>The</w:t>
            </w:r>
            <w:r w:rsidRPr="000078A2">
              <w:rPr>
                <w:rFonts w:ascii="Calibri Light" w:hAnsi="Calibri Light" w:cs="Calibri Light"/>
                <w:spacing w:val="-4"/>
                <w:szCs w:val="28"/>
              </w:rPr>
              <w:t xml:space="preserve"> </w:t>
            </w:r>
            <w:r w:rsidRPr="000078A2">
              <w:rPr>
                <w:rFonts w:ascii="Calibri Light" w:hAnsi="Calibri Light" w:cs="Calibri Light"/>
                <w:szCs w:val="28"/>
              </w:rPr>
              <w:t>guidance was changed to state-based guidance in February 2021, which was in place until July 2021.</w:t>
            </w:r>
          </w:p>
          <w:p w14:paraId="5CE2C253" w14:textId="77777777" w:rsidR="008B1969" w:rsidRPr="000078A2" w:rsidRDefault="008B1969" w:rsidP="00F22AE5">
            <w:pPr>
              <w:pStyle w:val="TableParagraph"/>
              <w:spacing w:before="112" w:line="225" w:lineRule="auto"/>
              <w:ind w:left="167" w:right="683"/>
              <w:jc w:val="both"/>
              <w:rPr>
                <w:rFonts w:ascii="Calibri Light" w:hAnsi="Calibri Light" w:cs="Calibri Light"/>
                <w:szCs w:val="28"/>
              </w:rPr>
            </w:pPr>
            <w:r w:rsidRPr="000078A2">
              <w:rPr>
                <w:rFonts w:ascii="Calibri Light" w:hAnsi="Calibri Light" w:cs="Calibri Light"/>
                <w:szCs w:val="28"/>
              </w:rPr>
              <w:t>The Reserve Bank of New Zealand provided policy rate forecasts throughout the pandemic, as it had done since 1997.</w:t>
            </w:r>
          </w:p>
        </w:tc>
      </w:tr>
      <w:tr w:rsidR="008B1969" w14:paraId="18D12DCC" w14:textId="77777777" w:rsidTr="00634496">
        <w:trPr>
          <w:trHeight w:val="1849"/>
        </w:trPr>
        <w:tc>
          <w:tcPr>
            <w:tcW w:w="992" w:type="pct"/>
            <w:tcBorders>
              <w:top w:val="single" w:sz="2" w:space="0" w:color="7F859B"/>
              <w:left w:val="nil"/>
              <w:bottom w:val="single" w:sz="2" w:space="0" w:color="7F859B"/>
            </w:tcBorders>
            <w:shd w:val="clear" w:color="auto" w:fill="FFFFFF" w:themeFill="background1"/>
          </w:tcPr>
          <w:p w14:paraId="4C7676AC" w14:textId="77777777" w:rsidR="008B1969" w:rsidRPr="000078A2" w:rsidRDefault="008B1969" w:rsidP="00F22AE5">
            <w:pPr>
              <w:pStyle w:val="TableParagraph"/>
              <w:spacing w:before="169"/>
              <w:ind w:left="110"/>
              <w:rPr>
                <w:rFonts w:ascii="Calibri Light" w:hAnsi="Calibri Light" w:cs="Calibri Light"/>
                <w:b/>
                <w:szCs w:val="28"/>
              </w:rPr>
            </w:pPr>
            <w:r w:rsidRPr="000078A2">
              <w:rPr>
                <w:rFonts w:ascii="Calibri Light" w:hAnsi="Calibri Light" w:cs="Calibri Light"/>
                <w:b/>
                <w:szCs w:val="28"/>
              </w:rPr>
              <w:t>Norges</w:t>
            </w:r>
            <w:r w:rsidRPr="000078A2">
              <w:rPr>
                <w:rFonts w:ascii="Calibri Light" w:hAnsi="Calibri Light" w:cs="Calibri Light"/>
                <w:b/>
                <w:spacing w:val="3"/>
                <w:szCs w:val="28"/>
              </w:rPr>
              <w:t xml:space="preserve"> </w:t>
            </w:r>
            <w:r w:rsidRPr="000078A2">
              <w:rPr>
                <w:rFonts w:ascii="Calibri Light" w:hAnsi="Calibri Light" w:cs="Calibri Light"/>
                <w:b/>
                <w:spacing w:val="-4"/>
                <w:szCs w:val="28"/>
              </w:rPr>
              <w:t>Bank</w:t>
            </w:r>
          </w:p>
        </w:tc>
        <w:tc>
          <w:tcPr>
            <w:tcW w:w="4008" w:type="pct"/>
            <w:tcBorders>
              <w:top w:val="single" w:sz="2" w:space="0" w:color="7F859B"/>
              <w:bottom w:val="single" w:sz="2" w:space="0" w:color="7F859B"/>
              <w:right w:val="nil"/>
            </w:tcBorders>
            <w:shd w:val="clear" w:color="auto" w:fill="FFFFFF" w:themeFill="background1"/>
          </w:tcPr>
          <w:p w14:paraId="77B39254" w14:textId="77777777" w:rsidR="008B1969" w:rsidRPr="000078A2" w:rsidRDefault="008B1969" w:rsidP="00F22AE5">
            <w:pPr>
              <w:pStyle w:val="TableParagraph"/>
              <w:spacing w:before="181" w:line="225" w:lineRule="auto"/>
              <w:ind w:left="167" w:right="59"/>
              <w:rPr>
                <w:rFonts w:ascii="Calibri Light" w:hAnsi="Calibri Light" w:cs="Calibri Light"/>
                <w:szCs w:val="28"/>
              </w:rPr>
            </w:pPr>
            <w:r w:rsidRPr="000078A2">
              <w:rPr>
                <w:rFonts w:ascii="Calibri Light" w:hAnsi="Calibri Light" w:cs="Calibri Light"/>
                <w:szCs w:val="28"/>
              </w:rPr>
              <w:t>Initially, guidance was provided through policy rate forecasts but was updated to a state-based commitment in November 2020. Guidance</w:t>
            </w:r>
            <w:r w:rsidRPr="000078A2">
              <w:rPr>
                <w:rFonts w:ascii="Calibri Light" w:hAnsi="Calibri Light" w:cs="Calibri Light"/>
                <w:spacing w:val="40"/>
                <w:szCs w:val="28"/>
              </w:rPr>
              <w:t xml:space="preserve"> </w:t>
            </w:r>
            <w:r w:rsidRPr="000078A2">
              <w:rPr>
                <w:rFonts w:ascii="Calibri Light" w:hAnsi="Calibri Light" w:cs="Calibri Light"/>
                <w:szCs w:val="28"/>
              </w:rPr>
              <w:t>was</w:t>
            </w:r>
            <w:r w:rsidRPr="000078A2">
              <w:rPr>
                <w:rFonts w:ascii="Calibri Light" w:hAnsi="Calibri Light" w:cs="Calibri Light"/>
                <w:spacing w:val="-2"/>
                <w:szCs w:val="28"/>
              </w:rPr>
              <w:t xml:space="preserve"> </w:t>
            </w:r>
            <w:r w:rsidRPr="000078A2">
              <w:rPr>
                <w:rFonts w:ascii="Calibri Light" w:hAnsi="Calibri Light" w:cs="Calibri Light"/>
                <w:szCs w:val="28"/>
              </w:rPr>
              <w:t>changed</w:t>
            </w:r>
            <w:r w:rsidRPr="000078A2">
              <w:rPr>
                <w:rFonts w:ascii="Calibri Light" w:hAnsi="Calibri Light" w:cs="Calibri Light"/>
                <w:spacing w:val="-2"/>
                <w:szCs w:val="28"/>
              </w:rPr>
              <w:t xml:space="preserve"> </w:t>
            </w:r>
            <w:r w:rsidRPr="000078A2">
              <w:rPr>
                <w:rFonts w:ascii="Calibri Light" w:hAnsi="Calibri Light" w:cs="Calibri Light"/>
                <w:szCs w:val="28"/>
              </w:rPr>
              <w:t>to</w:t>
            </w:r>
            <w:r w:rsidRPr="000078A2">
              <w:rPr>
                <w:rFonts w:ascii="Calibri Light" w:hAnsi="Calibri Light" w:cs="Calibri Light"/>
                <w:spacing w:val="-2"/>
                <w:szCs w:val="28"/>
              </w:rPr>
              <w:t xml:space="preserve"> </w:t>
            </w:r>
            <w:r w:rsidRPr="000078A2">
              <w:rPr>
                <w:rFonts w:ascii="Calibri Light" w:hAnsi="Calibri Light" w:cs="Calibri Light"/>
                <w:szCs w:val="28"/>
              </w:rPr>
              <w:t>calendar-based</w:t>
            </w:r>
            <w:r w:rsidRPr="000078A2">
              <w:rPr>
                <w:rFonts w:ascii="Calibri Light" w:hAnsi="Calibri Light" w:cs="Calibri Light"/>
                <w:spacing w:val="-2"/>
                <w:szCs w:val="28"/>
              </w:rPr>
              <w:t xml:space="preserve"> </w:t>
            </w:r>
            <w:r w:rsidRPr="000078A2">
              <w:rPr>
                <w:rFonts w:ascii="Calibri Light" w:hAnsi="Calibri Light" w:cs="Calibri Light"/>
                <w:szCs w:val="28"/>
              </w:rPr>
              <w:t>guidance</w:t>
            </w:r>
            <w:r w:rsidRPr="000078A2">
              <w:rPr>
                <w:rFonts w:ascii="Calibri Light" w:hAnsi="Calibri Light" w:cs="Calibri Light"/>
                <w:spacing w:val="-2"/>
                <w:szCs w:val="28"/>
              </w:rPr>
              <w:t xml:space="preserve"> </w:t>
            </w:r>
            <w:r w:rsidRPr="000078A2">
              <w:rPr>
                <w:rFonts w:ascii="Calibri Light" w:hAnsi="Calibri Light" w:cs="Calibri Light"/>
                <w:szCs w:val="28"/>
              </w:rPr>
              <w:t>at</w:t>
            </w:r>
            <w:r w:rsidRPr="000078A2">
              <w:rPr>
                <w:rFonts w:ascii="Calibri Light" w:hAnsi="Calibri Light" w:cs="Calibri Light"/>
                <w:spacing w:val="-2"/>
                <w:szCs w:val="28"/>
              </w:rPr>
              <w:t xml:space="preserve"> </w:t>
            </w:r>
            <w:r w:rsidRPr="000078A2">
              <w:rPr>
                <w:rFonts w:ascii="Calibri Light" w:hAnsi="Calibri Light" w:cs="Calibri Light"/>
                <w:szCs w:val="28"/>
              </w:rPr>
              <w:t>a</w:t>
            </w:r>
            <w:r w:rsidRPr="000078A2">
              <w:rPr>
                <w:rFonts w:ascii="Calibri Light" w:hAnsi="Calibri Light" w:cs="Calibri Light"/>
                <w:spacing w:val="-2"/>
                <w:szCs w:val="28"/>
              </w:rPr>
              <w:t xml:space="preserve"> </w:t>
            </w:r>
            <w:r w:rsidRPr="000078A2">
              <w:rPr>
                <w:rFonts w:ascii="Calibri Light" w:hAnsi="Calibri Light" w:cs="Calibri Light"/>
                <w:szCs w:val="28"/>
              </w:rPr>
              <w:t>6-month</w:t>
            </w:r>
            <w:r w:rsidRPr="000078A2">
              <w:rPr>
                <w:rFonts w:ascii="Calibri Light" w:hAnsi="Calibri Light" w:cs="Calibri Light"/>
                <w:spacing w:val="-2"/>
                <w:szCs w:val="28"/>
              </w:rPr>
              <w:t xml:space="preserve"> </w:t>
            </w:r>
            <w:r w:rsidRPr="000078A2">
              <w:rPr>
                <w:rFonts w:ascii="Calibri Light" w:hAnsi="Calibri Light" w:cs="Calibri Light"/>
                <w:szCs w:val="28"/>
              </w:rPr>
              <w:t>horizon</w:t>
            </w:r>
            <w:r w:rsidRPr="000078A2">
              <w:rPr>
                <w:rFonts w:ascii="Calibri Light" w:hAnsi="Calibri Light" w:cs="Calibri Light"/>
                <w:spacing w:val="-2"/>
                <w:szCs w:val="28"/>
              </w:rPr>
              <w:t xml:space="preserve"> </w:t>
            </w:r>
            <w:r w:rsidRPr="000078A2">
              <w:rPr>
                <w:rFonts w:ascii="Calibri Light" w:hAnsi="Calibri Light" w:cs="Calibri Light"/>
                <w:szCs w:val="28"/>
              </w:rPr>
              <w:t>in</w:t>
            </w:r>
            <w:r w:rsidRPr="000078A2">
              <w:rPr>
                <w:rFonts w:ascii="Calibri Light" w:hAnsi="Calibri Light" w:cs="Calibri Light"/>
                <w:spacing w:val="-2"/>
                <w:szCs w:val="28"/>
              </w:rPr>
              <w:t xml:space="preserve"> </w:t>
            </w:r>
            <w:r w:rsidRPr="000078A2">
              <w:rPr>
                <w:rFonts w:ascii="Calibri Light" w:hAnsi="Calibri Light" w:cs="Calibri Light"/>
                <w:szCs w:val="28"/>
              </w:rPr>
              <w:t>March 2021, which continued until June 2021.</w:t>
            </w:r>
          </w:p>
          <w:p w14:paraId="3F019C4C" w14:textId="77777777" w:rsidR="008B1969" w:rsidRPr="000078A2" w:rsidRDefault="008B1969" w:rsidP="00F22AE5">
            <w:pPr>
              <w:pStyle w:val="TableParagraph"/>
              <w:spacing w:before="100" w:line="238" w:lineRule="exact"/>
              <w:ind w:left="167"/>
              <w:rPr>
                <w:rFonts w:ascii="Calibri Light" w:hAnsi="Calibri Light" w:cs="Calibri Light"/>
                <w:szCs w:val="28"/>
              </w:rPr>
            </w:pPr>
            <w:r w:rsidRPr="000078A2">
              <w:rPr>
                <w:rFonts w:ascii="Calibri Light" w:hAnsi="Calibri Light" w:cs="Calibri Light"/>
                <w:szCs w:val="28"/>
              </w:rPr>
              <w:t>Norges</w:t>
            </w:r>
            <w:r w:rsidRPr="000078A2">
              <w:rPr>
                <w:rFonts w:ascii="Calibri Light" w:hAnsi="Calibri Light" w:cs="Calibri Light"/>
                <w:spacing w:val="3"/>
                <w:szCs w:val="28"/>
              </w:rPr>
              <w:t xml:space="preserve"> </w:t>
            </w:r>
            <w:r w:rsidRPr="000078A2">
              <w:rPr>
                <w:rFonts w:ascii="Calibri Light" w:hAnsi="Calibri Light" w:cs="Calibri Light"/>
                <w:szCs w:val="28"/>
              </w:rPr>
              <w:t>Bank</w:t>
            </w:r>
            <w:r w:rsidRPr="000078A2">
              <w:rPr>
                <w:rFonts w:ascii="Calibri Light" w:hAnsi="Calibri Light" w:cs="Calibri Light"/>
                <w:spacing w:val="3"/>
                <w:szCs w:val="28"/>
              </w:rPr>
              <w:t xml:space="preserve"> </w:t>
            </w:r>
            <w:r w:rsidRPr="000078A2">
              <w:rPr>
                <w:rFonts w:ascii="Calibri Light" w:hAnsi="Calibri Light" w:cs="Calibri Light"/>
                <w:szCs w:val="28"/>
              </w:rPr>
              <w:t>provided</w:t>
            </w:r>
            <w:r w:rsidRPr="000078A2">
              <w:rPr>
                <w:rFonts w:ascii="Calibri Light" w:hAnsi="Calibri Light" w:cs="Calibri Light"/>
                <w:spacing w:val="3"/>
                <w:szCs w:val="28"/>
              </w:rPr>
              <w:t xml:space="preserve"> </w:t>
            </w:r>
            <w:r w:rsidRPr="000078A2">
              <w:rPr>
                <w:rFonts w:ascii="Calibri Light" w:hAnsi="Calibri Light" w:cs="Calibri Light"/>
                <w:szCs w:val="28"/>
              </w:rPr>
              <w:t>policy</w:t>
            </w:r>
            <w:r w:rsidRPr="000078A2">
              <w:rPr>
                <w:rFonts w:ascii="Calibri Light" w:hAnsi="Calibri Light" w:cs="Calibri Light"/>
                <w:spacing w:val="3"/>
                <w:szCs w:val="28"/>
              </w:rPr>
              <w:t xml:space="preserve"> </w:t>
            </w:r>
            <w:r w:rsidRPr="000078A2">
              <w:rPr>
                <w:rFonts w:ascii="Calibri Light" w:hAnsi="Calibri Light" w:cs="Calibri Light"/>
                <w:szCs w:val="28"/>
              </w:rPr>
              <w:t>rate</w:t>
            </w:r>
            <w:r w:rsidRPr="000078A2">
              <w:rPr>
                <w:rFonts w:ascii="Calibri Light" w:hAnsi="Calibri Light" w:cs="Calibri Light"/>
                <w:spacing w:val="3"/>
                <w:szCs w:val="28"/>
              </w:rPr>
              <w:t xml:space="preserve"> </w:t>
            </w:r>
            <w:r w:rsidRPr="000078A2">
              <w:rPr>
                <w:rFonts w:ascii="Calibri Light" w:hAnsi="Calibri Light" w:cs="Calibri Light"/>
                <w:szCs w:val="28"/>
              </w:rPr>
              <w:t>forecasts</w:t>
            </w:r>
            <w:r w:rsidRPr="000078A2">
              <w:rPr>
                <w:rFonts w:ascii="Calibri Light" w:hAnsi="Calibri Light" w:cs="Calibri Light"/>
                <w:spacing w:val="3"/>
                <w:szCs w:val="28"/>
              </w:rPr>
              <w:t xml:space="preserve"> </w:t>
            </w:r>
            <w:r w:rsidRPr="000078A2">
              <w:rPr>
                <w:rFonts w:ascii="Calibri Light" w:hAnsi="Calibri Light" w:cs="Calibri Light"/>
                <w:szCs w:val="28"/>
              </w:rPr>
              <w:t>throughout</w:t>
            </w:r>
            <w:r w:rsidRPr="000078A2">
              <w:rPr>
                <w:rFonts w:ascii="Calibri Light" w:hAnsi="Calibri Light" w:cs="Calibri Light"/>
                <w:spacing w:val="3"/>
                <w:szCs w:val="28"/>
              </w:rPr>
              <w:t xml:space="preserve"> </w:t>
            </w:r>
            <w:r w:rsidRPr="000078A2">
              <w:rPr>
                <w:rFonts w:ascii="Calibri Light" w:hAnsi="Calibri Light" w:cs="Calibri Light"/>
                <w:szCs w:val="28"/>
              </w:rPr>
              <w:t>the</w:t>
            </w:r>
            <w:r w:rsidRPr="000078A2">
              <w:rPr>
                <w:rFonts w:ascii="Calibri Light" w:hAnsi="Calibri Light" w:cs="Calibri Light"/>
                <w:spacing w:val="4"/>
                <w:szCs w:val="28"/>
              </w:rPr>
              <w:t xml:space="preserve"> </w:t>
            </w:r>
            <w:r w:rsidRPr="000078A2">
              <w:rPr>
                <w:rFonts w:ascii="Calibri Light" w:hAnsi="Calibri Light" w:cs="Calibri Light"/>
                <w:spacing w:val="-2"/>
                <w:szCs w:val="28"/>
              </w:rPr>
              <w:t>pandemic,</w:t>
            </w:r>
          </w:p>
          <w:p w14:paraId="3BD5EC25" w14:textId="77777777" w:rsidR="008B1969" w:rsidRPr="000078A2" w:rsidRDefault="008B1969" w:rsidP="00F22AE5">
            <w:pPr>
              <w:pStyle w:val="TableParagraph"/>
              <w:spacing w:line="238" w:lineRule="exact"/>
              <w:ind w:left="167"/>
              <w:rPr>
                <w:rFonts w:ascii="Calibri Light" w:hAnsi="Calibri Light" w:cs="Calibri Light"/>
                <w:szCs w:val="28"/>
              </w:rPr>
            </w:pPr>
            <w:r w:rsidRPr="000078A2">
              <w:rPr>
                <w:rFonts w:ascii="Calibri Light" w:hAnsi="Calibri Light" w:cs="Calibri Light"/>
                <w:szCs w:val="28"/>
              </w:rPr>
              <w:t>as</w:t>
            </w:r>
            <w:r w:rsidRPr="000078A2">
              <w:rPr>
                <w:rFonts w:ascii="Calibri Light" w:hAnsi="Calibri Light" w:cs="Calibri Light"/>
                <w:spacing w:val="-3"/>
                <w:szCs w:val="28"/>
              </w:rPr>
              <w:t xml:space="preserve"> </w:t>
            </w:r>
            <w:r w:rsidRPr="000078A2">
              <w:rPr>
                <w:rFonts w:ascii="Calibri Light" w:hAnsi="Calibri Light" w:cs="Calibri Light"/>
                <w:szCs w:val="28"/>
              </w:rPr>
              <w:t>it</w:t>
            </w:r>
            <w:r w:rsidRPr="000078A2">
              <w:rPr>
                <w:rFonts w:ascii="Calibri Light" w:hAnsi="Calibri Light" w:cs="Calibri Light"/>
                <w:spacing w:val="-1"/>
                <w:szCs w:val="28"/>
              </w:rPr>
              <w:t xml:space="preserve"> </w:t>
            </w:r>
            <w:r w:rsidRPr="000078A2">
              <w:rPr>
                <w:rFonts w:ascii="Calibri Light" w:hAnsi="Calibri Light" w:cs="Calibri Light"/>
                <w:szCs w:val="28"/>
              </w:rPr>
              <w:t>had</w:t>
            </w:r>
            <w:r w:rsidRPr="000078A2">
              <w:rPr>
                <w:rFonts w:ascii="Calibri Light" w:hAnsi="Calibri Light" w:cs="Calibri Light"/>
                <w:spacing w:val="-1"/>
                <w:szCs w:val="28"/>
              </w:rPr>
              <w:t xml:space="preserve"> </w:t>
            </w:r>
            <w:r w:rsidRPr="000078A2">
              <w:rPr>
                <w:rFonts w:ascii="Calibri Light" w:hAnsi="Calibri Light" w:cs="Calibri Light"/>
                <w:szCs w:val="28"/>
              </w:rPr>
              <w:t>done</w:t>
            </w:r>
            <w:r w:rsidRPr="000078A2">
              <w:rPr>
                <w:rFonts w:ascii="Calibri Light" w:hAnsi="Calibri Light" w:cs="Calibri Light"/>
                <w:spacing w:val="-1"/>
                <w:szCs w:val="28"/>
              </w:rPr>
              <w:t xml:space="preserve"> </w:t>
            </w:r>
            <w:r w:rsidRPr="000078A2">
              <w:rPr>
                <w:rFonts w:ascii="Calibri Light" w:hAnsi="Calibri Light" w:cs="Calibri Light"/>
                <w:szCs w:val="28"/>
              </w:rPr>
              <w:t xml:space="preserve">since </w:t>
            </w:r>
            <w:r w:rsidRPr="000078A2">
              <w:rPr>
                <w:rFonts w:ascii="Calibri Light" w:hAnsi="Calibri Light" w:cs="Calibri Light"/>
                <w:spacing w:val="-4"/>
                <w:szCs w:val="28"/>
              </w:rPr>
              <w:t>2005.</w:t>
            </w:r>
          </w:p>
        </w:tc>
      </w:tr>
      <w:tr w:rsidR="008B1969" w14:paraId="296373DF" w14:textId="77777777" w:rsidTr="00634496">
        <w:trPr>
          <w:trHeight w:val="1511"/>
        </w:trPr>
        <w:tc>
          <w:tcPr>
            <w:tcW w:w="992" w:type="pct"/>
            <w:tcBorders>
              <w:top w:val="single" w:sz="2" w:space="0" w:color="7F859B"/>
              <w:left w:val="nil"/>
              <w:bottom w:val="nil"/>
            </w:tcBorders>
            <w:shd w:val="clear" w:color="auto" w:fill="FFFFFF" w:themeFill="background1"/>
          </w:tcPr>
          <w:p w14:paraId="2BD6A33B" w14:textId="77777777" w:rsidR="008B1969" w:rsidRPr="000078A2" w:rsidRDefault="008B1969" w:rsidP="00F22AE5">
            <w:pPr>
              <w:pStyle w:val="TableParagraph"/>
              <w:spacing w:before="181" w:line="225" w:lineRule="auto"/>
              <w:ind w:left="110"/>
              <w:rPr>
                <w:rFonts w:ascii="Calibri Light" w:hAnsi="Calibri Light" w:cs="Calibri Light"/>
                <w:b/>
                <w:szCs w:val="28"/>
              </w:rPr>
            </w:pPr>
            <w:r w:rsidRPr="000078A2">
              <w:rPr>
                <w:rFonts w:ascii="Calibri Light" w:hAnsi="Calibri Light" w:cs="Calibri Light"/>
                <w:b/>
                <w:spacing w:val="-2"/>
                <w:szCs w:val="28"/>
              </w:rPr>
              <w:t>Sveriges Riksbank</w:t>
            </w:r>
          </w:p>
        </w:tc>
        <w:tc>
          <w:tcPr>
            <w:tcW w:w="4008" w:type="pct"/>
            <w:tcBorders>
              <w:top w:val="single" w:sz="2" w:space="0" w:color="7F859B"/>
              <w:bottom w:val="nil"/>
              <w:right w:val="nil"/>
            </w:tcBorders>
            <w:shd w:val="clear" w:color="auto" w:fill="FFFFFF" w:themeFill="background1"/>
          </w:tcPr>
          <w:p w14:paraId="6440EA25" w14:textId="77777777" w:rsidR="008B1969" w:rsidRPr="000078A2" w:rsidRDefault="008B1969" w:rsidP="00F22AE5">
            <w:pPr>
              <w:pStyle w:val="TableParagraph"/>
              <w:spacing w:before="138" w:line="230" w:lineRule="exact"/>
              <w:ind w:left="167"/>
              <w:rPr>
                <w:rFonts w:ascii="Calibri Light" w:hAnsi="Calibri Light" w:cs="Calibri Light"/>
                <w:szCs w:val="28"/>
              </w:rPr>
            </w:pPr>
            <w:r w:rsidRPr="000078A2">
              <w:rPr>
                <w:rFonts w:ascii="Calibri Light" w:hAnsi="Calibri Light" w:cs="Calibri Light"/>
                <w:szCs w:val="28"/>
              </w:rPr>
              <w:t>Provided policy rate forecasts throughout the pandemic, as it had done since 2007. From April 2020 until November 2021, the policy rate was forecast to remain at zero for the forecast period (about 3 years). In February 2022, the policy rate was forecast to not rise until the second half</w:t>
            </w:r>
            <w:r w:rsidRPr="000078A2">
              <w:rPr>
                <w:rFonts w:ascii="Calibri Light" w:hAnsi="Calibri Light" w:cs="Calibri Light"/>
                <w:spacing w:val="-1"/>
                <w:szCs w:val="28"/>
              </w:rPr>
              <w:t xml:space="preserve"> </w:t>
            </w:r>
            <w:r w:rsidRPr="000078A2">
              <w:rPr>
                <w:rFonts w:ascii="Calibri Light" w:hAnsi="Calibri Light" w:cs="Calibri Light"/>
                <w:szCs w:val="28"/>
              </w:rPr>
              <w:t>of</w:t>
            </w:r>
            <w:r w:rsidRPr="000078A2">
              <w:rPr>
                <w:rFonts w:ascii="Calibri Light" w:hAnsi="Calibri Light" w:cs="Calibri Light"/>
                <w:spacing w:val="-1"/>
                <w:szCs w:val="28"/>
              </w:rPr>
              <w:t xml:space="preserve"> </w:t>
            </w:r>
            <w:r w:rsidRPr="000078A2">
              <w:rPr>
                <w:rFonts w:ascii="Calibri Light" w:hAnsi="Calibri Light" w:cs="Calibri Light"/>
                <w:szCs w:val="28"/>
              </w:rPr>
              <w:t>2024.</w:t>
            </w:r>
            <w:r w:rsidRPr="000078A2">
              <w:rPr>
                <w:rFonts w:ascii="Calibri Light" w:hAnsi="Calibri Light" w:cs="Calibri Light"/>
                <w:spacing w:val="-1"/>
                <w:szCs w:val="28"/>
              </w:rPr>
              <w:t xml:space="preserve"> </w:t>
            </w:r>
            <w:r w:rsidRPr="000078A2">
              <w:rPr>
                <w:rFonts w:ascii="Calibri Light" w:hAnsi="Calibri Light" w:cs="Calibri Light"/>
                <w:szCs w:val="28"/>
              </w:rPr>
              <w:t>The</w:t>
            </w:r>
            <w:r w:rsidRPr="000078A2">
              <w:rPr>
                <w:rFonts w:ascii="Calibri Light" w:hAnsi="Calibri Light" w:cs="Calibri Light"/>
                <w:spacing w:val="-1"/>
                <w:szCs w:val="28"/>
              </w:rPr>
              <w:t xml:space="preserve"> </w:t>
            </w:r>
            <w:r w:rsidRPr="000078A2">
              <w:rPr>
                <w:rFonts w:ascii="Calibri Light" w:hAnsi="Calibri Light" w:cs="Calibri Light"/>
                <w:szCs w:val="28"/>
              </w:rPr>
              <w:t>Sveriges</w:t>
            </w:r>
            <w:r w:rsidRPr="000078A2">
              <w:rPr>
                <w:rFonts w:ascii="Calibri Light" w:hAnsi="Calibri Light" w:cs="Calibri Light"/>
                <w:spacing w:val="-1"/>
                <w:szCs w:val="28"/>
              </w:rPr>
              <w:t xml:space="preserve"> </w:t>
            </w:r>
            <w:r w:rsidRPr="000078A2">
              <w:rPr>
                <w:rFonts w:ascii="Calibri Light" w:hAnsi="Calibri Light" w:cs="Calibri Light"/>
                <w:szCs w:val="28"/>
              </w:rPr>
              <w:t>Riksbank</w:t>
            </w:r>
            <w:r w:rsidRPr="000078A2">
              <w:rPr>
                <w:rFonts w:ascii="Calibri Light" w:hAnsi="Calibri Light" w:cs="Calibri Light"/>
                <w:spacing w:val="-1"/>
                <w:szCs w:val="28"/>
              </w:rPr>
              <w:t xml:space="preserve"> </w:t>
            </w:r>
            <w:r w:rsidRPr="000078A2">
              <w:rPr>
                <w:rFonts w:ascii="Calibri Light" w:hAnsi="Calibri Light" w:cs="Calibri Light"/>
                <w:szCs w:val="28"/>
              </w:rPr>
              <w:t>decided</w:t>
            </w:r>
            <w:r w:rsidRPr="000078A2">
              <w:rPr>
                <w:rFonts w:ascii="Calibri Light" w:hAnsi="Calibri Light" w:cs="Calibri Light"/>
                <w:spacing w:val="-1"/>
                <w:szCs w:val="28"/>
              </w:rPr>
              <w:t xml:space="preserve"> </w:t>
            </w:r>
            <w:r w:rsidRPr="000078A2">
              <w:rPr>
                <w:rFonts w:ascii="Calibri Light" w:hAnsi="Calibri Light" w:cs="Calibri Light"/>
                <w:szCs w:val="28"/>
              </w:rPr>
              <w:t>to</w:t>
            </w:r>
            <w:r w:rsidRPr="000078A2">
              <w:rPr>
                <w:rFonts w:ascii="Calibri Light" w:hAnsi="Calibri Light" w:cs="Calibri Light"/>
                <w:spacing w:val="-1"/>
                <w:szCs w:val="28"/>
              </w:rPr>
              <w:t xml:space="preserve"> </w:t>
            </w:r>
            <w:r w:rsidRPr="000078A2">
              <w:rPr>
                <w:rFonts w:ascii="Calibri Light" w:hAnsi="Calibri Light" w:cs="Calibri Light"/>
                <w:szCs w:val="28"/>
              </w:rPr>
              <w:t>increase</w:t>
            </w:r>
            <w:r w:rsidRPr="000078A2">
              <w:rPr>
                <w:rFonts w:ascii="Calibri Light" w:hAnsi="Calibri Light" w:cs="Calibri Light"/>
                <w:spacing w:val="-1"/>
                <w:szCs w:val="28"/>
              </w:rPr>
              <w:t xml:space="preserve"> </w:t>
            </w:r>
            <w:r w:rsidRPr="000078A2">
              <w:rPr>
                <w:rFonts w:ascii="Calibri Light" w:hAnsi="Calibri Light" w:cs="Calibri Light"/>
                <w:szCs w:val="28"/>
              </w:rPr>
              <w:t>its</w:t>
            </w:r>
            <w:r w:rsidRPr="000078A2">
              <w:rPr>
                <w:rFonts w:ascii="Calibri Light" w:hAnsi="Calibri Light" w:cs="Calibri Light"/>
                <w:spacing w:val="-1"/>
                <w:szCs w:val="28"/>
              </w:rPr>
              <w:t xml:space="preserve"> </w:t>
            </w:r>
            <w:r w:rsidRPr="000078A2">
              <w:rPr>
                <w:rFonts w:ascii="Calibri Light" w:hAnsi="Calibri Light" w:cs="Calibri Light"/>
                <w:szCs w:val="28"/>
              </w:rPr>
              <w:t>policy</w:t>
            </w:r>
            <w:r w:rsidRPr="000078A2">
              <w:rPr>
                <w:rFonts w:ascii="Calibri Light" w:hAnsi="Calibri Light" w:cs="Calibri Light"/>
                <w:spacing w:val="-1"/>
                <w:szCs w:val="28"/>
              </w:rPr>
              <w:t xml:space="preserve"> </w:t>
            </w:r>
            <w:r w:rsidRPr="000078A2">
              <w:rPr>
                <w:rFonts w:ascii="Calibri Light" w:hAnsi="Calibri Light" w:cs="Calibri Light"/>
                <w:szCs w:val="28"/>
              </w:rPr>
              <w:t>rate</w:t>
            </w:r>
            <w:r w:rsidRPr="000078A2">
              <w:rPr>
                <w:rFonts w:ascii="Calibri Light" w:hAnsi="Calibri Light" w:cs="Calibri Light"/>
                <w:spacing w:val="-1"/>
                <w:szCs w:val="28"/>
              </w:rPr>
              <w:t xml:space="preserve"> </w:t>
            </w:r>
            <w:r w:rsidRPr="000078A2">
              <w:rPr>
                <w:rFonts w:ascii="Calibri Light" w:hAnsi="Calibri Light" w:cs="Calibri Light"/>
                <w:szCs w:val="28"/>
              </w:rPr>
              <w:t>in late April 2022.</w:t>
            </w:r>
          </w:p>
        </w:tc>
      </w:tr>
      <w:bookmarkEnd w:id="29"/>
    </w:tbl>
    <w:p w14:paraId="2071DA61" w14:textId="77777777" w:rsidR="00960B72" w:rsidRDefault="00960B72">
      <w:pPr>
        <w:spacing w:before="0" w:after="160" w:line="259" w:lineRule="auto"/>
      </w:pPr>
    </w:p>
    <w:p w14:paraId="5B87C72B" w14:textId="77777777" w:rsidR="00960B72" w:rsidRDefault="00960B72" w:rsidP="00343EF8">
      <w:pPr>
        <w:pStyle w:val="Heading3"/>
      </w:pPr>
      <w:r w:rsidRPr="00960B72">
        <w:t>2021</w:t>
      </w:r>
      <w:r>
        <w:rPr>
          <w:spacing w:val="-7"/>
        </w:rPr>
        <w:t xml:space="preserve"> </w:t>
      </w:r>
      <w:r>
        <w:t>to</w:t>
      </w:r>
      <w:r>
        <w:rPr>
          <w:spacing w:val="-5"/>
        </w:rPr>
        <w:t xml:space="preserve"> </w:t>
      </w:r>
      <w:r>
        <w:t>present:</w:t>
      </w:r>
      <w:r>
        <w:rPr>
          <w:spacing w:val="-5"/>
        </w:rPr>
        <w:t xml:space="preserve"> </w:t>
      </w:r>
      <w:r>
        <w:t>Exit</w:t>
      </w:r>
      <w:r>
        <w:rPr>
          <w:spacing w:val="-4"/>
        </w:rPr>
        <w:t xml:space="preserve"> </w:t>
      </w:r>
      <w:r>
        <w:t>from</w:t>
      </w:r>
      <w:r>
        <w:rPr>
          <w:spacing w:val="-5"/>
        </w:rPr>
        <w:t xml:space="preserve"> </w:t>
      </w:r>
      <w:r>
        <w:t>additional</w:t>
      </w:r>
      <w:r>
        <w:rPr>
          <w:spacing w:val="-5"/>
        </w:rPr>
        <w:t xml:space="preserve"> </w:t>
      </w:r>
      <w:r>
        <w:t>monetary</w:t>
      </w:r>
      <w:r>
        <w:rPr>
          <w:spacing w:val="-5"/>
        </w:rPr>
        <w:t xml:space="preserve"> </w:t>
      </w:r>
      <w:r>
        <w:t>policy</w:t>
      </w:r>
      <w:r>
        <w:rPr>
          <w:spacing w:val="-4"/>
        </w:rPr>
        <w:t xml:space="preserve"> </w:t>
      </w:r>
      <w:r>
        <w:rPr>
          <w:spacing w:val="-2"/>
        </w:rPr>
        <w:t>tools</w:t>
      </w:r>
    </w:p>
    <w:p w14:paraId="652D42FE" w14:textId="50AD917F" w:rsidR="00960B72" w:rsidRDefault="00960B72" w:rsidP="00960B72">
      <w:r>
        <w:t>Throughout 2021 and 2022, economic conditions improved much faster than the RBA had expected when additional monetary policy tools were first introduced (Charts 1.6 and 1.7). In response, the Reserve Bank Board began unwinding its additional monetary policy tools in June</w:t>
      </w:r>
      <w:r>
        <w:rPr>
          <w:spacing w:val="-1"/>
        </w:rPr>
        <w:t xml:space="preserve"> </w:t>
      </w:r>
      <w:r>
        <w:t>2021</w:t>
      </w:r>
      <w:r>
        <w:rPr>
          <w:spacing w:val="-1"/>
        </w:rPr>
        <w:t xml:space="preserve"> </w:t>
      </w:r>
      <w:r>
        <w:t>(with</w:t>
      </w:r>
      <w:r>
        <w:rPr>
          <w:spacing w:val="-1"/>
        </w:rPr>
        <w:t xml:space="preserve"> </w:t>
      </w:r>
      <w:r>
        <w:t>the</w:t>
      </w:r>
      <w:r>
        <w:rPr>
          <w:spacing w:val="-1"/>
        </w:rPr>
        <w:t xml:space="preserve"> </w:t>
      </w:r>
      <w:r>
        <w:t>closure</w:t>
      </w:r>
      <w:r>
        <w:rPr>
          <w:spacing w:val="-1"/>
        </w:rPr>
        <w:t xml:space="preserve"> </w:t>
      </w:r>
      <w:r>
        <w:t>of</w:t>
      </w:r>
      <w:r>
        <w:rPr>
          <w:spacing w:val="-1"/>
        </w:rPr>
        <w:t xml:space="preserve"> </w:t>
      </w:r>
      <w:r>
        <w:t>the</w:t>
      </w:r>
      <w:r>
        <w:rPr>
          <w:spacing w:val="-1"/>
        </w:rPr>
        <w:t xml:space="preserve"> </w:t>
      </w:r>
      <w:r>
        <w:t>Term</w:t>
      </w:r>
      <w:r>
        <w:rPr>
          <w:spacing w:val="-1"/>
        </w:rPr>
        <w:t xml:space="preserve"> </w:t>
      </w:r>
      <w:r>
        <w:t>Funding</w:t>
      </w:r>
      <w:r>
        <w:rPr>
          <w:spacing w:val="-1"/>
        </w:rPr>
        <w:t xml:space="preserve"> </w:t>
      </w:r>
      <w:r>
        <w:t>Facility).</w:t>
      </w:r>
      <w:r>
        <w:rPr>
          <w:spacing w:val="-1"/>
        </w:rPr>
        <w:t xml:space="preserve"> </w:t>
      </w:r>
      <w:r>
        <w:t>The</w:t>
      </w:r>
      <w:r>
        <w:rPr>
          <w:spacing w:val="-1"/>
        </w:rPr>
        <w:t xml:space="preserve"> </w:t>
      </w:r>
      <w:r>
        <w:t>rate</w:t>
      </w:r>
      <w:r>
        <w:rPr>
          <w:spacing w:val="-1"/>
        </w:rPr>
        <w:t xml:space="preserve"> </w:t>
      </w:r>
      <w:r>
        <w:t>of</w:t>
      </w:r>
      <w:r>
        <w:rPr>
          <w:spacing w:val="-1"/>
        </w:rPr>
        <w:t xml:space="preserve"> </w:t>
      </w:r>
      <w:r>
        <w:t>bond</w:t>
      </w:r>
      <w:r>
        <w:rPr>
          <w:spacing w:val="-1"/>
        </w:rPr>
        <w:t xml:space="preserve"> </w:t>
      </w:r>
      <w:r>
        <w:t>purchases</w:t>
      </w:r>
      <w:r>
        <w:rPr>
          <w:spacing w:val="-1"/>
        </w:rPr>
        <w:t xml:space="preserve"> </w:t>
      </w:r>
      <w:r>
        <w:t>was</w:t>
      </w:r>
      <w:r>
        <w:rPr>
          <w:spacing w:val="-1"/>
        </w:rPr>
        <w:t xml:space="preserve"> </w:t>
      </w:r>
      <w:r>
        <w:t>tapered in July 2021 (and purchases ceased in February 2022). In November 2021, the yield target and calendar-based forward guidance was discontinued. The Reserve Bank Board started raising the cash rate target in May 2022.</w:t>
      </w:r>
    </w:p>
    <w:p w14:paraId="3FC0FA74" w14:textId="77777777" w:rsidR="00FA551A" w:rsidRDefault="00FA551A" w:rsidP="00960B72"/>
    <w:tbl>
      <w:tblPr>
        <w:tblW w:w="5000" w:type="pct"/>
        <w:tblCellMar>
          <w:left w:w="0" w:type="dxa"/>
          <w:right w:w="0" w:type="dxa"/>
        </w:tblCellMar>
        <w:tblLook w:val="01E0" w:firstRow="1" w:lastRow="1" w:firstColumn="1" w:lastColumn="1" w:noHBand="0" w:noVBand="0"/>
      </w:tblPr>
      <w:tblGrid>
        <w:gridCol w:w="4675"/>
        <w:gridCol w:w="4395"/>
      </w:tblGrid>
      <w:tr w:rsidR="00EE08F1" w14:paraId="22518C14" w14:textId="77777777" w:rsidTr="00EE08F1">
        <w:trPr>
          <w:trHeight w:val="475"/>
        </w:trPr>
        <w:tc>
          <w:tcPr>
            <w:tcW w:w="2577" w:type="pct"/>
          </w:tcPr>
          <w:p w14:paraId="7E3DABE1" w14:textId="57A2CCD2" w:rsidR="00EE08F1" w:rsidRDefault="00EE08F1" w:rsidP="006D0D6D">
            <w:pPr>
              <w:pStyle w:val="BoxHeading"/>
            </w:pPr>
            <w:r>
              <w:lastRenderedPageBreak/>
              <w:t>Chart</w:t>
            </w:r>
            <w:r>
              <w:rPr>
                <w:spacing w:val="1"/>
              </w:rPr>
              <w:t xml:space="preserve"> </w:t>
            </w:r>
            <w:r>
              <w:t>1.6:</w:t>
            </w:r>
            <w:r>
              <w:rPr>
                <w:spacing w:val="1"/>
              </w:rPr>
              <w:t xml:space="preserve"> </w:t>
            </w:r>
            <w:r>
              <w:t>Unemployment</w:t>
            </w:r>
            <w:r>
              <w:rPr>
                <w:spacing w:val="2"/>
              </w:rPr>
              <w:t xml:space="preserve"> </w:t>
            </w:r>
            <w:r>
              <w:rPr>
                <w:spacing w:val="-4"/>
              </w:rPr>
              <w:t xml:space="preserve">rate </w:t>
            </w:r>
            <w:r>
              <w:t>and</w:t>
            </w:r>
            <w:r>
              <w:rPr>
                <w:spacing w:val="1"/>
              </w:rPr>
              <w:t xml:space="preserve"> </w:t>
            </w:r>
            <w:r>
              <w:t>RBA</w:t>
            </w:r>
            <w:r>
              <w:rPr>
                <w:spacing w:val="2"/>
              </w:rPr>
              <w:t xml:space="preserve"> </w:t>
            </w:r>
            <w:r>
              <w:rPr>
                <w:spacing w:val="-2"/>
              </w:rPr>
              <w:t>forecasts</w:t>
            </w:r>
          </w:p>
        </w:tc>
        <w:tc>
          <w:tcPr>
            <w:tcW w:w="2423" w:type="pct"/>
          </w:tcPr>
          <w:p w14:paraId="1EF7C51C" w14:textId="43C93F81" w:rsidR="00EE08F1" w:rsidRDefault="00EE08F1" w:rsidP="006D0D6D">
            <w:pPr>
              <w:pStyle w:val="BoxHeading"/>
            </w:pPr>
            <w:r>
              <w:t>Chart</w:t>
            </w:r>
            <w:r>
              <w:rPr>
                <w:spacing w:val="-10"/>
              </w:rPr>
              <w:t xml:space="preserve"> </w:t>
            </w:r>
            <w:r>
              <w:t>1.7:</w:t>
            </w:r>
            <w:r>
              <w:rPr>
                <w:spacing w:val="-10"/>
              </w:rPr>
              <w:t xml:space="preserve"> </w:t>
            </w:r>
            <w:r>
              <w:t>Headline</w:t>
            </w:r>
            <w:r>
              <w:rPr>
                <w:spacing w:val="-10"/>
              </w:rPr>
              <w:t xml:space="preserve"> </w:t>
            </w:r>
            <w:r>
              <w:t>inflation and RBA forecasts</w:t>
            </w:r>
          </w:p>
        </w:tc>
      </w:tr>
      <w:tr w:rsidR="005B3F66" w14:paraId="3F77C316" w14:textId="77777777" w:rsidTr="00EE08F1">
        <w:trPr>
          <w:trHeight w:val="475"/>
        </w:trPr>
        <w:tc>
          <w:tcPr>
            <w:tcW w:w="2577" w:type="pct"/>
          </w:tcPr>
          <w:p w14:paraId="7BD45BB2" w14:textId="0DCC991C" w:rsidR="005B3F66" w:rsidRDefault="0017374A" w:rsidP="006D0D6D">
            <w:r>
              <w:rPr>
                <w:noProof/>
              </w:rPr>
              <w:drawing>
                <wp:inline distT="0" distB="0" distL="0" distR="0" wp14:anchorId="7D1A70E7" wp14:editId="4C4D5070">
                  <wp:extent cx="2488697" cy="2368301"/>
                  <wp:effectExtent l="0" t="0" r="6985" b="0"/>
                  <wp:docPr id="20" name="Picture 20" descr="A line graph of the RBA’s forecasts for the unemployment rate between November 2019 and February 2023. It shows that the RBA underestimated the extent of the improvement in the unemployment rate throughout most of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line graph of the RBA’s forecasts for the unemployment rate between November 2019 and February 2023. It shows that the RBA underestimated the extent of the improvement in the unemployment rate throughout most of this period.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8697" cy="2368301"/>
                          </a:xfrm>
                          <a:prstGeom prst="rect">
                            <a:avLst/>
                          </a:prstGeom>
                        </pic:spPr>
                      </pic:pic>
                    </a:graphicData>
                  </a:graphic>
                </wp:inline>
              </w:drawing>
            </w:r>
          </w:p>
        </w:tc>
        <w:tc>
          <w:tcPr>
            <w:tcW w:w="2423" w:type="pct"/>
          </w:tcPr>
          <w:p w14:paraId="1CCEAAB6" w14:textId="0339A8F2" w:rsidR="005B3F66" w:rsidRDefault="0017374A" w:rsidP="006D0D6D">
            <w:r>
              <w:rPr>
                <w:noProof/>
              </w:rPr>
              <w:drawing>
                <wp:inline distT="0" distB="0" distL="0" distR="0" wp14:anchorId="5612F69F" wp14:editId="460AF43D">
                  <wp:extent cx="2484125" cy="2368301"/>
                  <wp:effectExtent l="0" t="0" r="0" b="0"/>
                  <wp:docPr id="21" name="Picture 21" descr="A line graph of the RBA’s forecasts for the unemployment rate between November 2019 and February 2023. It shows that the RBA underestimated the extent of the improvement in the unemployment rate throughout most of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line graph of the RBA’s forecasts for the unemployment rate between November 2019 and February 2023. It shows that the RBA underestimated the extent of the improvement in the unemployment rate throughout most of this period.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84125" cy="2368301"/>
                          </a:xfrm>
                          <a:prstGeom prst="rect">
                            <a:avLst/>
                          </a:prstGeom>
                        </pic:spPr>
                      </pic:pic>
                    </a:graphicData>
                  </a:graphic>
                </wp:inline>
              </w:drawing>
            </w:r>
          </w:p>
        </w:tc>
      </w:tr>
    </w:tbl>
    <w:p w14:paraId="23FB5E3D" w14:textId="126F80D3" w:rsidR="00260BDD" w:rsidRDefault="00260BDD" w:rsidP="006D0D6D">
      <w:pPr>
        <w:pStyle w:val="Note"/>
      </w:pPr>
      <w:r>
        <w:t>Note:</w:t>
      </w:r>
      <w:r>
        <w:rPr>
          <w:spacing w:val="2"/>
        </w:rPr>
        <w:t xml:space="preserve"> </w:t>
      </w:r>
      <w:r>
        <w:t>Grey</w:t>
      </w:r>
      <w:r>
        <w:rPr>
          <w:spacing w:val="4"/>
        </w:rPr>
        <w:t xml:space="preserve"> </w:t>
      </w:r>
      <w:r>
        <w:t>lines</w:t>
      </w:r>
      <w:r>
        <w:rPr>
          <w:spacing w:val="4"/>
        </w:rPr>
        <w:t xml:space="preserve"> </w:t>
      </w:r>
      <w:r>
        <w:t>represent</w:t>
      </w:r>
      <w:r>
        <w:rPr>
          <w:spacing w:val="4"/>
        </w:rPr>
        <w:t xml:space="preserve"> </w:t>
      </w:r>
      <w:r>
        <w:t>quarterly</w:t>
      </w:r>
      <w:r>
        <w:rPr>
          <w:spacing w:val="4"/>
        </w:rPr>
        <w:t xml:space="preserve"> </w:t>
      </w:r>
      <w:r>
        <w:t>RBA</w:t>
      </w:r>
      <w:r>
        <w:rPr>
          <w:spacing w:val="4"/>
        </w:rPr>
        <w:t xml:space="preserve"> </w:t>
      </w:r>
      <w:r>
        <w:t>unemployment</w:t>
      </w:r>
      <w:r>
        <w:rPr>
          <w:spacing w:val="5"/>
        </w:rPr>
        <w:t xml:space="preserve"> </w:t>
      </w:r>
      <w:r>
        <w:t>rate</w:t>
      </w:r>
      <w:r>
        <w:rPr>
          <w:spacing w:val="4"/>
        </w:rPr>
        <w:t xml:space="preserve"> </w:t>
      </w:r>
      <w:r>
        <w:t>and</w:t>
      </w:r>
      <w:r>
        <w:rPr>
          <w:spacing w:val="4"/>
        </w:rPr>
        <w:t xml:space="preserve"> </w:t>
      </w:r>
      <w:r>
        <w:t>inflation</w:t>
      </w:r>
      <w:r>
        <w:rPr>
          <w:spacing w:val="4"/>
        </w:rPr>
        <w:t xml:space="preserve"> </w:t>
      </w:r>
      <w:r>
        <w:t>forecasts</w:t>
      </w:r>
      <w:r>
        <w:rPr>
          <w:spacing w:val="4"/>
        </w:rPr>
        <w:t xml:space="preserve"> </w:t>
      </w:r>
      <w:r>
        <w:t>from</w:t>
      </w:r>
      <w:r>
        <w:rPr>
          <w:spacing w:val="4"/>
        </w:rPr>
        <w:t xml:space="preserve"> </w:t>
      </w:r>
      <w:r>
        <w:t>November</w:t>
      </w:r>
      <w:r>
        <w:rPr>
          <w:spacing w:val="4"/>
        </w:rPr>
        <w:t xml:space="preserve"> </w:t>
      </w:r>
      <w:r>
        <w:t>2019</w:t>
      </w:r>
      <w:r>
        <w:rPr>
          <w:spacing w:val="5"/>
        </w:rPr>
        <w:t xml:space="preserve"> </w:t>
      </w:r>
      <w:r>
        <w:rPr>
          <w:spacing w:val="-2"/>
        </w:rPr>
        <w:t xml:space="preserve">until </w:t>
      </w:r>
      <w:r>
        <w:t>February</w:t>
      </w:r>
      <w:r>
        <w:rPr>
          <w:spacing w:val="5"/>
        </w:rPr>
        <w:t xml:space="preserve"> </w:t>
      </w:r>
      <w:r>
        <w:t>2023.</w:t>
      </w:r>
      <w:r>
        <w:rPr>
          <w:spacing w:val="5"/>
        </w:rPr>
        <w:t xml:space="preserve"> </w:t>
      </w:r>
      <w:r>
        <w:t>Source:</w:t>
      </w:r>
      <w:r>
        <w:rPr>
          <w:spacing w:val="6"/>
        </w:rPr>
        <w:t xml:space="preserve"> </w:t>
      </w:r>
      <w:r>
        <w:t>ABS</w:t>
      </w:r>
      <w:r>
        <w:rPr>
          <w:spacing w:val="5"/>
        </w:rPr>
        <w:t xml:space="preserve"> </w:t>
      </w:r>
      <w:r>
        <w:t>Labour</w:t>
      </w:r>
      <w:r>
        <w:rPr>
          <w:spacing w:val="6"/>
        </w:rPr>
        <w:t xml:space="preserve"> </w:t>
      </w:r>
      <w:r>
        <w:t>Force</w:t>
      </w:r>
      <w:r>
        <w:rPr>
          <w:spacing w:val="5"/>
        </w:rPr>
        <w:t xml:space="preserve"> </w:t>
      </w:r>
      <w:r>
        <w:t>Survey;</w:t>
      </w:r>
      <w:r>
        <w:rPr>
          <w:spacing w:val="6"/>
        </w:rPr>
        <w:t xml:space="preserve"> </w:t>
      </w:r>
      <w:r>
        <w:t>ABS</w:t>
      </w:r>
      <w:r>
        <w:rPr>
          <w:spacing w:val="5"/>
        </w:rPr>
        <w:t xml:space="preserve"> </w:t>
      </w:r>
      <w:r>
        <w:t>Consumer</w:t>
      </w:r>
      <w:r>
        <w:rPr>
          <w:spacing w:val="6"/>
        </w:rPr>
        <w:t xml:space="preserve"> </w:t>
      </w:r>
      <w:r>
        <w:t>Price</w:t>
      </w:r>
      <w:r>
        <w:rPr>
          <w:spacing w:val="5"/>
        </w:rPr>
        <w:t xml:space="preserve"> </w:t>
      </w:r>
      <w:r>
        <w:t>Index;</w:t>
      </w:r>
      <w:r>
        <w:rPr>
          <w:spacing w:val="6"/>
        </w:rPr>
        <w:t xml:space="preserve"> </w:t>
      </w:r>
      <w:r>
        <w:rPr>
          <w:spacing w:val="-4"/>
        </w:rPr>
        <w:t>RBA.</w:t>
      </w:r>
    </w:p>
    <w:p w14:paraId="7D5B2019" w14:textId="77777777" w:rsidR="00260BDD" w:rsidRDefault="00260BDD" w:rsidP="006D0D6D">
      <w:r>
        <w:t>With the benefit of hindsight, the Reserve Bank Board was too slow to wind back the overall level of monetary support in the face of rising inflationary pressures. This was true of many other central banks.</w:t>
      </w:r>
    </w:p>
    <w:p w14:paraId="33C0CC91" w14:textId="77777777" w:rsidR="003A0FB5" w:rsidRDefault="003A0FB5" w:rsidP="003A0FB5">
      <w:r>
        <w:t>In part, this reflected the fact that the Reserve Bank Board’s policy decisions throughout the COVID-19</w:t>
      </w:r>
      <w:r>
        <w:rPr>
          <w:spacing w:val="-2"/>
        </w:rPr>
        <w:t xml:space="preserve"> </w:t>
      </w:r>
      <w:r>
        <w:t>pandemic</w:t>
      </w:r>
      <w:r>
        <w:rPr>
          <w:spacing w:val="-2"/>
        </w:rPr>
        <w:t xml:space="preserve"> </w:t>
      </w:r>
      <w:r>
        <w:t>were</w:t>
      </w:r>
      <w:r>
        <w:rPr>
          <w:spacing w:val="-2"/>
        </w:rPr>
        <w:t xml:space="preserve"> </w:t>
      </w:r>
      <w:r>
        <w:t>motivated</w:t>
      </w:r>
      <w:r>
        <w:rPr>
          <w:spacing w:val="-2"/>
        </w:rPr>
        <w:t xml:space="preserve"> </w:t>
      </w:r>
      <w:r>
        <w:t>by</w:t>
      </w:r>
      <w:r>
        <w:rPr>
          <w:spacing w:val="-2"/>
        </w:rPr>
        <w:t xml:space="preserve"> </w:t>
      </w:r>
      <w:r>
        <w:t>a</w:t>
      </w:r>
      <w:r>
        <w:rPr>
          <w:spacing w:val="-2"/>
        </w:rPr>
        <w:t xml:space="preserve"> </w:t>
      </w:r>
      <w:r>
        <w:t>desire</w:t>
      </w:r>
      <w:r>
        <w:rPr>
          <w:spacing w:val="-2"/>
        </w:rPr>
        <w:t xml:space="preserve"> </w:t>
      </w:r>
      <w:r>
        <w:t>to</w:t>
      </w:r>
      <w:r>
        <w:rPr>
          <w:spacing w:val="-2"/>
        </w:rPr>
        <w:t xml:space="preserve"> </w:t>
      </w:r>
      <w:r>
        <w:t>insure</w:t>
      </w:r>
      <w:r>
        <w:rPr>
          <w:spacing w:val="-2"/>
        </w:rPr>
        <w:t xml:space="preserve"> </w:t>
      </w:r>
      <w:r>
        <w:t>against</w:t>
      </w:r>
      <w:r>
        <w:rPr>
          <w:spacing w:val="-2"/>
        </w:rPr>
        <w:t xml:space="preserve"> </w:t>
      </w:r>
      <w:r>
        <w:t>downside</w:t>
      </w:r>
      <w:r>
        <w:rPr>
          <w:spacing w:val="-2"/>
        </w:rPr>
        <w:t xml:space="preserve"> </w:t>
      </w:r>
      <w:r>
        <w:t>risks</w:t>
      </w:r>
      <w:r>
        <w:rPr>
          <w:spacing w:val="-2"/>
        </w:rPr>
        <w:t xml:space="preserve"> </w:t>
      </w:r>
      <w:r>
        <w:t>to</w:t>
      </w:r>
      <w:r>
        <w:rPr>
          <w:spacing w:val="-2"/>
        </w:rPr>
        <w:t xml:space="preserve"> </w:t>
      </w:r>
      <w:r>
        <w:t>inflation</w:t>
      </w:r>
      <w:r>
        <w:rPr>
          <w:spacing w:val="-2"/>
        </w:rPr>
        <w:t xml:space="preserve"> </w:t>
      </w:r>
      <w:r>
        <w:t>and employment. This led the Reserve Bank Board to provide more support and for longer, rather than risk not doing enough. Like at many central banks, the RBA’s thinking during the COVID-19 pandemic may have downplayed the burden of higher prices, particularly for those at the lower end of the income distribution, and the costs to the economy of bringing inflation down when it becomes embedded in expectations.</w:t>
      </w:r>
    </w:p>
    <w:p w14:paraId="0674B491" w14:textId="77777777" w:rsidR="003A0FB5" w:rsidRDefault="003A0FB5" w:rsidP="003A0FB5">
      <w:r>
        <w:t>The RBA’s response also reflected persistent errors in forecasting inflation and unemployment (Charts 1.6 and 1.7). After many years of low inflation, the RBA and many other central banks</w:t>
      </w:r>
      <w:r>
        <w:rPr>
          <w:spacing w:val="80"/>
        </w:rPr>
        <w:t xml:space="preserve"> </w:t>
      </w:r>
      <w:r>
        <w:t>paid insufficient attention to the upside risks, such as persistent supply chain issues and inflation expectations, and relied too much on wage pressures as an advanced signal of persistent</w:t>
      </w:r>
      <w:r>
        <w:rPr>
          <w:spacing w:val="40"/>
        </w:rPr>
        <w:t xml:space="preserve"> </w:t>
      </w:r>
      <w:r>
        <w:t>inflation pressures.</w:t>
      </w:r>
    </w:p>
    <w:p w14:paraId="463FC2A4" w14:textId="77777777" w:rsidR="003A0FB5" w:rsidRDefault="003A0FB5" w:rsidP="003A0FB5">
      <w:r>
        <w:t>However, the Review is of the view that aspects of the policy-making process also contributed. These include how risks were presented to the Reserve Bank Board and factored into decisions about monetary policy strategy, the extent of debate and challenge, and the approach to communication. For example, there was little discussion in Reserve Bank Board papers about</w:t>
      </w:r>
      <w:r>
        <w:rPr>
          <w:spacing w:val="40"/>
        </w:rPr>
        <w:t xml:space="preserve"> </w:t>
      </w:r>
      <w:r>
        <w:t>how to address the inherent inflexibility of a yield target and calendar-based forward guidance to changes in the economic outlook.</w:t>
      </w:r>
    </w:p>
    <w:p w14:paraId="7342AC2A" w14:textId="77777777" w:rsidR="00343EF8" w:rsidRDefault="00343EF8" w:rsidP="00343EF8">
      <w:pPr>
        <w:pStyle w:val="Heading4"/>
      </w:pPr>
      <w:r>
        <w:t>Calendar-based</w:t>
      </w:r>
      <w:r>
        <w:rPr>
          <w:spacing w:val="9"/>
        </w:rPr>
        <w:t xml:space="preserve"> </w:t>
      </w:r>
      <w:r>
        <w:t>forward</w:t>
      </w:r>
      <w:r>
        <w:rPr>
          <w:spacing w:val="10"/>
        </w:rPr>
        <w:t xml:space="preserve"> </w:t>
      </w:r>
      <w:r>
        <w:rPr>
          <w:spacing w:val="-2"/>
        </w:rPr>
        <w:t>guidance</w:t>
      </w:r>
    </w:p>
    <w:p w14:paraId="5FD3CC7B" w14:textId="77777777" w:rsidR="00343EF8" w:rsidRDefault="00343EF8" w:rsidP="00343EF8">
      <w:r>
        <w:t>The Review heard from many stakeholders that the Reserve Bank Board’s use of forward guidance significantly affected the RBA’s public credibility.</w:t>
      </w:r>
    </w:p>
    <w:p w14:paraId="5B586306" w14:textId="77777777" w:rsidR="00343EF8" w:rsidRDefault="00343EF8" w:rsidP="00343EF8">
      <w:r>
        <w:t>As late as November 2021, the Governor said that the next cash rate increase would likely come</w:t>
      </w:r>
      <w:r>
        <w:rPr>
          <w:spacing w:val="40"/>
        </w:rPr>
        <w:t xml:space="preserve"> </w:t>
      </w:r>
      <w:r>
        <w:t>in</w:t>
      </w:r>
      <w:r>
        <w:rPr>
          <w:spacing w:val="-4"/>
        </w:rPr>
        <w:t xml:space="preserve"> </w:t>
      </w:r>
      <w:r>
        <w:t>2024</w:t>
      </w:r>
      <w:r>
        <w:rPr>
          <w:spacing w:val="-4"/>
        </w:rPr>
        <w:t xml:space="preserve"> </w:t>
      </w:r>
      <w:r>
        <w:t>(Lowe</w:t>
      </w:r>
      <w:r>
        <w:rPr>
          <w:spacing w:val="-4"/>
        </w:rPr>
        <w:t xml:space="preserve"> </w:t>
      </w:r>
      <w:r>
        <w:t>2021a).</w:t>
      </w:r>
      <w:r>
        <w:rPr>
          <w:spacing w:val="-4"/>
        </w:rPr>
        <w:t xml:space="preserve"> </w:t>
      </w:r>
      <w:r>
        <w:t>Even</w:t>
      </w:r>
      <w:r>
        <w:rPr>
          <w:spacing w:val="-4"/>
        </w:rPr>
        <w:t xml:space="preserve"> </w:t>
      </w:r>
      <w:r>
        <w:t>after</w:t>
      </w:r>
      <w:r>
        <w:rPr>
          <w:spacing w:val="-4"/>
        </w:rPr>
        <w:t xml:space="preserve"> </w:t>
      </w:r>
      <w:r>
        <w:t>this</w:t>
      </w:r>
      <w:r>
        <w:rPr>
          <w:spacing w:val="-4"/>
        </w:rPr>
        <w:t xml:space="preserve"> </w:t>
      </w:r>
      <w:r>
        <w:t>guidance</w:t>
      </w:r>
      <w:r>
        <w:rPr>
          <w:spacing w:val="-4"/>
        </w:rPr>
        <w:t xml:space="preserve"> </w:t>
      </w:r>
      <w:r>
        <w:t>was</w:t>
      </w:r>
      <w:r>
        <w:rPr>
          <w:spacing w:val="-4"/>
        </w:rPr>
        <w:t xml:space="preserve"> </w:t>
      </w:r>
      <w:r>
        <w:t>dropped</w:t>
      </w:r>
      <w:r>
        <w:rPr>
          <w:spacing w:val="-4"/>
        </w:rPr>
        <w:t xml:space="preserve"> </w:t>
      </w:r>
      <w:r>
        <w:t>and</w:t>
      </w:r>
      <w:r>
        <w:rPr>
          <w:spacing w:val="-4"/>
        </w:rPr>
        <w:t xml:space="preserve"> </w:t>
      </w:r>
      <w:r>
        <w:t>other</w:t>
      </w:r>
      <w:r>
        <w:rPr>
          <w:spacing w:val="-4"/>
        </w:rPr>
        <w:t xml:space="preserve"> </w:t>
      </w:r>
      <w:r>
        <w:t>advanced</w:t>
      </w:r>
      <w:r>
        <w:rPr>
          <w:spacing w:val="-4"/>
        </w:rPr>
        <w:t xml:space="preserve"> </w:t>
      </w:r>
      <w:r>
        <w:t>economies</w:t>
      </w:r>
      <w:r>
        <w:rPr>
          <w:spacing w:val="-6"/>
        </w:rPr>
        <w:t xml:space="preserve"> </w:t>
      </w:r>
      <w:r>
        <w:t xml:space="preserve">were increasing their policy rates, the Governor maintained that the probability of a cash rate increase in 2022 was low (Lowe 2021b). While the Reserve Bank Board provided conditions alongside this </w:t>
      </w:r>
      <w:r>
        <w:lastRenderedPageBreak/>
        <w:t>calendar-based guidance, many in the public understood this to be a commitment. The Review heard from people who interpreted the decision to increase interest rates in May 2022 as a ‘broken promise’.</w:t>
      </w:r>
    </w:p>
    <w:p w14:paraId="68DBBCF0" w14:textId="77777777" w:rsidR="00343EF8" w:rsidRDefault="00343EF8" w:rsidP="00343EF8">
      <w:r>
        <w:t>The Review considers that the fallout from this relatively sharp change of direction on forward guidance could have been reduced if the Reserve Bank Board had updated the guidance earlier as the economic outlook improved. That said, there were also issues that were seeded in the original design of the forward guidance, including the long time horizon of the guidance and the RBA’s reliance on detailed caveats to its forward guidance, which were not well understood by the public.</w:t>
      </w:r>
    </w:p>
    <w:p w14:paraId="50EC2245" w14:textId="77777777" w:rsidR="00343EF8" w:rsidRDefault="00343EF8" w:rsidP="00343EF8">
      <w:r>
        <w:t>In the Review’s view, the Reserve Bank Board and executive could have given more consideration to the credible views being expressed by outsiders, and reflected in financial market prices, of emerging upside risks to inflation. Such views could have prompted discussion of alternative communication strategies.</w:t>
      </w:r>
    </w:p>
    <w:p w14:paraId="0DEB9E2A" w14:textId="77777777" w:rsidR="00343EF8" w:rsidRDefault="00343EF8" w:rsidP="00343EF8">
      <w:r>
        <w:t>The episode underscores that forward guidance is an element of the RBA’s policy strategy toolkit that carries significant reputational risks. As such, future decision making by the Reserve Bank Board on forward guidance should be supported with similarly substantive material for discussion as for other monetary policy tools.</w:t>
      </w:r>
    </w:p>
    <w:p w14:paraId="2662FB1A" w14:textId="77777777" w:rsidR="0062587F" w:rsidRDefault="0062587F" w:rsidP="0062587F">
      <w:pPr>
        <w:pStyle w:val="Heading4"/>
      </w:pPr>
      <w:bookmarkStart w:id="30" w:name="_Hlk133507924"/>
      <w:r>
        <w:t>Calendar-based</w:t>
      </w:r>
      <w:r>
        <w:rPr>
          <w:spacing w:val="9"/>
        </w:rPr>
        <w:t xml:space="preserve"> </w:t>
      </w:r>
      <w:r>
        <w:t>forward</w:t>
      </w:r>
      <w:r>
        <w:rPr>
          <w:spacing w:val="10"/>
        </w:rPr>
        <w:t xml:space="preserve"> </w:t>
      </w:r>
      <w:r>
        <w:rPr>
          <w:spacing w:val="-2"/>
        </w:rPr>
        <w:t>guidance</w:t>
      </w:r>
    </w:p>
    <w:p w14:paraId="3E47CB5E" w14:textId="77777777" w:rsidR="0062587F" w:rsidRDefault="0062587F" w:rsidP="0062587F">
      <w:r>
        <w:t>The Review heard from many stakeholders that the Reserve Bank Board’s use of forward guidance significantly affected the RBA’s public credibility.</w:t>
      </w:r>
    </w:p>
    <w:p w14:paraId="6351B475" w14:textId="77777777" w:rsidR="0062587F" w:rsidRDefault="0062587F" w:rsidP="0062587F">
      <w:r>
        <w:t>As late as November 2021, the Governor said that the next cash rate increase would likely come</w:t>
      </w:r>
      <w:r>
        <w:rPr>
          <w:spacing w:val="40"/>
        </w:rPr>
        <w:t xml:space="preserve"> </w:t>
      </w:r>
      <w:r>
        <w:t>in</w:t>
      </w:r>
      <w:r>
        <w:rPr>
          <w:spacing w:val="-4"/>
        </w:rPr>
        <w:t xml:space="preserve"> </w:t>
      </w:r>
      <w:r>
        <w:t>2024</w:t>
      </w:r>
      <w:r>
        <w:rPr>
          <w:spacing w:val="-4"/>
        </w:rPr>
        <w:t xml:space="preserve"> </w:t>
      </w:r>
      <w:r>
        <w:t>(Lowe</w:t>
      </w:r>
      <w:r>
        <w:rPr>
          <w:spacing w:val="-4"/>
        </w:rPr>
        <w:t xml:space="preserve"> </w:t>
      </w:r>
      <w:r>
        <w:t>2021a).</w:t>
      </w:r>
      <w:r>
        <w:rPr>
          <w:spacing w:val="-4"/>
        </w:rPr>
        <w:t xml:space="preserve"> </w:t>
      </w:r>
      <w:r>
        <w:t>Even</w:t>
      </w:r>
      <w:r>
        <w:rPr>
          <w:spacing w:val="-4"/>
        </w:rPr>
        <w:t xml:space="preserve"> </w:t>
      </w:r>
      <w:r>
        <w:t>after</w:t>
      </w:r>
      <w:r>
        <w:rPr>
          <w:spacing w:val="-4"/>
        </w:rPr>
        <w:t xml:space="preserve"> </w:t>
      </w:r>
      <w:r>
        <w:t>this</w:t>
      </w:r>
      <w:r>
        <w:rPr>
          <w:spacing w:val="-4"/>
        </w:rPr>
        <w:t xml:space="preserve"> </w:t>
      </w:r>
      <w:r>
        <w:t>guidance</w:t>
      </w:r>
      <w:r>
        <w:rPr>
          <w:spacing w:val="-4"/>
        </w:rPr>
        <w:t xml:space="preserve"> </w:t>
      </w:r>
      <w:r>
        <w:t>was</w:t>
      </w:r>
      <w:r>
        <w:rPr>
          <w:spacing w:val="-4"/>
        </w:rPr>
        <w:t xml:space="preserve"> </w:t>
      </w:r>
      <w:r>
        <w:t>dropped</w:t>
      </w:r>
      <w:r>
        <w:rPr>
          <w:spacing w:val="-4"/>
        </w:rPr>
        <w:t xml:space="preserve"> </w:t>
      </w:r>
      <w:r>
        <w:t>and</w:t>
      </w:r>
      <w:r>
        <w:rPr>
          <w:spacing w:val="-4"/>
        </w:rPr>
        <w:t xml:space="preserve"> </w:t>
      </w:r>
      <w:r>
        <w:t>other</w:t>
      </w:r>
      <w:r>
        <w:rPr>
          <w:spacing w:val="-4"/>
        </w:rPr>
        <w:t xml:space="preserve"> </w:t>
      </w:r>
      <w:r>
        <w:t>advanced</w:t>
      </w:r>
      <w:r>
        <w:rPr>
          <w:spacing w:val="-4"/>
        </w:rPr>
        <w:t xml:space="preserve"> </w:t>
      </w:r>
      <w:r>
        <w:t>economies</w:t>
      </w:r>
      <w:r>
        <w:rPr>
          <w:spacing w:val="-6"/>
        </w:rPr>
        <w:t xml:space="preserve"> </w:t>
      </w:r>
      <w:r>
        <w:t>were increasing their policy rates, the Governor maintained that the probability of a cash rate increase in 2022 was low (Lowe 2021b). While the Reserve Bank Board provided conditions alongside this calendar-based guidance, many in the public understood this to be a commitment. The Review heard from people who interpreted the decision to increase interest rates in May 2022 as a ‘broken promise’.</w:t>
      </w:r>
    </w:p>
    <w:p w14:paraId="5084C824" w14:textId="77777777" w:rsidR="0062587F" w:rsidRDefault="0062587F" w:rsidP="0062587F">
      <w:r>
        <w:t>The Review considers that the fallout from this relatively sharp change of direction on forward guidance could have been reduced if the Reserve Bank Board had updated the guidance earlier as the economic outlook improved. That said, there were also issues that were seeded in the original design of the forward guidance, including the long time horizon of the guidance and the RBA’s reliance on detailed caveats to its forward guidance, which were not well understood by the public.</w:t>
      </w:r>
    </w:p>
    <w:p w14:paraId="10FEEC8A" w14:textId="77777777" w:rsidR="0062587F" w:rsidRDefault="0062587F" w:rsidP="0062587F">
      <w:r>
        <w:t>In the Review’s view, the Reserve Bank Board and executive could have given more consideration to the credible views being expressed by outsiders, and reflected in financial market prices, of emerging upside risks to inflation. Such views could have prompted discussion of alternative communication strategies.</w:t>
      </w:r>
    </w:p>
    <w:p w14:paraId="1EC52D59" w14:textId="77777777" w:rsidR="0062587F" w:rsidRDefault="0062587F" w:rsidP="0062587F">
      <w:r>
        <w:t>The episode underscores that forward guidance is an element of the RBA’s policy strategy toolkit that carries significant reputational risks. As such, future decision making by the Reserve Bank Board on forward guidance should be supported with similarly substantive material for discussion as for other monetary policy tools.</w:t>
      </w:r>
    </w:p>
    <w:bookmarkEnd w:id="30"/>
    <w:p w14:paraId="41758198" w14:textId="77777777" w:rsidR="00E000AA" w:rsidRDefault="00E000AA" w:rsidP="00E000AA">
      <w:pPr>
        <w:pStyle w:val="Heading4"/>
      </w:pPr>
      <w:r>
        <w:t xml:space="preserve">Operation and exit from the yield </w:t>
      </w:r>
      <w:r>
        <w:rPr>
          <w:spacing w:val="-2"/>
        </w:rPr>
        <w:t>target</w:t>
      </w:r>
    </w:p>
    <w:p w14:paraId="7FFC3C87" w14:textId="5D2C8B86" w:rsidR="00E000AA" w:rsidRDefault="00E000AA" w:rsidP="00E000AA">
      <w:r>
        <w:t>The yield target initially operated effectively, but the Review considers that the RBA made errors in how it subsequently exited from the yield target. The Review has heard strong criticism from stakeholders</w:t>
      </w:r>
      <w:r>
        <w:rPr>
          <w:spacing w:val="1"/>
        </w:rPr>
        <w:t xml:space="preserve"> </w:t>
      </w:r>
      <w:r>
        <w:t>regarding</w:t>
      </w:r>
      <w:r>
        <w:rPr>
          <w:spacing w:val="2"/>
        </w:rPr>
        <w:t xml:space="preserve"> </w:t>
      </w:r>
      <w:r>
        <w:t>the</w:t>
      </w:r>
      <w:r>
        <w:rPr>
          <w:spacing w:val="1"/>
        </w:rPr>
        <w:t xml:space="preserve"> </w:t>
      </w:r>
      <w:r>
        <w:t>RBA’s</w:t>
      </w:r>
      <w:r>
        <w:rPr>
          <w:spacing w:val="2"/>
        </w:rPr>
        <w:t xml:space="preserve"> </w:t>
      </w:r>
      <w:r>
        <w:t>exit</w:t>
      </w:r>
      <w:r>
        <w:rPr>
          <w:spacing w:val="2"/>
        </w:rPr>
        <w:t xml:space="preserve"> </w:t>
      </w:r>
      <w:r>
        <w:t>from</w:t>
      </w:r>
      <w:r>
        <w:rPr>
          <w:spacing w:val="1"/>
        </w:rPr>
        <w:t xml:space="preserve"> </w:t>
      </w:r>
      <w:r>
        <w:t>the</w:t>
      </w:r>
      <w:r>
        <w:rPr>
          <w:spacing w:val="2"/>
        </w:rPr>
        <w:t xml:space="preserve"> </w:t>
      </w:r>
      <w:r>
        <w:t>yield</w:t>
      </w:r>
      <w:r>
        <w:rPr>
          <w:spacing w:val="1"/>
        </w:rPr>
        <w:t xml:space="preserve"> </w:t>
      </w:r>
      <w:r>
        <w:t>target.</w:t>
      </w:r>
      <w:r>
        <w:rPr>
          <w:spacing w:val="2"/>
        </w:rPr>
        <w:t xml:space="preserve"> </w:t>
      </w:r>
      <w:r>
        <w:t>The</w:t>
      </w:r>
      <w:r>
        <w:rPr>
          <w:spacing w:val="2"/>
        </w:rPr>
        <w:t xml:space="preserve"> </w:t>
      </w:r>
      <w:r>
        <w:t>RBA</w:t>
      </w:r>
      <w:r>
        <w:rPr>
          <w:spacing w:val="1"/>
        </w:rPr>
        <w:t xml:space="preserve"> </w:t>
      </w:r>
      <w:r>
        <w:t>has</w:t>
      </w:r>
      <w:r>
        <w:rPr>
          <w:spacing w:val="2"/>
        </w:rPr>
        <w:t xml:space="preserve"> </w:t>
      </w:r>
      <w:r>
        <w:t>acknowledged</w:t>
      </w:r>
      <w:r>
        <w:rPr>
          <w:spacing w:val="1"/>
        </w:rPr>
        <w:t xml:space="preserve"> </w:t>
      </w:r>
      <w:r>
        <w:t>that</w:t>
      </w:r>
      <w:r>
        <w:rPr>
          <w:spacing w:val="2"/>
        </w:rPr>
        <w:t xml:space="preserve"> </w:t>
      </w:r>
      <w:r>
        <w:t>the</w:t>
      </w:r>
      <w:r>
        <w:rPr>
          <w:spacing w:val="2"/>
        </w:rPr>
        <w:t xml:space="preserve"> </w:t>
      </w:r>
      <w:r>
        <w:rPr>
          <w:spacing w:val="-4"/>
        </w:rPr>
        <w:t xml:space="preserve">exit </w:t>
      </w:r>
      <w:r>
        <w:t>was</w:t>
      </w:r>
      <w:r>
        <w:rPr>
          <w:spacing w:val="-2"/>
        </w:rPr>
        <w:t xml:space="preserve"> </w:t>
      </w:r>
      <w:r>
        <w:t>disorderly and caused some reputational damage to the</w:t>
      </w:r>
      <w:r>
        <w:rPr>
          <w:spacing w:val="1"/>
        </w:rPr>
        <w:t xml:space="preserve"> </w:t>
      </w:r>
      <w:r>
        <w:rPr>
          <w:spacing w:val="-2"/>
        </w:rPr>
        <w:t>Bank.</w:t>
      </w:r>
    </w:p>
    <w:p w14:paraId="5D813639" w14:textId="3FA6B763" w:rsidR="00E000AA" w:rsidRDefault="00E000AA" w:rsidP="00E000AA">
      <w:r>
        <w:lastRenderedPageBreak/>
        <w:t>The RBA appears to have given limited consideration in the design phase on to how it would exit from the yield target, and accompanying forward guidance, particularly in the case of the economic situation improving earlier than expected. Orphanides (2023) has noted that the bond purchase program also carried a foreseeable risk of creating pressure on the yield target, commenting that it ‘added an unnecessary complication to policy that proved counterproductive’. While the yield target was put in place during a crisis period, there was time afterwards to consider the changing risks around the scheme and potentially adjust its design. For example, the US Federal Reserve (2010)</w:t>
      </w:r>
      <w:r>
        <w:rPr>
          <w:spacing w:val="-1"/>
        </w:rPr>
        <w:t xml:space="preserve"> </w:t>
      </w:r>
      <w:r>
        <w:t>considered</w:t>
      </w:r>
      <w:r>
        <w:rPr>
          <w:spacing w:val="-1"/>
        </w:rPr>
        <w:t xml:space="preserve"> </w:t>
      </w:r>
      <w:r>
        <w:t>how</w:t>
      </w:r>
      <w:r>
        <w:rPr>
          <w:spacing w:val="-1"/>
        </w:rPr>
        <w:t xml:space="preserve"> </w:t>
      </w:r>
      <w:r>
        <w:t>a</w:t>
      </w:r>
      <w:r>
        <w:rPr>
          <w:spacing w:val="-1"/>
        </w:rPr>
        <w:t xml:space="preserve"> </w:t>
      </w:r>
      <w:r>
        <w:t>yield</w:t>
      </w:r>
      <w:r>
        <w:rPr>
          <w:spacing w:val="-1"/>
        </w:rPr>
        <w:t xml:space="preserve"> </w:t>
      </w:r>
      <w:r>
        <w:t>target</w:t>
      </w:r>
      <w:r>
        <w:rPr>
          <w:spacing w:val="-1"/>
        </w:rPr>
        <w:t xml:space="preserve"> </w:t>
      </w:r>
      <w:r>
        <w:t>could</w:t>
      </w:r>
      <w:r>
        <w:rPr>
          <w:spacing w:val="-1"/>
        </w:rPr>
        <w:t xml:space="preserve"> </w:t>
      </w:r>
      <w:r>
        <w:t>be</w:t>
      </w:r>
      <w:r>
        <w:rPr>
          <w:spacing w:val="-1"/>
        </w:rPr>
        <w:t xml:space="preserve"> </w:t>
      </w:r>
      <w:r>
        <w:t>designed</w:t>
      </w:r>
      <w:r>
        <w:rPr>
          <w:spacing w:val="-1"/>
        </w:rPr>
        <w:t xml:space="preserve"> </w:t>
      </w:r>
      <w:r>
        <w:t>with</w:t>
      </w:r>
      <w:r>
        <w:rPr>
          <w:spacing w:val="-1"/>
        </w:rPr>
        <w:t xml:space="preserve"> </w:t>
      </w:r>
      <w:r>
        <w:t>the</w:t>
      </w:r>
      <w:r>
        <w:rPr>
          <w:spacing w:val="-1"/>
        </w:rPr>
        <w:t xml:space="preserve"> </w:t>
      </w:r>
      <w:r>
        <w:t>risk</w:t>
      </w:r>
      <w:r>
        <w:rPr>
          <w:spacing w:val="-1"/>
        </w:rPr>
        <w:t xml:space="preserve"> </w:t>
      </w:r>
      <w:r>
        <w:t>of</w:t>
      </w:r>
      <w:r>
        <w:rPr>
          <w:spacing w:val="-1"/>
        </w:rPr>
        <w:t xml:space="preserve"> </w:t>
      </w:r>
      <w:r>
        <w:t>rising</w:t>
      </w:r>
      <w:r>
        <w:rPr>
          <w:spacing w:val="-1"/>
        </w:rPr>
        <w:t xml:space="preserve"> </w:t>
      </w:r>
      <w:r>
        <w:t>yields</w:t>
      </w:r>
      <w:r>
        <w:rPr>
          <w:spacing w:val="-1"/>
        </w:rPr>
        <w:t xml:space="preserve"> </w:t>
      </w:r>
      <w:r>
        <w:t>in</w:t>
      </w:r>
      <w:r>
        <w:rPr>
          <w:spacing w:val="-1"/>
        </w:rPr>
        <w:t xml:space="preserve"> </w:t>
      </w:r>
      <w:r>
        <w:t>mind.</w:t>
      </w:r>
      <w:r>
        <w:rPr>
          <w:spacing w:val="-1"/>
        </w:rPr>
        <w:t xml:space="preserve"> </w:t>
      </w:r>
      <w:r>
        <w:t>While the RBA designed and implemented the yield target, the Reserve Bank Board had responsibility and could have been expected to provide challenge on these points.</w:t>
      </w:r>
    </w:p>
    <w:p w14:paraId="410A09AA" w14:textId="77777777" w:rsidR="00E000AA" w:rsidRDefault="00E000AA" w:rsidP="00E000AA">
      <w:r>
        <w:t>Those risks began to materialise over 2021, culminating in a disorderly exit. Following stronger- than-expected inflation data in October 2021, the yield on the target bond moved sharply away from the target. The RBA did not make any purchases to defend the target or explain its position</w:t>
      </w:r>
      <w:r>
        <w:rPr>
          <w:spacing w:val="40"/>
        </w:rPr>
        <w:t xml:space="preserve"> </w:t>
      </w:r>
      <w:r>
        <w:t>on not defending the target. This operational decision had policy implications, creating uncertainty in financial markets about whether the target had been discontinued. The target was not formally dropped until the Reserve Bank Board meeting the following week. The Review heard that this disorderly exit caused substantial (though mostly temporary) market disruption and that the RBA’s credibility, especially with market participants, was damaged as a result.</w:t>
      </w:r>
    </w:p>
    <w:p w14:paraId="59273468" w14:textId="2DAC6E04" w:rsidR="00E000AA" w:rsidRDefault="00E000AA" w:rsidP="00E000AA">
      <w:r>
        <w:t>This raises governance concerns regarding the role of the Reserve Bank Board in decision making and the ability of the Governor to stop implementing a decision of the Reserve Bank Board without first consulting them. The Reserve Bank Board did not have the opportunity to contribute to what was a significant policy decision that they were responsible for. This highlights a governance flaw, potentially stemming from an unclear operational responsibility of the RBA executive in implementing the Reserve Bank Board’s decisions.</w:t>
      </w:r>
    </w:p>
    <w:p w14:paraId="50126B99" w14:textId="77777777" w:rsidR="00E000AA" w:rsidRDefault="00E000AA" w:rsidP="00E000AA">
      <w:r>
        <w:t>In the months leading up to the Governor’s decision to stop defending the target, there were significant gaps in the information available to the Reserve Bank Board, and the Review is unaware of any Board requests for information on this topic. This curtailed the Reserve Bank Board’s ability</w:t>
      </w:r>
      <w:r>
        <w:rPr>
          <w:spacing w:val="40"/>
        </w:rPr>
        <w:t xml:space="preserve"> </w:t>
      </w:r>
      <w:r>
        <w:t>to fully appraise the operation of the yield target and make strategic decisions. The Reserve Bank Board was not made aware of the views of some senior staff members shared with the Governor that the RBA should exit the yield target in mid-2021. At this point, market overnight index swap rates of similar maturity had moved away from the target government bond rate, indicating that the target was not transmitting effectively to other rates in the economy. Likewise, the Reserve Bank Board was not provided with written analysis of the growing risk that the target may need to be defended or abandoned in 2021, though the risk was noted once in Board materials in February 2021. Moreover, the Reserve Bank Board only received written material on an exit strategy once throughout the life of the program, also in February 2021. Had the Board been fully aware of staff concerns, including growing risks and declining effectiveness, it may have reached an earlier view that exit or adjustment of the scheme was appropriate.</w:t>
      </w:r>
    </w:p>
    <w:p w14:paraId="6B7AB030" w14:textId="77777777" w:rsidR="003B4C22" w:rsidRDefault="003B4C22" w:rsidP="003B4C22">
      <w:pPr>
        <w:pStyle w:val="Heading3"/>
      </w:pPr>
      <w:r>
        <w:t>Internal</w:t>
      </w:r>
      <w:r>
        <w:rPr>
          <w:spacing w:val="-11"/>
        </w:rPr>
        <w:t xml:space="preserve"> </w:t>
      </w:r>
      <w:r>
        <w:t>reviews</w:t>
      </w:r>
      <w:r>
        <w:rPr>
          <w:spacing w:val="-8"/>
        </w:rPr>
        <w:t xml:space="preserve"> </w:t>
      </w:r>
      <w:r>
        <w:t>of</w:t>
      </w:r>
      <w:r>
        <w:rPr>
          <w:spacing w:val="-8"/>
        </w:rPr>
        <w:t xml:space="preserve"> </w:t>
      </w:r>
      <w:r>
        <w:t>additional</w:t>
      </w:r>
      <w:r>
        <w:rPr>
          <w:spacing w:val="-8"/>
        </w:rPr>
        <w:t xml:space="preserve"> </w:t>
      </w:r>
      <w:r>
        <w:t>monetary</w:t>
      </w:r>
      <w:r>
        <w:rPr>
          <w:spacing w:val="-8"/>
        </w:rPr>
        <w:t xml:space="preserve"> </w:t>
      </w:r>
      <w:r>
        <w:t>policy</w:t>
      </w:r>
      <w:r>
        <w:rPr>
          <w:spacing w:val="-8"/>
        </w:rPr>
        <w:t xml:space="preserve"> </w:t>
      </w:r>
      <w:r>
        <w:rPr>
          <w:spacing w:val="-2"/>
        </w:rPr>
        <w:t>tools</w:t>
      </w:r>
    </w:p>
    <w:p w14:paraId="5CC60E4F" w14:textId="77777777" w:rsidR="003B4C22" w:rsidRDefault="003B4C22" w:rsidP="003B4C22">
      <w:r>
        <w:t>The RBA has published internal reviews for each of the additional monetary policy tools introduced during the pandemic (Black and others 2021; RBA 2022b; RBA 2022d; RBA 2022e). These reviews concluded that the programs achieved their objectives, while noting some implementation issues.</w:t>
      </w:r>
    </w:p>
    <w:p w14:paraId="351FC3B1" w14:textId="77777777" w:rsidR="003B4C22" w:rsidRDefault="003B4C22" w:rsidP="003B4C22">
      <w:r>
        <w:t xml:space="preserve">These internal reviews provide a useful explanation of the RBA’s policy choices, and it is good practice for institutions to reflect on their own performance and learn lessons. That said, because self-appraisals are like grading one’s own exam, reviews of significant importance should also be conducted at arm’s length. In the case of the RBA’s economic assessment of the bond purchase program, for instance, the Review heard in consultations that it was viewed as being superficial and </w:t>
      </w:r>
      <w:r>
        <w:lastRenderedPageBreak/>
        <w:t>that the GDP results were presented in a misleading way (that is gross nominal terms as opposed</w:t>
      </w:r>
      <w:r>
        <w:rPr>
          <w:spacing w:val="40"/>
        </w:rPr>
        <w:t xml:space="preserve"> </w:t>
      </w:r>
      <w:r>
        <w:t>to net real terms).</w:t>
      </w:r>
    </w:p>
    <w:p w14:paraId="1EA332B9" w14:textId="77777777" w:rsidR="003B4C22" w:rsidRDefault="003B4C22" w:rsidP="003B4C22">
      <w:r>
        <w:t>It would be particularly beneficial to draw on external perspectives to ensure the conclusions drawn from the reviews are viewed as being credible and robust to different methodologies. For example, the internal review only made brief mention of the waning impact of the yield target</w:t>
      </w:r>
      <w:r>
        <w:rPr>
          <w:spacing w:val="80"/>
        </w:rPr>
        <w:t xml:space="preserve"> </w:t>
      </w:r>
      <w:r>
        <w:t>on financial conditions. In contrast, research by the Federal Reserve Bank of New York on the Australian experience found that the impact became extremely limited over time (Lucca 2022).</w:t>
      </w:r>
    </w:p>
    <w:p w14:paraId="51520497" w14:textId="199D0341" w:rsidR="003B4C22" w:rsidRDefault="003B4C22" w:rsidP="003B4C22">
      <w:r>
        <w:t>Over time, more internal</w:t>
      </w:r>
      <w:r>
        <w:rPr>
          <w:spacing w:val="1"/>
        </w:rPr>
        <w:t xml:space="preserve"> </w:t>
      </w:r>
      <w:r>
        <w:t>research should be undertaken</w:t>
      </w:r>
      <w:r>
        <w:rPr>
          <w:spacing w:val="1"/>
        </w:rPr>
        <w:t xml:space="preserve"> </w:t>
      </w:r>
      <w:r>
        <w:t>to supplement the</w:t>
      </w:r>
      <w:r>
        <w:rPr>
          <w:spacing w:val="1"/>
        </w:rPr>
        <w:t xml:space="preserve"> </w:t>
      </w:r>
      <w:r>
        <w:rPr>
          <w:spacing w:val="-2"/>
        </w:rPr>
        <w:t xml:space="preserve">initial </w:t>
      </w:r>
      <w:r>
        <w:t>internal</w:t>
      </w:r>
      <w:r>
        <w:rPr>
          <w:spacing w:val="-1"/>
        </w:rPr>
        <w:t xml:space="preserve"> </w:t>
      </w:r>
      <w:r>
        <w:t>assessment.</w:t>
      </w:r>
    </w:p>
    <w:p w14:paraId="0FB4D35B" w14:textId="5286F37D" w:rsidR="003A0FB5" w:rsidRDefault="003B4C22" w:rsidP="003B4C22">
      <w:r>
        <w:t>Collectively, additional analysis will inform public understanding of and decisions of the Reserve Bank Board about future use of additional monetary policy tools. The Reserve Bank of New Zealand offers a good example of this practice (Kengmana 2021). It has provided a clear public assessment of the use of additional monetary policy tools during the pandemic, informed by a set of published principles. These principles offer guidance for how they will consider additional monetary policy tools in the future.</w:t>
      </w:r>
    </w:p>
    <w:p w14:paraId="2DEC3ECE" w14:textId="77777777" w:rsidR="00C97819" w:rsidRDefault="00C97819" w:rsidP="00C97819">
      <w:pPr>
        <w:pStyle w:val="Heading3"/>
      </w:pPr>
      <w:r>
        <w:t>Conclusion:</w:t>
      </w:r>
      <w:r>
        <w:rPr>
          <w:spacing w:val="-12"/>
        </w:rPr>
        <w:t xml:space="preserve"> </w:t>
      </w:r>
      <w:r>
        <w:t>The</w:t>
      </w:r>
      <w:r>
        <w:rPr>
          <w:spacing w:val="-10"/>
        </w:rPr>
        <w:t xml:space="preserve"> </w:t>
      </w:r>
      <w:r>
        <w:t>RBA’s</w:t>
      </w:r>
      <w:r>
        <w:rPr>
          <w:spacing w:val="-10"/>
        </w:rPr>
        <w:t xml:space="preserve"> </w:t>
      </w:r>
      <w:r>
        <w:t>actions</w:t>
      </w:r>
      <w:r>
        <w:rPr>
          <w:spacing w:val="-9"/>
        </w:rPr>
        <w:t xml:space="preserve"> </w:t>
      </w:r>
      <w:r>
        <w:t>relating</w:t>
      </w:r>
      <w:r>
        <w:rPr>
          <w:spacing w:val="-10"/>
        </w:rPr>
        <w:t xml:space="preserve"> </w:t>
      </w:r>
      <w:r>
        <w:t>to</w:t>
      </w:r>
      <w:r>
        <w:rPr>
          <w:spacing w:val="-10"/>
        </w:rPr>
        <w:t xml:space="preserve"> </w:t>
      </w:r>
      <w:r>
        <w:t>the</w:t>
      </w:r>
      <w:r>
        <w:rPr>
          <w:spacing w:val="-10"/>
        </w:rPr>
        <w:t xml:space="preserve"> </w:t>
      </w:r>
      <w:r>
        <w:t>COVID-19</w:t>
      </w:r>
      <w:r>
        <w:rPr>
          <w:spacing w:val="-9"/>
        </w:rPr>
        <w:t xml:space="preserve"> </w:t>
      </w:r>
      <w:r>
        <w:rPr>
          <w:spacing w:val="-2"/>
        </w:rPr>
        <w:t>pandemic</w:t>
      </w:r>
    </w:p>
    <w:p w14:paraId="5B32366E" w14:textId="77777777" w:rsidR="00C97819" w:rsidRPr="00C97819" w:rsidRDefault="00C97819" w:rsidP="00C97819">
      <w:pPr>
        <w:rPr>
          <w:rFonts w:cs="Calibri Light"/>
        </w:rPr>
      </w:pPr>
      <w:r>
        <w:t xml:space="preserve">The RBA’s use of additional monetary policy tools during the COVID-19 pandemic highlights the </w:t>
      </w:r>
      <w:r w:rsidRPr="00C97819">
        <w:rPr>
          <w:rFonts w:cs="Calibri Light"/>
        </w:rPr>
        <w:t>importance of:</w:t>
      </w:r>
    </w:p>
    <w:p w14:paraId="305F12BF" w14:textId="77777777" w:rsidR="00C97819" w:rsidRPr="00C97819" w:rsidRDefault="00C97819" w:rsidP="0000278A">
      <w:pPr>
        <w:pStyle w:val="Bullet"/>
      </w:pPr>
      <w:r w:rsidRPr="00C97819">
        <w:rPr>
          <w:b/>
        </w:rPr>
        <w:t xml:space="preserve">Bolstering the Reserve Bank Board’s collective expertise: </w:t>
      </w:r>
      <w:r w:rsidRPr="00C97819">
        <w:t>Reserve Bank Board members with a deeper understanding of the financial system and familiarity with international experience would be better placed to offer alternative views on complex and novel monetary policy tools.</w:t>
      </w:r>
    </w:p>
    <w:p w14:paraId="4A5EFBBC" w14:textId="77777777" w:rsidR="00C97819" w:rsidRPr="00C97819" w:rsidRDefault="00C97819" w:rsidP="0000278A">
      <w:pPr>
        <w:pStyle w:val="Bullet"/>
      </w:pPr>
      <w:r w:rsidRPr="00C97819">
        <w:rPr>
          <w:b/>
        </w:rPr>
        <w:t xml:space="preserve">Enabling the Reserve Bank Board: </w:t>
      </w:r>
      <w:r w:rsidRPr="00C97819">
        <w:t>The Board needs to be more actively involved in policy formulation, especially when the RBA executive propose novel tools and/or policy options with significant risks. To achieve this, the Reserve Bank Board needs to receive and request sufficient information, time and staff support.</w:t>
      </w:r>
    </w:p>
    <w:p w14:paraId="38EC26AD" w14:textId="77777777" w:rsidR="00C97819" w:rsidRPr="00C97819" w:rsidRDefault="00C97819" w:rsidP="0000278A">
      <w:pPr>
        <w:pStyle w:val="Bullet"/>
      </w:pPr>
      <w:r w:rsidRPr="00C97819">
        <w:rPr>
          <w:b/>
        </w:rPr>
        <w:t xml:space="preserve">Preparing for the use of additional monetary policy tools: </w:t>
      </w:r>
      <w:r w:rsidRPr="00C97819">
        <w:t>The need to act quickly in</w:t>
      </w:r>
      <w:r w:rsidRPr="00C97819">
        <w:rPr>
          <w:spacing w:val="80"/>
        </w:rPr>
        <w:t xml:space="preserve"> </w:t>
      </w:r>
      <w:r w:rsidRPr="00C97819">
        <w:t>a crisis underscores the importance of laying the foundations for sound decision making by undertaking thorough preparatory work. A more fully articulated approach to potential tool design, calibration and risk measurement and mitigation could have led to a more robust decision-making process over the course of the crisis.</w:t>
      </w:r>
    </w:p>
    <w:p w14:paraId="1B8C4775" w14:textId="1D93DDCE" w:rsidR="00C97819" w:rsidRPr="00C97819" w:rsidRDefault="00C97819" w:rsidP="0000278A">
      <w:pPr>
        <w:pStyle w:val="Bullet"/>
      </w:pPr>
      <w:r w:rsidRPr="00C97819">
        <w:rPr>
          <w:b/>
        </w:rPr>
        <w:t xml:space="preserve">Fully assessing costs, benefits and risks: </w:t>
      </w:r>
      <w:r w:rsidRPr="00C97819">
        <w:t>The Reserve Bank Board should receive and request comprehensive quantitative and qualitative assessments of costs, benefits and risks to inform decision making. In addition, the Reserve Bank Board should consider upside and</w:t>
      </w:r>
      <w:r>
        <w:t xml:space="preserve"> </w:t>
      </w:r>
      <w:r w:rsidRPr="00C97819">
        <w:t>downside risks to the economic outlook as part of the monetary policy decision-making process, particularly in periods of considerable uncertainty.</w:t>
      </w:r>
    </w:p>
    <w:p w14:paraId="6F9E2626" w14:textId="77777777" w:rsidR="00C97819" w:rsidRPr="00C97819" w:rsidRDefault="00C97819" w:rsidP="0000278A">
      <w:pPr>
        <w:pStyle w:val="Bullet"/>
      </w:pPr>
      <w:r w:rsidRPr="00C97819">
        <w:rPr>
          <w:b/>
        </w:rPr>
        <w:t xml:space="preserve">Risk monitoring and exit planning: </w:t>
      </w:r>
      <w:r w:rsidRPr="00C97819">
        <w:t>The disorderly exit from the yield target highlights the need for the Reserve Bank Board to receive regular risk assessments and exit planning while additional policy tools are in operation. Exit planning should consider interactions between tools and the implications for sequencing.</w:t>
      </w:r>
    </w:p>
    <w:p w14:paraId="212A670F" w14:textId="77777777" w:rsidR="00C97819" w:rsidRPr="00C97819" w:rsidRDefault="00C97819" w:rsidP="0000278A">
      <w:pPr>
        <w:pStyle w:val="Bullet"/>
      </w:pPr>
      <w:r w:rsidRPr="00C97819">
        <w:rPr>
          <w:b/>
        </w:rPr>
        <w:t xml:space="preserve">Taking forward guidance decisions cautiously: </w:t>
      </w:r>
      <w:r w:rsidRPr="00C97819">
        <w:t>The choice to introduce calendar-based or other forms of forward guidance should be a Board decision and considered carefully. It should be treated as a policy decision equivalent to the use of other additional monetary policy tools. Decisions should be informed by a staff assessment and Reserve Bank Board discussion of the benefits and risks of the type of forward guidance being considered, and strategy to update the guidance over time.</w:t>
      </w:r>
    </w:p>
    <w:p w14:paraId="72C0699C" w14:textId="77777777" w:rsidR="00C97819" w:rsidRPr="00C97819" w:rsidRDefault="00C97819" w:rsidP="0000278A">
      <w:pPr>
        <w:pStyle w:val="Bullet"/>
      </w:pPr>
      <w:r w:rsidRPr="00C97819">
        <w:rPr>
          <w:b/>
        </w:rPr>
        <w:lastRenderedPageBreak/>
        <w:t>Carefully</w:t>
      </w:r>
      <w:r w:rsidRPr="00C97819">
        <w:rPr>
          <w:b/>
          <w:spacing w:val="-12"/>
        </w:rPr>
        <w:t xml:space="preserve"> </w:t>
      </w:r>
      <w:r w:rsidRPr="00C97819">
        <w:rPr>
          <w:b/>
        </w:rPr>
        <w:t>considering</w:t>
      </w:r>
      <w:r w:rsidRPr="00C97819">
        <w:rPr>
          <w:b/>
          <w:spacing w:val="-12"/>
        </w:rPr>
        <w:t xml:space="preserve"> </w:t>
      </w:r>
      <w:r w:rsidRPr="00C97819">
        <w:rPr>
          <w:b/>
        </w:rPr>
        <w:t>how</w:t>
      </w:r>
      <w:r w:rsidRPr="00C97819">
        <w:rPr>
          <w:b/>
          <w:spacing w:val="-12"/>
        </w:rPr>
        <w:t xml:space="preserve"> </w:t>
      </w:r>
      <w:r w:rsidRPr="00C97819">
        <w:rPr>
          <w:b/>
        </w:rPr>
        <w:t>best</w:t>
      </w:r>
      <w:r w:rsidRPr="00C97819">
        <w:rPr>
          <w:b/>
          <w:spacing w:val="-11"/>
        </w:rPr>
        <w:t xml:space="preserve"> </w:t>
      </w:r>
      <w:r w:rsidRPr="00C97819">
        <w:rPr>
          <w:b/>
        </w:rPr>
        <w:t>to</w:t>
      </w:r>
      <w:r w:rsidRPr="00C97819">
        <w:rPr>
          <w:b/>
          <w:spacing w:val="-12"/>
        </w:rPr>
        <w:t xml:space="preserve"> </w:t>
      </w:r>
      <w:r w:rsidRPr="00C97819">
        <w:rPr>
          <w:b/>
        </w:rPr>
        <w:t>communicate</w:t>
      </w:r>
      <w:r w:rsidRPr="00C97819">
        <w:rPr>
          <w:b/>
          <w:spacing w:val="-12"/>
        </w:rPr>
        <w:t xml:space="preserve"> </w:t>
      </w:r>
      <w:r w:rsidRPr="00C97819">
        <w:rPr>
          <w:b/>
        </w:rPr>
        <w:t>with</w:t>
      </w:r>
      <w:r w:rsidRPr="00C97819">
        <w:rPr>
          <w:b/>
          <w:spacing w:val="-11"/>
        </w:rPr>
        <w:t xml:space="preserve"> </w:t>
      </w:r>
      <w:r w:rsidRPr="00C97819">
        <w:rPr>
          <w:b/>
        </w:rPr>
        <w:t>the</w:t>
      </w:r>
      <w:r w:rsidRPr="00C97819">
        <w:rPr>
          <w:b/>
          <w:spacing w:val="-12"/>
        </w:rPr>
        <w:t xml:space="preserve"> </w:t>
      </w:r>
      <w:r w:rsidRPr="00C97819">
        <w:rPr>
          <w:b/>
        </w:rPr>
        <w:t>public</w:t>
      </w:r>
      <w:r w:rsidRPr="00C97819">
        <w:rPr>
          <w:b/>
          <w:spacing w:val="-12"/>
        </w:rPr>
        <w:t xml:space="preserve"> </w:t>
      </w:r>
      <w:r w:rsidRPr="00C97819">
        <w:rPr>
          <w:b/>
        </w:rPr>
        <w:t>on</w:t>
      </w:r>
      <w:r w:rsidRPr="00C97819">
        <w:rPr>
          <w:b/>
          <w:spacing w:val="-11"/>
        </w:rPr>
        <w:t xml:space="preserve"> </w:t>
      </w:r>
      <w:r w:rsidRPr="00C97819">
        <w:rPr>
          <w:b/>
        </w:rPr>
        <w:t>monetary</w:t>
      </w:r>
      <w:r w:rsidRPr="00C97819">
        <w:rPr>
          <w:b/>
          <w:spacing w:val="-12"/>
        </w:rPr>
        <w:t xml:space="preserve"> </w:t>
      </w:r>
      <w:r w:rsidRPr="00C97819">
        <w:rPr>
          <w:b/>
        </w:rPr>
        <w:t>policy:</w:t>
      </w:r>
      <w:r w:rsidRPr="00C97819">
        <w:rPr>
          <w:b/>
          <w:spacing w:val="-12"/>
        </w:rPr>
        <w:t xml:space="preserve"> </w:t>
      </w:r>
      <w:r w:rsidRPr="00C97819">
        <w:t>The RBA’s experience with forward guidance highlights the need for communication to be effective</w:t>
      </w:r>
      <w:r w:rsidRPr="00C97819">
        <w:rPr>
          <w:spacing w:val="40"/>
        </w:rPr>
        <w:t xml:space="preserve"> </w:t>
      </w:r>
      <w:r w:rsidRPr="00C97819">
        <w:t>at relaying the intended message to the target audience.</w:t>
      </w:r>
    </w:p>
    <w:p w14:paraId="5AA08A98" w14:textId="77777777" w:rsidR="00C97819" w:rsidRDefault="00C97819" w:rsidP="0000278A">
      <w:pPr>
        <w:pStyle w:val="Bullet"/>
      </w:pPr>
      <w:r w:rsidRPr="00C97819">
        <w:rPr>
          <w:b/>
        </w:rPr>
        <w:t xml:space="preserve">Clearly delineating responsibilities: </w:t>
      </w:r>
      <w:r w:rsidRPr="00C97819">
        <w:t>The RBA executive’s decision not to involve the Reserve Bank Board in the decision making to stop defending th</w:t>
      </w:r>
      <w:r>
        <w:t>e yield target highlights the need for greater clarity around the respective responsibilities of the RBA executive and Reserve Bank Board, including the boundary between operational and policy decisions.</w:t>
      </w:r>
    </w:p>
    <w:p w14:paraId="3E58F6A4" w14:textId="5BF1CC0C" w:rsidR="00C97819" w:rsidRDefault="00C97819" w:rsidP="0000278A">
      <w:pPr>
        <w:pStyle w:val="Bullet"/>
      </w:pPr>
      <w:r w:rsidRPr="008E263C">
        <w:rPr>
          <w:b/>
        </w:rPr>
        <w:t xml:space="preserve">Reviewing and drawing lessons from experience: </w:t>
      </w:r>
      <w:r w:rsidRPr="008E263C">
        <w:t>A frank and transparent post- implementation assessment of the net benefits of additional monetary policy tools would help to identify lessons for how and when they might best be used in the future. The assessment should consider the interactions between tools and the operation of the package as a whole (Orphanides 2023).</w:t>
      </w:r>
    </w:p>
    <w:p w14:paraId="51FA4587" w14:textId="15E951AD" w:rsidR="005D5BD3" w:rsidRPr="00B22788" w:rsidRDefault="005D5BD3" w:rsidP="00B22788">
      <w:pPr>
        <w:pStyle w:val="Heading2"/>
      </w:pPr>
      <w:bookmarkStart w:id="31" w:name="_Toc134221001"/>
      <w:r w:rsidRPr="00B22788">
        <w:t>Episode 3: Overshooting the inflation target since 2021</w:t>
      </w:r>
      <w:bookmarkEnd w:id="31"/>
    </w:p>
    <w:p w14:paraId="7CEF7D05" w14:textId="77777777" w:rsidR="005D5BD3" w:rsidRDefault="005D5BD3" w:rsidP="005D5BD3">
      <w:r>
        <w:t>Since mid-2021, inflation in many advanced economies has increased sharply to be well above central banks’ targets (Chart 1.8). In Australia, headline inflation reached 7.8 per cent in the December quarter of 2022, its highest rate in more than 3 decades, and trimmed mean inflation reached 6.9 per cent.</w:t>
      </w:r>
    </w:p>
    <w:p w14:paraId="0A9C2427" w14:textId="77777777" w:rsidR="005D5BD3" w:rsidRDefault="005D5BD3" w:rsidP="005D5BD3">
      <w:r>
        <w:t>The Review considered the RBA’s response to these inflationary pressures and has made some initial observations. However, there remains significant uncertainty around how events will play out. The Review suggests that this episode be revisited in future reviews.</w:t>
      </w:r>
    </w:p>
    <w:tbl>
      <w:tblPr>
        <w:tblW w:w="5000" w:type="pct"/>
        <w:tblCellMar>
          <w:left w:w="0" w:type="dxa"/>
          <w:right w:w="0" w:type="dxa"/>
        </w:tblCellMar>
        <w:tblLook w:val="01E0" w:firstRow="1" w:lastRow="1" w:firstColumn="1" w:lastColumn="1" w:noHBand="0" w:noVBand="0"/>
      </w:tblPr>
      <w:tblGrid>
        <w:gridCol w:w="4813"/>
        <w:gridCol w:w="4257"/>
      </w:tblGrid>
      <w:tr w:rsidR="00EC247E" w14:paraId="6123A5BE" w14:textId="77777777" w:rsidTr="00340798">
        <w:trPr>
          <w:trHeight w:val="475"/>
        </w:trPr>
        <w:tc>
          <w:tcPr>
            <w:tcW w:w="2653" w:type="pct"/>
          </w:tcPr>
          <w:p w14:paraId="5CDB091F" w14:textId="791EE1C6" w:rsidR="00EC247E" w:rsidRPr="00EF6DA7" w:rsidRDefault="00EC247E" w:rsidP="00EF6DA7">
            <w:pPr>
              <w:pStyle w:val="BoxHeading"/>
              <w:keepLines/>
            </w:pPr>
            <w:r w:rsidRPr="00EF6DA7">
              <w:t>Chart 1.8: Headline inflation in Australia and</w:t>
            </w:r>
            <w:r w:rsidR="00340798" w:rsidRPr="00EF6DA7">
              <w:t> </w:t>
            </w:r>
            <w:r w:rsidRPr="00EF6DA7">
              <w:t>selected advanced economies</w:t>
            </w:r>
          </w:p>
        </w:tc>
        <w:tc>
          <w:tcPr>
            <w:tcW w:w="2347" w:type="pct"/>
          </w:tcPr>
          <w:p w14:paraId="59F9D9C1" w14:textId="6805CC5B" w:rsidR="00EC247E" w:rsidRPr="00EF6DA7" w:rsidRDefault="00EC247E" w:rsidP="00EF6DA7">
            <w:pPr>
              <w:pStyle w:val="BoxHeading"/>
              <w:keepLines/>
            </w:pPr>
            <w:r w:rsidRPr="00EF6DA7">
              <w:t>Chart 1.9: Central bank policy rates</w:t>
            </w:r>
          </w:p>
        </w:tc>
      </w:tr>
      <w:tr w:rsidR="00EC247E" w14:paraId="0657E07F" w14:textId="77777777" w:rsidTr="00340798">
        <w:trPr>
          <w:trHeight w:val="475"/>
        </w:trPr>
        <w:tc>
          <w:tcPr>
            <w:tcW w:w="2653" w:type="pct"/>
          </w:tcPr>
          <w:p w14:paraId="075E5AE4" w14:textId="73F18083" w:rsidR="00EC247E" w:rsidRPr="00EC247E" w:rsidRDefault="00F959B4" w:rsidP="00EF6DA7">
            <w:pPr>
              <w:keepNext/>
              <w:keepLines/>
            </w:pPr>
            <w:r>
              <w:rPr>
                <w:noProof/>
              </w:rPr>
              <w:drawing>
                <wp:inline distT="0" distB="0" distL="0" distR="0" wp14:anchorId="12DC25B1" wp14:editId="2B3F24C8">
                  <wp:extent cx="2520000" cy="2520000"/>
                  <wp:effectExtent l="0" t="0" r="0" b="0"/>
                  <wp:docPr id="51" name="Picture 51" descr="A line graph of Australia’s rate of inflation since 1960 compared with the headline inflation rate in a selection of other advanced economies. It shows that throughout much of this period Australia’s headline inflation has been lower than the maximum headline inflation among these countries and higher than the minimum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line graph of Australia’s rate of inflation since 1960 compared with the headline inflation rate in a selection of other advanced economies. It shows that throughout much of this period Australia’s headline inflation has been lower than the maximum headline inflation among these countries and higher than the minimum ra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pic:spPr>
                      </pic:pic>
                    </a:graphicData>
                  </a:graphic>
                </wp:inline>
              </w:drawing>
            </w:r>
          </w:p>
        </w:tc>
        <w:tc>
          <w:tcPr>
            <w:tcW w:w="2347" w:type="pct"/>
          </w:tcPr>
          <w:p w14:paraId="49D187E9" w14:textId="15FA7077" w:rsidR="00EC247E" w:rsidRPr="00EC247E" w:rsidRDefault="00340798" w:rsidP="00EF6DA7">
            <w:pPr>
              <w:keepNext/>
              <w:keepLines/>
            </w:pPr>
            <w:r>
              <w:rPr>
                <w:noProof/>
              </w:rPr>
              <w:drawing>
                <wp:inline distT="0" distB="0" distL="0" distR="0" wp14:anchorId="43B93064" wp14:editId="627E4FCC">
                  <wp:extent cx="2520000" cy="2520000"/>
                  <wp:effectExtent l="0" t="0" r="0" b="0"/>
                  <wp:docPr id="7" name="Picture 7" descr="A line graph showing the policy rate among the RBA’s peer central banks since 2021. It shows that the degree and pace of tightening by central banks has been similar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ine graph showing the policy rate among the RBA’s peer central banks since 2021. It shows that the degree and pace of tightening by central banks has been similar in Austral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pic:spPr>
                      </pic:pic>
                    </a:graphicData>
                  </a:graphic>
                </wp:inline>
              </w:drawing>
            </w:r>
          </w:p>
        </w:tc>
      </w:tr>
    </w:tbl>
    <w:p w14:paraId="4C13BAC4" w14:textId="77777777" w:rsidR="00797922" w:rsidRDefault="00797922" w:rsidP="00EF6DA7">
      <w:pPr>
        <w:pStyle w:val="Note"/>
        <w:keepNext/>
        <w:keepLines/>
      </w:pPr>
      <w:r>
        <w:t>Note: The shaded region represents the range of quarterly headline CPI inflation in Canada, Euro area, New Zealand, United Kingdom and the United States. Australian consumer price inflation excludes interest charges and tax changes in 1999-2000. Central bank policy rates updated to 20 March.</w:t>
      </w:r>
    </w:p>
    <w:p w14:paraId="2BF0C0A1" w14:textId="77777777" w:rsidR="00797922" w:rsidRDefault="00797922" w:rsidP="00EF6DA7">
      <w:pPr>
        <w:pStyle w:val="Note"/>
        <w:keepNext/>
        <w:keepLines/>
      </w:pPr>
      <w:r>
        <w:t>Source:</w:t>
      </w:r>
      <w:r>
        <w:rPr>
          <w:spacing w:val="8"/>
        </w:rPr>
        <w:t xml:space="preserve"> </w:t>
      </w:r>
      <w:r>
        <w:t>ABS,</w:t>
      </w:r>
      <w:r>
        <w:rPr>
          <w:spacing w:val="8"/>
        </w:rPr>
        <w:t xml:space="preserve"> </w:t>
      </w:r>
      <w:r>
        <w:t>Bank</w:t>
      </w:r>
      <w:r>
        <w:rPr>
          <w:spacing w:val="8"/>
        </w:rPr>
        <w:t xml:space="preserve"> </w:t>
      </w:r>
      <w:r>
        <w:t>for</w:t>
      </w:r>
      <w:r>
        <w:rPr>
          <w:spacing w:val="8"/>
        </w:rPr>
        <w:t xml:space="preserve"> </w:t>
      </w:r>
      <w:r>
        <w:t>International</w:t>
      </w:r>
      <w:r>
        <w:rPr>
          <w:spacing w:val="8"/>
        </w:rPr>
        <w:t xml:space="preserve"> </w:t>
      </w:r>
      <w:r>
        <w:t>Settlements,</w:t>
      </w:r>
      <w:r>
        <w:rPr>
          <w:spacing w:val="8"/>
        </w:rPr>
        <w:t xml:space="preserve"> </w:t>
      </w:r>
      <w:r>
        <w:rPr>
          <w:spacing w:val="-4"/>
        </w:rPr>
        <w:t>IMF.</w:t>
      </w:r>
    </w:p>
    <w:p w14:paraId="1E1B936D" w14:textId="77777777" w:rsidR="007F2F76" w:rsidRDefault="007F2F76" w:rsidP="007F2F76">
      <w:r>
        <w:t>In early 2021, signs of growing inflationary pressures began to emerge in many advanced economies, including Canada, New Zealand, the United Kingdom and the United States. At the time, the RBA believed Australia was unlikely to experience as large a rise in inflation as was observed overseas. It anticipated more modest effects of supply disruptions, including in energy markets,</w:t>
      </w:r>
      <w:r>
        <w:rPr>
          <w:spacing w:val="80"/>
          <w:w w:val="150"/>
        </w:rPr>
        <w:t xml:space="preserve"> </w:t>
      </w:r>
      <w:r>
        <w:t xml:space="preserve">and expected higher labour force participation and inertia in wage setting to dampen wage growth domestically. </w:t>
      </w:r>
      <w:r>
        <w:lastRenderedPageBreak/>
        <w:t>Like many peer central banks at the time, the RBA expected some of the pick-up in pricing pressures that was occurring to be temporary.</w:t>
      </w:r>
    </w:p>
    <w:p w14:paraId="73A8D1D5" w14:textId="1B92521B" w:rsidR="007F2F76" w:rsidRDefault="007F2F76" w:rsidP="007F2F76">
      <w:r>
        <w:t>By</w:t>
      </w:r>
      <w:r>
        <w:rPr>
          <w:spacing w:val="-2"/>
        </w:rPr>
        <w:t xml:space="preserve"> </w:t>
      </w:r>
      <w:r>
        <w:t>the</w:t>
      </w:r>
      <w:r>
        <w:rPr>
          <w:spacing w:val="-2"/>
        </w:rPr>
        <w:t xml:space="preserve"> </w:t>
      </w:r>
      <w:r>
        <w:t>second</w:t>
      </w:r>
      <w:r>
        <w:rPr>
          <w:spacing w:val="-2"/>
        </w:rPr>
        <w:t xml:space="preserve"> </w:t>
      </w:r>
      <w:r>
        <w:t>half</w:t>
      </w:r>
      <w:r>
        <w:rPr>
          <w:spacing w:val="-2"/>
        </w:rPr>
        <w:t xml:space="preserve"> </w:t>
      </w:r>
      <w:r>
        <w:t>of</w:t>
      </w:r>
      <w:r>
        <w:rPr>
          <w:spacing w:val="-2"/>
        </w:rPr>
        <w:t xml:space="preserve"> </w:t>
      </w:r>
      <w:r>
        <w:t>2021,</w:t>
      </w:r>
      <w:r>
        <w:rPr>
          <w:spacing w:val="-2"/>
        </w:rPr>
        <w:t xml:space="preserve"> </w:t>
      </w:r>
      <w:r>
        <w:t>the</w:t>
      </w:r>
      <w:r>
        <w:rPr>
          <w:spacing w:val="-2"/>
        </w:rPr>
        <w:t xml:space="preserve"> </w:t>
      </w:r>
      <w:r>
        <w:t>RBA</w:t>
      </w:r>
      <w:r>
        <w:rPr>
          <w:spacing w:val="-2"/>
        </w:rPr>
        <w:t xml:space="preserve"> </w:t>
      </w:r>
      <w:r>
        <w:t>was</w:t>
      </w:r>
      <w:r>
        <w:rPr>
          <w:spacing w:val="-2"/>
        </w:rPr>
        <w:t xml:space="preserve"> </w:t>
      </w:r>
      <w:r>
        <w:t>faced</w:t>
      </w:r>
      <w:r>
        <w:rPr>
          <w:spacing w:val="-2"/>
        </w:rPr>
        <w:t xml:space="preserve"> </w:t>
      </w:r>
      <w:r>
        <w:t>with</w:t>
      </w:r>
      <w:r>
        <w:rPr>
          <w:spacing w:val="-2"/>
        </w:rPr>
        <w:t xml:space="preserve"> </w:t>
      </w:r>
      <w:r>
        <w:t>a</w:t>
      </w:r>
      <w:r>
        <w:rPr>
          <w:spacing w:val="-2"/>
        </w:rPr>
        <w:t xml:space="preserve"> </w:t>
      </w:r>
      <w:r>
        <w:t>large</w:t>
      </w:r>
      <w:r>
        <w:rPr>
          <w:spacing w:val="-2"/>
        </w:rPr>
        <w:t xml:space="preserve"> </w:t>
      </w:r>
      <w:r>
        <w:t>upside</w:t>
      </w:r>
      <w:r>
        <w:rPr>
          <w:spacing w:val="-2"/>
        </w:rPr>
        <w:t xml:space="preserve"> </w:t>
      </w:r>
      <w:r>
        <w:t>surprise</w:t>
      </w:r>
      <w:r>
        <w:rPr>
          <w:spacing w:val="-2"/>
        </w:rPr>
        <w:t xml:space="preserve"> </w:t>
      </w:r>
      <w:r>
        <w:t>to</w:t>
      </w:r>
      <w:r>
        <w:rPr>
          <w:spacing w:val="-2"/>
        </w:rPr>
        <w:t xml:space="preserve"> </w:t>
      </w:r>
      <w:r>
        <w:t>inflation.</w:t>
      </w:r>
      <w:r>
        <w:rPr>
          <w:spacing w:val="-2"/>
        </w:rPr>
        <w:t xml:space="preserve"> </w:t>
      </w:r>
      <w:r>
        <w:t>Trimmed mean inflation jumped to 2.1 per cent in the September quarter, compared with a forecast of</w:t>
      </w:r>
      <w:r w:rsidR="008C5BD7">
        <w:t xml:space="preserve"> </w:t>
      </w:r>
      <w:r>
        <w:t>1.7 per cent. This forecast miss was large by historical standards, at around the 95th percentile of historical one quarter ahead forecast misses since the early 1990s. The RBA acknowledged the faster-than-expected progress towards its inflation target. However, it maintained that it expected further increases would likely be gradual and inflationary pressures would remain relatively narrow.</w:t>
      </w:r>
    </w:p>
    <w:p w14:paraId="4FCA47BA" w14:textId="77777777" w:rsidR="001E1723" w:rsidRDefault="001E1723" w:rsidP="001E1723">
      <w:r>
        <w:t>Inflation turned out to be stronger and more broad-based than the RBA (and most others) expected. Large forecast misses in the December quarter 2021 and March quarter 2022 – the largest in the inflation-targeting period – led the RBA to progressively revise its forecasts for inflation significantly higher (Chart 1.7).</w:t>
      </w:r>
    </w:p>
    <w:p w14:paraId="1E2E914D" w14:textId="77777777" w:rsidR="001E1723" w:rsidRDefault="001E1723" w:rsidP="001E1723">
      <w:r>
        <w:t>The Reserve Bank Board began to increase the cash rate target at its May 2022 meeting, only somewhat later than the US Federal Reserve and Bank of Canada, which began increasing their policy rates in March 2022. By comparison, the Reserve Bank of New Zealand and the Bank of England started raising their policy rates in October and December 2021, respectively.</w:t>
      </w:r>
    </w:p>
    <w:p w14:paraId="4EC22D82" w14:textId="1CB821C0" w:rsidR="001E1723" w:rsidRDefault="001E1723" w:rsidP="001E1723">
      <w:r>
        <w:t>While the Reserve Bank Board was initially slower to respond to signs of inflation than some of</w:t>
      </w:r>
      <w:r>
        <w:rPr>
          <w:spacing w:val="80"/>
        </w:rPr>
        <w:t xml:space="preserve"> </w:t>
      </w:r>
      <w:r>
        <w:t>its peer central banks, it acted decisively once underway. The Reserve Bank Board has increased its policy rate by a cumulative 3.5 percentage points since May 2022. This is one of Australia’s fastest tightening phases of monetary policy in the inflation-targeting era. It is comparable with the increases of other central banks (Chart 1.9).</w:t>
      </w:r>
    </w:p>
    <w:p w14:paraId="09483AC3" w14:textId="77777777" w:rsidR="001E1723" w:rsidRDefault="001E1723" w:rsidP="00832916">
      <w:pPr>
        <w:pStyle w:val="Heading3"/>
      </w:pPr>
      <w:r>
        <w:t>The</w:t>
      </w:r>
      <w:r>
        <w:rPr>
          <w:spacing w:val="-7"/>
        </w:rPr>
        <w:t xml:space="preserve"> </w:t>
      </w:r>
      <w:r>
        <w:t>RBA</w:t>
      </w:r>
      <w:r>
        <w:rPr>
          <w:spacing w:val="-6"/>
        </w:rPr>
        <w:t xml:space="preserve"> </w:t>
      </w:r>
      <w:r>
        <w:t>was</w:t>
      </w:r>
      <w:r>
        <w:rPr>
          <w:spacing w:val="-6"/>
        </w:rPr>
        <w:t xml:space="preserve"> </w:t>
      </w:r>
      <w:r>
        <w:t>slower</w:t>
      </w:r>
      <w:r>
        <w:rPr>
          <w:spacing w:val="-7"/>
        </w:rPr>
        <w:t xml:space="preserve"> </w:t>
      </w:r>
      <w:r>
        <w:t>than</w:t>
      </w:r>
      <w:r>
        <w:rPr>
          <w:spacing w:val="-6"/>
        </w:rPr>
        <w:t xml:space="preserve"> </w:t>
      </w:r>
      <w:r>
        <w:t>some</w:t>
      </w:r>
      <w:r>
        <w:rPr>
          <w:spacing w:val="-6"/>
        </w:rPr>
        <w:t xml:space="preserve"> </w:t>
      </w:r>
      <w:r>
        <w:t>others</w:t>
      </w:r>
      <w:r>
        <w:rPr>
          <w:spacing w:val="-7"/>
        </w:rPr>
        <w:t xml:space="preserve"> </w:t>
      </w:r>
      <w:r>
        <w:t>to</w:t>
      </w:r>
      <w:r>
        <w:rPr>
          <w:spacing w:val="-6"/>
        </w:rPr>
        <w:t xml:space="preserve"> </w:t>
      </w:r>
      <w:r>
        <w:t>respond</w:t>
      </w:r>
      <w:r>
        <w:rPr>
          <w:spacing w:val="-6"/>
        </w:rPr>
        <w:t xml:space="preserve"> </w:t>
      </w:r>
      <w:r>
        <w:t>to</w:t>
      </w:r>
      <w:r>
        <w:rPr>
          <w:spacing w:val="-7"/>
        </w:rPr>
        <w:t xml:space="preserve"> </w:t>
      </w:r>
      <w:r>
        <w:t>inflationary</w:t>
      </w:r>
      <w:r>
        <w:rPr>
          <w:spacing w:val="-6"/>
        </w:rPr>
        <w:t xml:space="preserve"> </w:t>
      </w:r>
      <w:r>
        <w:rPr>
          <w:spacing w:val="-2"/>
        </w:rPr>
        <w:t>risks</w:t>
      </w:r>
    </w:p>
    <w:p w14:paraId="33030403" w14:textId="77777777" w:rsidR="001E1723" w:rsidRDefault="001E1723" w:rsidP="001E1723">
      <w:r>
        <w:t>The RBA was not alone in misjudging the size and persistence of the increase in inflation. It came as a surprise to other central banks and official forecasters. Indeed, the RBA’s forecasts for inflation in Australia in 2022 evolved broadly in line with those of the International Monetary Fund (IMF), Organisation for Economic Co-operation and Development (OECD) and market economists surveyed by Consensus Economics (Chart 1.10).</w:t>
      </w:r>
    </w:p>
    <w:p w14:paraId="67441A92" w14:textId="77777777" w:rsidR="00BA2533" w:rsidRDefault="00BA2533" w:rsidP="001E1723"/>
    <w:tbl>
      <w:tblPr>
        <w:tblW w:w="5000" w:type="pct"/>
        <w:tblCellMar>
          <w:left w:w="0" w:type="dxa"/>
          <w:right w:w="0" w:type="dxa"/>
        </w:tblCellMar>
        <w:tblLook w:val="01E0" w:firstRow="1" w:lastRow="1" w:firstColumn="1" w:lastColumn="1" w:noHBand="0" w:noVBand="0"/>
      </w:tblPr>
      <w:tblGrid>
        <w:gridCol w:w="4602"/>
        <w:gridCol w:w="4468"/>
      </w:tblGrid>
      <w:tr w:rsidR="00BA2533" w14:paraId="392FAF75" w14:textId="77777777" w:rsidTr="00BA2533">
        <w:trPr>
          <w:trHeight w:val="475"/>
        </w:trPr>
        <w:tc>
          <w:tcPr>
            <w:tcW w:w="2537" w:type="pct"/>
          </w:tcPr>
          <w:p w14:paraId="094081D4" w14:textId="4F0730F9" w:rsidR="00BA2533" w:rsidRDefault="00BA2533" w:rsidP="00340798">
            <w:pPr>
              <w:pStyle w:val="BoxHeading"/>
            </w:pPr>
            <w:r>
              <w:lastRenderedPageBreak/>
              <w:t>Chart</w:t>
            </w:r>
            <w:r>
              <w:rPr>
                <w:spacing w:val="-2"/>
              </w:rPr>
              <w:t xml:space="preserve"> </w:t>
            </w:r>
            <w:r>
              <w:t>1.10:</w:t>
            </w:r>
            <w:r>
              <w:rPr>
                <w:spacing w:val="-2"/>
              </w:rPr>
              <w:t xml:space="preserve"> </w:t>
            </w:r>
            <w:r>
              <w:t>Evolution</w:t>
            </w:r>
            <w:r>
              <w:rPr>
                <w:spacing w:val="-2"/>
              </w:rPr>
              <w:t xml:space="preserve"> </w:t>
            </w:r>
            <w:r>
              <w:t>of</w:t>
            </w:r>
            <w:r>
              <w:rPr>
                <w:spacing w:val="-2"/>
              </w:rPr>
              <w:t xml:space="preserve"> </w:t>
            </w:r>
            <w:r>
              <w:t>forecasts</w:t>
            </w:r>
            <w:r>
              <w:rPr>
                <w:spacing w:val="-1"/>
              </w:rPr>
              <w:t xml:space="preserve"> </w:t>
            </w:r>
            <w:r>
              <w:rPr>
                <w:spacing w:val="-5"/>
              </w:rPr>
              <w:t xml:space="preserve">for </w:t>
            </w:r>
            <w:r>
              <w:t>inflation in</w:t>
            </w:r>
            <w:r>
              <w:rPr>
                <w:spacing w:val="1"/>
              </w:rPr>
              <w:t xml:space="preserve"> </w:t>
            </w:r>
            <w:r>
              <w:t>2022</w:t>
            </w:r>
            <w:r>
              <w:rPr>
                <w:spacing w:val="1"/>
              </w:rPr>
              <w:t xml:space="preserve"> </w:t>
            </w:r>
            <w:r>
              <w:t xml:space="preserve">in </w:t>
            </w:r>
            <w:r>
              <w:rPr>
                <w:spacing w:val="-2"/>
              </w:rPr>
              <w:t>Australia</w:t>
            </w:r>
          </w:p>
        </w:tc>
        <w:tc>
          <w:tcPr>
            <w:tcW w:w="2463" w:type="pct"/>
          </w:tcPr>
          <w:p w14:paraId="0AC16AED" w14:textId="77777777" w:rsidR="00BA2533" w:rsidRDefault="00BA2533" w:rsidP="00340798">
            <w:pPr>
              <w:pStyle w:val="BoxHeading"/>
            </w:pPr>
            <w:r>
              <w:t>Chart</w:t>
            </w:r>
            <w:r>
              <w:rPr>
                <w:spacing w:val="-7"/>
              </w:rPr>
              <w:t xml:space="preserve"> </w:t>
            </w:r>
            <w:r>
              <w:t>1.11:</w:t>
            </w:r>
            <w:r>
              <w:rPr>
                <w:spacing w:val="-6"/>
              </w:rPr>
              <w:t xml:space="preserve"> </w:t>
            </w:r>
            <w:r>
              <w:t>Policy</w:t>
            </w:r>
            <w:r>
              <w:rPr>
                <w:spacing w:val="-6"/>
              </w:rPr>
              <w:t xml:space="preserve"> </w:t>
            </w:r>
            <w:r>
              <w:t>rate</w:t>
            </w:r>
            <w:r>
              <w:rPr>
                <w:spacing w:val="-6"/>
              </w:rPr>
              <w:t xml:space="preserve"> </w:t>
            </w:r>
            <w:r>
              <w:rPr>
                <w:spacing w:val="-2"/>
              </w:rPr>
              <w:t>expectations</w:t>
            </w:r>
          </w:p>
        </w:tc>
      </w:tr>
      <w:tr w:rsidR="00BA2533" w14:paraId="3D8B8F1E" w14:textId="77777777" w:rsidTr="00BA2533">
        <w:trPr>
          <w:trHeight w:val="475"/>
        </w:trPr>
        <w:tc>
          <w:tcPr>
            <w:tcW w:w="2537" w:type="pct"/>
          </w:tcPr>
          <w:p w14:paraId="1B6B8887" w14:textId="6C8B2D7B" w:rsidR="00BA2533" w:rsidRDefault="00955E33" w:rsidP="00340798">
            <w:pPr>
              <w:pStyle w:val="BoxHeading"/>
            </w:pPr>
            <w:r>
              <w:rPr>
                <w:noProof/>
              </w:rPr>
              <w:drawing>
                <wp:inline distT="0" distB="0" distL="0" distR="0" wp14:anchorId="325CC617" wp14:editId="3A4072A0">
                  <wp:extent cx="2488697" cy="2359157"/>
                  <wp:effectExtent l="0" t="0" r="6985" b="3175"/>
                  <wp:docPr id="22" name="Picture 22" descr="A line graph that compares the RBA’s forecast for inflation over 2022 with other key forecasters. It shows that the RBA and other forecasts underestimated the significant pick-up in inflation that occurred in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line graph that compares the RBA’s forecast for inflation over 2022 with other key forecasters. It shows that the RBA and other forecasts underestimated the significant pick-up in inflation that occurred in 2022.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88697" cy="2359157"/>
                          </a:xfrm>
                          <a:prstGeom prst="rect">
                            <a:avLst/>
                          </a:prstGeom>
                        </pic:spPr>
                      </pic:pic>
                    </a:graphicData>
                  </a:graphic>
                </wp:inline>
              </w:drawing>
            </w:r>
          </w:p>
        </w:tc>
        <w:tc>
          <w:tcPr>
            <w:tcW w:w="2463" w:type="pct"/>
          </w:tcPr>
          <w:p w14:paraId="07615F24" w14:textId="52B9C820" w:rsidR="00BA2533" w:rsidRDefault="00955E33" w:rsidP="00340798">
            <w:pPr>
              <w:pStyle w:val="BoxHeading"/>
            </w:pPr>
            <w:r>
              <w:rPr>
                <w:noProof/>
              </w:rPr>
              <w:drawing>
                <wp:inline distT="0" distB="0" distL="0" distR="0" wp14:anchorId="3C3F429A" wp14:editId="0C473B86">
                  <wp:extent cx="2488697" cy="2359157"/>
                  <wp:effectExtent l="0" t="0" r="6985" b="3175"/>
                  <wp:docPr id="23" name="Picture 23" descr="A line graph that shows the price for overnight indexed swap contracts of varying maturities throughout 2021. It shows that financial market participants expected the RBA to raise the policy rate sooner than the RBA indicated in its forward guid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ine graph that shows the price for overnight indexed swap contracts of varying maturities throughout 2021. It shows that financial market participants expected the RBA to raise the policy rate sooner than the RBA indicated in its forward guidance.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88697" cy="2359157"/>
                          </a:xfrm>
                          <a:prstGeom prst="rect">
                            <a:avLst/>
                          </a:prstGeom>
                        </pic:spPr>
                      </pic:pic>
                    </a:graphicData>
                  </a:graphic>
                </wp:inline>
              </w:drawing>
            </w:r>
          </w:p>
        </w:tc>
      </w:tr>
    </w:tbl>
    <w:p w14:paraId="3F22E7E6" w14:textId="5CDCDAD3" w:rsidR="00A15BD8" w:rsidRDefault="00A15BD8" w:rsidP="00A15BD8">
      <w:pPr>
        <w:pStyle w:val="Note"/>
      </w:pPr>
      <w:r>
        <w:t>Note: Grey region represents range of consensus forecasts for average headline inflation in 2022. Prices for overnight indexed swap contracts of varying maturities used to measure policy rate expectations of financial market</w:t>
      </w:r>
      <w:r>
        <w:rPr>
          <w:spacing w:val="-3"/>
        </w:rPr>
        <w:t xml:space="preserve"> </w:t>
      </w:r>
      <w:r>
        <w:t>participants.</w:t>
      </w:r>
    </w:p>
    <w:p w14:paraId="39274323" w14:textId="77777777" w:rsidR="00A15BD8" w:rsidRDefault="00A15BD8" w:rsidP="00A15BD8">
      <w:pPr>
        <w:pStyle w:val="Note"/>
      </w:pPr>
      <w:r>
        <w:t>Source:</w:t>
      </w:r>
      <w:r>
        <w:rPr>
          <w:spacing w:val="1"/>
        </w:rPr>
        <w:t xml:space="preserve"> </w:t>
      </w:r>
      <w:r>
        <w:t>ABS</w:t>
      </w:r>
      <w:r>
        <w:rPr>
          <w:spacing w:val="4"/>
        </w:rPr>
        <w:t xml:space="preserve"> </w:t>
      </w:r>
      <w:r>
        <w:t>Consumer</w:t>
      </w:r>
      <w:r>
        <w:rPr>
          <w:spacing w:val="3"/>
        </w:rPr>
        <w:t xml:space="preserve"> </w:t>
      </w:r>
      <w:r>
        <w:t>Price</w:t>
      </w:r>
      <w:r>
        <w:rPr>
          <w:spacing w:val="4"/>
        </w:rPr>
        <w:t xml:space="preserve"> </w:t>
      </w:r>
      <w:r>
        <w:t>Index;</w:t>
      </w:r>
      <w:r>
        <w:rPr>
          <w:spacing w:val="4"/>
        </w:rPr>
        <w:t xml:space="preserve"> </w:t>
      </w:r>
      <w:r>
        <w:t>RBA;</w:t>
      </w:r>
      <w:r>
        <w:rPr>
          <w:spacing w:val="3"/>
        </w:rPr>
        <w:t xml:space="preserve"> </w:t>
      </w:r>
      <w:r>
        <w:t>IMF;</w:t>
      </w:r>
      <w:r>
        <w:rPr>
          <w:spacing w:val="4"/>
        </w:rPr>
        <w:t xml:space="preserve"> </w:t>
      </w:r>
      <w:r>
        <w:t>OECD;</w:t>
      </w:r>
      <w:r>
        <w:rPr>
          <w:spacing w:val="3"/>
        </w:rPr>
        <w:t xml:space="preserve"> </w:t>
      </w:r>
      <w:r>
        <w:t>Consensus</w:t>
      </w:r>
      <w:r>
        <w:rPr>
          <w:spacing w:val="4"/>
        </w:rPr>
        <w:t xml:space="preserve"> </w:t>
      </w:r>
      <w:r>
        <w:t>Economics;</w:t>
      </w:r>
      <w:r>
        <w:rPr>
          <w:spacing w:val="4"/>
        </w:rPr>
        <w:t xml:space="preserve"> </w:t>
      </w:r>
      <w:r>
        <w:rPr>
          <w:spacing w:val="-2"/>
        </w:rPr>
        <w:t>Bloomberg.</w:t>
      </w:r>
    </w:p>
    <w:p w14:paraId="2E18F3BD" w14:textId="77777777" w:rsidR="00D70E95" w:rsidRDefault="00D70E95" w:rsidP="00D70E95">
      <w:r>
        <w:t>Some private sector forecasters and financial market participants identified inflation risks from mid-2021, earlier than the RBA. The policy rate path implied by financial markets moved notably higher throughout 2021 and deviated significantly from the RBA’s expectation at the time that the policy rate would remain unchanged at 0.1 per cent until 2024 (Chart 1.11).</w:t>
      </w:r>
    </w:p>
    <w:p w14:paraId="0E4B72FA" w14:textId="77777777" w:rsidR="00D70E95" w:rsidRDefault="00D70E95" w:rsidP="00D70E95">
      <w:r>
        <w:t>But even among those that did identify risks to inflation early on, the magnitude of the increase in inflation (both in Australia and globally) was surprising.</w:t>
      </w:r>
    </w:p>
    <w:p w14:paraId="6BEAD723" w14:textId="3C01850F" w:rsidR="00D70E95" w:rsidRDefault="00D70E95" w:rsidP="00D70E95">
      <w:r>
        <w:t>To some extent, this reflects the fact that the increase in inflationary pressures has been partly driven by major supply disruptions – notably disruptions to energy and food supply from Russia’s invasion of Ukraine and natural disasters – that were inherently unpredictable. However, other factors that contributed to the pick-up in inflation were arguably more foreseeable, particularly as the economic recovery progressed into 2021. For example, while the Review (and many consulted by</w:t>
      </w:r>
      <w:r>
        <w:rPr>
          <w:spacing w:val="12"/>
        </w:rPr>
        <w:t xml:space="preserve"> </w:t>
      </w:r>
      <w:r>
        <w:t>the</w:t>
      </w:r>
      <w:r>
        <w:rPr>
          <w:spacing w:val="12"/>
        </w:rPr>
        <w:t xml:space="preserve"> </w:t>
      </w:r>
      <w:r>
        <w:t>Review)</w:t>
      </w:r>
      <w:r>
        <w:rPr>
          <w:spacing w:val="12"/>
        </w:rPr>
        <w:t xml:space="preserve"> </w:t>
      </w:r>
      <w:r>
        <w:t>considers</w:t>
      </w:r>
      <w:r>
        <w:rPr>
          <w:spacing w:val="12"/>
        </w:rPr>
        <w:t xml:space="preserve"> </w:t>
      </w:r>
      <w:r>
        <w:t>the</w:t>
      </w:r>
      <w:r>
        <w:rPr>
          <w:spacing w:val="12"/>
        </w:rPr>
        <w:t xml:space="preserve"> </w:t>
      </w:r>
      <w:r>
        <w:t>strong</w:t>
      </w:r>
      <w:r>
        <w:rPr>
          <w:spacing w:val="12"/>
        </w:rPr>
        <w:t xml:space="preserve"> </w:t>
      </w:r>
      <w:r>
        <w:t>and</w:t>
      </w:r>
      <w:r>
        <w:rPr>
          <w:spacing w:val="12"/>
        </w:rPr>
        <w:t xml:space="preserve"> </w:t>
      </w:r>
      <w:r>
        <w:t>rapid</w:t>
      </w:r>
      <w:r>
        <w:rPr>
          <w:spacing w:val="12"/>
        </w:rPr>
        <w:t xml:space="preserve"> </w:t>
      </w:r>
      <w:r>
        <w:t>fiscal</w:t>
      </w:r>
      <w:r>
        <w:rPr>
          <w:spacing w:val="12"/>
        </w:rPr>
        <w:t xml:space="preserve"> </w:t>
      </w:r>
      <w:r>
        <w:t>and</w:t>
      </w:r>
      <w:r>
        <w:rPr>
          <w:spacing w:val="12"/>
        </w:rPr>
        <w:t xml:space="preserve"> </w:t>
      </w:r>
      <w:r>
        <w:t>monetary</w:t>
      </w:r>
      <w:r>
        <w:rPr>
          <w:spacing w:val="12"/>
        </w:rPr>
        <w:t xml:space="preserve"> </w:t>
      </w:r>
      <w:r>
        <w:t>policy</w:t>
      </w:r>
      <w:r>
        <w:rPr>
          <w:spacing w:val="12"/>
        </w:rPr>
        <w:t xml:space="preserve"> </w:t>
      </w:r>
      <w:r>
        <w:t>response</w:t>
      </w:r>
      <w:r>
        <w:rPr>
          <w:spacing w:val="12"/>
        </w:rPr>
        <w:t xml:space="preserve"> </w:t>
      </w:r>
      <w:r>
        <w:t>at</w:t>
      </w:r>
      <w:r>
        <w:rPr>
          <w:spacing w:val="12"/>
        </w:rPr>
        <w:t xml:space="preserve"> </w:t>
      </w:r>
      <w:r>
        <w:t>the</w:t>
      </w:r>
      <w:r>
        <w:rPr>
          <w:spacing w:val="12"/>
        </w:rPr>
        <w:t xml:space="preserve"> </w:t>
      </w:r>
      <w:r>
        <w:t>onset of the pandemic to be appropriate given the threat to lives and livelihoods, the cumulative effects of the measures over time contributed to the overshoot of inflation in Australia. Indeed, Murphy (2022) found that, combined, the fiscal and monetary stimulus added 3.0 percentage</w:t>
      </w:r>
      <w:r>
        <w:rPr>
          <w:spacing w:val="40"/>
        </w:rPr>
        <w:t xml:space="preserve"> </w:t>
      </w:r>
      <w:r>
        <w:t>points to inflation during 2022. Of this, 0.6 percentage points were attributable to monetary policy being more accommodative than would normally be the case given prevailing economic conditions.</w:t>
      </w:r>
    </w:p>
    <w:p w14:paraId="2B4C4BD5" w14:textId="77777777" w:rsidR="00D70E95" w:rsidRDefault="00D70E95" w:rsidP="00D70E95">
      <w:pPr>
        <w:pStyle w:val="BodyText"/>
        <w:spacing w:before="9"/>
        <w:rPr>
          <w:sz w:val="28"/>
        </w:rPr>
      </w:pPr>
    </w:p>
    <w:p w14:paraId="2905F66F" w14:textId="77777777" w:rsidR="00D70E95" w:rsidRDefault="00D70E95" w:rsidP="00D70E95">
      <w:pPr>
        <w:pStyle w:val="Heading4"/>
      </w:pPr>
      <w:r>
        <w:t>The RBA’s</w:t>
      </w:r>
      <w:r>
        <w:rPr>
          <w:spacing w:val="1"/>
        </w:rPr>
        <w:t xml:space="preserve"> </w:t>
      </w:r>
      <w:r>
        <w:t>focus on</w:t>
      </w:r>
      <w:r>
        <w:rPr>
          <w:spacing w:val="1"/>
        </w:rPr>
        <w:t xml:space="preserve"> </w:t>
      </w:r>
      <w:r>
        <w:rPr>
          <w:spacing w:val="-4"/>
        </w:rPr>
        <w:t>wages</w:t>
      </w:r>
    </w:p>
    <w:p w14:paraId="64CBC1CF" w14:textId="77777777" w:rsidR="00D70E95" w:rsidRDefault="00D70E95" w:rsidP="00D70E95">
      <w:r>
        <w:t>While the RBA clearly could not have anticipated wars and natural disasters, the Review believes that certain choices and judgements by the RBA made it more likely to misjudge the size and persistence of the inflation shock as time progressed. They also may have made it more difficult for the Reserve Bank Board to pivot to increasing the policy rate once signs of inflationary pressures emerged.</w:t>
      </w:r>
    </w:p>
    <w:p w14:paraId="29557C86" w14:textId="77629BA2" w:rsidR="00D70E95" w:rsidRDefault="00D70E95" w:rsidP="00D70E95">
      <w:r>
        <w:t xml:space="preserve">With the benefit of hindsight, the RBA was overly focused on its view that evidence of wage growth would be needed to achieve sustainably higher inflation. The RBA did not weigh highly enough risks that were becoming evident in other countries or the possibility that firms’ pricing behaviours could </w:t>
      </w:r>
      <w:r>
        <w:lastRenderedPageBreak/>
        <w:t>change in an environment of widespread price increases. Indeed, papers provided to the Reserve Bank Board throughout 2021 contained little discussion of the risks posed by non-wage sources of inflation.</w:t>
      </w:r>
      <w:r>
        <w:rPr>
          <w:spacing w:val="2"/>
        </w:rPr>
        <w:t xml:space="preserve"> </w:t>
      </w:r>
      <w:r>
        <w:t>The</w:t>
      </w:r>
      <w:r>
        <w:rPr>
          <w:spacing w:val="2"/>
        </w:rPr>
        <w:t xml:space="preserve"> </w:t>
      </w:r>
      <w:r>
        <w:t>Reserve</w:t>
      </w:r>
      <w:r>
        <w:rPr>
          <w:spacing w:val="2"/>
        </w:rPr>
        <w:t xml:space="preserve"> </w:t>
      </w:r>
      <w:r>
        <w:t>Bank</w:t>
      </w:r>
      <w:r>
        <w:rPr>
          <w:spacing w:val="3"/>
        </w:rPr>
        <w:t xml:space="preserve"> </w:t>
      </w:r>
      <w:r>
        <w:t>Board</w:t>
      </w:r>
      <w:r>
        <w:rPr>
          <w:spacing w:val="2"/>
        </w:rPr>
        <w:t xml:space="preserve"> </w:t>
      </w:r>
      <w:r>
        <w:t>papers</w:t>
      </w:r>
      <w:r>
        <w:rPr>
          <w:spacing w:val="2"/>
        </w:rPr>
        <w:t xml:space="preserve"> </w:t>
      </w:r>
      <w:r>
        <w:t>also</w:t>
      </w:r>
      <w:r>
        <w:rPr>
          <w:spacing w:val="2"/>
        </w:rPr>
        <w:t xml:space="preserve"> </w:t>
      </w:r>
      <w:r>
        <w:t>lacked</w:t>
      </w:r>
      <w:r>
        <w:rPr>
          <w:spacing w:val="2"/>
        </w:rPr>
        <w:t xml:space="preserve"> </w:t>
      </w:r>
      <w:r>
        <w:t>meaningful</w:t>
      </w:r>
      <w:r>
        <w:rPr>
          <w:spacing w:val="3"/>
        </w:rPr>
        <w:t xml:space="preserve"> </w:t>
      </w:r>
      <w:r>
        <w:t>assessment</w:t>
      </w:r>
      <w:r>
        <w:rPr>
          <w:spacing w:val="2"/>
        </w:rPr>
        <w:t xml:space="preserve"> </w:t>
      </w:r>
      <w:r>
        <w:t>of</w:t>
      </w:r>
      <w:r>
        <w:rPr>
          <w:spacing w:val="2"/>
        </w:rPr>
        <w:t xml:space="preserve"> </w:t>
      </w:r>
      <w:r>
        <w:t>the</w:t>
      </w:r>
      <w:r>
        <w:rPr>
          <w:spacing w:val="2"/>
        </w:rPr>
        <w:t xml:space="preserve"> </w:t>
      </w:r>
      <w:r>
        <w:t>degree</w:t>
      </w:r>
      <w:r>
        <w:rPr>
          <w:spacing w:val="3"/>
        </w:rPr>
        <w:t xml:space="preserve"> </w:t>
      </w:r>
      <w:r>
        <w:rPr>
          <w:spacing w:val="-5"/>
        </w:rPr>
        <w:t xml:space="preserve">of </w:t>
      </w:r>
      <w:r>
        <w:t>spare</w:t>
      </w:r>
      <w:r>
        <w:rPr>
          <w:spacing w:val="1"/>
        </w:rPr>
        <w:t xml:space="preserve"> </w:t>
      </w:r>
      <w:r>
        <w:t>capacity</w:t>
      </w:r>
      <w:r>
        <w:rPr>
          <w:spacing w:val="1"/>
        </w:rPr>
        <w:t xml:space="preserve"> </w:t>
      </w:r>
      <w:r>
        <w:t>in</w:t>
      </w:r>
      <w:r>
        <w:rPr>
          <w:spacing w:val="1"/>
        </w:rPr>
        <w:t xml:space="preserve"> </w:t>
      </w:r>
      <w:r>
        <w:t>the</w:t>
      </w:r>
      <w:r>
        <w:rPr>
          <w:spacing w:val="1"/>
        </w:rPr>
        <w:t xml:space="preserve"> </w:t>
      </w:r>
      <w:r>
        <w:t>economy</w:t>
      </w:r>
      <w:r>
        <w:rPr>
          <w:spacing w:val="1"/>
        </w:rPr>
        <w:t xml:space="preserve"> </w:t>
      </w:r>
      <w:r>
        <w:t>during</w:t>
      </w:r>
      <w:r>
        <w:rPr>
          <w:spacing w:val="1"/>
        </w:rPr>
        <w:t xml:space="preserve"> </w:t>
      </w:r>
      <w:r>
        <w:t>this</w:t>
      </w:r>
      <w:r>
        <w:rPr>
          <w:spacing w:val="2"/>
        </w:rPr>
        <w:t xml:space="preserve"> </w:t>
      </w:r>
      <w:r>
        <w:rPr>
          <w:spacing w:val="-2"/>
        </w:rPr>
        <w:t>period.</w:t>
      </w:r>
    </w:p>
    <w:p w14:paraId="3BDE659F" w14:textId="4F96E610" w:rsidR="001E1723" w:rsidRDefault="00D70E95" w:rsidP="00D70E95">
      <w:pPr>
        <w:spacing w:before="0" w:after="160" w:line="259" w:lineRule="auto"/>
      </w:pPr>
      <w:r>
        <w:t xml:space="preserve">This led to insufficient attention being paid to upside risks to inflation during this period. The alternative scenarios that were presented to the Reserve Bank Board (and published in the </w:t>
      </w:r>
      <w:r>
        <w:rPr>
          <w:i/>
        </w:rPr>
        <w:t>Statement</w:t>
      </w:r>
      <w:r>
        <w:rPr>
          <w:i/>
          <w:spacing w:val="-3"/>
        </w:rPr>
        <w:t xml:space="preserve"> </w:t>
      </w:r>
      <w:r>
        <w:rPr>
          <w:i/>
        </w:rPr>
        <w:t>on</w:t>
      </w:r>
      <w:r>
        <w:rPr>
          <w:i/>
          <w:spacing w:val="-3"/>
        </w:rPr>
        <w:t xml:space="preserve"> </w:t>
      </w:r>
      <w:r>
        <w:rPr>
          <w:i/>
        </w:rPr>
        <w:t>Monetary</w:t>
      </w:r>
      <w:r>
        <w:rPr>
          <w:i/>
          <w:spacing w:val="-3"/>
        </w:rPr>
        <w:t xml:space="preserve"> </w:t>
      </w:r>
      <w:r>
        <w:rPr>
          <w:i/>
        </w:rPr>
        <w:t>Policy</w:t>
      </w:r>
      <w:r>
        <w:rPr>
          <w:i/>
          <w:spacing w:val="-3"/>
        </w:rPr>
        <w:t xml:space="preserve"> </w:t>
      </w:r>
      <w:r>
        <w:t>throughout</w:t>
      </w:r>
      <w:r>
        <w:rPr>
          <w:spacing w:val="-3"/>
        </w:rPr>
        <w:t xml:space="preserve"> </w:t>
      </w:r>
      <w:r>
        <w:t>2021)</w:t>
      </w:r>
      <w:r>
        <w:rPr>
          <w:spacing w:val="-3"/>
        </w:rPr>
        <w:t xml:space="preserve"> </w:t>
      </w:r>
      <w:r>
        <w:t>focused</w:t>
      </w:r>
      <w:r>
        <w:rPr>
          <w:spacing w:val="-3"/>
        </w:rPr>
        <w:t xml:space="preserve"> </w:t>
      </w:r>
      <w:r>
        <w:t>on</w:t>
      </w:r>
      <w:r>
        <w:rPr>
          <w:spacing w:val="-3"/>
        </w:rPr>
        <w:t xml:space="preserve"> </w:t>
      </w:r>
      <w:r>
        <w:t>different</w:t>
      </w:r>
      <w:r>
        <w:rPr>
          <w:spacing w:val="-3"/>
        </w:rPr>
        <w:t xml:space="preserve"> </w:t>
      </w:r>
      <w:r>
        <w:t>assumptions</w:t>
      </w:r>
      <w:r>
        <w:rPr>
          <w:spacing w:val="-3"/>
        </w:rPr>
        <w:t xml:space="preserve"> </w:t>
      </w:r>
      <w:r>
        <w:t>about</w:t>
      </w:r>
      <w:r>
        <w:rPr>
          <w:spacing w:val="-3"/>
        </w:rPr>
        <w:t xml:space="preserve"> </w:t>
      </w:r>
      <w:r>
        <w:t>COVID-19 health outcomes and spending patterns. They did not consider, however, upside risks to inflation stemming from sources such as higher-than-expected input costs.</w:t>
      </w:r>
    </w:p>
    <w:p w14:paraId="4FD67E35" w14:textId="77777777" w:rsidR="00EB0F7A" w:rsidRDefault="00EB0F7A" w:rsidP="00EB0F7A">
      <w:pPr>
        <w:pStyle w:val="Heading4"/>
      </w:pPr>
      <w:r>
        <w:t>Forecasting</w:t>
      </w:r>
      <w:r>
        <w:rPr>
          <w:spacing w:val="1"/>
        </w:rPr>
        <w:t xml:space="preserve"> </w:t>
      </w:r>
      <w:r>
        <w:t>tools</w:t>
      </w:r>
      <w:r>
        <w:rPr>
          <w:spacing w:val="1"/>
        </w:rPr>
        <w:t xml:space="preserve"> </w:t>
      </w:r>
      <w:r>
        <w:t>of</w:t>
      </w:r>
      <w:r>
        <w:rPr>
          <w:spacing w:val="1"/>
        </w:rPr>
        <w:t xml:space="preserve"> </w:t>
      </w:r>
      <w:r>
        <w:t>the</w:t>
      </w:r>
      <w:r>
        <w:rPr>
          <w:spacing w:val="2"/>
        </w:rPr>
        <w:t xml:space="preserve"> </w:t>
      </w:r>
      <w:r>
        <w:rPr>
          <w:spacing w:val="-5"/>
        </w:rPr>
        <w:t>RBA</w:t>
      </w:r>
    </w:p>
    <w:p w14:paraId="72B48507" w14:textId="77777777" w:rsidR="00EB0F7A" w:rsidRDefault="00EB0F7A" w:rsidP="00EB0F7A">
      <w:r>
        <w:t>The Review is of the view that the RBA’s forecast models fell short in an environment of large and persistent supply disruptions, and when monetary and fiscal policy interactions were important. Again, the RBA was in good company as models used by central banks tend to face similar shortcomings, especially when faced with such an unprecedent situation.</w:t>
      </w:r>
    </w:p>
    <w:p w14:paraId="12604C37" w14:textId="77777777" w:rsidR="00EB0F7A" w:rsidRDefault="00EB0F7A" w:rsidP="00EB0F7A">
      <w:r>
        <w:t>Historically, the RBA’s forecasting process has primarily relied on single equation models maintained by subject-matter experts. In response to recommendations from an external review of the RBA’s forecasting process in 2016, a large macroeconometric model, MARTIN, is now also used to provide a whole-of-economy perspective (Pagan and Wilcox 2016). However, in both cases, the models include little detail on the economy’s supply side, including how inflation</w:t>
      </w:r>
      <w:r>
        <w:rPr>
          <w:spacing w:val="40"/>
        </w:rPr>
        <w:t xml:space="preserve"> </w:t>
      </w:r>
      <w:r>
        <w:t>passes through supply chains. This made it difficult to capture the supply-driven inflationary pressures witnessed during the period.</w:t>
      </w:r>
    </w:p>
    <w:p w14:paraId="13589866" w14:textId="77777777" w:rsidR="00EB0F7A" w:rsidRDefault="00EB0F7A" w:rsidP="00EB0F7A">
      <w:r>
        <w:t>Indeed, an examination of the main drivers of the RBA’s inflation forecast errors, using the RBA’s MARTIN model, suggests that the stronger-than-expected outcomes largely reflect unexplained upside surprises in inflation itself (RBA 2022a). The RBA’s existing modelling framework could not sufficiently capture inflation dynamics during this period given the unique nature of the shock.</w:t>
      </w:r>
    </w:p>
    <w:p w14:paraId="1E3E62C7" w14:textId="77777777" w:rsidR="00EB0F7A" w:rsidRDefault="00EB0F7A" w:rsidP="00EB0F7A">
      <w:pPr>
        <w:pStyle w:val="Heading4"/>
      </w:pPr>
      <w:r>
        <w:t>Influence</w:t>
      </w:r>
      <w:r>
        <w:rPr>
          <w:spacing w:val="1"/>
        </w:rPr>
        <w:t xml:space="preserve"> </w:t>
      </w:r>
      <w:r>
        <w:t>of</w:t>
      </w:r>
      <w:r>
        <w:rPr>
          <w:spacing w:val="1"/>
        </w:rPr>
        <w:t xml:space="preserve"> </w:t>
      </w:r>
      <w:r>
        <w:t>policy</w:t>
      </w:r>
      <w:r>
        <w:rPr>
          <w:spacing w:val="1"/>
        </w:rPr>
        <w:t xml:space="preserve"> </w:t>
      </w:r>
      <w:r>
        <w:t>design</w:t>
      </w:r>
      <w:r>
        <w:rPr>
          <w:spacing w:val="2"/>
        </w:rPr>
        <w:t xml:space="preserve"> </w:t>
      </w:r>
      <w:r>
        <w:t>on</w:t>
      </w:r>
      <w:r>
        <w:rPr>
          <w:spacing w:val="1"/>
        </w:rPr>
        <w:t xml:space="preserve"> </w:t>
      </w:r>
      <w:r>
        <w:t>decision</w:t>
      </w:r>
      <w:r>
        <w:rPr>
          <w:spacing w:val="1"/>
        </w:rPr>
        <w:t xml:space="preserve"> </w:t>
      </w:r>
      <w:r>
        <w:rPr>
          <w:spacing w:val="-2"/>
        </w:rPr>
        <w:t>making</w:t>
      </w:r>
    </w:p>
    <w:p w14:paraId="5A60247D" w14:textId="77777777" w:rsidR="00EB0F7A" w:rsidRDefault="00EB0F7A" w:rsidP="00EB0F7A">
      <w:r>
        <w:t>Some of the specific design choices for policy tools introduced during the pandemic contributed to the RBA’s inaction in the face of growing inflationary pressures.</w:t>
      </w:r>
    </w:p>
    <w:p w14:paraId="3564B217" w14:textId="77777777" w:rsidR="00EB0F7A" w:rsidRDefault="00EB0F7A" w:rsidP="00EB0F7A">
      <w:r>
        <w:t>In October 2020, the Reserve Bank Board adopted a strategy of placing more weight on actual, not forecast, inflation in its decision making (Box 1.1). The stated purpose was to be clearer</w:t>
      </w:r>
      <w:r>
        <w:rPr>
          <w:spacing w:val="80"/>
        </w:rPr>
        <w:t xml:space="preserve"> </w:t>
      </w:r>
      <w:r>
        <w:t xml:space="preserve">about how the RBA would react to incoming economic data in a world of heightened uncertainty (Lowe 2020b). The US Federal Reserve had made a similar change to its forward guidance in September 2020 (Federal Reserve 2020a). However, the strategy increased the likelihood of inflation overshooting the RBA’s target. The </w:t>
      </w:r>
      <w:r>
        <w:rPr>
          <w:i/>
        </w:rPr>
        <w:t>Minutes</w:t>
      </w:r>
      <w:r>
        <w:t>, Reserve Bank Board paper and a speech by Governor Lowe at the time indicated that the Reserve Bank Board discussed the shift in strategy. However, there is no evidence in Board papers that the trade-off in terms of a higher risk of an inflation overshoot was made explicit to the Reserve Bank Board at the time. Orphanides (2023) judged that this shift in strategy was ‘unwise’ in his paper for the Review.</w:t>
      </w:r>
    </w:p>
    <w:p w14:paraId="7310FEA9" w14:textId="77777777" w:rsidR="00EB0F7A" w:rsidRDefault="00EB0F7A" w:rsidP="00EB0F7A">
      <w:r>
        <w:t>More broadly, the decision to introduce a 3-year yield target, and forward guidance that the policy rate would remain unchanged until 2024, may have contributed to the RBA’s hesitancy to act, at least initially. These policies may have affected the openness of the RBA to respond to early signs</w:t>
      </w:r>
      <w:r>
        <w:rPr>
          <w:spacing w:val="40"/>
        </w:rPr>
        <w:t xml:space="preserve"> </w:t>
      </w:r>
      <w:r>
        <w:t>of inflation by upgrading the inflation forecasts given this may have required earlier changes to the RBA’s forward guidance.</w:t>
      </w:r>
    </w:p>
    <w:p w14:paraId="6649C3D7" w14:textId="77777777" w:rsidR="00E059D6" w:rsidRDefault="00E059D6" w:rsidP="00E059D6">
      <w:pPr>
        <w:pStyle w:val="Heading3"/>
      </w:pPr>
      <w:r>
        <w:lastRenderedPageBreak/>
        <w:t>Conclusion:</w:t>
      </w:r>
      <w:r>
        <w:rPr>
          <w:spacing w:val="-9"/>
        </w:rPr>
        <w:t xml:space="preserve"> </w:t>
      </w:r>
      <w:r>
        <w:t>The</w:t>
      </w:r>
      <w:r>
        <w:rPr>
          <w:spacing w:val="-9"/>
        </w:rPr>
        <w:t xml:space="preserve"> </w:t>
      </w:r>
      <w:r>
        <w:t>RBA’s</w:t>
      </w:r>
      <w:r>
        <w:rPr>
          <w:spacing w:val="-8"/>
        </w:rPr>
        <w:t xml:space="preserve"> </w:t>
      </w:r>
      <w:r>
        <w:t>actions</w:t>
      </w:r>
      <w:r>
        <w:rPr>
          <w:spacing w:val="-9"/>
        </w:rPr>
        <w:t xml:space="preserve"> </w:t>
      </w:r>
      <w:r>
        <w:t>since</w:t>
      </w:r>
      <w:r>
        <w:rPr>
          <w:spacing w:val="-8"/>
        </w:rPr>
        <w:t xml:space="preserve"> </w:t>
      </w:r>
      <w:r>
        <w:rPr>
          <w:spacing w:val="-4"/>
        </w:rPr>
        <w:t>2021</w:t>
      </w:r>
    </w:p>
    <w:p w14:paraId="36EB0D96" w14:textId="77777777" w:rsidR="00E059D6" w:rsidRPr="00E059D6" w:rsidRDefault="00E059D6" w:rsidP="00E059D6">
      <w:pPr>
        <w:rPr>
          <w:rFonts w:cs="Calibri Light"/>
        </w:rPr>
      </w:pPr>
      <w:r>
        <w:t xml:space="preserve">While there remains </w:t>
      </w:r>
      <w:r w:rsidRPr="00E059D6">
        <w:rPr>
          <w:rFonts w:cs="Calibri Light"/>
        </w:rPr>
        <w:t>significant uncertainty around how events will play out, at this point in time, the Review’s assessment of the RBA’s performance during this period highlights the need to:</w:t>
      </w:r>
    </w:p>
    <w:p w14:paraId="7274FE58" w14:textId="77777777" w:rsidR="00E059D6" w:rsidRPr="00E059D6" w:rsidRDefault="00E059D6" w:rsidP="0000278A">
      <w:pPr>
        <w:pStyle w:val="Bullet"/>
        <w:rPr>
          <w:rFonts w:cs="Calibri Light"/>
        </w:rPr>
      </w:pPr>
      <w:r w:rsidRPr="00E059D6">
        <w:rPr>
          <w:rFonts w:cs="Calibri Light"/>
          <w:b/>
        </w:rPr>
        <w:t xml:space="preserve">Encourage robust debate and challenge: </w:t>
      </w:r>
      <w:r w:rsidRPr="00E059D6">
        <w:rPr>
          <w:rFonts w:cs="Calibri Light"/>
        </w:rPr>
        <w:t>RBA staff members and Board members should interact more with each other and seriously consider opposing views (both internal and external) to identify risks and blind spots.</w:t>
      </w:r>
    </w:p>
    <w:p w14:paraId="12FC0BA2" w14:textId="61A3EB1D" w:rsidR="00E059D6" w:rsidRPr="00E059D6" w:rsidRDefault="00E059D6" w:rsidP="0000278A">
      <w:pPr>
        <w:pStyle w:val="Bullet"/>
        <w:rPr>
          <w:rFonts w:cs="Calibri Light"/>
        </w:rPr>
      </w:pPr>
      <w:r w:rsidRPr="00E059D6">
        <w:rPr>
          <w:rFonts w:cs="Calibri Light"/>
          <w:b/>
        </w:rPr>
        <w:t>Consider</w:t>
      </w:r>
      <w:r w:rsidRPr="00E059D6">
        <w:rPr>
          <w:rFonts w:cs="Calibri Light"/>
          <w:b/>
          <w:spacing w:val="-2"/>
        </w:rPr>
        <w:t xml:space="preserve"> </w:t>
      </w:r>
      <w:r w:rsidRPr="00E059D6">
        <w:rPr>
          <w:rFonts w:cs="Calibri Light"/>
          <w:b/>
        </w:rPr>
        <w:t xml:space="preserve">formal modelling of alternative scenarios: </w:t>
      </w:r>
      <w:r w:rsidRPr="00E059D6">
        <w:rPr>
          <w:rFonts w:cs="Calibri Light"/>
        </w:rPr>
        <w:t xml:space="preserve">There should be an ongoing focus </w:t>
      </w:r>
      <w:r w:rsidRPr="00E059D6">
        <w:rPr>
          <w:rFonts w:cs="Calibri Light"/>
          <w:spacing w:val="-5"/>
        </w:rPr>
        <w:t>on</w:t>
      </w:r>
      <w:r>
        <w:rPr>
          <w:rFonts w:cs="Calibri Light"/>
          <w:spacing w:val="-5"/>
        </w:rPr>
        <w:t xml:space="preserve"> </w:t>
      </w:r>
      <w:r w:rsidRPr="00E059D6">
        <w:rPr>
          <w:rFonts w:cs="Calibri Light"/>
        </w:rPr>
        <w:t>risks, including</w:t>
      </w:r>
      <w:r w:rsidRPr="00E059D6">
        <w:rPr>
          <w:rFonts w:cs="Calibri Light"/>
          <w:spacing w:val="3"/>
        </w:rPr>
        <w:t xml:space="preserve"> </w:t>
      </w:r>
      <w:r w:rsidRPr="00E059D6">
        <w:rPr>
          <w:rFonts w:cs="Calibri Light"/>
        </w:rPr>
        <w:t>through</w:t>
      </w:r>
      <w:r w:rsidRPr="00E059D6">
        <w:rPr>
          <w:rFonts w:cs="Calibri Light"/>
          <w:spacing w:val="3"/>
        </w:rPr>
        <w:t xml:space="preserve"> </w:t>
      </w:r>
      <w:r w:rsidRPr="00E059D6">
        <w:rPr>
          <w:rFonts w:cs="Calibri Light"/>
        </w:rPr>
        <w:t>scenario</w:t>
      </w:r>
      <w:r w:rsidRPr="00E059D6">
        <w:rPr>
          <w:rFonts w:cs="Calibri Light"/>
          <w:spacing w:val="2"/>
        </w:rPr>
        <w:t xml:space="preserve"> </w:t>
      </w:r>
      <w:r w:rsidRPr="00E059D6">
        <w:rPr>
          <w:rFonts w:cs="Calibri Light"/>
        </w:rPr>
        <w:t>analysis,</w:t>
      </w:r>
      <w:r w:rsidRPr="00E059D6">
        <w:rPr>
          <w:rFonts w:cs="Calibri Light"/>
          <w:spacing w:val="3"/>
        </w:rPr>
        <w:t xml:space="preserve"> </w:t>
      </w:r>
      <w:r w:rsidRPr="00E059D6">
        <w:rPr>
          <w:rFonts w:cs="Calibri Light"/>
        </w:rPr>
        <w:t>to</w:t>
      </w:r>
      <w:r w:rsidRPr="00E059D6">
        <w:rPr>
          <w:rFonts w:cs="Calibri Light"/>
          <w:spacing w:val="3"/>
        </w:rPr>
        <w:t xml:space="preserve"> </w:t>
      </w:r>
      <w:r w:rsidRPr="00E059D6">
        <w:rPr>
          <w:rFonts w:cs="Calibri Light"/>
        </w:rPr>
        <w:t>surface</w:t>
      </w:r>
      <w:r w:rsidRPr="00E059D6">
        <w:rPr>
          <w:rFonts w:cs="Calibri Light"/>
          <w:spacing w:val="2"/>
        </w:rPr>
        <w:t xml:space="preserve"> </w:t>
      </w:r>
      <w:r w:rsidRPr="00E059D6">
        <w:rPr>
          <w:rFonts w:cs="Calibri Light"/>
        </w:rPr>
        <w:t>and</w:t>
      </w:r>
      <w:r w:rsidRPr="00E059D6">
        <w:rPr>
          <w:rFonts w:cs="Calibri Light"/>
          <w:spacing w:val="3"/>
        </w:rPr>
        <w:t xml:space="preserve"> </w:t>
      </w:r>
      <w:r w:rsidRPr="00E059D6">
        <w:rPr>
          <w:rFonts w:cs="Calibri Light"/>
        </w:rPr>
        <w:t>test</w:t>
      </w:r>
      <w:r w:rsidRPr="00E059D6">
        <w:rPr>
          <w:rFonts w:cs="Calibri Light"/>
          <w:spacing w:val="3"/>
        </w:rPr>
        <w:t xml:space="preserve"> </w:t>
      </w:r>
      <w:r w:rsidRPr="00E059D6">
        <w:rPr>
          <w:rFonts w:cs="Calibri Light"/>
        </w:rPr>
        <w:t>differing</w:t>
      </w:r>
      <w:r w:rsidRPr="00E059D6">
        <w:rPr>
          <w:rFonts w:cs="Calibri Light"/>
          <w:spacing w:val="3"/>
        </w:rPr>
        <w:t xml:space="preserve"> </w:t>
      </w:r>
      <w:r w:rsidRPr="00E059D6">
        <w:rPr>
          <w:rFonts w:cs="Calibri Light"/>
          <w:spacing w:val="-2"/>
        </w:rPr>
        <w:t>perspectives.</w:t>
      </w:r>
    </w:p>
    <w:p w14:paraId="6A56FD72" w14:textId="77777777" w:rsidR="00E059D6" w:rsidRPr="00E059D6" w:rsidRDefault="00E059D6" w:rsidP="0000278A">
      <w:pPr>
        <w:pStyle w:val="Bullet"/>
        <w:rPr>
          <w:rFonts w:cs="Calibri Light"/>
        </w:rPr>
      </w:pPr>
      <w:r w:rsidRPr="00E059D6">
        <w:rPr>
          <w:rFonts w:cs="Calibri Light"/>
          <w:b/>
        </w:rPr>
        <w:t xml:space="preserve">Engage in deep discussions about monetary policy strategy: </w:t>
      </w:r>
      <w:r w:rsidRPr="00E059D6">
        <w:rPr>
          <w:rFonts w:cs="Calibri Light"/>
        </w:rPr>
        <w:t>The Reserve Bank Board should regularly step back from immediate decisions and consider whether its broader strategy offers the greatest chance of meetings its objectives. Scenario analysis can support these discussions.</w:t>
      </w:r>
    </w:p>
    <w:p w14:paraId="2645F614" w14:textId="77777777" w:rsidR="00E059D6" w:rsidRPr="00E059D6" w:rsidRDefault="00E059D6" w:rsidP="0000278A">
      <w:pPr>
        <w:pStyle w:val="Bullet"/>
        <w:rPr>
          <w:rFonts w:cs="Calibri Light"/>
        </w:rPr>
      </w:pPr>
      <w:r w:rsidRPr="00E059D6">
        <w:rPr>
          <w:rFonts w:cs="Calibri Light"/>
          <w:b/>
        </w:rPr>
        <w:t xml:space="preserve">Avoid being trapped by previous narratives: </w:t>
      </w:r>
      <w:r w:rsidRPr="00E059D6">
        <w:rPr>
          <w:rFonts w:cs="Calibri Light"/>
        </w:rPr>
        <w:t>Monetary policy decision makers should</w:t>
      </w:r>
      <w:r w:rsidRPr="00E059D6">
        <w:rPr>
          <w:rFonts w:cs="Calibri Light"/>
          <w:spacing w:val="40"/>
        </w:rPr>
        <w:t xml:space="preserve"> </w:t>
      </w:r>
      <w:r w:rsidRPr="00E059D6">
        <w:rPr>
          <w:rFonts w:cs="Calibri Light"/>
        </w:rPr>
        <w:t>remain agile in shifting the narrative of monetary policy, including communicating new views in a timely way as circumstances change.</w:t>
      </w:r>
    </w:p>
    <w:p w14:paraId="64FE13D0" w14:textId="77777777" w:rsidR="00E059D6" w:rsidRDefault="00E059D6" w:rsidP="0000278A">
      <w:pPr>
        <w:pStyle w:val="Bullet"/>
      </w:pPr>
      <w:r w:rsidRPr="00E059D6">
        <w:rPr>
          <w:rFonts w:cs="Calibri Light"/>
          <w:b/>
        </w:rPr>
        <w:t xml:space="preserve">Invest continually in state-of-the-art models and data: </w:t>
      </w:r>
      <w:r w:rsidRPr="00E059D6">
        <w:rPr>
          <w:rFonts w:cs="Calibri Light"/>
        </w:rPr>
        <w:t>The RBA should, for instance, invest in forecasting models that include more detail on the supply side of the economy, especially given the prospect of more supply-side disruptions</w:t>
      </w:r>
      <w:r>
        <w:t xml:space="preserve"> in the future, and on fiscal interactions including a regard for nonlinearities at the effective lower bound.</w:t>
      </w:r>
    </w:p>
    <w:p w14:paraId="72F9748C" w14:textId="5E1995D9" w:rsidR="005958F6" w:rsidRDefault="005958F6" w:rsidP="005958F6">
      <w:pPr>
        <w:pStyle w:val="Heading2"/>
      </w:pPr>
      <w:bookmarkStart w:id="32" w:name="_Toc134221002"/>
      <w:r w:rsidRPr="005958F6">
        <w:t>Communication</w:t>
      </w:r>
      <w:bookmarkEnd w:id="32"/>
    </w:p>
    <w:p w14:paraId="7C32711D" w14:textId="77777777" w:rsidR="005958F6" w:rsidRDefault="005958F6" w:rsidP="005958F6">
      <w:r>
        <w:t>The RBA’s approach to communication has evolved considerably over recent decades. Like many of its peers, there has been a greater emphasis on openness and transparency and using communication as a tool to support monetary policy actions.</w:t>
      </w:r>
    </w:p>
    <w:p w14:paraId="12548395" w14:textId="0D6EBC1C" w:rsidR="005958F6" w:rsidRDefault="005958F6" w:rsidP="005958F6">
      <w:r>
        <w:t>Throughout</w:t>
      </w:r>
      <w:r>
        <w:rPr>
          <w:spacing w:val="23"/>
        </w:rPr>
        <w:t xml:space="preserve"> </w:t>
      </w:r>
      <w:r>
        <w:t>the</w:t>
      </w:r>
      <w:r>
        <w:rPr>
          <w:spacing w:val="23"/>
        </w:rPr>
        <w:t xml:space="preserve"> </w:t>
      </w:r>
      <w:r>
        <w:t>Review’s</w:t>
      </w:r>
      <w:r>
        <w:rPr>
          <w:spacing w:val="23"/>
        </w:rPr>
        <w:t xml:space="preserve"> </w:t>
      </w:r>
      <w:r>
        <w:t>consultation</w:t>
      </w:r>
      <w:r>
        <w:rPr>
          <w:spacing w:val="23"/>
        </w:rPr>
        <w:t xml:space="preserve"> </w:t>
      </w:r>
      <w:r>
        <w:t>process,</w:t>
      </w:r>
      <w:r>
        <w:rPr>
          <w:spacing w:val="23"/>
        </w:rPr>
        <w:t xml:space="preserve"> </w:t>
      </w:r>
      <w:r>
        <w:t>many</w:t>
      </w:r>
      <w:r>
        <w:rPr>
          <w:spacing w:val="23"/>
        </w:rPr>
        <w:t xml:space="preserve"> </w:t>
      </w:r>
      <w:r>
        <w:t>stakeholders</w:t>
      </w:r>
      <w:r>
        <w:rPr>
          <w:spacing w:val="23"/>
        </w:rPr>
        <w:t xml:space="preserve"> </w:t>
      </w:r>
      <w:r>
        <w:t>welcomed</w:t>
      </w:r>
      <w:r>
        <w:rPr>
          <w:spacing w:val="23"/>
        </w:rPr>
        <w:t xml:space="preserve"> </w:t>
      </w:r>
      <w:r>
        <w:t>recent</w:t>
      </w:r>
      <w:r>
        <w:rPr>
          <w:spacing w:val="23"/>
        </w:rPr>
        <w:t xml:space="preserve"> </w:t>
      </w:r>
      <w:r>
        <w:t>initiatives to increase the understanding of monetary policy decisions and improve accountability and transparency. These include the introduction of ad hoc press conferences, the publication of the RBA’s main model of the Australian economy, the release of more detailed information around forecasts and the expanded and formalised approach to public education. Stakeholders were also aware that greater transparency increases the risk of miscommunication and talked about the importance of clear, purposeful and professional communication.</w:t>
      </w:r>
    </w:p>
    <w:p w14:paraId="7778FFEE" w14:textId="4F48A0ED" w:rsidR="005958F6" w:rsidRDefault="005958F6" w:rsidP="005958F6">
      <w:r>
        <w:t>The RBA’s approach to communication, nonetheless, emerged as a prominent area of criticism throughout the Review. The shortcomings in the RBA’s approach to communication that were most often mentioned relate to the way it communicates its policy strategy and decisions, as well as how it engages with the public.</w:t>
      </w:r>
    </w:p>
    <w:p w14:paraId="6A501585" w14:textId="77777777" w:rsidR="003C7085" w:rsidRDefault="003C7085" w:rsidP="003C7085">
      <w:pPr>
        <w:pStyle w:val="Heading3"/>
      </w:pPr>
      <w:r>
        <w:t>Communication</w:t>
      </w:r>
      <w:r>
        <w:rPr>
          <w:spacing w:val="-8"/>
        </w:rPr>
        <w:t xml:space="preserve"> </w:t>
      </w:r>
      <w:r>
        <w:t>of</w:t>
      </w:r>
      <w:r>
        <w:rPr>
          <w:spacing w:val="-7"/>
        </w:rPr>
        <w:t xml:space="preserve"> </w:t>
      </w:r>
      <w:r>
        <w:t>policy</w:t>
      </w:r>
      <w:r>
        <w:rPr>
          <w:spacing w:val="-8"/>
        </w:rPr>
        <w:t xml:space="preserve"> </w:t>
      </w:r>
      <w:r>
        <w:t>strategy</w:t>
      </w:r>
      <w:r>
        <w:rPr>
          <w:spacing w:val="-7"/>
        </w:rPr>
        <w:t xml:space="preserve"> </w:t>
      </w:r>
      <w:r>
        <w:t>and</w:t>
      </w:r>
      <w:r>
        <w:rPr>
          <w:spacing w:val="-7"/>
        </w:rPr>
        <w:t xml:space="preserve"> </w:t>
      </w:r>
      <w:r>
        <w:rPr>
          <w:spacing w:val="-2"/>
        </w:rPr>
        <w:t>decisions</w:t>
      </w:r>
    </w:p>
    <w:p w14:paraId="7439A783" w14:textId="65E607EE" w:rsidR="003C7085" w:rsidRDefault="003C7085" w:rsidP="003C7085">
      <w:r>
        <w:t>Like many of its peers, the RBA uses a variety of channels to communicate its policy decisions</w:t>
      </w:r>
      <w:r>
        <w:rPr>
          <w:spacing w:val="80"/>
        </w:rPr>
        <w:t xml:space="preserve"> </w:t>
      </w:r>
      <w:r>
        <w:t xml:space="preserve">and analysis of economic developments. This includes media releases, the </w:t>
      </w:r>
      <w:r>
        <w:rPr>
          <w:i/>
        </w:rPr>
        <w:t>Statement on Monetary Policy</w:t>
      </w:r>
      <w:r>
        <w:rPr>
          <w:i/>
          <w:spacing w:val="3"/>
        </w:rPr>
        <w:t xml:space="preserve"> </w:t>
      </w:r>
      <w:r>
        <w:t>and</w:t>
      </w:r>
      <w:r>
        <w:rPr>
          <w:spacing w:val="3"/>
        </w:rPr>
        <w:t xml:space="preserve"> </w:t>
      </w:r>
      <w:r>
        <w:t>associated</w:t>
      </w:r>
      <w:r>
        <w:rPr>
          <w:spacing w:val="4"/>
        </w:rPr>
        <w:t xml:space="preserve"> </w:t>
      </w:r>
      <w:r>
        <w:t>debriefs</w:t>
      </w:r>
      <w:r>
        <w:rPr>
          <w:spacing w:val="3"/>
        </w:rPr>
        <w:t xml:space="preserve"> </w:t>
      </w:r>
      <w:r>
        <w:t>with</w:t>
      </w:r>
      <w:r>
        <w:rPr>
          <w:spacing w:val="3"/>
        </w:rPr>
        <w:t xml:space="preserve"> </w:t>
      </w:r>
      <w:r>
        <w:t>business</w:t>
      </w:r>
      <w:r>
        <w:rPr>
          <w:spacing w:val="4"/>
        </w:rPr>
        <w:t xml:space="preserve"> </w:t>
      </w:r>
      <w:r>
        <w:t>and</w:t>
      </w:r>
      <w:r>
        <w:rPr>
          <w:spacing w:val="3"/>
        </w:rPr>
        <w:t xml:space="preserve"> </w:t>
      </w:r>
      <w:r>
        <w:t>community</w:t>
      </w:r>
      <w:r>
        <w:rPr>
          <w:spacing w:val="3"/>
        </w:rPr>
        <w:t xml:space="preserve"> </w:t>
      </w:r>
      <w:r>
        <w:t>groups,</w:t>
      </w:r>
      <w:r>
        <w:rPr>
          <w:spacing w:val="4"/>
        </w:rPr>
        <w:t xml:space="preserve"> </w:t>
      </w:r>
      <w:r>
        <w:t>Reserve</w:t>
      </w:r>
      <w:r>
        <w:rPr>
          <w:spacing w:val="3"/>
        </w:rPr>
        <w:t xml:space="preserve"> </w:t>
      </w:r>
      <w:r>
        <w:t>Bank</w:t>
      </w:r>
      <w:r>
        <w:rPr>
          <w:spacing w:val="3"/>
        </w:rPr>
        <w:t xml:space="preserve"> </w:t>
      </w:r>
      <w:r>
        <w:t>Board</w:t>
      </w:r>
      <w:r>
        <w:rPr>
          <w:spacing w:val="4"/>
        </w:rPr>
        <w:t xml:space="preserve"> </w:t>
      </w:r>
      <w:r>
        <w:rPr>
          <w:spacing w:val="-2"/>
        </w:rPr>
        <w:t xml:space="preserve">meeting </w:t>
      </w:r>
      <w:r>
        <w:rPr>
          <w:i/>
        </w:rPr>
        <w:t>Minutes</w:t>
      </w:r>
      <w:r>
        <w:t>, speeches, liaison program and research</w:t>
      </w:r>
      <w:r>
        <w:rPr>
          <w:spacing w:val="1"/>
        </w:rPr>
        <w:t xml:space="preserve"> </w:t>
      </w:r>
      <w:r>
        <w:rPr>
          <w:spacing w:val="-2"/>
        </w:rPr>
        <w:t>papers.</w:t>
      </w:r>
    </w:p>
    <w:p w14:paraId="62DC36D6" w14:textId="77777777" w:rsidR="003C7085" w:rsidRDefault="003C7085" w:rsidP="003C7085">
      <w:r>
        <w:t>While there has been a significant increase in communication in recent years, the RBA’s regular communications are still less transparent than those of some other peer central banks. For</w:t>
      </w:r>
      <w:r>
        <w:rPr>
          <w:spacing w:val="40"/>
        </w:rPr>
        <w:t xml:space="preserve"> </w:t>
      </w:r>
      <w:r>
        <w:t xml:space="preserve">instance, explanations of monetary policy strategy lack important information, and there is limited discussion of the range of views held by Reserve Bank Board members. In a small survey of professional economists in Australia conducted by the Review, only about 15 per cent thought the RBA was better than its </w:t>
      </w:r>
      <w:r>
        <w:lastRenderedPageBreak/>
        <w:t>peers in communicating the rationale for its policy decisions. Just 5 per cent thought it was better than its peers at communicating how it responds to new information about</w:t>
      </w:r>
      <w:r>
        <w:rPr>
          <w:spacing w:val="40"/>
        </w:rPr>
        <w:t xml:space="preserve"> </w:t>
      </w:r>
      <w:r>
        <w:t>the economic outlook.</w:t>
      </w:r>
    </w:p>
    <w:p w14:paraId="2562450A" w14:textId="23560A9F" w:rsidR="003C7085" w:rsidRDefault="003C7085" w:rsidP="003C7085">
      <w:r>
        <w:t>There</w:t>
      </w:r>
      <w:r>
        <w:rPr>
          <w:spacing w:val="-1"/>
        </w:rPr>
        <w:t xml:space="preserve"> </w:t>
      </w:r>
      <w:r>
        <w:t>are</w:t>
      </w:r>
      <w:r>
        <w:rPr>
          <w:spacing w:val="2"/>
        </w:rPr>
        <w:t xml:space="preserve"> </w:t>
      </w:r>
      <w:r>
        <w:t>a</w:t>
      </w:r>
      <w:r>
        <w:rPr>
          <w:spacing w:val="2"/>
        </w:rPr>
        <w:t xml:space="preserve"> </w:t>
      </w:r>
      <w:r>
        <w:t>variety</w:t>
      </w:r>
      <w:r>
        <w:rPr>
          <w:spacing w:val="2"/>
        </w:rPr>
        <w:t xml:space="preserve"> </w:t>
      </w:r>
      <w:r>
        <w:t>of</w:t>
      </w:r>
      <w:r>
        <w:rPr>
          <w:spacing w:val="2"/>
        </w:rPr>
        <w:t xml:space="preserve"> </w:t>
      </w:r>
      <w:r>
        <w:t>methods</w:t>
      </w:r>
      <w:r>
        <w:rPr>
          <w:spacing w:val="2"/>
        </w:rPr>
        <w:t xml:space="preserve"> </w:t>
      </w:r>
      <w:r>
        <w:t>used</w:t>
      </w:r>
      <w:r>
        <w:rPr>
          <w:spacing w:val="2"/>
        </w:rPr>
        <w:t xml:space="preserve"> </w:t>
      </w:r>
      <w:r>
        <w:t>by</w:t>
      </w:r>
      <w:r>
        <w:rPr>
          <w:spacing w:val="1"/>
        </w:rPr>
        <w:t xml:space="preserve"> </w:t>
      </w:r>
      <w:r>
        <w:t>other</w:t>
      </w:r>
      <w:r>
        <w:rPr>
          <w:spacing w:val="2"/>
        </w:rPr>
        <w:t xml:space="preserve"> </w:t>
      </w:r>
      <w:r>
        <w:t>peer</w:t>
      </w:r>
      <w:r>
        <w:rPr>
          <w:spacing w:val="2"/>
        </w:rPr>
        <w:t xml:space="preserve"> </w:t>
      </w:r>
      <w:r>
        <w:t>central</w:t>
      </w:r>
      <w:r>
        <w:rPr>
          <w:spacing w:val="2"/>
        </w:rPr>
        <w:t xml:space="preserve"> </w:t>
      </w:r>
      <w:r>
        <w:t>banks</w:t>
      </w:r>
      <w:r>
        <w:rPr>
          <w:spacing w:val="2"/>
        </w:rPr>
        <w:t xml:space="preserve"> </w:t>
      </w:r>
      <w:r>
        <w:t>to</w:t>
      </w:r>
      <w:r>
        <w:rPr>
          <w:spacing w:val="2"/>
        </w:rPr>
        <w:t xml:space="preserve"> </w:t>
      </w:r>
      <w:r>
        <w:t>support</w:t>
      </w:r>
      <w:r>
        <w:rPr>
          <w:spacing w:val="2"/>
        </w:rPr>
        <w:t xml:space="preserve"> </w:t>
      </w:r>
      <w:r>
        <w:t>understanding</w:t>
      </w:r>
      <w:r>
        <w:rPr>
          <w:spacing w:val="2"/>
        </w:rPr>
        <w:t xml:space="preserve"> </w:t>
      </w:r>
      <w:r>
        <w:rPr>
          <w:spacing w:val="-4"/>
        </w:rPr>
        <w:t xml:space="preserve">(and </w:t>
      </w:r>
      <w:r>
        <w:t>promote</w:t>
      </w:r>
      <w:r>
        <w:rPr>
          <w:spacing w:val="5"/>
        </w:rPr>
        <w:t xml:space="preserve"> </w:t>
      </w:r>
      <w:r>
        <w:t>accountability),</w:t>
      </w:r>
      <w:r>
        <w:rPr>
          <w:spacing w:val="6"/>
        </w:rPr>
        <w:t xml:space="preserve"> </w:t>
      </w:r>
      <w:r>
        <w:rPr>
          <w:spacing w:val="-2"/>
        </w:rPr>
        <w:t>including:</w:t>
      </w:r>
    </w:p>
    <w:p w14:paraId="7076CEB7" w14:textId="5B7BCAB3" w:rsidR="003C7085" w:rsidRPr="003C7085" w:rsidRDefault="003C7085" w:rsidP="0000278A">
      <w:pPr>
        <w:pStyle w:val="Bullet"/>
      </w:pPr>
      <w:r w:rsidRPr="003C7085">
        <w:rPr>
          <w:b/>
        </w:rPr>
        <w:t xml:space="preserve">Press conferences: </w:t>
      </w:r>
      <w:r w:rsidRPr="003C7085">
        <w:t>Most of the RBA’s peers conduct regular press conferences. While the RBA started holding ad hoc press conferences during the pandemic and often allows for Q&amp;A</w:t>
      </w:r>
      <w:r>
        <w:t xml:space="preserve"> </w:t>
      </w:r>
      <w:r w:rsidRPr="003C7085">
        <w:t>sessions at the end of speeches by RBA executives, there was widespread support among those consulted</w:t>
      </w:r>
      <w:r w:rsidRPr="003C7085">
        <w:rPr>
          <w:spacing w:val="-1"/>
        </w:rPr>
        <w:t xml:space="preserve"> </w:t>
      </w:r>
      <w:r w:rsidRPr="003C7085">
        <w:t>by the Review for the RBA to commit to regular press conferences to explain monetary policy decisions and respond to questions. Press conferences are a valuable opportunity for a wide range of Australians to learn about monetary policy decisions. This information is also key</w:t>
      </w:r>
      <w:r w:rsidRPr="003C7085">
        <w:rPr>
          <w:spacing w:val="80"/>
        </w:rPr>
        <w:t xml:space="preserve"> </w:t>
      </w:r>
      <w:r w:rsidRPr="003C7085">
        <w:t>to considering the appropriateness of policy decisions and adjusting expectations about future policy decisions as new data arrive.</w:t>
      </w:r>
    </w:p>
    <w:p w14:paraId="677094C4" w14:textId="6474C65C" w:rsidR="003C7085" w:rsidRPr="003C7085" w:rsidRDefault="003C7085" w:rsidP="0000278A">
      <w:pPr>
        <w:pStyle w:val="Bullet"/>
      </w:pPr>
      <w:r w:rsidRPr="003C7085">
        <w:rPr>
          <w:b/>
        </w:rPr>
        <w:t xml:space="preserve">Speeches: </w:t>
      </w:r>
      <w:r w:rsidRPr="003C7085">
        <w:t>Many of those consulted by the Review found the regular speeches given by RBA executives useful, although some were of the view that more speeches would not necessarily be helpful. The regular Q&amp;A sessions at the end of speeches were highlighted as being particularly valuable. But some consulted by the Review drew attention to the fact that the Governor is the spokesperson for the Reserve Bank Board and so the views and opinions of other members</w:t>
      </w:r>
      <w:r>
        <w:t xml:space="preserve"> </w:t>
      </w:r>
      <w:r w:rsidRPr="003C7085">
        <w:t>of</w:t>
      </w:r>
      <w:r w:rsidRPr="003C7085">
        <w:rPr>
          <w:spacing w:val="-1"/>
        </w:rPr>
        <w:t xml:space="preserve"> </w:t>
      </w:r>
      <w:r w:rsidRPr="003C7085">
        <w:t>the</w:t>
      </w:r>
      <w:r w:rsidRPr="003C7085">
        <w:rPr>
          <w:spacing w:val="1"/>
        </w:rPr>
        <w:t xml:space="preserve"> </w:t>
      </w:r>
      <w:r w:rsidRPr="003C7085">
        <w:t>Reserve</w:t>
      </w:r>
      <w:r w:rsidRPr="003C7085">
        <w:rPr>
          <w:spacing w:val="1"/>
        </w:rPr>
        <w:t xml:space="preserve"> </w:t>
      </w:r>
      <w:r w:rsidRPr="003C7085">
        <w:t>Bank</w:t>
      </w:r>
      <w:r w:rsidRPr="003C7085">
        <w:rPr>
          <w:spacing w:val="1"/>
        </w:rPr>
        <w:t xml:space="preserve"> </w:t>
      </w:r>
      <w:r w:rsidRPr="003C7085">
        <w:t>Board</w:t>
      </w:r>
      <w:r w:rsidRPr="003C7085">
        <w:rPr>
          <w:spacing w:val="1"/>
        </w:rPr>
        <w:t xml:space="preserve"> </w:t>
      </w:r>
      <w:r w:rsidRPr="003C7085">
        <w:t>are</w:t>
      </w:r>
      <w:r w:rsidRPr="003C7085">
        <w:rPr>
          <w:spacing w:val="1"/>
        </w:rPr>
        <w:t xml:space="preserve"> </w:t>
      </w:r>
      <w:r w:rsidRPr="003C7085">
        <w:t>not</w:t>
      </w:r>
      <w:r w:rsidRPr="003C7085">
        <w:rPr>
          <w:spacing w:val="1"/>
        </w:rPr>
        <w:t xml:space="preserve"> </w:t>
      </w:r>
      <w:r w:rsidRPr="003C7085">
        <w:t>well</w:t>
      </w:r>
      <w:r w:rsidRPr="003C7085">
        <w:rPr>
          <w:spacing w:val="2"/>
        </w:rPr>
        <w:t xml:space="preserve"> </w:t>
      </w:r>
      <w:r w:rsidRPr="003C7085">
        <w:t>understood.</w:t>
      </w:r>
      <w:r w:rsidRPr="003C7085">
        <w:rPr>
          <w:spacing w:val="1"/>
        </w:rPr>
        <w:t xml:space="preserve"> </w:t>
      </w:r>
      <w:r w:rsidRPr="003C7085">
        <w:t>This</w:t>
      </w:r>
      <w:r w:rsidRPr="003C7085">
        <w:rPr>
          <w:spacing w:val="1"/>
        </w:rPr>
        <w:t xml:space="preserve"> </w:t>
      </w:r>
      <w:r w:rsidRPr="003C7085">
        <w:t>is</w:t>
      </w:r>
      <w:r w:rsidRPr="003C7085">
        <w:rPr>
          <w:spacing w:val="1"/>
        </w:rPr>
        <w:t xml:space="preserve"> </w:t>
      </w:r>
      <w:r w:rsidRPr="003C7085">
        <w:t>in</w:t>
      </w:r>
      <w:r w:rsidRPr="003C7085">
        <w:rPr>
          <w:spacing w:val="1"/>
        </w:rPr>
        <w:t xml:space="preserve"> </w:t>
      </w:r>
      <w:r w:rsidRPr="003C7085">
        <w:t>contrast</w:t>
      </w:r>
      <w:r w:rsidRPr="003C7085">
        <w:rPr>
          <w:spacing w:val="1"/>
        </w:rPr>
        <w:t xml:space="preserve"> </w:t>
      </w:r>
      <w:r w:rsidRPr="003C7085">
        <w:t>with</w:t>
      </w:r>
      <w:r w:rsidRPr="003C7085">
        <w:rPr>
          <w:spacing w:val="1"/>
        </w:rPr>
        <w:t xml:space="preserve"> </w:t>
      </w:r>
      <w:r w:rsidRPr="003C7085">
        <w:t>some</w:t>
      </w:r>
      <w:r w:rsidRPr="003C7085">
        <w:rPr>
          <w:spacing w:val="1"/>
        </w:rPr>
        <w:t xml:space="preserve"> </w:t>
      </w:r>
      <w:r w:rsidRPr="003C7085">
        <w:t>other</w:t>
      </w:r>
      <w:r w:rsidRPr="003C7085">
        <w:rPr>
          <w:spacing w:val="2"/>
        </w:rPr>
        <w:t xml:space="preserve"> </w:t>
      </w:r>
      <w:r w:rsidRPr="003C7085">
        <w:rPr>
          <w:spacing w:val="-4"/>
        </w:rPr>
        <w:t>peer</w:t>
      </w:r>
      <w:r>
        <w:rPr>
          <w:spacing w:val="-4"/>
        </w:rPr>
        <w:t xml:space="preserve"> </w:t>
      </w:r>
      <w:r w:rsidRPr="003C7085">
        <w:t>central</w:t>
      </w:r>
      <w:r w:rsidRPr="003C7085">
        <w:rPr>
          <w:spacing w:val="-2"/>
        </w:rPr>
        <w:t xml:space="preserve"> </w:t>
      </w:r>
      <w:r w:rsidRPr="003C7085">
        <w:t>banks,</w:t>
      </w:r>
      <w:r w:rsidRPr="003C7085">
        <w:rPr>
          <w:spacing w:val="1"/>
        </w:rPr>
        <w:t xml:space="preserve"> </w:t>
      </w:r>
      <w:r w:rsidRPr="003C7085">
        <w:t>such</w:t>
      </w:r>
      <w:r w:rsidRPr="003C7085">
        <w:rPr>
          <w:spacing w:val="1"/>
        </w:rPr>
        <w:t xml:space="preserve"> </w:t>
      </w:r>
      <w:r w:rsidRPr="003C7085">
        <w:t>as</w:t>
      </w:r>
      <w:r w:rsidRPr="003C7085">
        <w:rPr>
          <w:spacing w:val="1"/>
        </w:rPr>
        <w:t xml:space="preserve"> </w:t>
      </w:r>
      <w:r w:rsidRPr="003C7085">
        <w:t>the</w:t>
      </w:r>
      <w:r w:rsidRPr="003C7085">
        <w:rPr>
          <w:spacing w:val="1"/>
        </w:rPr>
        <w:t xml:space="preserve"> </w:t>
      </w:r>
      <w:r w:rsidRPr="003C7085">
        <w:t>Bank</w:t>
      </w:r>
      <w:r w:rsidRPr="003C7085">
        <w:rPr>
          <w:spacing w:val="1"/>
        </w:rPr>
        <w:t xml:space="preserve"> </w:t>
      </w:r>
      <w:r w:rsidRPr="003C7085">
        <w:t>of</w:t>
      </w:r>
      <w:r w:rsidRPr="003C7085">
        <w:rPr>
          <w:spacing w:val="1"/>
        </w:rPr>
        <w:t xml:space="preserve"> </w:t>
      </w:r>
      <w:r w:rsidRPr="003C7085">
        <w:t>England,</w:t>
      </w:r>
      <w:r w:rsidRPr="003C7085">
        <w:rPr>
          <w:spacing w:val="1"/>
        </w:rPr>
        <w:t xml:space="preserve"> </w:t>
      </w:r>
      <w:r w:rsidRPr="003C7085">
        <w:t>where</w:t>
      </w:r>
      <w:r w:rsidRPr="003C7085">
        <w:rPr>
          <w:spacing w:val="1"/>
        </w:rPr>
        <w:t xml:space="preserve"> </w:t>
      </w:r>
      <w:r w:rsidRPr="003C7085">
        <w:t>other</w:t>
      </w:r>
      <w:r w:rsidRPr="003C7085">
        <w:rPr>
          <w:spacing w:val="1"/>
        </w:rPr>
        <w:t xml:space="preserve"> </w:t>
      </w:r>
      <w:r w:rsidRPr="003C7085">
        <w:t>members</w:t>
      </w:r>
      <w:r w:rsidRPr="003C7085">
        <w:rPr>
          <w:spacing w:val="1"/>
        </w:rPr>
        <w:t xml:space="preserve"> </w:t>
      </w:r>
      <w:r w:rsidRPr="003C7085">
        <w:t>deliver</w:t>
      </w:r>
      <w:r w:rsidRPr="003C7085">
        <w:rPr>
          <w:spacing w:val="1"/>
        </w:rPr>
        <w:t xml:space="preserve"> </w:t>
      </w:r>
      <w:r w:rsidRPr="003C7085">
        <w:rPr>
          <w:spacing w:val="-2"/>
        </w:rPr>
        <w:t>speeches.</w:t>
      </w:r>
    </w:p>
    <w:p w14:paraId="65081910" w14:textId="77777777" w:rsidR="003C7085" w:rsidRPr="003C7085" w:rsidRDefault="003C7085" w:rsidP="0000278A">
      <w:pPr>
        <w:pStyle w:val="Bullet"/>
      </w:pPr>
      <w:r w:rsidRPr="003C7085">
        <w:rPr>
          <w:b/>
        </w:rPr>
        <w:t xml:space="preserve">Voting records: </w:t>
      </w:r>
      <w:r w:rsidRPr="003C7085">
        <w:t>Many of the RBA’s peers release the voting record of monetary policy decision makers, including information on areas of agreement and dissent. While the Reserve Bank</w:t>
      </w:r>
      <w:r w:rsidRPr="003C7085">
        <w:rPr>
          <w:spacing w:val="80"/>
        </w:rPr>
        <w:t xml:space="preserve"> </w:t>
      </w:r>
      <w:r w:rsidRPr="003C7085">
        <w:t xml:space="preserve">Board </w:t>
      </w:r>
      <w:r w:rsidRPr="003C7085">
        <w:rPr>
          <w:i/>
        </w:rPr>
        <w:t xml:space="preserve">Minutes </w:t>
      </w:r>
      <w:r w:rsidRPr="003C7085">
        <w:t>provide a brief summary of the discussions that take place in Reserve Bank Board meetings, they do not provide a strong sense of the balance of views or how close each decision is. Voting records are not released.</w:t>
      </w:r>
    </w:p>
    <w:p w14:paraId="767B239C" w14:textId="02B6704E" w:rsidR="005958F6" w:rsidRPr="003C7085" w:rsidRDefault="003C7085" w:rsidP="0000278A">
      <w:pPr>
        <w:pStyle w:val="Bullet"/>
      </w:pPr>
      <w:r w:rsidRPr="003C7085">
        <w:rPr>
          <w:b/>
        </w:rPr>
        <w:t xml:space="preserve">Publicly available forecast data and liaison information: </w:t>
      </w:r>
      <w:r w:rsidRPr="003C7085">
        <w:t>Most of the RBA’s peers provide forecasts in easily accessible and convenient data formats (for example Microsoft Excel). Many peer central banks also regularly share detailed insights from business liaison programs, including the US Federal Reserve, which has done so for decades. This transparency around</w:t>
      </w:r>
      <w:r w:rsidRPr="003C7085">
        <w:rPr>
          <w:spacing w:val="40"/>
        </w:rPr>
        <w:t xml:space="preserve"> </w:t>
      </w:r>
      <w:r w:rsidRPr="003C7085">
        <w:t>key inputs to the monetary policy decision-making process supports a deeper understanding</w:t>
      </w:r>
      <w:r w:rsidRPr="003C7085">
        <w:rPr>
          <w:spacing w:val="40"/>
        </w:rPr>
        <w:t xml:space="preserve"> </w:t>
      </w:r>
      <w:r w:rsidRPr="003C7085">
        <w:t>of the rationale for decision making and is important for accountability. The RBA does not provide its forecasts in convenient data formats (only published tables with rounded data), although it recently started to share detailed liaison information.</w:t>
      </w:r>
    </w:p>
    <w:p w14:paraId="63CD1E7D" w14:textId="77777777" w:rsidR="00DF15DA" w:rsidRPr="00DF15DA" w:rsidRDefault="00DF15DA" w:rsidP="0000278A">
      <w:pPr>
        <w:pStyle w:val="Bullet"/>
        <w:rPr>
          <w:rFonts w:cs="Calibri Light"/>
        </w:rPr>
      </w:pPr>
      <w:r w:rsidRPr="00DF15DA">
        <w:rPr>
          <w:rFonts w:cs="Calibri Light"/>
          <w:b/>
        </w:rPr>
        <w:t xml:space="preserve">Scenario analysis: </w:t>
      </w:r>
      <w:r w:rsidRPr="00DF15DA">
        <w:rPr>
          <w:rFonts w:cs="Calibri Light"/>
        </w:rPr>
        <w:t>Used by some peer central banks as it allows for more transparent explanations of policy strategies and decisions. While the RBA used scenarios to convey risks around its forecasts during the COVID-19 pandemic, it has not used scenarios to publicly convey the economic outcomes of alternative policy paths.</w:t>
      </w:r>
    </w:p>
    <w:p w14:paraId="5E69305F" w14:textId="0A1C2D5D" w:rsidR="00DF15DA" w:rsidRDefault="00DF15DA" w:rsidP="00DF15DA">
      <w:r>
        <w:t>In</w:t>
      </w:r>
      <w:r>
        <w:rPr>
          <w:spacing w:val="-3"/>
        </w:rPr>
        <w:t xml:space="preserve"> </w:t>
      </w:r>
      <w:r>
        <w:t>terms</w:t>
      </w:r>
      <w:r>
        <w:rPr>
          <w:spacing w:val="-1"/>
        </w:rPr>
        <w:t xml:space="preserve"> </w:t>
      </w:r>
      <w:r>
        <w:t>of</w:t>
      </w:r>
      <w:r>
        <w:rPr>
          <w:spacing w:val="-1"/>
        </w:rPr>
        <w:t xml:space="preserve"> </w:t>
      </w:r>
      <w:r>
        <w:t>the content</w:t>
      </w:r>
      <w:r>
        <w:rPr>
          <w:spacing w:val="-1"/>
        </w:rPr>
        <w:t xml:space="preserve"> </w:t>
      </w:r>
      <w:r>
        <w:t>of</w:t>
      </w:r>
      <w:r>
        <w:rPr>
          <w:spacing w:val="-1"/>
        </w:rPr>
        <w:t xml:space="preserve"> </w:t>
      </w:r>
      <w:r>
        <w:t>the RBA’s</w:t>
      </w:r>
      <w:r>
        <w:rPr>
          <w:spacing w:val="-1"/>
        </w:rPr>
        <w:t xml:space="preserve"> </w:t>
      </w:r>
      <w:r>
        <w:t>communication,</w:t>
      </w:r>
      <w:r>
        <w:rPr>
          <w:spacing w:val="-1"/>
        </w:rPr>
        <w:t xml:space="preserve"> </w:t>
      </w:r>
      <w:r>
        <w:t>many</w:t>
      </w:r>
      <w:r>
        <w:rPr>
          <w:spacing w:val="-1"/>
        </w:rPr>
        <w:t xml:space="preserve"> </w:t>
      </w:r>
      <w:r>
        <w:t>people consulted</w:t>
      </w:r>
      <w:r>
        <w:rPr>
          <w:spacing w:val="-1"/>
        </w:rPr>
        <w:t xml:space="preserve"> </w:t>
      </w:r>
      <w:r>
        <w:t>by</w:t>
      </w:r>
      <w:r>
        <w:rPr>
          <w:spacing w:val="-1"/>
        </w:rPr>
        <w:t xml:space="preserve"> </w:t>
      </w:r>
      <w:r>
        <w:t xml:space="preserve">the </w:t>
      </w:r>
      <w:r>
        <w:rPr>
          <w:spacing w:val="-2"/>
        </w:rPr>
        <w:t xml:space="preserve">Review </w:t>
      </w:r>
      <w:r>
        <w:t>expressed a</w:t>
      </w:r>
      <w:r>
        <w:rPr>
          <w:spacing w:val="2"/>
        </w:rPr>
        <w:t xml:space="preserve"> </w:t>
      </w:r>
      <w:r>
        <w:t>strong</w:t>
      </w:r>
      <w:r>
        <w:rPr>
          <w:spacing w:val="2"/>
        </w:rPr>
        <w:t xml:space="preserve"> </w:t>
      </w:r>
      <w:r>
        <w:t>desire</w:t>
      </w:r>
      <w:r>
        <w:rPr>
          <w:spacing w:val="2"/>
        </w:rPr>
        <w:t xml:space="preserve"> </w:t>
      </w:r>
      <w:r>
        <w:t>for</w:t>
      </w:r>
      <w:r>
        <w:rPr>
          <w:spacing w:val="2"/>
        </w:rPr>
        <w:t xml:space="preserve"> </w:t>
      </w:r>
      <w:r>
        <w:t>greater</w:t>
      </w:r>
      <w:r>
        <w:rPr>
          <w:spacing w:val="2"/>
        </w:rPr>
        <w:t xml:space="preserve"> </w:t>
      </w:r>
      <w:r>
        <w:t>transparency</w:t>
      </w:r>
      <w:r>
        <w:rPr>
          <w:spacing w:val="2"/>
        </w:rPr>
        <w:t xml:space="preserve"> </w:t>
      </w:r>
      <w:r>
        <w:t>around</w:t>
      </w:r>
      <w:r>
        <w:rPr>
          <w:spacing w:val="2"/>
        </w:rPr>
        <w:t xml:space="preserve"> </w:t>
      </w:r>
      <w:r>
        <w:t>the</w:t>
      </w:r>
      <w:r>
        <w:rPr>
          <w:spacing w:val="2"/>
        </w:rPr>
        <w:t xml:space="preserve"> </w:t>
      </w:r>
      <w:r>
        <w:t>factors</w:t>
      </w:r>
      <w:r>
        <w:rPr>
          <w:spacing w:val="2"/>
        </w:rPr>
        <w:t xml:space="preserve"> </w:t>
      </w:r>
      <w:r>
        <w:t>that</w:t>
      </w:r>
      <w:r>
        <w:rPr>
          <w:spacing w:val="2"/>
        </w:rPr>
        <w:t xml:space="preserve"> </w:t>
      </w:r>
      <w:r>
        <w:t>drive</w:t>
      </w:r>
      <w:r>
        <w:rPr>
          <w:spacing w:val="2"/>
        </w:rPr>
        <w:t xml:space="preserve"> </w:t>
      </w:r>
      <w:r>
        <w:t>policy</w:t>
      </w:r>
      <w:r>
        <w:rPr>
          <w:spacing w:val="3"/>
        </w:rPr>
        <w:t xml:space="preserve"> </w:t>
      </w:r>
      <w:r>
        <w:rPr>
          <w:spacing w:val="-2"/>
        </w:rPr>
        <w:t>decisions.</w:t>
      </w:r>
      <w:r w:rsidR="000D3DD4">
        <w:t xml:space="preserve"> </w:t>
      </w:r>
      <w:r>
        <w:t>Indeed, many cited the low inflation period between 2016 and 2019 as an example of when the main considerations driving policy decisions were unclear. Many also highlighted this as a time when greater clarity was needed around how the RBA was managing trade-offs. Clearer communication, together with greater clarity around the RBA’s objectives, would have helped.</w:t>
      </w:r>
    </w:p>
    <w:p w14:paraId="0471A719" w14:textId="77777777" w:rsidR="00DF15DA" w:rsidRDefault="00DF15DA" w:rsidP="00DF15DA">
      <w:r>
        <w:t>Overall, the Review is of the view that the RBA’s communications should focus less on the publicly available facts and more on the reasoning behind monetary policy decisions. The RBA should provide more clarity around why alternative policy options are not pursued, and how current policy settings fit into a broader strategy to achieve its objectives.</w:t>
      </w:r>
    </w:p>
    <w:p w14:paraId="60803DC2" w14:textId="77777777" w:rsidR="00DF15DA" w:rsidRDefault="00DF15DA" w:rsidP="00DF15DA">
      <w:pPr>
        <w:pStyle w:val="Heading3"/>
      </w:pPr>
      <w:r>
        <w:lastRenderedPageBreak/>
        <w:t>Communication</w:t>
      </w:r>
      <w:r>
        <w:rPr>
          <w:spacing w:val="-12"/>
        </w:rPr>
        <w:t xml:space="preserve"> </w:t>
      </w:r>
      <w:r>
        <w:t>with</w:t>
      </w:r>
      <w:r>
        <w:rPr>
          <w:spacing w:val="-12"/>
        </w:rPr>
        <w:t xml:space="preserve"> </w:t>
      </w:r>
      <w:r>
        <w:t>the</w:t>
      </w:r>
      <w:r>
        <w:rPr>
          <w:spacing w:val="-11"/>
        </w:rPr>
        <w:t xml:space="preserve"> </w:t>
      </w:r>
      <w:r>
        <w:rPr>
          <w:spacing w:val="-2"/>
        </w:rPr>
        <w:t>public</w:t>
      </w:r>
    </w:p>
    <w:p w14:paraId="32CE13F8" w14:textId="77777777" w:rsidR="00DF15DA" w:rsidRDefault="00DF15DA" w:rsidP="00DF15DA">
      <w:r>
        <w:t>The Review heard strong feedback that the RBA needs to do more to communicate effectively with the public. Many people rely on messages they hear from the RBA to guide their decisions because they believe the RBA is better placed to make judgements on the economic outlook. The public can find it difficult to accurately interpret the RBA’s communication.</w:t>
      </w:r>
    </w:p>
    <w:p w14:paraId="26E0D86D" w14:textId="77777777" w:rsidR="00DF15DA" w:rsidRDefault="00DF15DA" w:rsidP="00DF15DA">
      <w:r>
        <w:t>Criticism was particularly focused on the RBA’s use of forward guidance during the COVID-19 pandemic, when the conditionality of the RBA’s statements was not well understood. In its internal review, the RBA determined that if this type of forward guidance was used again it would need to</w:t>
      </w:r>
      <w:r>
        <w:rPr>
          <w:spacing w:val="40"/>
        </w:rPr>
        <w:t xml:space="preserve"> </w:t>
      </w:r>
      <w:r>
        <w:t>be clearer about the caveats. However, it is the judgement of the Review that any future use of forward guidance needs to account for the strong possibility that messages intended for the public cannot rely on detailed caveats given that they may not be well understood.</w:t>
      </w:r>
    </w:p>
    <w:p w14:paraId="1ADBA471" w14:textId="77777777" w:rsidR="00DF15DA" w:rsidRDefault="00DF15DA" w:rsidP="00DF15DA">
      <w:r>
        <w:t>The RBA should do more to effectively communicate its policy decisions and thinking to the public. Indeed, in focus groups conducted for the Review, members of the public expressed a desire for more proactive communication from the RBA. They expressed a desire to know more about why policy decisions have been made and about the state of the economy more generally (see Chapter 2 for details on the feedback received through focus groups).</w:t>
      </w:r>
    </w:p>
    <w:p w14:paraId="77404A88" w14:textId="77777777" w:rsidR="00DF15DA" w:rsidRDefault="00DF15DA" w:rsidP="00DF15DA">
      <w:r>
        <w:t>The RBA has already trialled some approaches adopted by other central banks to communicate with the public more effectively. For example, the RBA has used a ‘layered’ approach to communicating its F</w:t>
      </w:r>
      <w:r>
        <w:rPr>
          <w:i/>
        </w:rPr>
        <w:t xml:space="preserve">inancial Stability Review </w:t>
      </w:r>
      <w:r>
        <w:t>since October 2020. This involves publishing an accessible version of the main messages alongside the detailed report.</w:t>
      </w:r>
    </w:p>
    <w:p w14:paraId="7878282F" w14:textId="77777777" w:rsidR="00DF15DA" w:rsidRDefault="00DF15DA" w:rsidP="00DF15DA">
      <w:r>
        <w:t>The Review also heard that the RBA’s public education program is a valued part of the RBA’s communications. It is valuable not just in assisting teachers and students but also increasing understanding of the public. The Review is of the view that the RBA should build on the success of this initiative.</w:t>
      </w:r>
    </w:p>
    <w:p w14:paraId="25F54AEA" w14:textId="77777777" w:rsidR="00AE6C45" w:rsidRDefault="00AE6C45" w:rsidP="00AE6C45">
      <w:pPr>
        <w:pStyle w:val="Heading2"/>
      </w:pPr>
      <w:bookmarkStart w:id="33" w:name="_Toc134221003"/>
      <w:r>
        <w:t>Conclusions</w:t>
      </w:r>
      <w:r>
        <w:rPr>
          <w:spacing w:val="-17"/>
        </w:rPr>
        <w:t xml:space="preserve"> </w:t>
      </w:r>
      <w:r>
        <w:t>on</w:t>
      </w:r>
      <w:r>
        <w:rPr>
          <w:spacing w:val="-17"/>
        </w:rPr>
        <w:t xml:space="preserve"> </w:t>
      </w:r>
      <w:r>
        <w:t>past</w:t>
      </w:r>
      <w:r>
        <w:rPr>
          <w:spacing w:val="-17"/>
        </w:rPr>
        <w:t xml:space="preserve"> </w:t>
      </w:r>
      <w:r>
        <w:t>performance</w:t>
      </w:r>
      <w:bookmarkEnd w:id="33"/>
    </w:p>
    <w:p w14:paraId="2DDED3D1" w14:textId="77777777" w:rsidR="00AE6C45" w:rsidRDefault="00AE6C45" w:rsidP="00AE6C45">
      <w:r>
        <w:t>Overall, Australia’s economic outcomes over the past 3 decades have been very good, and the actions of the RBA have generally contributed to these good outcomes and demonstrated sound judgement. Throughout this period, the Reserve Bank Board has tended to conduct monetary policy effectively. It has generally set policy in a way that is forward-looking and responsive to changes in the economic outlook, including in very difficult circumstances involving considerable uncertainty and financial crises.</w:t>
      </w:r>
    </w:p>
    <w:p w14:paraId="76EE8D70" w14:textId="79340F1C" w:rsidR="00AE6C45" w:rsidRDefault="00AE6C45" w:rsidP="00AE6C45">
      <w:r>
        <w:t>There are, as is to be expected, important lessons for the future that can be learned from the RBA’s performance, particularly in recent years when the RBA has operated in an increasingly complex environment. This chapter has highlighted some specific episodes that, in the judgement of the Review, expose underlying shortcomings in Australia’s monetary policy arrangements that can be</w:t>
      </w:r>
      <w:r>
        <w:rPr>
          <w:spacing w:val="-1"/>
        </w:rPr>
        <w:t xml:space="preserve"> </w:t>
      </w:r>
      <w:r>
        <w:rPr>
          <w:spacing w:val="-2"/>
        </w:rPr>
        <w:t>addressed.</w:t>
      </w:r>
    </w:p>
    <w:p w14:paraId="38B50184" w14:textId="77777777" w:rsidR="00AE6C45" w:rsidRDefault="00AE6C45" w:rsidP="00AE6C45">
      <w:r>
        <w:t>It is not possible to know how alternative arrangements would have fared over the recent period. However, the Review considers strengthening the following aspects of current arrangements will increase the robustness of the policy framework to future challenges and, in turn, the likelihood of good outcomes:</w:t>
      </w:r>
    </w:p>
    <w:p w14:paraId="1307FA4D" w14:textId="77777777" w:rsidR="00AE6C45" w:rsidRPr="00713BC7" w:rsidRDefault="00AE6C45" w:rsidP="0000278A">
      <w:pPr>
        <w:pStyle w:val="Bullet"/>
        <w:rPr>
          <w:rFonts w:cs="Calibri Light"/>
        </w:rPr>
      </w:pPr>
      <w:r w:rsidRPr="00713BC7">
        <w:rPr>
          <w:rFonts w:cs="Calibri Light"/>
          <w:b/>
        </w:rPr>
        <w:t xml:space="preserve">Clearly specified monetary policy objectives: </w:t>
      </w:r>
      <w:r w:rsidRPr="00713BC7">
        <w:rPr>
          <w:rFonts w:cs="Calibri Light"/>
        </w:rPr>
        <w:t>Greater clarity is needed around the RBA’s objectives to foster better understanding about how decision makers will respond to new data and changes in the economic outlook, assess and challenge policy settings in real time, and maintain trust in decision making.</w:t>
      </w:r>
    </w:p>
    <w:p w14:paraId="341A0B2E" w14:textId="77777777" w:rsidR="00AE6C45" w:rsidRPr="00713BC7" w:rsidRDefault="00AE6C45" w:rsidP="0000278A">
      <w:pPr>
        <w:pStyle w:val="Bullet"/>
        <w:rPr>
          <w:rFonts w:cs="Calibri Light"/>
        </w:rPr>
      </w:pPr>
      <w:r w:rsidRPr="00713BC7">
        <w:rPr>
          <w:rFonts w:cs="Calibri Light"/>
          <w:b/>
        </w:rPr>
        <w:lastRenderedPageBreak/>
        <w:t xml:space="preserve">Constructive challenge and debate throughout the monetary policy making process: </w:t>
      </w:r>
      <w:r w:rsidRPr="00713BC7">
        <w:rPr>
          <w:rFonts w:cs="Calibri Light"/>
        </w:rPr>
        <w:t>Greater debate and challenge is needed during the policy formulation and deliberation process to help surface</w:t>
      </w:r>
      <w:r>
        <w:t xml:space="preserve"> differing perspectives, test policy recommendations and strategy, and manage risks. To </w:t>
      </w:r>
      <w:r w:rsidRPr="00713BC7">
        <w:rPr>
          <w:rFonts w:cs="Calibri Light"/>
        </w:rPr>
        <w:t>help achieve this a number of adjustments need to be made, including:</w:t>
      </w:r>
    </w:p>
    <w:p w14:paraId="662BA7D2" w14:textId="77777777" w:rsidR="00AE6C45" w:rsidRDefault="00AE6C45" w:rsidP="00713BC7">
      <w:pPr>
        <w:pStyle w:val="Dash"/>
      </w:pPr>
      <w:r w:rsidRPr="00713BC7">
        <w:rPr>
          <w:b/>
        </w:rPr>
        <w:t xml:space="preserve">Increased economic expertise of monetary policy decision makers: </w:t>
      </w:r>
      <w:r w:rsidRPr="00713BC7">
        <w:t>The Reserve Bank Board requires the right mix of skills, including some members with exper</w:t>
      </w:r>
      <w:r>
        <w:t>tise in areas relevant to monetary policy, such as open-economy macroeconomics, the financial system, the labour market or the supply side of the economy. The Reserve Bank Board would also benefit from regularly discussing alternative policy views with other external economists.</w:t>
      </w:r>
    </w:p>
    <w:p w14:paraId="1A8C854B" w14:textId="737A58AA" w:rsidR="00AE6C45" w:rsidRPr="00713BC7" w:rsidRDefault="00AE6C45" w:rsidP="00713BC7">
      <w:pPr>
        <w:pStyle w:val="Dash"/>
        <w:rPr>
          <w:rFonts w:cs="Calibri Light"/>
        </w:rPr>
      </w:pPr>
      <w:r w:rsidRPr="00713BC7">
        <w:rPr>
          <w:rFonts w:cs="Calibri Light"/>
          <w:b/>
        </w:rPr>
        <w:t xml:space="preserve">Deeper involvement of decision makers: </w:t>
      </w:r>
      <w:r w:rsidRPr="00713BC7">
        <w:rPr>
          <w:rFonts w:cs="Calibri Light"/>
        </w:rPr>
        <w:t>Decision makers needs to be more deeply involved in the policy-formulation and decision process. Board engagement that robustly challenges the views of the RBA executive is more likely to lead to better decisions</w:t>
      </w:r>
      <w:r w:rsidR="00713BC7" w:rsidRPr="00713BC7">
        <w:rPr>
          <w:rFonts w:cs="Calibri Light"/>
        </w:rPr>
        <w:t xml:space="preserve"> </w:t>
      </w:r>
      <w:r w:rsidRPr="00713BC7">
        <w:rPr>
          <w:rFonts w:cs="Calibri Light"/>
        </w:rPr>
        <w:t>and</w:t>
      </w:r>
      <w:r w:rsidRPr="00713BC7">
        <w:rPr>
          <w:rFonts w:cs="Calibri Light"/>
          <w:spacing w:val="-1"/>
        </w:rPr>
        <w:t xml:space="preserve"> </w:t>
      </w:r>
      <w:r w:rsidRPr="00713BC7">
        <w:rPr>
          <w:rFonts w:cs="Calibri Light"/>
          <w:spacing w:val="-2"/>
        </w:rPr>
        <w:t>outcomes.</w:t>
      </w:r>
    </w:p>
    <w:p w14:paraId="25200EE3" w14:textId="77777777" w:rsidR="00713BC7" w:rsidRDefault="00AE6C45" w:rsidP="00713BC7">
      <w:pPr>
        <w:pStyle w:val="Dash"/>
      </w:pPr>
      <w:r w:rsidRPr="00713BC7">
        <w:rPr>
          <w:rFonts w:cs="Calibri Light"/>
          <w:b/>
        </w:rPr>
        <w:t xml:space="preserve">More support for decision makers: </w:t>
      </w:r>
      <w:r w:rsidRPr="00713BC7">
        <w:rPr>
          <w:rFonts w:cs="Calibri Light"/>
        </w:rPr>
        <w:t>RBA staff should provide Board members with greater support to ensure members have the information required to develop their own views on policy issues and challenge positions taken by the RBA executive. Board members should request this information when necessary. This information should include providing comprehensive</w:t>
      </w:r>
      <w:r w:rsidRPr="00713BC7">
        <w:rPr>
          <w:rFonts w:cs="Calibri Light"/>
          <w:spacing w:val="21"/>
        </w:rPr>
        <w:t xml:space="preserve"> </w:t>
      </w:r>
      <w:r w:rsidRPr="00713BC7">
        <w:rPr>
          <w:rFonts w:cs="Calibri Light"/>
        </w:rPr>
        <w:t>quantitative</w:t>
      </w:r>
      <w:r>
        <w:rPr>
          <w:spacing w:val="21"/>
        </w:rPr>
        <w:t xml:space="preserve"> </w:t>
      </w:r>
      <w:r>
        <w:t>and</w:t>
      </w:r>
      <w:r>
        <w:rPr>
          <w:spacing w:val="21"/>
        </w:rPr>
        <w:t xml:space="preserve"> </w:t>
      </w:r>
      <w:r>
        <w:t>qualitative</w:t>
      </w:r>
      <w:r>
        <w:rPr>
          <w:spacing w:val="21"/>
        </w:rPr>
        <w:t xml:space="preserve"> </w:t>
      </w:r>
      <w:r>
        <w:t>assessments</w:t>
      </w:r>
      <w:r>
        <w:rPr>
          <w:spacing w:val="21"/>
        </w:rPr>
        <w:t xml:space="preserve"> </w:t>
      </w:r>
      <w:r>
        <w:t>of</w:t>
      </w:r>
      <w:r>
        <w:rPr>
          <w:spacing w:val="21"/>
        </w:rPr>
        <w:t xml:space="preserve"> </w:t>
      </w:r>
      <w:r>
        <w:t>costs,</w:t>
      </w:r>
      <w:r>
        <w:rPr>
          <w:spacing w:val="21"/>
        </w:rPr>
        <w:t xml:space="preserve"> </w:t>
      </w:r>
      <w:r>
        <w:t>benefits</w:t>
      </w:r>
      <w:r>
        <w:rPr>
          <w:spacing w:val="21"/>
        </w:rPr>
        <w:t xml:space="preserve"> </w:t>
      </w:r>
      <w:r>
        <w:t>and</w:t>
      </w:r>
      <w:r>
        <w:rPr>
          <w:spacing w:val="21"/>
        </w:rPr>
        <w:t xml:space="preserve"> </w:t>
      </w:r>
      <w:r>
        <w:t>risks</w:t>
      </w:r>
      <w:r>
        <w:rPr>
          <w:spacing w:val="21"/>
        </w:rPr>
        <w:t xml:space="preserve"> </w:t>
      </w:r>
      <w:r>
        <w:t>to help inform decision making. Scenario analysis could also be used to help surface and test differing perspectives, including on the broader monetary policy strategy.</w:t>
      </w:r>
    </w:p>
    <w:p w14:paraId="07104E69" w14:textId="77777777" w:rsidR="00713BC7" w:rsidRDefault="00713BC7" w:rsidP="00713BC7">
      <w:pPr>
        <w:pStyle w:val="Dash"/>
      </w:pPr>
      <w:r w:rsidRPr="00713BC7">
        <w:rPr>
          <w:rFonts w:cs="Calibri Light"/>
          <w:b/>
        </w:rPr>
        <w:t xml:space="preserve">Greater exposure to internal debate within the RBA: </w:t>
      </w:r>
      <w:r w:rsidRPr="00713BC7">
        <w:rPr>
          <w:rFonts w:cs="Calibri Light"/>
        </w:rPr>
        <w:t>The RBA needs to better embrace a culture of robust and constructive challenge, so that debates and alternative views are better integrated into monetary policy decision making. This should involve two- way dialogue between subject matter experts and Board members a</w:t>
      </w:r>
      <w:r>
        <w:t>nd ensuring decision makers benefit from hearing the alternative views and perspectives of RBA staff members. A more robust culture of debate would also help ensure that economic forecasts are responsive to developments and emerging risks.</w:t>
      </w:r>
    </w:p>
    <w:p w14:paraId="179CC613" w14:textId="77777777" w:rsidR="00713BC7" w:rsidRPr="00713BC7" w:rsidRDefault="00713BC7" w:rsidP="0000278A">
      <w:pPr>
        <w:pStyle w:val="Bullet"/>
      </w:pPr>
      <w:r w:rsidRPr="00713BC7">
        <w:rPr>
          <w:b/>
        </w:rPr>
        <w:t>Forecasting</w:t>
      </w:r>
      <w:r w:rsidRPr="00713BC7">
        <w:rPr>
          <w:b/>
          <w:spacing w:val="23"/>
        </w:rPr>
        <w:t xml:space="preserve"> </w:t>
      </w:r>
      <w:r w:rsidRPr="00713BC7">
        <w:rPr>
          <w:b/>
        </w:rPr>
        <w:t>toolkit</w:t>
      </w:r>
      <w:r w:rsidRPr="00713BC7">
        <w:rPr>
          <w:b/>
          <w:spacing w:val="23"/>
        </w:rPr>
        <w:t xml:space="preserve"> </w:t>
      </w:r>
      <w:r w:rsidRPr="00713BC7">
        <w:rPr>
          <w:b/>
        </w:rPr>
        <w:t>that</w:t>
      </w:r>
      <w:r w:rsidRPr="00713BC7">
        <w:rPr>
          <w:b/>
          <w:spacing w:val="23"/>
        </w:rPr>
        <w:t xml:space="preserve"> </w:t>
      </w:r>
      <w:r w:rsidRPr="00713BC7">
        <w:rPr>
          <w:b/>
        </w:rPr>
        <w:t>incorporates</w:t>
      </w:r>
      <w:r w:rsidRPr="00713BC7">
        <w:rPr>
          <w:b/>
          <w:spacing w:val="23"/>
        </w:rPr>
        <w:t xml:space="preserve"> </w:t>
      </w:r>
      <w:r w:rsidRPr="00713BC7">
        <w:rPr>
          <w:b/>
        </w:rPr>
        <w:t>state-of-the-art</w:t>
      </w:r>
      <w:r w:rsidRPr="00713BC7">
        <w:rPr>
          <w:b/>
          <w:spacing w:val="23"/>
        </w:rPr>
        <w:t xml:space="preserve"> </w:t>
      </w:r>
      <w:r w:rsidRPr="00713BC7">
        <w:rPr>
          <w:b/>
        </w:rPr>
        <w:t>models</w:t>
      </w:r>
      <w:r w:rsidRPr="00713BC7">
        <w:rPr>
          <w:b/>
          <w:spacing w:val="23"/>
        </w:rPr>
        <w:t xml:space="preserve"> </w:t>
      </w:r>
      <w:r w:rsidRPr="00713BC7">
        <w:rPr>
          <w:b/>
        </w:rPr>
        <w:t>and</w:t>
      </w:r>
      <w:r w:rsidRPr="00713BC7">
        <w:rPr>
          <w:b/>
          <w:spacing w:val="23"/>
        </w:rPr>
        <w:t xml:space="preserve"> </w:t>
      </w:r>
      <w:r w:rsidRPr="00713BC7">
        <w:rPr>
          <w:b/>
        </w:rPr>
        <w:t>data:</w:t>
      </w:r>
      <w:r w:rsidRPr="00713BC7">
        <w:rPr>
          <w:b/>
          <w:spacing w:val="23"/>
        </w:rPr>
        <w:t xml:space="preserve"> </w:t>
      </w:r>
      <w:r w:rsidRPr="00713BC7">
        <w:t>The</w:t>
      </w:r>
      <w:r w:rsidRPr="00713BC7">
        <w:rPr>
          <w:spacing w:val="23"/>
        </w:rPr>
        <w:t xml:space="preserve"> </w:t>
      </w:r>
      <w:r w:rsidRPr="00713BC7">
        <w:t>RBA would benefit from forecasting models that include more detail on the supply side of the economy. Climate change and the prospect of more supply disruptions in future underscore the importance of this uplift in capacity. The RBA would also benefit from further enhancing its capability to model the economic effects of other macroeconomic tools, including fiscal policy, and their interactions with monetary policy.</w:t>
      </w:r>
    </w:p>
    <w:p w14:paraId="746775A8" w14:textId="77777777" w:rsidR="00713BC7" w:rsidRPr="00713BC7" w:rsidRDefault="00713BC7" w:rsidP="0000278A">
      <w:pPr>
        <w:pStyle w:val="Bullet"/>
      </w:pPr>
      <w:r w:rsidRPr="00713BC7">
        <w:rPr>
          <w:b/>
        </w:rPr>
        <w:t xml:space="preserve">Transparent and effective communication: </w:t>
      </w:r>
      <w:r w:rsidRPr="00713BC7">
        <w:t>The RBA needs to improve public understanding of its decision-making process and strategy, including how it is making trade-offs, especially</w:t>
      </w:r>
      <w:r w:rsidRPr="00713BC7">
        <w:rPr>
          <w:spacing w:val="80"/>
        </w:rPr>
        <w:t xml:space="preserve"> </w:t>
      </w:r>
      <w:r w:rsidRPr="00713BC7">
        <w:t>when it is using the flexibility in its inflation-targeting framework.</w:t>
      </w:r>
    </w:p>
    <w:p w14:paraId="4019950F" w14:textId="77777777" w:rsidR="00713BC7" w:rsidRPr="00713BC7" w:rsidRDefault="00713BC7" w:rsidP="0000278A">
      <w:pPr>
        <w:pStyle w:val="Bullet"/>
      </w:pPr>
      <w:r w:rsidRPr="00713BC7">
        <w:rPr>
          <w:b/>
        </w:rPr>
        <w:t xml:space="preserve">A decision-making framework for additional monetary policy tools: </w:t>
      </w:r>
      <w:r w:rsidRPr="00713BC7">
        <w:t>The RBA would benefit from a clear framework for deciding on and implementing additional monetary policy tools in future, drawing on lessons learned from the recent experience and research. This framework needs to bring cost-benefit and risk analysis to the forefront of decision making, especially when using innovative monetary policy instruments.</w:t>
      </w:r>
    </w:p>
    <w:p w14:paraId="30783100" w14:textId="77777777" w:rsidR="00713BC7" w:rsidRPr="00713BC7" w:rsidRDefault="00713BC7" w:rsidP="0000278A">
      <w:pPr>
        <w:pStyle w:val="Bullet"/>
      </w:pPr>
      <w:r w:rsidRPr="00713BC7">
        <w:rPr>
          <w:b/>
        </w:rPr>
        <w:t xml:space="preserve">Clear understanding of responsibilities between the Board members and executive: </w:t>
      </w:r>
      <w:r w:rsidRPr="00713BC7">
        <w:t>The decision of the RBA executive to stop defending the yield target emphasises the need for clarity around the respective responsibilities of the RBA executive and Board members.</w:t>
      </w:r>
    </w:p>
    <w:p w14:paraId="2D8E4BEB" w14:textId="08D549F4" w:rsidR="00713BC7" w:rsidRDefault="00713BC7" w:rsidP="00713BC7">
      <w:r>
        <w:t>The</w:t>
      </w:r>
      <w:r>
        <w:rPr>
          <w:spacing w:val="-1"/>
        </w:rPr>
        <w:t xml:space="preserve"> </w:t>
      </w:r>
      <w:r>
        <w:t>following</w:t>
      </w:r>
      <w:r>
        <w:rPr>
          <w:spacing w:val="2"/>
        </w:rPr>
        <w:t xml:space="preserve"> </w:t>
      </w:r>
      <w:r>
        <w:t>chapters</w:t>
      </w:r>
      <w:r>
        <w:rPr>
          <w:spacing w:val="2"/>
        </w:rPr>
        <w:t xml:space="preserve"> </w:t>
      </w:r>
      <w:r>
        <w:t>draw</w:t>
      </w:r>
      <w:r>
        <w:rPr>
          <w:spacing w:val="2"/>
        </w:rPr>
        <w:t xml:space="preserve"> </w:t>
      </w:r>
      <w:r>
        <w:t>on</w:t>
      </w:r>
      <w:r>
        <w:rPr>
          <w:spacing w:val="1"/>
        </w:rPr>
        <w:t xml:space="preserve"> </w:t>
      </w:r>
      <w:r>
        <w:t>the</w:t>
      </w:r>
      <w:r>
        <w:rPr>
          <w:spacing w:val="2"/>
        </w:rPr>
        <w:t xml:space="preserve"> </w:t>
      </w:r>
      <w:r>
        <w:t>experiences</w:t>
      </w:r>
      <w:r>
        <w:rPr>
          <w:spacing w:val="2"/>
        </w:rPr>
        <w:t xml:space="preserve"> </w:t>
      </w:r>
      <w:r>
        <w:t>and</w:t>
      </w:r>
      <w:r>
        <w:rPr>
          <w:spacing w:val="2"/>
        </w:rPr>
        <w:t xml:space="preserve"> </w:t>
      </w:r>
      <w:r>
        <w:t>lessons</w:t>
      </w:r>
      <w:r>
        <w:rPr>
          <w:spacing w:val="1"/>
        </w:rPr>
        <w:t xml:space="preserve"> </w:t>
      </w:r>
      <w:r>
        <w:t>learned</w:t>
      </w:r>
      <w:r>
        <w:rPr>
          <w:spacing w:val="2"/>
        </w:rPr>
        <w:t xml:space="preserve"> </w:t>
      </w:r>
      <w:r>
        <w:t>from</w:t>
      </w:r>
      <w:r>
        <w:rPr>
          <w:spacing w:val="2"/>
        </w:rPr>
        <w:t xml:space="preserve"> </w:t>
      </w:r>
      <w:r>
        <w:t>this</w:t>
      </w:r>
      <w:r>
        <w:rPr>
          <w:spacing w:val="2"/>
        </w:rPr>
        <w:t xml:space="preserve"> </w:t>
      </w:r>
      <w:r>
        <w:t>assessment</w:t>
      </w:r>
      <w:r>
        <w:rPr>
          <w:spacing w:val="2"/>
        </w:rPr>
        <w:t xml:space="preserve"> </w:t>
      </w:r>
      <w:r>
        <w:rPr>
          <w:spacing w:val="-5"/>
        </w:rPr>
        <w:t xml:space="preserve">of </w:t>
      </w:r>
      <w:r>
        <w:t>the RBA’s performance, alongside other evidence gathered by the Review, to motivate a range of recommendations related to Australia’s monetary policy arrangements and the RBA’s governance and</w:t>
      </w:r>
      <w:r>
        <w:rPr>
          <w:spacing w:val="-1"/>
        </w:rPr>
        <w:t xml:space="preserve"> </w:t>
      </w:r>
      <w:r>
        <w:t>culture.</w:t>
      </w:r>
      <w:r>
        <w:rPr>
          <w:spacing w:val="-1"/>
        </w:rPr>
        <w:t xml:space="preserve"> </w:t>
      </w:r>
      <w:r>
        <w:t>These</w:t>
      </w:r>
      <w:r>
        <w:rPr>
          <w:spacing w:val="-1"/>
        </w:rPr>
        <w:t xml:space="preserve"> </w:t>
      </w:r>
      <w:r>
        <w:t>recommendations</w:t>
      </w:r>
      <w:r>
        <w:rPr>
          <w:spacing w:val="-1"/>
        </w:rPr>
        <w:t xml:space="preserve"> </w:t>
      </w:r>
      <w:r>
        <w:t>are</w:t>
      </w:r>
      <w:r>
        <w:rPr>
          <w:spacing w:val="-1"/>
        </w:rPr>
        <w:t xml:space="preserve"> </w:t>
      </w:r>
      <w:r>
        <w:t>designed</w:t>
      </w:r>
      <w:r>
        <w:rPr>
          <w:spacing w:val="-1"/>
        </w:rPr>
        <w:t xml:space="preserve"> </w:t>
      </w:r>
      <w:r>
        <w:t>to</w:t>
      </w:r>
      <w:r>
        <w:rPr>
          <w:spacing w:val="-1"/>
        </w:rPr>
        <w:t xml:space="preserve"> </w:t>
      </w:r>
      <w:r>
        <w:t>help</w:t>
      </w:r>
      <w:r>
        <w:rPr>
          <w:spacing w:val="-1"/>
        </w:rPr>
        <w:t xml:space="preserve"> </w:t>
      </w:r>
      <w:r>
        <w:t>the</w:t>
      </w:r>
      <w:r>
        <w:rPr>
          <w:spacing w:val="-1"/>
        </w:rPr>
        <w:t xml:space="preserve"> </w:t>
      </w:r>
      <w:r>
        <w:t>RBA</w:t>
      </w:r>
      <w:r>
        <w:rPr>
          <w:spacing w:val="-1"/>
        </w:rPr>
        <w:t xml:space="preserve"> </w:t>
      </w:r>
      <w:r>
        <w:t>continue</w:t>
      </w:r>
      <w:r>
        <w:rPr>
          <w:spacing w:val="-1"/>
        </w:rPr>
        <w:t xml:space="preserve"> </w:t>
      </w:r>
      <w:r>
        <w:t>to</w:t>
      </w:r>
      <w:r>
        <w:rPr>
          <w:spacing w:val="-1"/>
        </w:rPr>
        <w:t xml:space="preserve"> </w:t>
      </w:r>
      <w:r>
        <w:t>achieve</w:t>
      </w:r>
      <w:r>
        <w:rPr>
          <w:spacing w:val="-1"/>
        </w:rPr>
        <w:t xml:space="preserve"> </w:t>
      </w:r>
      <w:r>
        <w:t>excellence in meeting its key objectives in the future.</w:t>
      </w:r>
    </w:p>
    <w:p w14:paraId="7982C06C" w14:textId="77777777" w:rsidR="00713BC7" w:rsidRDefault="00713BC7">
      <w:pPr>
        <w:spacing w:before="0" w:after="160" w:line="259" w:lineRule="auto"/>
      </w:pPr>
      <w:r>
        <w:lastRenderedPageBreak/>
        <w:br w:type="page"/>
      </w:r>
    </w:p>
    <w:p w14:paraId="6F455C45" w14:textId="77777777" w:rsidR="00787C6E" w:rsidRDefault="00787C6E" w:rsidP="007E7781">
      <w:pPr>
        <w:pStyle w:val="Heading1"/>
      </w:pPr>
      <w:bookmarkStart w:id="34" w:name="_Toc134221004"/>
      <w:r w:rsidRPr="007E7781">
        <w:lastRenderedPageBreak/>
        <w:t>Chapter</w:t>
      </w:r>
      <w:r>
        <w:rPr>
          <w:spacing w:val="-25"/>
        </w:rPr>
        <w:t xml:space="preserve"> </w:t>
      </w:r>
      <w:r>
        <w:t>2:</w:t>
      </w:r>
      <w:r>
        <w:rPr>
          <w:spacing w:val="-25"/>
        </w:rPr>
        <w:t xml:space="preserve"> </w:t>
      </w:r>
      <w:r>
        <w:t>A</w:t>
      </w:r>
      <w:r>
        <w:rPr>
          <w:spacing w:val="-25"/>
        </w:rPr>
        <w:t xml:space="preserve"> </w:t>
      </w:r>
      <w:r>
        <w:t>clearer</w:t>
      </w:r>
      <w:r>
        <w:rPr>
          <w:spacing w:val="-25"/>
        </w:rPr>
        <w:t xml:space="preserve"> </w:t>
      </w:r>
      <w:r>
        <w:t>monetary policy framework</w:t>
      </w:r>
      <w:bookmarkEnd w:id="34"/>
    </w:p>
    <w:p w14:paraId="4382F8BE" w14:textId="77777777" w:rsidR="00FF565D" w:rsidRDefault="00FF565D">
      <w:pPr>
        <w:spacing w:before="0" w:after="160" w:line="259" w:lineRule="auto"/>
      </w:pP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60"/>
      </w:tblGrid>
      <w:tr w:rsidR="007E7781" w14:paraId="509BB339" w14:textId="77777777" w:rsidTr="007E7781">
        <w:tc>
          <w:tcPr>
            <w:tcW w:w="5000" w:type="pct"/>
            <w:tcBorders>
              <w:top w:val="single" w:sz="4" w:space="0" w:color="auto"/>
              <w:left w:val="single" w:sz="4" w:space="0" w:color="auto"/>
              <w:bottom w:val="single" w:sz="4" w:space="0" w:color="auto"/>
              <w:right w:val="single" w:sz="4" w:space="0" w:color="auto"/>
            </w:tcBorders>
            <w:shd w:val="clear" w:color="auto" w:fill="auto"/>
          </w:tcPr>
          <w:p w14:paraId="4968B2AF" w14:textId="7CA39F25" w:rsidR="007E7781" w:rsidRPr="007E7781" w:rsidRDefault="007E7781" w:rsidP="007E7781">
            <w:pPr>
              <w:pStyle w:val="BoxText"/>
            </w:pPr>
            <w:r>
              <w:t>This chapter addresses the objectives and operational framework for Australian monetary policy, the RBA’s role in contributing to financial system stability, and the interactions between monetary, fiscal and macroprudential policy. It outlines existing arrangements, then makes 7</w:t>
            </w:r>
            <w:r>
              <w:rPr>
                <w:spacing w:val="-2"/>
              </w:rPr>
              <w:t xml:space="preserve"> </w:t>
            </w:r>
            <w:r>
              <w:t>recommendations</w:t>
            </w:r>
            <w:r>
              <w:rPr>
                <w:spacing w:val="-2"/>
              </w:rPr>
              <w:t xml:space="preserve"> </w:t>
            </w:r>
            <w:r>
              <w:t>for</w:t>
            </w:r>
            <w:r>
              <w:rPr>
                <w:spacing w:val="-1"/>
              </w:rPr>
              <w:t xml:space="preserve"> </w:t>
            </w:r>
            <w:r>
              <w:rPr>
                <w:spacing w:val="-2"/>
              </w:rPr>
              <w:t>improvement.</w:t>
            </w:r>
          </w:p>
        </w:tc>
      </w:tr>
    </w:tbl>
    <w:p w14:paraId="3AA23A4E" w14:textId="77777777" w:rsidR="007E7781" w:rsidRDefault="007E7781">
      <w:pPr>
        <w:spacing w:before="0" w:after="160" w:line="259" w:lineRule="auto"/>
      </w:pPr>
    </w:p>
    <w:p w14:paraId="35488B99" w14:textId="77777777" w:rsidR="00D86CC8" w:rsidRDefault="00D86CC8" w:rsidP="00D86CC8">
      <w:r>
        <w:t>Monetary policy is a core tool of macroeconomic management, with a substantial influence on economy-wide outcomes such as inflation, economic activity and employment.</w:t>
      </w:r>
    </w:p>
    <w:p w14:paraId="3B204586" w14:textId="3247F0C2" w:rsidR="00D86CC8" w:rsidRDefault="00D86CC8" w:rsidP="00D86CC8">
      <w:r>
        <w:t>The welfare of Australians is best served by an independent RBA conducting monetary policy based on legislated objectives to contribute to price stability and full employment</w:t>
      </w:r>
      <w:r>
        <w:rPr>
          <w:w w:val="85"/>
        </w:rPr>
        <w:t xml:space="preserve">. </w:t>
      </w:r>
      <w:r>
        <w:t>As well as clear objectives, independence must be accompanied by a clear approach to the policy framework and tools, and public accountability for performance</w:t>
      </w:r>
      <w:r>
        <w:rPr>
          <w:w w:val="85"/>
        </w:rPr>
        <w:t>.</w:t>
      </w:r>
    </w:p>
    <w:p w14:paraId="6017F075" w14:textId="0B188D21" w:rsidR="00D86CC8" w:rsidRDefault="00D86CC8" w:rsidP="00D86CC8">
      <w:r>
        <w:t>Monetary policy is not the only tool that is important for macroeconomic management</w:t>
      </w:r>
      <w:r>
        <w:rPr>
          <w:w w:val="85"/>
        </w:rPr>
        <w:t xml:space="preserve">. </w:t>
      </w:r>
      <w:r>
        <w:t>It is important</w:t>
      </w:r>
      <w:r>
        <w:rPr>
          <w:spacing w:val="-2"/>
        </w:rPr>
        <w:t xml:space="preserve"> </w:t>
      </w:r>
      <w:r>
        <w:t>that</w:t>
      </w:r>
      <w:r>
        <w:rPr>
          <w:spacing w:val="-2"/>
        </w:rPr>
        <w:t xml:space="preserve"> </w:t>
      </w:r>
      <w:r>
        <w:t>there</w:t>
      </w:r>
      <w:r>
        <w:rPr>
          <w:spacing w:val="-2"/>
        </w:rPr>
        <w:t xml:space="preserve"> </w:t>
      </w:r>
      <w:r>
        <w:t>are</w:t>
      </w:r>
      <w:r>
        <w:rPr>
          <w:spacing w:val="-2"/>
        </w:rPr>
        <w:t xml:space="preserve"> </w:t>
      </w:r>
      <w:r>
        <w:t>strong</w:t>
      </w:r>
      <w:r>
        <w:rPr>
          <w:spacing w:val="-2"/>
        </w:rPr>
        <w:t xml:space="preserve"> </w:t>
      </w:r>
      <w:r>
        <w:t>links</w:t>
      </w:r>
      <w:r>
        <w:rPr>
          <w:spacing w:val="-2"/>
        </w:rPr>
        <w:t xml:space="preserve"> </w:t>
      </w:r>
      <w:r>
        <w:t>between</w:t>
      </w:r>
      <w:r>
        <w:rPr>
          <w:spacing w:val="-2"/>
        </w:rPr>
        <w:t xml:space="preserve"> </w:t>
      </w:r>
      <w:r>
        <w:t>monetary</w:t>
      </w:r>
      <w:r>
        <w:rPr>
          <w:spacing w:val="-2"/>
        </w:rPr>
        <w:t xml:space="preserve"> </w:t>
      </w:r>
      <w:r>
        <w:t>policy</w:t>
      </w:r>
      <w:r>
        <w:rPr>
          <w:spacing w:val="-2"/>
        </w:rPr>
        <w:t xml:space="preserve"> </w:t>
      </w:r>
      <w:r>
        <w:t>makers</w:t>
      </w:r>
      <w:r>
        <w:rPr>
          <w:spacing w:val="-2"/>
        </w:rPr>
        <w:t xml:space="preserve"> </w:t>
      </w:r>
      <w:r>
        <w:t>and</w:t>
      </w:r>
      <w:r>
        <w:rPr>
          <w:spacing w:val="-2"/>
        </w:rPr>
        <w:t xml:space="preserve"> </w:t>
      </w:r>
      <w:r>
        <w:t>fiscal</w:t>
      </w:r>
      <w:r>
        <w:rPr>
          <w:spacing w:val="-2"/>
        </w:rPr>
        <w:t xml:space="preserve"> </w:t>
      </w:r>
      <w:r>
        <w:t>and</w:t>
      </w:r>
      <w:r>
        <w:rPr>
          <w:spacing w:val="-2"/>
        </w:rPr>
        <w:t xml:space="preserve"> </w:t>
      </w:r>
      <w:r>
        <w:t>regulatory policy makers to encourage the best possible response to macroeconomic challenge</w:t>
      </w:r>
      <w:r w:rsidR="00A70BAD">
        <w:rPr>
          <w:spacing w:val="-19"/>
        </w:rPr>
        <w:t>.</w:t>
      </w:r>
    </w:p>
    <w:p w14:paraId="28433947" w14:textId="27C7B303" w:rsidR="00D86CC8" w:rsidRDefault="00D86CC8" w:rsidP="00D86CC8">
      <w:r>
        <w:t>The</w:t>
      </w:r>
      <w:r>
        <w:rPr>
          <w:spacing w:val="3"/>
        </w:rPr>
        <w:t xml:space="preserve"> </w:t>
      </w:r>
      <w:r>
        <w:t>existing</w:t>
      </w:r>
      <w:r>
        <w:rPr>
          <w:spacing w:val="3"/>
        </w:rPr>
        <w:t xml:space="preserve"> </w:t>
      </w:r>
      <w:r>
        <w:t>monetary</w:t>
      </w:r>
      <w:r>
        <w:rPr>
          <w:spacing w:val="4"/>
        </w:rPr>
        <w:t xml:space="preserve"> </w:t>
      </w:r>
      <w:r>
        <w:t>policy</w:t>
      </w:r>
      <w:r>
        <w:rPr>
          <w:spacing w:val="3"/>
        </w:rPr>
        <w:t xml:space="preserve"> </w:t>
      </w:r>
      <w:r>
        <w:t>framework</w:t>
      </w:r>
      <w:r>
        <w:rPr>
          <w:spacing w:val="3"/>
        </w:rPr>
        <w:t xml:space="preserve"> </w:t>
      </w:r>
      <w:r>
        <w:t>is</w:t>
      </w:r>
      <w:r>
        <w:rPr>
          <w:spacing w:val="4"/>
        </w:rPr>
        <w:t xml:space="preserve"> </w:t>
      </w:r>
      <w:r>
        <w:t>fit</w:t>
      </w:r>
      <w:r>
        <w:rPr>
          <w:spacing w:val="3"/>
        </w:rPr>
        <w:t xml:space="preserve"> </w:t>
      </w:r>
      <w:r>
        <w:t>for</w:t>
      </w:r>
      <w:r>
        <w:rPr>
          <w:spacing w:val="4"/>
        </w:rPr>
        <w:t xml:space="preserve"> </w:t>
      </w:r>
      <w:r>
        <w:t>the</w:t>
      </w:r>
      <w:r>
        <w:rPr>
          <w:spacing w:val="3"/>
        </w:rPr>
        <w:t xml:space="preserve"> </w:t>
      </w:r>
      <w:r>
        <w:t>future</w:t>
      </w:r>
      <w:r>
        <w:rPr>
          <w:spacing w:val="3"/>
        </w:rPr>
        <w:t xml:space="preserve"> </w:t>
      </w:r>
      <w:r>
        <w:t>in</w:t>
      </w:r>
      <w:r>
        <w:rPr>
          <w:spacing w:val="4"/>
        </w:rPr>
        <w:t xml:space="preserve"> </w:t>
      </w:r>
      <w:r>
        <w:t>many</w:t>
      </w:r>
      <w:r>
        <w:rPr>
          <w:spacing w:val="3"/>
        </w:rPr>
        <w:t xml:space="preserve"> </w:t>
      </w:r>
      <w:r>
        <w:t>respects.</w:t>
      </w:r>
      <w:r>
        <w:rPr>
          <w:spacing w:val="3"/>
        </w:rPr>
        <w:t xml:space="preserve"> </w:t>
      </w:r>
      <w:r>
        <w:t>That</w:t>
      </w:r>
      <w:r>
        <w:rPr>
          <w:spacing w:val="4"/>
        </w:rPr>
        <w:t xml:space="preserve"> </w:t>
      </w:r>
      <w:r>
        <w:t>said,</w:t>
      </w:r>
      <w:r>
        <w:rPr>
          <w:spacing w:val="3"/>
        </w:rPr>
        <w:t xml:space="preserve"> </w:t>
      </w:r>
      <w:r>
        <w:t>the</w:t>
      </w:r>
      <w:r>
        <w:rPr>
          <w:spacing w:val="4"/>
        </w:rPr>
        <w:t xml:space="preserve"> </w:t>
      </w:r>
      <w:r>
        <w:rPr>
          <w:spacing w:val="-2"/>
        </w:rPr>
        <w:t>Review</w:t>
      </w:r>
      <w:r w:rsidR="009E4F37">
        <w:t xml:space="preserve"> </w:t>
      </w:r>
      <w:r>
        <w:t>recommends</w:t>
      </w:r>
      <w:r>
        <w:rPr>
          <w:spacing w:val="1"/>
        </w:rPr>
        <w:t xml:space="preserve"> </w:t>
      </w:r>
      <w:r>
        <w:t>several</w:t>
      </w:r>
      <w:r>
        <w:rPr>
          <w:spacing w:val="1"/>
        </w:rPr>
        <w:t xml:space="preserve"> </w:t>
      </w:r>
      <w:r>
        <w:t>improvements</w:t>
      </w:r>
      <w:r>
        <w:rPr>
          <w:spacing w:val="1"/>
        </w:rPr>
        <w:t xml:space="preserve"> </w:t>
      </w:r>
      <w:r>
        <w:t>to</w:t>
      </w:r>
      <w:r>
        <w:rPr>
          <w:spacing w:val="1"/>
        </w:rPr>
        <w:t xml:space="preserve"> </w:t>
      </w:r>
      <w:r>
        <w:t>the</w:t>
      </w:r>
      <w:r>
        <w:rPr>
          <w:spacing w:val="1"/>
        </w:rPr>
        <w:t xml:space="preserve"> </w:t>
      </w:r>
      <w:r>
        <w:t>framework</w:t>
      </w:r>
      <w:r>
        <w:rPr>
          <w:spacing w:val="2"/>
        </w:rPr>
        <w:t xml:space="preserve"> </w:t>
      </w:r>
      <w:r>
        <w:rPr>
          <w:spacing w:val="-2"/>
        </w:rPr>
        <w:t>through:</w:t>
      </w:r>
    </w:p>
    <w:p w14:paraId="3291541D" w14:textId="6D96B4C8" w:rsidR="00D86CC8" w:rsidRDefault="00D86CC8" w:rsidP="0000278A">
      <w:pPr>
        <w:pStyle w:val="Bullet"/>
      </w:pPr>
      <w:r>
        <w:t>clarifying</w:t>
      </w:r>
      <w:r>
        <w:rPr>
          <w:spacing w:val="7"/>
        </w:rPr>
        <w:t xml:space="preserve"> </w:t>
      </w:r>
      <w:r>
        <w:t>the</w:t>
      </w:r>
      <w:r>
        <w:rPr>
          <w:spacing w:val="8"/>
        </w:rPr>
        <w:t xml:space="preserve"> </w:t>
      </w:r>
      <w:r>
        <w:t>RBA’s</w:t>
      </w:r>
      <w:r>
        <w:rPr>
          <w:spacing w:val="8"/>
        </w:rPr>
        <w:t xml:space="preserve"> </w:t>
      </w:r>
      <w:r>
        <w:t>monetary</w:t>
      </w:r>
      <w:r>
        <w:rPr>
          <w:spacing w:val="7"/>
        </w:rPr>
        <w:t xml:space="preserve"> </w:t>
      </w:r>
      <w:r>
        <w:t>policy</w:t>
      </w:r>
      <w:r>
        <w:rPr>
          <w:spacing w:val="8"/>
        </w:rPr>
        <w:t xml:space="preserve"> </w:t>
      </w:r>
      <w:r>
        <w:t>objectives,</w:t>
      </w:r>
      <w:r>
        <w:rPr>
          <w:spacing w:val="8"/>
        </w:rPr>
        <w:t xml:space="preserve"> </w:t>
      </w:r>
      <w:r>
        <w:t>how</w:t>
      </w:r>
      <w:r>
        <w:rPr>
          <w:spacing w:val="8"/>
        </w:rPr>
        <w:t xml:space="preserve"> </w:t>
      </w:r>
      <w:r>
        <w:t>trade-offs</w:t>
      </w:r>
      <w:r>
        <w:rPr>
          <w:spacing w:val="7"/>
        </w:rPr>
        <w:t xml:space="preserve"> </w:t>
      </w:r>
      <w:r>
        <w:t>between</w:t>
      </w:r>
      <w:r>
        <w:rPr>
          <w:spacing w:val="8"/>
        </w:rPr>
        <w:t xml:space="preserve"> </w:t>
      </w:r>
      <w:r>
        <w:t>objectives</w:t>
      </w:r>
      <w:r>
        <w:rPr>
          <w:spacing w:val="8"/>
        </w:rPr>
        <w:t xml:space="preserve"> </w:t>
      </w:r>
      <w:r>
        <w:t>are</w:t>
      </w:r>
      <w:r>
        <w:rPr>
          <w:spacing w:val="8"/>
        </w:rPr>
        <w:t xml:space="preserve"> </w:t>
      </w:r>
      <w:r>
        <w:rPr>
          <w:spacing w:val="-2"/>
        </w:rPr>
        <w:t>made,</w:t>
      </w:r>
      <w:r w:rsidR="000D4025">
        <w:rPr>
          <w:spacing w:val="-2"/>
        </w:rPr>
        <w:t xml:space="preserve"> </w:t>
      </w:r>
      <w:r>
        <w:t>and</w:t>
      </w:r>
      <w:r>
        <w:rPr>
          <w:spacing w:val="-3"/>
        </w:rPr>
        <w:t xml:space="preserve"> </w:t>
      </w:r>
      <w:r>
        <w:t xml:space="preserve">the </w:t>
      </w:r>
      <w:r>
        <w:rPr>
          <w:spacing w:val="-2"/>
        </w:rPr>
        <w:t>toolkit</w:t>
      </w:r>
    </w:p>
    <w:p w14:paraId="0C54A6F1" w14:textId="77777777" w:rsidR="00D86CC8" w:rsidRDefault="00D86CC8" w:rsidP="0000278A">
      <w:pPr>
        <w:pStyle w:val="Bullet"/>
      </w:pPr>
      <w:r>
        <w:t>better</w:t>
      </w:r>
      <w:r>
        <w:rPr>
          <w:spacing w:val="3"/>
        </w:rPr>
        <w:t xml:space="preserve"> </w:t>
      </w:r>
      <w:r>
        <w:t>communicating</w:t>
      </w:r>
      <w:r>
        <w:rPr>
          <w:spacing w:val="3"/>
        </w:rPr>
        <w:t xml:space="preserve"> </w:t>
      </w:r>
      <w:r>
        <w:t>RBA</w:t>
      </w:r>
      <w:r>
        <w:rPr>
          <w:spacing w:val="4"/>
        </w:rPr>
        <w:t xml:space="preserve"> </w:t>
      </w:r>
      <w:r>
        <w:t>decisions</w:t>
      </w:r>
      <w:r>
        <w:rPr>
          <w:spacing w:val="3"/>
        </w:rPr>
        <w:t xml:space="preserve"> </w:t>
      </w:r>
      <w:r>
        <w:t>and</w:t>
      </w:r>
      <w:r>
        <w:rPr>
          <w:spacing w:val="3"/>
        </w:rPr>
        <w:t xml:space="preserve"> </w:t>
      </w:r>
      <w:r>
        <w:t>assessments</w:t>
      </w:r>
      <w:r>
        <w:rPr>
          <w:spacing w:val="4"/>
        </w:rPr>
        <w:t xml:space="preserve"> </w:t>
      </w:r>
      <w:r>
        <w:t>related</w:t>
      </w:r>
      <w:r>
        <w:rPr>
          <w:spacing w:val="3"/>
        </w:rPr>
        <w:t xml:space="preserve"> </w:t>
      </w:r>
      <w:r>
        <w:t>to</w:t>
      </w:r>
      <w:r>
        <w:rPr>
          <w:spacing w:val="3"/>
        </w:rPr>
        <w:t xml:space="preserve"> </w:t>
      </w:r>
      <w:r>
        <w:t>monetary</w:t>
      </w:r>
      <w:r>
        <w:rPr>
          <w:spacing w:val="4"/>
        </w:rPr>
        <w:t xml:space="preserve"> </w:t>
      </w:r>
      <w:r>
        <w:rPr>
          <w:spacing w:val="-2"/>
        </w:rPr>
        <w:t>policy</w:t>
      </w:r>
    </w:p>
    <w:p w14:paraId="26952D31" w14:textId="77777777" w:rsidR="00D86CC8" w:rsidRDefault="00D86CC8" w:rsidP="0000278A">
      <w:pPr>
        <w:pStyle w:val="Bullet"/>
      </w:pPr>
      <w:r>
        <w:t>clarifying</w:t>
      </w:r>
      <w:r>
        <w:rPr>
          <w:spacing w:val="2"/>
        </w:rPr>
        <w:t xml:space="preserve"> </w:t>
      </w:r>
      <w:r>
        <w:t>the</w:t>
      </w:r>
      <w:r>
        <w:rPr>
          <w:spacing w:val="3"/>
        </w:rPr>
        <w:t xml:space="preserve"> </w:t>
      </w:r>
      <w:r>
        <w:t>RBA’s</w:t>
      </w:r>
      <w:r>
        <w:rPr>
          <w:spacing w:val="2"/>
        </w:rPr>
        <w:t xml:space="preserve"> </w:t>
      </w:r>
      <w:r>
        <w:t>role</w:t>
      </w:r>
      <w:r>
        <w:rPr>
          <w:spacing w:val="3"/>
        </w:rPr>
        <w:t xml:space="preserve"> </w:t>
      </w:r>
      <w:r>
        <w:t>in</w:t>
      </w:r>
      <w:r>
        <w:rPr>
          <w:spacing w:val="2"/>
        </w:rPr>
        <w:t xml:space="preserve"> </w:t>
      </w:r>
      <w:r>
        <w:t>contributing</w:t>
      </w:r>
      <w:r>
        <w:rPr>
          <w:spacing w:val="3"/>
        </w:rPr>
        <w:t xml:space="preserve"> </w:t>
      </w:r>
      <w:r>
        <w:t>to</w:t>
      </w:r>
      <w:r>
        <w:rPr>
          <w:spacing w:val="2"/>
        </w:rPr>
        <w:t xml:space="preserve"> </w:t>
      </w:r>
      <w:r>
        <w:t>the</w:t>
      </w:r>
      <w:r>
        <w:rPr>
          <w:spacing w:val="3"/>
        </w:rPr>
        <w:t xml:space="preserve"> </w:t>
      </w:r>
      <w:r>
        <w:t>stability</w:t>
      </w:r>
      <w:r>
        <w:rPr>
          <w:spacing w:val="2"/>
        </w:rPr>
        <w:t xml:space="preserve"> </w:t>
      </w:r>
      <w:r>
        <w:t>of</w:t>
      </w:r>
      <w:r>
        <w:rPr>
          <w:spacing w:val="3"/>
        </w:rPr>
        <w:t xml:space="preserve"> </w:t>
      </w:r>
      <w:r>
        <w:t>the</w:t>
      </w:r>
      <w:r>
        <w:rPr>
          <w:spacing w:val="2"/>
        </w:rPr>
        <w:t xml:space="preserve"> </w:t>
      </w:r>
      <w:r>
        <w:t>Australian</w:t>
      </w:r>
      <w:r>
        <w:rPr>
          <w:spacing w:val="3"/>
        </w:rPr>
        <w:t xml:space="preserve"> </w:t>
      </w:r>
      <w:r>
        <w:t>financial</w:t>
      </w:r>
      <w:r>
        <w:rPr>
          <w:spacing w:val="3"/>
        </w:rPr>
        <w:t xml:space="preserve"> </w:t>
      </w:r>
      <w:r>
        <w:rPr>
          <w:spacing w:val="-2"/>
        </w:rPr>
        <w:t>system</w:t>
      </w:r>
    </w:p>
    <w:p w14:paraId="43F368C6" w14:textId="77777777" w:rsidR="00D86CC8" w:rsidRDefault="00D86CC8" w:rsidP="0000278A">
      <w:pPr>
        <w:pStyle w:val="Bullet"/>
      </w:pPr>
      <w:r>
        <w:t>reinforcing</w:t>
      </w:r>
      <w:r>
        <w:rPr>
          <w:spacing w:val="2"/>
        </w:rPr>
        <w:t xml:space="preserve"> </w:t>
      </w:r>
      <w:r>
        <w:t>how</w:t>
      </w:r>
      <w:r>
        <w:rPr>
          <w:spacing w:val="2"/>
        </w:rPr>
        <w:t xml:space="preserve"> </w:t>
      </w:r>
      <w:r>
        <w:t>the</w:t>
      </w:r>
      <w:r>
        <w:rPr>
          <w:spacing w:val="2"/>
        </w:rPr>
        <w:t xml:space="preserve"> </w:t>
      </w:r>
      <w:r>
        <w:t>RBA</w:t>
      </w:r>
      <w:r>
        <w:rPr>
          <w:spacing w:val="2"/>
        </w:rPr>
        <w:t xml:space="preserve"> </w:t>
      </w:r>
      <w:r>
        <w:t>contributes</w:t>
      </w:r>
      <w:r>
        <w:rPr>
          <w:spacing w:val="2"/>
        </w:rPr>
        <w:t xml:space="preserve"> </w:t>
      </w:r>
      <w:r>
        <w:t>to</w:t>
      </w:r>
      <w:r>
        <w:rPr>
          <w:spacing w:val="2"/>
        </w:rPr>
        <w:t xml:space="preserve"> </w:t>
      </w:r>
      <w:r>
        <w:t>complementary</w:t>
      </w:r>
      <w:r>
        <w:rPr>
          <w:spacing w:val="2"/>
        </w:rPr>
        <w:t xml:space="preserve"> </w:t>
      </w:r>
      <w:r>
        <w:t>fiscal</w:t>
      </w:r>
      <w:r>
        <w:rPr>
          <w:spacing w:val="2"/>
        </w:rPr>
        <w:t xml:space="preserve"> </w:t>
      </w:r>
      <w:r>
        <w:t>and</w:t>
      </w:r>
      <w:r>
        <w:rPr>
          <w:spacing w:val="2"/>
        </w:rPr>
        <w:t xml:space="preserve"> </w:t>
      </w:r>
      <w:r>
        <w:t>regulatory</w:t>
      </w:r>
      <w:r>
        <w:rPr>
          <w:spacing w:val="2"/>
        </w:rPr>
        <w:t xml:space="preserve"> </w:t>
      </w:r>
      <w:r>
        <w:rPr>
          <w:spacing w:val="-2"/>
        </w:rPr>
        <w:t>policies</w:t>
      </w:r>
    </w:p>
    <w:p w14:paraId="79631AC0" w14:textId="6E50DD3D" w:rsidR="007E7781" w:rsidRDefault="00D86CC8" w:rsidP="0000278A">
      <w:pPr>
        <w:pStyle w:val="Bullet"/>
      </w:pPr>
      <w:r>
        <w:t>setting out mechanisms that would keep the framework suitable for the future, as well as to increase accountability for policy outcomes</w:t>
      </w:r>
      <w:r>
        <w:rPr>
          <w:w w:val="85"/>
        </w:rPr>
        <w:t>.</w:t>
      </w:r>
    </w:p>
    <w:p w14:paraId="79BDFE64" w14:textId="28E52257" w:rsidR="00713BC7" w:rsidRDefault="00713BC7">
      <w:pPr>
        <w:spacing w:before="0" w:after="160" w:line="259" w:lineRule="auto"/>
      </w:pPr>
      <w:r>
        <w:br w:type="page"/>
      </w: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26410B" w14:paraId="19558333" w14:textId="77777777" w:rsidTr="001D0CDA">
        <w:tc>
          <w:tcPr>
            <w:tcW w:w="5000" w:type="pct"/>
            <w:tcBorders>
              <w:top w:val="nil"/>
              <w:left w:val="nil"/>
              <w:bottom w:val="nil"/>
              <w:right w:val="nil"/>
            </w:tcBorders>
            <w:shd w:val="clear" w:color="auto" w:fill="F9EEDB" w:themeFill="accent6"/>
          </w:tcPr>
          <w:p w14:paraId="67D56651" w14:textId="77777777" w:rsidR="0026410B" w:rsidRDefault="0026410B" w:rsidP="0026410B">
            <w:pPr>
              <w:pStyle w:val="BoxHeading"/>
              <w:rPr>
                <w:spacing w:val="-2"/>
              </w:rPr>
            </w:pPr>
            <w:r>
              <w:lastRenderedPageBreak/>
              <w:t>Box</w:t>
            </w:r>
            <w:r>
              <w:rPr>
                <w:spacing w:val="-2"/>
              </w:rPr>
              <w:t xml:space="preserve"> </w:t>
            </w:r>
            <w:r>
              <w:t>2.1:</w:t>
            </w:r>
            <w:r>
              <w:rPr>
                <w:spacing w:val="1"/>
              </w:rPr>
              <w:t xml:space="preserve"> </w:t>
            </w:r>
            <w:r>
              <w:t>Principles</w:t>
            </w:r>
            <w:r>
              <w:rPr>
                <w:spacing w:val="1"/>
              </w:rPr>
              <w:t xml:space="preserve"> </w:t>
            </w:r>
            <w:r>
              <w:t>to</w:t>
            </w:r>
            <w:r>
              <w:rPr>
                <w:spacing w:val="1"/>
              </w:rPr>
              <w:t xml:space="preserve"> </w:t>
            </w:r>
            <w:r>
              <w:t>guide Australia’s</w:t>
            </w:r>
            <w:r>
              <w:rPr>
                <w:spacing w:val="1"/>
              </w:rPr>
              <w:t xml:space="preserve"> </w:t>
            </w:r>
            <w:r>
              <w:t>monetary</w:t>
            </w:r>
            <w:r>
              <w:rPr>
                <w:spacing w:val="1"/>
              </w:rPr>
              <w:t xml:space="preserve"> </w:t>
            </w:r>
            <w:r>
              <w:t>policy</w:t>
            </w:r>
            <w:r>
              <w:rPr>
                <w:spacing w:val="1"/>
              </w:rPr>
              <w:t xml:space="preserve"> </w:t>
            </w:r>
            <w:r>
              <w:rPr>
                <w:spacing w:val="-2"/>
              </w:rPr>
              <w:t>arrangements</w:t>
            </w:r>
          </w:p>
          <w:p w14:paraId="516E7816" w14:textId="77777777" w:rsidR="001D0CDA" w:rsidRDefault="001D0CDA" w:rsidP="001D0CDA">
            <w:pPr>
              <w:pStyle w:val="BoxText"/>
            </w:pPr>
            <w:r>
              <w:t>The Review’s recommendations for Australia’s monetary policy arrangements are based on the following principles:</w:t>
            </w:r>
          </w:p>
          <w:p w14:paraId="1601CF38" w14:textId="66741174" w:rsidR="001D0CDA" w:rsidRDefault="001D0CDA" w:rsidP="0000278A">
            <w:pPr>
              <w:pStyle w:val="Bullet"/>
            </w:pPr>
            <w:r>
              <w:t>The</w:t>
            </w:r>
            <w:r>
              <w:rPr>
                <w:spacing w:val="-12"/>
              </w:rPr>
              <w:t xml:space="preserve"> </w:t>
            </w:r>
            <w:r>
              <w:t>arrangements</w:t>
            </w:r>
            <w:r>
              <w:rPr>
                <w:spacing w:val="-12"/>
              </w:rPr>
              <w:t xml:space="preserve"> </w:t>
            </w:r>
            <w:r>
              <w:t>should</w:t>
            </w:r>
            <w:r>
              <w:rPr>
                <w:spacing w:val="-11"/>
              </w:rPr>
              <w:t xml:space="preserve"> </w:t>
            </w:r>
            <w:r>
              <w:t>support,</w:t>
            </w:r>
            <w:r>
              <w:rPr>
                <w:spacing w:val="-11"/>
              </w:rPr>
              <w:t xml:space="preserve"> </w:t>
            </w:r>
            <w:r>
              <w:t>to</w:t>
            </w:r>
            <w:r>
              <w:rPr>
                <w:spacing w:val="-11"/>
              </w:rPr>
              <w:t xml:space="preserve"> </w:t>
            </w:r>
            <w:r>
              <w:t>the</w:t>
            </w:r>
            <w:r>
              <w:rPr>
                <w:spacing w:val="-11"/>
              </w:rPr>
              <w:t xml:space="preserve"> </w:t>
            </w:r>
            <w:r>
              <w:t>greatest</w:t>
            </w:r>
            <w:r>
              <w:rPr>
                <w:spacing w:val="-11"/>
              </w:rPr>
              <w:t xml:space="preserve"> </w:t>
            </w:r>
            <w:r>
              <w:t>extent</w:t>
            </w:r>
            <w:r>
              <w:rPr>
                <w:spacing w:val="-10"/>
              </w:rPr>
              <w:t xml:space="preserve"> </w:t>
            </w:r>
            <w:r>
              <w:t>possible,</w:t>
            </w:r>
            <w:r>
              <w:rPr>
                <w:spacing w:val="-11"/>
              </w:rPr>
              <w:t xml:space="preserve"> </w:t>
            </w:r>
            <w:r>
              <w:t>the</w:t>
            </w:r>
            <w:r>
              <w:rPr>
                <w:spacing w:val="-11"/>
              </w:rPr>
              <w:t xml:space="preserve"> </w:t>
            </w:r>
            <w:r>
              <w:t>welfare</w:t>
            </w:r>
            <w:r>
              <w:rPr>
                <w:spacing w:val="-11"/>
              </w:rPr>
              <w:t xml:space="preserve"> </w:t>
            </w:r>
            <w:r>
              <w:t>of</w:t>
            </w:r>
            <w:r>
              <w:rPr>
                <w:spacing w:val="-10"/>
              </w:rPr>
              <w:t xml:space="preserve"> </w:t>
            </w:r>
            <w:r>
              <w:t>Australians</w:t>
            </w:r>
            <w:r>
              <w:rPr>
                <w:spacing w:val="-10"/>
                <w:w w:val="85"/>
              </w:rPr>
              <w:t>.</w:t>
            </w:r>
          </w:p>
          <w:p w14:paraId="5E77480C" w14:textId="78A1C718" w:rsidR="001D0CDA" w:rsidRDefault="001D0CDA" w:rsidP="0000278A">
            <w:pPr>
              <w:pStyle w:val="Bullet"/>
            </w:pPr>
            <w:r>
              <w:t>The</w:t>
            </w:r>
            <w:r>
              <w:rPr>
                <w:spacing w:val="-7"/>
              </w:rPr>
              <w:t xml:space="preserve"> </w:t>
            </w:r>
            <w:r>
              <w:t>arrangements</w:t>
            </w:r>
            <w:r>
              <w:rPr>
                <w:spacing w:val="-6"/>
              </w:rPr>
              <w:t xml:space="preserve"> </w:t>
            </w:r>
            <w:r>
              <w:t>should</w:t>
            </w:r>
            <w:r>
              <w:rPr>
                <w:spacing w:val="-6"/>
              </w:rPr>
              <w:t xml:space="preserve"> </w:t>
            </w:r>
            <w:r>
              <w:t>be</w:t>
            </w:r>
            <w:r>
              <w:rPr>
                <w:spacing w:val="-6"/>
              </w:rPr>
              <w:t xml:space="preserve"> </w:t>
            </w:r>
            <w:r>
              <w:t>robust</w:t>
            </w:r>
            <w:r>
              <w:rPr>
                <w:spacing w:val="-6"/>
              </w:rPr>
              <w:t xml:space="preserve"> </w:t>
            </w:r>
            <w:r>
              <w:t>to</w:t>
            </w:r>
            <w:r>
              <w:rPr>
                <w:spacing w:val="-6"/>
              </w:rPr>
              <w:t xml:space="preserve"> </w:t>
            </w:r>
            <w:r>
              <w:t>the</w:t>
            </w:r>
            <w:r>
              <w:rPr>
                <w:spacing w:val="-6"/>
              </w:rPr>
              <w:t xml:space="preserve"> </w:t>
            </w:r>
            <w:r>
              <w:t>future</w:t>
            </w:r>
            <w:r>
              <w:rPr>
                <w:spacing w:val="-6"/>
              </w:rPr>
              <w:t xml:space="preserve"> </w:t>
            </w:r>
            <w:r>
              <w:t>economic</w:t>
            </w:r>
            <w:r>
              <w:rPr>
                <w:spacing w:val="-6"/>
              </w:rPr>
              <w:t xml:space="preserve"> </w:t>
            </w:r>
            <w:r>
              <w:t>environment</w:t>
            </w:r>
            <w:r>
              <w:rPr>
                <w:spacing w:val="-6"/>
              </w:rPr>
              <w:t xml:space="preserve"> </w:t>
            </w:r>
            <w:r>
              <w:t>and</w:t>
            </w:r>
            <w:r>
              <w:rPr>
                <w:spacing w:val="-6"/>
              </w:rPr>
              <w:t xml:space="preserve"> </w:t>
            </w:r>
            <w:r>
              <w:t>its</w:t>
            </w:r>
            <w:r>
              <w:rPr>
                <w:spacing w:val="-5"/>
              </w:rPr>
              <w:t xml:space="preserve"> </w:t>
            </w:r>
            <w:r>
              <w:t>challenges</w:t>
            </w:r>
            <w:r>
              <w:rPr>
                <w:spacing w:val="-10"/>
                <w:w w:val="85"/>
              </w:rPr>
              <w:t>.</w:t>
            </w:r>
          </w:p>
          <w:p w14:paraId="2113D0C0" w14:textId="4B401598" w:rsidR="001D0CDA" w:rsidRDefault="001D0CDA" w:rsidP="0000278A">
            <w:pPr>
              <w:pStyle w:val="Bullet"/>
            </w:pPr>
            <w:r>
              <w:t>The RBA’s legislative objectives should be clear to support decision making and accountability</w:t>
            </w:r>
            <w:r>
              <w:rPr>
                <w:w w:val="85"/>
              </w:rPr>
              <w:t xml:space="preserve">. </w:t>
            </w:r>
            <w:r>
              <w:t>They</w:t>
            </w:r>
            <w:r>
              <w:rPr>
                <w:spacing w:val="-1"/>
              </w:rPr>
              <w:t xml:space="preserve"> </w:t>
            </w:r>
            <w:r>
              <w:t>should</w:t>
            </w:r>
            <w:r>
              <w:rPr>
                <w:spacing w:val="-1"/>
              </w:rPr>
              <w:t xml:space="preserve"> </w:t>
            </w:r>
            <w:r>
              <w:t>be</w:t>
            </w:r>
            <w:r>
              <w:rPr>
                <w:spacing w:val="-1"/>
              </w:rPr>
              <w:t xml:space="preserve"> </w:t>
            </w:r>
            <w:r>
              <w:t>achievable</w:t>
            </w:r>
            <w:r>
              <w:rPr>
                <w:spacing w:val="-1"/>
              </w:rPr>
              <w:t xml:space="preserve"> </w:t>
            </w:r>
            <w:r>
              <w:t>using</w:t>
            </w:r>
            <w:r>
              <w:rPr>
                <w:spacing w:val="-1"/>
              </w:rPr>
              <w:t xml:space="preserve"> </w:t>
            </w:r>
            <w:r>
              <w:t>the</w:t>
            </w:r>
            <w:r>
              <w:rPr>
                <w:spacing w:val="-1"/>
              </w:rPr>
              <w:t xml:space="preserve"> </w:t>
            </w:r>
            <w:r>
              <w:t>RBA’s</w:t>
            </w:r>
            <w:r>
              <w:rPr>
                <w:spacing w:val="-1"/>
              </w:rPr>
              <w:t xml:space="preserve"> </w:t>
            </w:r>
            <w:r>
              <w:t>policy</w:t>
            </w:r>
            <w:r>
              <w:rPr>
                <w:spacing w:val="-1"/>
              </w:rPr>
              <w:t xml:space="preserve"> </w:t>
            </w:r>
            <w:r>
              <w:t>tools,</w:t>
            </w:r>
            <w:r>
              <w:rPr>
                <w:spacing w:val="-1"/>
              </w:rPr>
              <w:t xml:space="preserve"> </w:t>
            </w:r>
            <w:r>
              <w:t>so</w:t>
            </w:r>
            <w:r>
              <w:rPr>
                <w:spacing w:val="-1"/>
              </w:rPr>
              <w:t xml:space="preserve"> </w:t>
            </w:r>
            <w:r>
              <w:t>that</w:t>
            </w:r>
            <w:r>
              <w:rPr>
                <w:spacing w:val="-1"/>
              </w:rPr>
              <w:t xml:space="preserve"> </w:t>
            </w:r>
            <w:r>
              <w:t>the</w:t>
            </w:r>
            <w:r>
              <w:rPr>
                <w:spacing w:val="-1"/>
              </w:rPr>
              <w:t xml:space="preserve"> </w:t>
            </w:r>
            <w:r>
              <w:t>public can be confident that the RBA can achieve them.</w:t>
            </w:r>
          </w:p>
          <w:p w14:paraId="103C07CE" w14:textId="77777777" w:rsidR="001D0CDA" w:rsidRDefault="001D0CDA" w:rsidP="0000278A">
            <w:pPr>
              <w:pStyle w:val="Bullet"/>
            </w:pPr>
            <w:r>
              <w:t>The operational framework should provide sufficient flexibility for the RBA to balance its legislated objectives when they are in conflict.</w:t>
            </w:r>
          </w:p>
          <w:p w14:paraId="6A042A32" w14:textId="042ED7B1" w:rsidR="001D0CDA" w:rsidRDefault="001D0CDA" w:rsidP="001D0CDA">
            <w:pPr>
              <w:pStyle w:val="Bullet"/>
              <w:numPr>
                <w:ilvl w:val="0"/>
                <w:numId w:val="0"/>
              </w:numPr>
            </w:pPr>
            <w:r>
              <w:t>In considering the interactions of monetary policy with other government policies, the Review has made its recommendations using three further principles:</w:t>
            </w:r>
          </w:p>
          <w:p w14:paraId="22B2C5E2" w14:textId="6219952C" w:rsidR="001D0CDA" w:rsidRDefault="001D0CDA" w:rsidP="0000278A">
            <w:pPr>
              <w:pStyle w:val="Bullet"/>
            </w:pPr>
            <w:r>
              <w:t>The</w:t>
            </w:r>
            <w:r w:rsidRPr="001D0CDA">
              <w:rPr>
                <w:spacing w:val="-2"/>
              </w:rPr>
              <w:t xml:space="preserve"> </w:t>
            </w:r>
            <w:r>
              <w:t>role</w:t>
            </w:r>
            <w:r w:rsidRPr="001D0CDA">
              <w:rPr>
                <w:spacing w:val="1"/>
              </w:rPr>
              <w:t xml:space="preserve"> </w:t>
            </w:r>
            <w:r>
              <w:t>of</w:t>
            </w:r>
            <w:r w:rsidRPr="001D0CDA">
              <w:rPr>
                <w:spacing w:val="1"/>
              </w:rPr>
              <w:t xml:space="preserve"> </w:t>
            </w:r>
            <w:r>
              <w:t>the RBA</w:t>
            </w:r>
            <w:r w:rsidRPr="001D0CDA">
              <w:rPr>
                <w:spacing w:val="1"/>
              </w:rPr>
              <w:t xml:space="preserve"> </w:t>
            </w:r>
            <w:r>
              <w:t>should</w:t>
            </w:r>
            <w:r w:rsidRPr="001D0CDA">
              <w:rPr>
                <w:spacing w:val="1"/>
              </w:rPr>
              <w:t xml:space="preserve"> </w:t>
            </w:r>
            <w:r>
              <w:t>be</w:t>
            </w:r>
            <w:r w:rsidRPr="001D0CDA">
              <w:rPr>
                <w:spacing w:val="1"/>
              </w:rPr>
              <w:t xml:space="preserve"> </w:t>
            </w:r>
            <w:r>
              <w:t>clearly defined</w:t>
            </w:r>
            <w:r w:rsidRPr="001D0CDA">
              <w:rPr>
                <w:spacing w:val="1"/>
              </w:rPr>
              <w:t xml:space="preserve"> </w:t>
            </w:r>
            <w:r>
              <w:t>relative</w:t>
            </w:r>
            <w:r w:rsidRPr="001D0CDA">
              <w:rPr>
                <w:spacing w:val="1"/>
              </w:rPr>
              <w:t xml:space="preserve"> </w:t>
            </w:r>
            <w:r>
              <w:t>to</w:t>
            </w:r>
            <w:r w:rsidRPr="001D0CDA">
              <w:rPr>
                <w:spacing w:val="1"/>
              </w:rPr>
              <w:t xml:space="preserve"> </w:t>
            </w:r>
            <w:r>
              <w:t>other policy</w:t>
            </w:r>
            <w:r w:rsidRPr="001D0CDA">
              <w:rPr>
                <w:spacing w:val="1"/>
              </w:rPr>
              <w:t xml:space="preserve"> </w:t>
            </w:r>
            <w:r>
              <w:t>agencies</w:t>
            </w:r>
            <w:r w:rsidRPr="001D0CDA">
              <w:rPr>
                <w:spacing w:val="1"/>
              </w:rPr>
              <w:t xml:space="preserve"> </w:t>
            </w:r>
            <w:r>
              <w:t>where</w:t>
            </w:r>
            <w:r w:rsidRPr="001D0CDA">
              <w:rPr>
                <w:spacing w:val="1"/>
              </w:rPr>
              <w:t xml:space="preserve"> </w:t>
            </w:r>
            <w:r w:rsidRPr="001D0CDA">
              <w:rPr>
                <w:spacing w:val="-2"/>
              </w:rPr>
              <w:t>their</w:t>
            </w:r>
            <w:r>
              <w:rPr>
                <w:spacing w:val="-2"/>
              </w:rPr>
              <w:t xml:space="preserve"> </w:t>
            </w:r>
            <w:r>
              <w:t>objectives</w:t>
            </w:r>
            <w:r w:rsidRPr="001D0CDA">
              <w:rPr>
                <w:spacing w:val="7"/>
              </w:rPr>
              <w:t xml:space="preserve"> </w:t>
            </w:r>
            <w:r>
              <w:t>overlap,</w:t>
            </w:r>
            <w:r w:rsidRPr="001D0CDA">
              <w:rPr>
                <w:spacing w:val="8"/>
              </w:rPr>
              <w:t xml:space="preserve"> </w:t>
            </w:r>
            <w:r>
              <w:t>supporting</w:t>
            </w:r>
            <w:r w:rsidRPr="001D0CDA">
              <w:rPr>
                <w:spacing w:val="7"/>
              </w:rPr>
              <w:t xml:space="preserve"> </w:t>
            </w:r>
            <w:r>
              <w:t>clear</w:t>
            </w:r>
            <w:r w:rsidRPr="001D0CDA">
              <w:rPr>
                <w:spacing w:val="8"/>
              </w:rPr>
              <w:t xml:space="preserve"> </w:t>
            </w:r>
            <w:r>
              <w:t>accountabilities</w:t>
            </w:r>
            <w:r w:rsidRPr="001D0CDA">
              <w:rPr>
                <w:spacing w:val="-10"/>
                <w:w w:val="85"/>
              </w:rPr>
              <w:t>.</w:t>
            </w:r>
          </w:p>
          <w:p w14:paraId="042B69B6" w14:textId="77777777" w:rsidR="001D0CDA" w:rsidRPr="001D0CDA" w:rsidRDefault="001D0CDA" w:rsidP="0000278A">
            <w:pPr>
              <w:pStyle w:val="Bullet"/>
            </w:pPr>
            <w:r>
              <w:t>Where the objectives of government agencies overlap, the agencies should coordinate so that information and analysis is shared, decisions are not made in isolation and the best- suited tools are chosen to pursue that objective</w:t>
            </w:r>
            <w:r>
              <w:rPr>
                <w:w w:val="85"/>
              </w:rPr>
              <w:t xml:space="preserve">. </w:t>
            </w:r>
          </w:p>
          <w:p w14:paraId="2D75C00D" w14:textId="65DA563E" w:rsidR="0026410B" w:rsidRPr="0026410B" w:rsidRDefault="001D0CDA" w:rsidP="0000278A">
            <w:pPr>
              <w:pStyle w:val="Bullet"/>
            </w:pPr>
            <w:r>
              <w:t xml:space="preserve">Coordination should be done in a way that does not impinge on the independence of monetary policy decisions or the </w:t>
            </w:r>
            <w:r w:rsidRPr="001D0CDA">
              <w:t>accountability</w:t>
            </w:r>
            <w:r>
              <w:t xml:space="preserve"> of other agencies with economic management or financial stability responsibilities. Communication does not itself undermine independence</w:t>
            </w:r>
            <w:r>
              <w:rPr>
                <w:w w:val="85"/>
              </w:rPr>
              <w:t>.</w:t>
            </w:r>
          </w:p>
        </w:tc>
      </w:tr>
    </w:tbl>
    <w:p w14:paraId="7C8E1D8B" w14:textId="1A584A4F" w:rsidR="00D86CC8" w:rsidRDefault="00D86CC8">
      <w:pPr>
        <w:spacing w:before="0" w:after="160" w:line="259" w:lineRule="auto"/>
      </w:pPr>
      <w:r>
        <w:br w:type="page"/>
      </w:r>
    </w:p>
    <w:tbl>
      <w:tblPr>
        <w:tblW w:w="5000" w:type="pct"/>
        <w:tblCellMar>
          <w:left w:w="0" w:type="dxa"/>
          <w:right w:w="0" w:type="dxa"/>
        </w:tblCellMar>
        <w:tblLook w:val="01E0" w:firstRow="1" w:lastRow="1" w:firstColumn="1" w:lastColumn="1" w:noHBand="0" w:noVBand="0"/>
      </w:tblPr>
      <w:tblGrid>
        <w:gridCol w:w="181"/>
        <w:gridCol w:w="568"/>
        <w:gridCol w:w="27"/>
        <w:gridCol w:w="172"/>
        <w:gridCol w:w="15"/>
        <w:gridCol w:w="8092"/>
        <w:gridCol w:w="15"/>
      </w:tblGrid>
      <w:tr w:rsidR="00797C02" w14:paraId="1EC737AD" w14:textId="77777777" w:rsidTr="00A73647">
        <w:trPr>
          <w:trHeight w:val="558"/>
        </w:trPr>
        <w:tc>
          <w:tcPr>
            <w:tcW w:w="5000" w:type="pct"/>
            <w:gridSpan w:val="7"/>
          </w:tcPr>
          <w:p w14:paraId="5EE8A9CE" w14:textId="1C7ED0D0" w:rsidR="00797C02" w:rsidRDefault="00A73647" w:rsidP="00F22AE5">
            <w:pPr>
              <w:pStyle w:val="Heading2"/>
            </w:pPr>
            <w:bookmarkStart w:id="35" w:name="_Toc134221005"/>
            <w:r>
              <w:lastRenderedPageBreak/>
              <w:t>Recommendations in this chapter</w:t>
            </w:r>
            <w:bookmarkEnd w:id="35"/>
          </w:p>
        </w:tc>
      </w:tr>
      <w:tr w:rsidR="00797C02" w14:paraId="7F981AC3" w14:textId="77777777" w:rsidTr="00A73647">
        <w:trPr>
          <w:trHeight w:val="801"/>
        </w:trPr>
        <w:tc>
          <w:tcPr>
            <w:tcW w:w="5000" w:type="pct"/>
            <w:gridSpan w:val="7"/>
            <w:tcBorders>
              <w:bottom w:val="single" w:sz="8" w:space="0" w:color="ECEDE9"/>
            </w:tcBorders>
          </w:tcPr>
          <w:p w14:paraId="5BAFBAA4" w14:textId="77777777" w:rsidR="00797C02" w:rsidRDefault="00797C02" w:rsidP="00F22AE5">
            <w:pPr>
              <w:pStyle w:val="Heading4"/>
              <w:rPr>
                <w:rFonts w:ascii="Open Sans"/>
                <w:sz w:val="18"/>
              </w:rPr>
            </w:pPr>
            <w:r>
              <w:t>Recommendation 1:</w:t>
            </w:r>
            <w:r>
              <w:rPr>
                <w:spacing w:val="1"/>
              </w:rPr>
              <w:t xml:space="preserve"> </w:t>
            </w:r>
            <w:r>
              <w:t>Affirm the</w:t>
            </w:r>
            <w:r>
              <w:rPr>
                <w:spacing w:val="1"/>
              </w:rPr>
              <w:t xml:space="preserve"> </w:t>
            </w:r>
            <w:r>
              <w:t>RBA’s independence</w:t>
            </w:r>
            <w:r>
              <w:rPr>
                <w:spacing w:val="1"/>
              </w:rPr>
              <w:t xml:space="preserve"> </w:t>
            </w:r>
            <w:r>
              <w:t>and clarify</w:t>
            </w:r>
            <w:r>
              <w:rPr>
                <w:spacing w:val="1"/>
              </w:rPr>
              <w:t xml:space="preserve"> </w:t>
            </w:r>
            <w:r>
              <w:t>its</w:t>
            </w:r>
            <w:r>
              <w:rPr>
                <w:spacing w:val="1"/>
              </w:rPr>
              <w:t xml:space="preserve"> </w:t>
            </w:r>
            <w:r w:rsidRPr="005D4486">
              <w:t>statutory</w:t>
            </w:r>
            <w:r>
              <w:t xml:space="preserve"> </w:t>
            </w:r>
            <w:r w:rsidRPr="005D4486">
              <w:t>monetary</w:t>
            </w:r>
            <w:r>
              <w:rPr>
                <w:rFonts w:ascii="Open Sans"/>
                <w:color w:val="204160"/>
                <w:spacing w:val="7"/>
                <w:sz w:val="18"/>
              </w:rPr>
              <w:t xml:space="preserve"> </w:t>
            </w:r>
            <w:r w:rsidRPr="005D4486">
              <w:t>policy objectives</w:t>
            </w:r>
          </w:p>
        </w:tc>
      </w:tr>
      <w:tr w:rsidR="00797C02" w14:paraId="50B30A92" w14:textId="77777777" w:rsidTr="00F22AE5">
        <w:trPr>
          <w:trHeight w:val="801"/>
        </w:trPr>
        <w:tc>
          <w:tcPr>
            <w:tcW w:w="428" w:type="pct"/>
            <w:gridSpan w:val="3"/>
            <w:tcBorders>
              <w:top w:val="single" w:sz="8" w:space="0" w:color="ECEDE9"/>
              <w:bottom w:val="single" w:sz="8" w:space="0" w:color="ECEDE9"/>
            </w:tcBorders>
          </w:tcPr>
          <w:p w14:paraId="0947AE58" w14:textId="77777777" w:rsidR="00797C02" w:rsidRDefault="00797C02" w:rsidP="00F22AE5">
            <w:r>
              <w:t>1.1</w:t>
            </w:r>
          </w:p>
        </w:tc>
        <w:tc>
          <w:tcPr>
            <w:tcW w:w="4572" w:type="pct"/>
            <w:gridSpan w:val="4"/>
            <w:tcBorders>
              <w:top w:val="single" w:sz="8" w:space="0" w:color="ECEDE9"/>
              <w:bottom w:val="single" w:sz="8" w:space="0" w:color="ECEDE9"/>
            </w:tcBorders>
          </w:tcPr>
          <w:p w14:paraId="1DF8110E" w14:textId="77777777" w:rsidR="00797C02" w:rsidRDefault="00797C02" w:rsidP="00F22AE5">
            <w:r>
              <w:t>The</w:t>
            </w:r>
            <w:r>
              <w:rPr>
                <w:spacing w:val="-1"/>
              </w:rPr>
              <w:t xml:space="preserve"> </w:t>
            </w:r>
            <w:r>
              <w:t>RBA</w:t>
            </w:r>
            <w:r>
              <w:rPr>
                <w:spacing w:val="1"/>
              </w:rPr>
              <w:t xml:space="preserve"> </w:t>
            </w:r>
            <w:r>
              <w:t>should</w:t>
            </w:r>
            <w:r>
              <w:rPr>
                <w:spacing w:val="2"/>
              </w:rPr>
              <w:t xml:space="preserve"> </w:t>
            </w:r>
            <w:r>
              <w:t>continue</w:t>
            </w:r>
            <w:r>
              <w:rPr>
                <w:spacing w:val="1"/>
              </w:rPr>
              <w:t xml:space="preserve"> </w:t>
            </w:r>
            <w:r>
              <w:t>to</w:t>
            </w:r>
            <w:r>
              <w:rPr>
                <w:spacing w:val="2"/>
              </w:rPr>
              <w:t xml:space="preserve"> </w:t>
            </w:r>
            <w:r>
              <w:t>have</w:t>
            </w:r>
            <w:r>
              <w:rPr>
                <w:spacing w:val="1"/>
              </w:rPr>
              <w:t xml:space="preserve"> </w:t>
            </w:r>
            <w:r>
              <w:t>operational</w:t>
            </w:r>
            <w:r>
              <w:rPr>
                <w:spacing w:val="2"/>
              </w:rPr>
              <w:t xml:space="preserve"> </w:t>
            </w:r>
            <w:r>
              <w:t>independence</w:t>
            </w:r>
            <w:r>
              <w:rPr>
                <w:spacing w:val="1"/>
              </w:rPr>
              <w:t xml:space="preserve"> </w:t>
            </w:r>
            <w:r>
              <w:t>for</w:t>
            </w:r>
            <w:r>
              <w:rPr>
                <w:spacing w:val="2"/>
              </w:rPr>
              <w:t xml:space="preserve"> </w:t>
            </w:r>
            <w:r>
              <w:t>monetary</w:t>
            </w:r>
            <w:r>
              <w:rPr>
                <w:spacing w:val="1"/>
              </w:rPr>
              <w:t xml:space="preserve"> </w:t>
            </w:r>
            <w:r>
              <w:t>policy.</w:t>
            </w:r>
            <w:r>
              <w:rPr>
                <w:spacing w:val="2"/>
              </w:rPr>
              <w:t xml:space="preserve"> </w:t>
            </w:r>
            <w:r>
              <w:rPr>
                <w:spacing w:val="-5"/>
              </w:rPr>
              <w:t xml:space="preserve">The </w:t>
            </w:r>
            <w:r>
              <w:rPr>
                <w:spacing w:val="-2"/>
              </w:rPr>
              <w:t>Government</w:t>
            </w:r>
            <w:r>
              <w:rPr>
                <w:spacing w:val="-6"/>
              </w:rPr>
              <w:t xml:space="preserve"> </w:t>
            </w:r>
            <w:r>
              <w:rPr>
                <w:spacing w:val="-2"/>
              </w:rPr>
              <w:t>should</w:t>
            </w:r>
            <w:r>
              <w:rPr>
                <w:spacing w:val="-3"/>
              </w:rPr>
              <w:t xml:space="preserve"> </w:t>
            </w:r>
            <w:r>
              <w:rPr>
                <w:spacing w:val="-2"/>
              </w:rPr>
              <w:t>remove</w:t>
            </w:r>
            <w:r>
              <w:rPr>
                <w:spacing w:val="-3"/>
              </w:rPr>
              <w:t xml:space="preserve"> </w:t>
            </w:r>
            <w:r>
              <w:rPr>
                <w:spacing w:val="-2"/>
              </w:rPr>
              <w:t>the</w:t>
            </w:r>
            <w:r>
              <w:rPr>
                <w:spacing w:val="-3"/>
              </w:rPr>
              <w:t xml:space="preserve"> </w:t>
            </w:r>
            <w:r>
              <w:rPr>
                <w:spacing w:val="-2"/>
              </w:rPr>
              <w:t>power</w:t>
            </w:r>
            <w:r>
              <w:rPr>
                <w:spacing w:val="-3"/>
              </w:rPr>
              <w:t xml:space="preserve"> </w:t>
            </w:r>
            <w:r>
              <w:rPr>
                <w:spacing w:val="-2"/>
              </w:rPr>
              <w:t>of</w:t>
            </w:r>
            <w:r>
              <w:rPr>
                <w:spacing w:val="-3"/>
              </w:rPr>
              <w:t xml:space="preserve"> </w:t>
            </w:r>
            <w:r>
              <w:rPr>
                <w:spacing w:val="-2"/>
              </w:rPr>
              <w:t>the</w:t>
            </w:r>
            <w:r>
              <w:rPr>
                <w:spacing w:val="-4"/>
              </w:rPr>
              <w:t xml:space="preserve"> </w:t>
            </w:r>
            <w:r>
              <w:rPr>
                <w:spacing w:val="-2"/>
              </w:rPr>
              <w:t>Treasurer</w:t>
            </w:r>
            <w:r>
              <w:rPr>
                <w:spacing w:val="-3"/>
              </w:rPr>
              <w:t xml:space="preserve"> </w:t>
            </w:r>
            <w:r>
              <w:rPr>
                <w:spacing w:val="-2"/>
              </w:rPr>
              <w:t>to</w:t>
            </w:r>
            <w:r>
              <w:rPr>
                <w:spacing w:val="-3"/>
              </w:rPr>
              <w:t xml:space="preserve"> </w:t>
            </w:r>
            <w:r>
              <w:rPr>
                <w:spacing w:val="-2"/>
              </w:rPr>
              <w:t>overrule</w:t>
            </w:r>
            <w:r>
              <w:rPr>
                <w:spacing w:val="-3"/>
              </w:rPr>
              <w:t xml:space="preserve"> </w:t>
            </w:r>
            <w:r>
              <w:rPr>
                <w:spacing w:val="-2"/>
              </w:rPr>
              <w:t>the</w:t>
            </w:r>
            <w:r>
              <w:rPr>
                <w:spacing w:val="-3"/>
              </w:rPr>
              <w:t xml:space="preserve"> </w:t>
            </w:r>
            <w:r>
              <w:rPr>
                <w:spacing w:val="-2"/>
              </w:rPr>
              <w:t>RBA’s</w:t>
            </w:r>
            <w:r>
              <w:rPr>
                <w:spacing w:val="-3"/>
              </w:rPr>
              <w:t xml:space="preserve"> </w:t>
            </w:r>
            <w:r>
              <w:rPr>
                <w:spacing w:val="-2"/>
              </w:rPr>
              <w:t>decisions.</w:t>
            </w:r>
          </w:p>
        </w:tc>
      </w:tr>
      <w:tr w:rsidR="00797C02" w14:paraId="64E01314" w14:textId="77777777" w:rsidTr="00F22AE5">
        <w:trPr>
          <w:trHeight w:val="1718"/>
        </w:trPr>
        <w:tc>
          <w:tcPr>
            <w:tcW w:w="428" w:type="pct"/>
            <w:gridSpan w:val="3"/>
            <w:tcBorders>
              <w:top w:val="single" w:sz="8" w:space="0" w:color="ECEDE9"/>
              <w:bottom w:val="single" w:sz="8" w:space="0" w:color="ECEDE9"/>
            </w:tcBorders>
          </w:tcPr>
          <w:p w14:paraId="7FA95DA0" w14:textId="77777777" w:rsidR="00797C02" w:rsidRDefault="00797C02" w:rsidP="00F22AE5">
            <w:r>
              <w:t>1.2</w:t>
            </w:r>
          </w:p>
        </w:tc>
        <w:tc>
          <w:tcPr>
            <w:tcW w:w="4572" w:type="pct"/>
            <w:gridSpan w:val="4"/>
            <w:tcBorders>
              <w:top w:val="single" w:sz="8" w:space="0" w:color="ECEDE9"/>
              <w:bottom w:val="single" w:sz="8" w:space="0" w:color="ECEDE9"/>
            </w:tcBorders>
          </w:tcPr>
          <w:p w14:paraId="1F79B41F" w14:textId="77777777" w:rsidR="00797C02" w:rsidRDefault="00797C02" w:rsidP="00F22AE5">
            <w:r>
              <w:t>The</w:t>
            </w:r>
            <w:r>
              <w:rPr>
                <w:spacing w:val="-1"/>
              </w:rPr>
              <w:t xml:space="preserve"> </w:t>
            </w:r>
            <w:r>
              <w:t>Government should</w:t>
            </w:r>
            <w:r>
              <w:rPr>
                <w:spacing w:val="-1"/>
              </w:rPr>
              <w:t xml:space="preserve"> </w:t>
            </w:r>
            <w:r>
              <w:t>amend the</w:t>
            </w:r>
            <w:r>
              <w:rPr>
                <w:spacing w:val="-1"/>
              </w:rPr>
              <w:t xml:space="preserve"> </w:t>
            </w:r>
            <w:r>
              <w:rPr>
                <w:i/>
              </w:rPr>
              <w:t>Reserve Bank</w:t>
            </w:r>
            <w:r>
              <w:rPr>
                <w:i/>
                <w:spacing w:val="-1"/>
              </w:rPr>
              <w:t xml:space="preserve"> </w:t>
            </w:r>
            <w:r>
              <w:rPr>
                <w:i/>
              </w:rPr>
              <w:t>Act 1959</w:t>
            </w:r>
            <w:r>
              <w:rPr>
                <w:i/>
                <w:spacing w:val="-1"/>
              </w:rPr>
              <w:t xml:space="preserve"> </w:t>
            </w:r>
            <w:r>
              <w:t xml:space="preserve">such </w:t>
            </w:r>
            <w:r>
              <w:rPr>
                <w:spacing w:val="-2"/>
              </w:rPr>
              <w:t>that:</w:t>
            </w:r>
          </w:p>
          <w:p w14:paraId="1AFFB971" w14:textId="77777777" w:rsidR="00797C02" w:rsidRDefault="00797C02" w:rsidP="0000278A">
            <w:pPr>
              <w:pStyle w:val="Bullet"/>
            </w:pPr>
            <w:r>
              <w:t>The</w:t>
            </w:r>
            <w:r>
              <w:rPr>
                <w:spacing w:val="-5"/>
              </w:rPr>
              <w:t xml:space="preserve"> </w:t>
            </w:r>
            <w:r>
              <w:t>RBA</w:t>
            </w:r>
            <w:r>
              <w:rPr>
                <w:spacing w:val="-2"/>
              </w:rPr>
              <w:t xml:space="preserve"> </w:t>
            </w:r>
            <w:r>
              <w:t>has</w:t>
            </w:r>
            <w:r>
              <w:rPr>
                <w:spacing w:val="-2"/>
              </w:rPr>
              <w:t xml:space="preserve"> </w:t>
            </w:r>
            <w:r>
              <w:t>dual</w:t>
            </w:r>
            <w:r>
              <w:rPr>
                <w:spacing w:val="-3"/>
              </w:rPr>
              <w:t xml:space="preserve"> </w:t>
            </w:r>
            <w:r>
              <w:t>monetary</w:t>
            </w:r>
            <w:r>
              <w:rPr>
                <w:spacing w:val="-2"/>
              </w:rPr>
              <w:t xml:space="preserve"> </w:t>
            </w:r>
            <w:r>
              <w:t>policy</w:t>
            </w:r>
            <w:r>
              <w:rPr>
                <w:spacing w:val="-2"/>
              </w:rPr>
              <w:t xml:space="preserve"> </w:t>
            </w:r>
            <w:r>
              <w:t>objectives</w:t>
            </w:r>
            <w:r>
              <w:rPr>
                <w:spacing w:val="-3"/>
              </w:rPr>
              <w:t xml:space="preserve"> </w:t>
            </w:r>
            <w:r>
              <w:t>of</w:t>
            </w:r>
            <w:r>
              <w:rPr>
                <w:spacing w:val="-2"/>
              </w:rPr>
              <w:t xml:space="preserve"> </w:t>
            </w:r>
            <w:r>
              <w:t>price</w:t>
            </w:r>
            <w:r>
              <w:rPr>
                <w:spacing w:val="-2"/>
              </w:rPr>
              <w:t xml:space="preserve"> </w:t>
            </w:r>
            <w:r>
              <w:t>stability</w:t>
            </w:r>
            <w:r>
              <w:rPr>
                <w:spacing w:val="-3"/>
              </w:rPr>
              <w:t xml:space="preserve"> </w:t>
            </w:r>
            <w:r>
              <w:t>and</w:t>
            </w:r>
            <w:r>
              <w:rPr>
                <w:spacing w:val="-2"/>
              </w:rPr>
              <w:t xml:space="preserve"> </w:t>
            </w:r>
            <w:r>
              <w:t>full</w:t>
            </w:r>
            <w:r>
              <w:rPr>
                <w:spacing w:val="-2"/>
              </w:rPr>
              <w:t xml:space="preserve"> employment.</w:t>
            </w:r>
          </w:p>
          <w:p w14:paraId="5F79F605" w14:textId="77777777" w:rsidR="00797C02" w:rsidRDefault="00797C02" w:rsidP="0000278A">
            <w:pPr>
              <w:pStyle w:val="Bullet"/>
            </w:pPr>
            <w:r>
              <w:t>The ‘economic prosperity and welfare of the people of Australia now and in the future’ is an overarching purpose for the RBA rather than a separate objective for monetary policy.</w:t>
            </w:r>
          </w:p>
        </w:tc>
      </w:tr>
      <w:tr w:rsidR="00797C02" w14:paraId="7E9AFC18" w14:textId="77777777" w:rsidTr="00F22AE5">
        <w:trPr>
          <w:trHeight w:val="923"/>
        </w:trPr>
        <w:tc>
          <w:tcPr>
            <w:tcW w:w="428" w:type="pct"/>
            <w:gridSpan w:val="3"/>
            <w:tcBorders>
              <w:top w:val="single" w:sz="8" w:space="0" w:color="ECEDE9"/>
            </w:tcBorders>
          </w:tcPr>
          <w:p w14:paraId="0348CA60" w14:textId="77777777" w:rsidR="00797C02" w:rsidRDefault="00797C02" w:rsidP="00F22AE5">
            <w:r>
              <w:t>1.3</w:t>
            </w:r>
          </w:p>
        </w:tc>
        <w:tc>
          <w:tcPr>
            <w:tcW w:w="4572" w:type="pct"/>
            <w:gridSpan w:val="4"/>
            <w:tcBorders>
              <w:top w:val="single" w:sz="8" w:space="0" w:color="ECEDE9"/>
            </w:tcBorders>
          </w:tcPr>
          <w:p w14:paraId="1A886BC4" w14:textId="77777777" w:rsidR="00797C02" w:rsidRDefault="00797C02" w:rsidP="00F22AE5">
            <w:r>
              <w:t>The</w:t>
            </w:r>
            <w:r>
              <w:rPr>
                <w:spacing w:val="-3"/>
              </w:rPr>
              <w:t xml:space="preserve"> </w:t>
            </w:r>
            <w:r>
              <w:t>Government</w:t>
            </w:r>
            <w:r>
              <w:rPr>
                <w:spacing w:val="-3"/>
              </w:rPr>
              <w:t xml:space="preserve"> </w:t>
            </w:r>
            <w:r>
              <w:t>should</w:t>
            </w:r>
            <w:r>
              <w:rPr>
                <w:spacing w:val="-3"/>
              </w:rPr>
              <w:t xml:space="preserve"> </w:t>
            </w:r>
            <w:r>
              <w:t>remove</w:t>
            </w:r>
            <w:r>
              <w:rPr>
                <w:spacing w:val="-3"/>
              </w:rPr>
              <w:t xml:space="preserve"> </w:t>
            </w:r>
            <w:r>
              <w:t>the</w:t>
            </w:r>
            <w:r>
              <w:rPr>
                <w:spacing w:val="-3"/>
              </w:rPr>
              <w:t xml:space="preserve"> </w:t>
            </w:r>
            <w:r>
              <w:t>RBA’s</w:t>
            </w:r>
            <w:r>
              <w:rPr>
                <w:spacing w:val="-3"/>
              </w:rPr>
              <w:t xml:space="preserve"> </w:t>
            </w:r>
            <w:r>
              <w:t>power</w:t>
            </w:r>
            <w:r>
              <w:rPr>
                <w:spacing w:val="-3"/>
              </w:rPr>
              <w:t xml:space="preserve"> </w:t>
            </w:r>
            <w:r>
              <w:t>(in</w:t>
            </w:r>
            <w:r>
              <w:rPr>
                <w:spacing w:val="-3"/>
              </w:rPr>
              <w:t xml:space="preserve"> </w:t>
            </w:r>
            <w:r>
              <w:t>the</w:t>
            </w:r>
            <w:r>
              <w:rPr>
                <w:spacing w:val="-4"/>
              </w:rPr>
              <w:t xml:space="preserve"> </w:t>
            </w:r>
            <w:r>
              <w:rPr>
                <w:i/>
              </w:rPr>
              <w:t>Banking</w:t>
            </w:r>
            <w:r>
              <w:rPr>
                <w:i/>
                <w:spacing w:val="-3"/>
              </w:rPr>
              <w:t xml:space="preserve"> </w:t>
            </w:r>
            <w:r>
              <w:rPr>
                <w:i/>
              </w:rPr>
              <w:t>Act</w:t>
            </w:r>
            <w:r>
              <w:rPr>
                <w:i/>
                <w:spacing w:val="-3"/>
              </w:rPr>
              <w:t xml:space="preserve"> </w:t>
            </w:r>
            <w:r>
              <w:rPr>
                <w:i/>
              </w:rPr>
              <w:t>1959</w:t>
            </w:r>
            <w:r>
              <w:t>)</w:t>
            </w:r>
            <w:r>
              <w:rPr>
                <w:spacing w:val="-3"/>
              </w:rPr>
              <w:t xml:space="preserve"> </w:t>
            </w:r>
            <w:r>
              <w:t>to determine the lending policy of banks.</w:t>
            </w:r>
          </w:p>
        </w:tc>
      </w:tr>
      <w:tr w:rsidR="00797C02" w14:paraId="3C69BB97" w14:textId="77777777" w:rsidTr="00FA4DE9">
        <w:trPr>
          <w:trHeight w:val="925"/>
        </w:trPr>
        <w:tc>
          <w:tcPr>
            <w:tcW w:w="5000" w:type="pct"/>
            <w:gridSpan w:val="7"/>
            <w:tcBorders>
              <w:bottom w:val="single" w:sz="8" w:space="0" w:color="ECEDE9"/>
            </w:tcBorders>
          </w:tcPr>
          <w:p w14:paraId="1AC616E9" w14:textId="77777777" w:rsidR="00797C02" w:rsidRDefault="00797C02" w:rsidP="00F22AE5">
            <w:pPr>
              <w:pStyle w:val="Heading4"/>
            </w:pPr>
            <w:r>
              <w:t>Recommendation 2: Keep a flexible inflation targeting framework but clarify how it operates</w:t>
            </w:r>
          </w:p>
        </w:tc>
      </w:tr>
      <w:tr w:rsidR="00797C02" w14:paraId="08601F03" w14:textId="77777777" w:rsidTr="00FA4DE9">
        <w:trPr>
          <w:trHeight w:val="3734"/>
        </w:trPr>
        <w:tc>
          <w:tcPr>
            <w:tcW w:w="428" w:type="pct"/>
            <w:gridSpan w:val="3"/>
            <w:tcBorders>
              <w:top w:val="single" w:sz="8" w:space="0" w:color="ECEDE9"/>
              <w:bottom w:val="single" w:sz="4" w:space="0" w:color="EEEEEE" w:themeColor="background2"/>
            </w:tcBorders>
          </w:tcPr>
          <w:p w14:paraId="3F4E6C9E" w14:textId="77777777" w:rsidR="00797C02" w:rsidRDefault="00797C02" w:rsidP="00F22AE5">
            <w:r>
              <w:t>2.1</w:t>
            </w:r>
          </w:p>
        </w:tc>
        <w:tc>
          <w:tcPr>
            <w:tcW w:w="4572" w:type="pct"/>
            <w:gridSpan w:val="4"/>
            <w:tcBorders>
              <w:top w:val="single" w:sz="8" w:space="0" w:color="ECEDE9"/>
              <w:bottom w:val="single" w:sz="4" w:space="0" w:color="EEEEEE" w:themeColor="background2"/>
            </w:tcBorders>
          </w:tcPr>
          <w:p w14:paraId="3EA9BE4B" w14:textId="77777777" w:rsidR="00797C02" w:rsidRPr="0052089D" w:rsidRDefault="00797C02" w:rsidP="00F22AE5">
            <w:pPr>
              <w:rPr>
                <w:szCs w:val="22"/>
              </w:rPr>
            </w:pPr>
            <w:r w:rsidRPr="0052089D">
              <w:rPr>
                <w:szCs w:val="22"/>
              </w:rPr>
              <w:t>The</w:t>
            </w:r>
            <w:r w:rsidRPr="0052089D">
              <w:rPr>
                <w:spacing w:val="-1"/>
                <w:szCs w:val="22"/>
              </w:rPr>
              <w:t xml:space="preserve"> </w:t>
            </w:r>
            <w:r w:rsidRPr="0052089D">
              <w:rPr>
                <w:szCs w:val="22"/>
              </w:rPr>
              <w:t>RBA</w:t>
            </w:r>
            <w:r w:rsidRPr="0052089D">
              <w:rPr>
                <w:spacing w:val="2"/>
                <w:szCs w:val="22"/>
              </w:rPr>
              <w:t xml:space="preserve"> </w:t>
            </w:r>
            <w:r w:rsidRPr="0052089D">
              <w:rPr>
                <w:szCs w:val="22"/>
              </w:rPr>
              <w:t>Monetary</w:t>
            </w:r>
            <w:r w:rsidRPr="0052089D">
              <w:rPr>
                <w:spacing w:val="1"/>
                <w:szCs w:val="22"/>
              </w:rPr>
              <w:t xml:space="preserve"> </w:t>
            </w:r>
            <w:r w:rsidRPr="0052089D">
              <w:rPr>
                <w:szCs w:val="22"/>
              </w:rPr>
              <w:t>Policy</w:t>
            </w:r>
            <w:r w:rsidRPr="0052089D">
              <w:rPr>
                <w:spacing w:val="2"/>
                <w:szCs w:val="22"/>
              </w:rPr>
              <w:t xml:space="preserve"> </w:t>
            </w:r>
            <w:r w:rsidRPr="0052089D">
              <w:rPr>
                <w:szCs w:val="22"/>
              </w:rPr>
              <w:t>Board</w:t>
            </w:r>
            <w:r w:rsidRPr="0052089D">
              <w:rPr>
                <w:spacing w:val="1"/>
                <w:szCs w:val="22"/>
              </w:rPr>
              <w:t xml:space="preserve"> </w:t>
            </w:r>
            <w:r w:rsidRPr="0052089D">
              <w:rPr>
                <w:szCs w:val="22"/>
              </w:rPr>
              <w:t>(see</w:t>
            </w:r>
            <w:r w:rsidRPr="0052089D">
              <w:rPr>
                <w:spacing w:val="2"/>
                <w:szCs w:val="22"/>
              </w:rPr>
              <w:t xml:space="preserve"> </w:t>
            </w:r>
            <w:r w:rsidRPr="0052089D">
              <w:rPr>
                <w:szCs w:val="22"/>
              </w:rPr>
              <w:t>Recommendation</w:t>
            </w:r>
            <w:r w:rsidRPr="0052089D">
              <w:rPr>
                <w:spacing w:val="1"/>
                <w:szCs w:val="22"/>
              </w:rPr>
              <w:t xml:space="preserve"> </w:t>
            </w:r>
            <w:r w:rsidRPr="0052089D">
              <w:rPr>
                <w:szCs w:val="22"/>
              </w:rPr>
              <w:t>8)</w:t>
            </w:r>
            <w:r w:rsidRPr="0052089D">
              <w:rPr>
                <w:spacing w:val="2"/>
                <w:szCs w:val="22"/>
              </w:rPr>
              <w:t xml:space="preserve"> </w:t>
            </w:r>
            <w:r w:rsidRPr="0052089D">
              <w:rPr>
                <w:szCs w:val="22"/>
              </w:rPr>
              <w:t>and</w:t>
            </w:r>
            <w:r w:rsidRPr="0052089D">
              <w:rPr>
                <w:spacing w:val="1"/>
                <w:szCs w:val="22"/>
              </w:rPr>
              <w:t xml:space="preserve"> </w:t>
            </w:r>
            <w:r w:rsidRPr="0052089D">
              <w:rPr>
                <w:szCs w:val="22"/>
              </w:rPr>
              <w:t>the</w:t>
            </w:r>
            <w:r w:rsidRPr="0052089D">
              <w:rPr>
                <w:spacing w:val="2"/>
                <w:szCs w:val="22"/>
              </w:rPr>
              <w:t xml:space="preserve"> </w:t>
            </w:r>
            <w:r w:rsidRPr="0052089D">
              <w:rPr>
                <w:spacing w:val="-2"/>
                <w:szCs w:val="22"/>
              </w:rPr>
              <w:t xml:space="preserve">Government </w:t>
            </w:r>
            <w:r w:rsidRPr="0052089D">
              <w:rPr>
                <w:szCs w:val="22"/>
              </w:rPr>
              <w:t>should</w:t>
            </w:r>
            <w:r w:rsidRPr="0052089D">
              <w:rPr>
                <w:spacing w:val="-1"/>
                <w:szCs w:val="22"/>
              </w:rPr>
              <w:t xml:space="preserve"> </w:t>
            </w:r>
            <w:r w:rsidRPr="0052089D">
              <w:rPr>
                <w:szCs w:val="22"/>
              </w:rPr>
              <w:t>agree</w:t>
            </w:r>
            <w:r w:rsidRPr="0052089D">
              <w:rPr>
                <w:spacing w:val="-1"/>
                <w:szCs w:val="22"/>
              </w:rPr>
              <w:t xml:space="preserve"> </w:t>
            </w:r>
            <w:r w:rsidRPr="0052089D">
              <w:rPr>
                <w:szCs w:val="22"/>
              </w:rPr>
              <w:t>in the</w:t>
            </w:r>
            <w:r w:rsidRPr="0052089D">
              <w:rPr>
                <w:spacing w:val="-1"/>
                <w:szCs w:val="22"/>
              </w:rPr>
              <w:t xml:space="preserve"> </w:t>
            </w:r>
            <w:r w:rsidRPr="0052089D">
              <w:rPr>
                <w:i/>
                <w:szCs w:val="22"/>
              </w:rPr>
              <w:t>Statement</w:t>
            </w:r>
            <w:r w:rsidRPr="0052089D">
              <w:rPr>
                <w:i/>
                <w:spacing w:val="-1"/>
                <w:szCs w:val="22"/>
              </w:rPr>
              <w:t xml:space="preserve"> </w:t>
            </w:r>
            <w:r w:rsidRPr="0052089D">
              <w:rPr>
                <w:i/>
                <w:szCs w:val="22"/>
              </w:rPr>
              <w:t>on the</w:t>
            </w:r>
            <w:r w:rsidRPr="0052089D">
              <w:rPr>
                <w:i/>
                <w:spacing w:val="-1"/>
                <w:szCs w:val="22"/>
              </w:rPr>
              <w:t xml:space="preserve"> </w:t>
            </w:r>
            <w:r w:rsidRPr="0052089D">
              <w:rPr>
                <w:i/>
                <w:szCs w:val="22"/>
              </w:rPr>
              <w:t>Conduct</w:t>
            </w:r>
            <w:r w:rsidRPr="0052089D">
              <w:rPr>
                <w:i/>
                <w:spacing w:val="-1"/>
                <w:szCs w:val="22"/>
              </w:rPr>
              <w:t xml:space="preserve"> </w:t>
            </w:r>
            <w:r w:rsidRPr="0052089D">
              <w:rPr>
                <w:i/>
                <w:szCs w:val="22"/>
              </w:rPr>
              <w:t>of Monetary</w:t>
            </w:r>
            <w:r w:rsidRPr="0052089D">
              <w:rPr>
                <w:i/>
                <w:spacing w:val="-1"/>
                <w:szCs w:val="22"/>
              </w:rPr>
              <w:t xml:space="preserve"> </w:t>
            </w:r>
            <w:r w:rsidRPr="0052089D">
              <w:rPr>
                <w:i/>
                <w:szCs w:val="22"/>
              </w:rPr>
              <w:t xml:space="preserve">Policy </w:t>
            </w:r>
            <w:r w:rsidRPr="0052089D">
              <w:rPr>
                <w:spacing w:val="-2"/>
                <w:szCs w:val="22"/>
              </w:rPr>
              <w:t>that:</w:t>
            </w:r>
          </w:p>
          <w:p w14:paraId="10F6155F" w14:textId="77777777" w:rsidR="00797C02" w:rsidRDefault="00797C02" w:rsidP="0000278A">
            <w:pPr>
              <w:pStyle w:val="Bullet"/>
            </w:pPr>
            <w:r w:rsidRPr="0052089D">
              <w:t>Equal</w:t>
            </w:r>
            <w:r w:rsidRPr="0052089D">
              <w:rPr>
                <w:spacing w:val="2"/>
              </w:rPr>
              <w:t xml:space="preserve"> </w:t>
            </w:r>
            <w:r w:rsidRPr="0052089D">
              <w:t>consideration</w:t>
            </w:r>
            <w:r w:rsidRPr="0052089D">
              <w:rPr>
                <w:spacing w:val="2"/>
              </w:rPr>
              <w:t xml:space="preserve"> </w:t>
            </w:r>
            <w:r w:rsidRPr="0052089D">
              <w:t>should</w:t>
            </w:r>
            <w:r w:rsidRPr="0052089D">
              <w:rPr>
                <w:spacing w:val="2"/>
              </w:rPr>
              <w:t xml:space="preserve"> </w:t>
            </w:r>
            <w:r w:rsidRPr="0052089D">
              <w:t>be</w:t>
            </w:r>
            <w:r w:rsidRPr="0052089D">
              <w:rPr>
                <w:spacing w:val="2"/>
              </w:rPr>
              <w:t xml:space="preserve"> </w:t>
            </w:r>
            <w:r w:rsidRPr="0052089D">
              <w:t>given</w:t>
            </w:r>
            <w:r w:rsidRPr="0052089D">
              <w:rPr>
                <w:spacing w:val="2"/>
              </w:rPr>
              <w:t xml:space="preserve"> </w:t>
            </w:r>
            <w:r w:rsidRPr="0052089D">
              <w:t>to</w:t>
            </w:r>
            <w:r w:rsidRPr="0052089D">
              <w:rPr>
                <w:spacing w:val="3"/>
              </w:rPr>
              <w:t xml:space="preserve"> </w:t>
            </w:r>
            <w:r w:rsidRPr="0052089D">
              <w:t>price</w:t>
            </w:r>
            <w:r w:rsidRPr="0052089D">
              <w:rPr>
                <w:spacing w:val="2"/>
              </w:rPr>
              <w:t xml:space="preserve"> </w:t>
            </w:r>
            <w:r w:rsidRPr="0052089D">
              <w:t>stability</w:t>
            </w:r>
            <w:r w:rsidRPr="0052089D">
              <w:rPr>
                <w:spacing w:val="2"/>
              </w:rPr>
              <w:t xml:space="preserve"> </w:t>
            </w:r>
            <w:r w:rsidRPr="0052089D">
              <w:t>and</w:t>
            </w:r>
            <w:r w:rsidRPr="0052089D">
              <w:rPr>
                <w:spacing w:val="2"/>
              </w:rPr>
              <w:t xml:space="preserve"> </w:t>
            </w:r>
            <w:r w:rsidRPr="0052089D">
              <w:t>full</w:t>
            </w:r>
            <w:r w:rsidRPr="0052089D">
              <w:rPr>
                <w:spacing w:val="2"/>
              </w:rPr>
              <w:t xml:space="preserve"> </w:t>
            </w:r>
            <w:r w:rsidRPr="0052089D">
              <w:t>employment</w:t>
            </w:r>
            <w:r w:rsidRPr="0052089D">
              <w:rPr>
                <w:spacing w:val="3"/>
              </w:rPr>
              <w:t xml:space="preserve"> </w:t>
            </w:r>
            <w:r w:rsidRPr="0052089D">
              <w:rPr>
                <w:spacing w:val="-5"/>
              </w:rPr>
              <w:t>in</w:t>
            </w:r>
            <w:r>
              <w:rPr>
                <w:spacing w:val="-5"/>
              </w:rPr>
              <w:t xml:space="preserve"> </w:t>
            </w:r>
            <w:r>
              <w:t>setting</w:t>
            </w:r>
            <w:r w:rsidRPr="0052089D">
              <w:rPr>
                <w:spacing w:val="11"/>
              </w:rPr>
              <w:t xml:space="preserve"> </w:t>
            </w:r>
            <w:r>
              <w:t>monetary</w:t>
            </w:r>
            <w:r w:rsidRPr="0052089D">
              <w:rPr>
                <w:spacing w:val="12"/>
              </w:rPr>
              <w:t xml:space="preserve"> </w:t>
            </w:r>
            <w:r w:rsidRPr="0052089D">
              <w:rPr>
                <w:spacing w:val="-2"/>
              </w:rPr>
              <w:t>policy.</w:t>
            </w:r>
          </w:p>
          <w:p w14:paraId="4B9E93FC" w14:textId="77777777" w:rsidR="00797C02" w:rsidRDefault="00797C02" w:rsidP="0000278A">
            <w:pPr>
              <w:pStyle w:val="Bullet"/>
            </w:pPr>
            <w:r>
              <w:t>There</w:t>
            </w:r>
            <w:r>
              <w:rPr>
                <w:spacing w:val="-2"/>
              </w:rPr>
              <w:t xml:space="preserve"> </w:t>
            </w:r>
            <w:r>
              <w:t>should</w:t>
            </w:r>
            <w:r>
              <w:rPr>
                <w:spacing w:val="-1"/>
              </w:rPr>
              <w:t xml:space="preserve"> </w:t>
            </w:r>
            <w:r>
              <w:t>be</w:t>
            </w:r>
            <w:r>
              <w:rPr>
                <w:spacing w:val="-1"/>
              </w:rPr>
              <w:t xml:space="preserve"> </w:t>
            </w:r>
            <w:r>
              <w:t>a</w:t>
            </w:r>
            <w:r>
              <w:rPr>
                <w:spacing w:val="-1"/>
              </w:rPr>
              <w:t xml:space="preserve"> </w:t>
            </w:r>
            <w:r>
              <w:t>flexible</w:t>
            </w:r>
            <w:r>
              <w:rPr>
                <w:spacing w:val="-1"/>
              </w:rPr>
              <w:t xml:space="preserve"> </w:t>
            </w:r>
            <w:r>
              <w:t>inflation</w:t>
            </w:r>
            <w:r>
              <w:rPr>
                <w:spacing w:val="-1"/>
              </w:rPr>
              <w:t xml:space="preserve"> </w:t>
            </w:r>
            <w:r>
              <w:t>target</w:t>
            </w:r>
            <w:r>
              <w:rPr>
                <w:spacing w:val="-1"/>
              </w:rPr>
              <w:t xml:space="preserve"> </w:t>
            </w:r>
            <w:r>
              <w:t>of</w:t>
            </w:r>
            <w:r>
              <w:rPr>
                <w:spacing w:val="-1"/>
              </w:rPr>
              <w:t xml:space="preserve"> </w:t>
            </w:r>
            <w:r>
              <w:t>2-3</w:t>
            </w:r>
            <w:r>
              <w:rPr>
                <w:spacing w:val="-1"/>
              </w:rPr>
              <w:t xml:space="preserve"> </w:t>
            </w:r>
            <w:r>
              <w:t>per</w:t>
            </w:r>
            <w:r>
              <w:rPr>
                <w:spacing w:val="-1"/>
              </w:rPr>
              <w:t xml:space="preserve"> </w:t>
            </w:r>
            <w:r>
              <w:rPr>
                <w:spacing w:val="-4"/>
              </w:rPr>
              <w:t>cent.</w:t>
            </w:r>
          </w:p>
          <w:p w14:paraId="1DA00669" w14:textId="77777777" w:rsidR="00797C02" w:rsidRDefault="00797C02" w:rsidP="0000278A">
            <w:pPr>
              <w:pStyle w:val="Bullet"/>
            </w:pPr>
            <w:r>
              <w:t>The</w:t>
            </w:r>
            <w:r>
              <w:rPr>
                <w:spacing w:val="15"/>
              </w:rPr>
              <w:t xml:space="preserve"> </w:t>
            </w:r>
            <w:r>
              <w:t>Monetary</w:t>
            </w:r>
            <w:r>
              <w:rPr>
                <w:spacing w:val="15"/>
              </w:rPr>
              <w:t xml:space="preserve"> </w:t>
            </w:r>
            <w:r>
              <w:t>Policy</w:t>
            </w:r>
            <w:r>
              <w:rPr>
                <w:spacing w:val="15"/>
              </w:rPr>
              <w:t xml:space="preserve"> </w:t>
            </w:r>
            <w:r>
              <w:t>Board</w:t>
            </w:r>
            <w:r>
              <w:rPr>
                <w:spacing w:val="15"/>
              </w:rPr>
              <w:t xml:space="preserve"> </w:t>
            </w:r>
            <w:r>
              <w:t>should</w:t>
            </w:r>
            <w:r>
              <w:rPr>
                <w:spacing w:val="15"/>
              </w:rPr>
              <w:t xml:space="preserve"> </w:t>
            </w:r>
            <w:r>
              <w:t>aim</w:t>
            </w:r>
            <w:r>
              <w:rPr>
                <w:spacing w:val="15"/>
              </w:rPr>
              <w:t xml:space="preserve"> </w:t>
            </w:r>
            <w:r>
              <w:t>for</w:t>
            </w:r>
            <w:r>
              <w:rPr>
                <w:spacing w:val="15"/>
              </w:rPr>
              <w:t xml:space="preserve"> </w:t>
            </w:r>
            <w:r>
              <w:t>the</w:t>
            </w:r>
            <w:r>
              <w:rPr>
                <w:spacing w:val="15"/>
              </w:rPr>
              <w:t xml:space="preserve"> </w:t>
            </w:r>
            <w:r>
              <w:t>midpoint</w:t>
            </w:r>
            <w:r>
              <w:rPr>
                <w:spacing w:val="15"/>
              </w:rPr>
              <w:t xml:space="preserve"> </w:t>
            </w:r>
            <w:r>
              <w:t>of</w:t>
            </w:r>
            <w:r>
              <w:rPr>
                <w:spacing w:val="15"/>
              </w:rPr>
              <w:t xml:space="preserve"> </w:t>
            </w:r>
            <w:r>
              <w:t>the</w:t>
            </w:r>
            <w:r>
              <w:rPr>
                <w:spacing w:val="15"/>
              </w:rPr>
              <w:t xml:space="preserve"> </w:t>
            </w:r>
            <w:r>
              <w:t>inflation</w:t>
            </w:r>
            <w:r>
              <w:rPr>
                <w:spacing w:val="15"/>
              </w:rPr>
              <w:t xml:space="preserve"> </w:t>
            </w:r>
            <w:r>
              <w:t>target in</w:t>
            </w:r>
            <w:r>
              <w:rPr>
                <w:spacing w:val="-1"/>
              </w:rPr>
              <w:t xml:space="preserve"> </w:t>
            </w:r>
            <w:r>
              <w:t>order</w:t>
            </w:r>
            <w:r>
              <w:rPr>
                <w:spacing w:val="-1"/>
              </w:rPr>
              <w:t xml:space="preserve"> </w:t>
            </w:r>
            <w:r>
              <w:t>to</w:t>
            </w:r>
            <w:r>
              <w:rPr>
                <w:spacing w:val="-1"/>
              </w:rPr>
              <w:t xml:space="preserve"> </w:t>
            </w:r>
            <w:r>
              <w:t>maximise</w:t>
            </w:r>
            <w:r>
              <w:rPr>
                <w:spacing w:val="-1"/>
              </w:rPr>
              <w:t xml:space="preserve"> </w:t>
            </w:r>
            <w:r>
              <w:t>the</w:t>
            </w:r>
            <w:r>
              <w:rPr>
                <w:spacing w:val="-1"/>
              </w:rPr>
              <w:t xml:space="preserve"> </w:t>
            </w:r>
            <w:r>
              <w:t>chance</w:t>
            </w:r>
            <w:r>
              <w:rPr>
                <w:spacing w:val="-1"/>
              </w:rPr>
              <w:t xml:space="preserve"> </w:t>
            </w:r>
            <w:r>
              <w:t>that</w:t>
            </w:r>
            <w:r>
              <w:rPr>
                <w:spacing w:val="-1"/>
              </w:rPr>
              <w:t xml:space="preserve"> </w:t>
            </w:r>
            <w:r>
              <w:t>the</w:t>
            </w:r>
            <w:r>
              <w:rPr>
                <w:spacing w:val="-1"/>
              </w:rPr>
              <w:t xml:space="preserve"> </w:t>
            </w:r>
            <w:r>
              <w:t>target</w:t>
            </w:r>
            <w:r>
              <w:rPr>
                <w:spacing w:val="-1"/>
              </w:rPr>
              <w:t xml:space="preserve"> </w:t>
            </w:r>
            <w:r>
              <w:t>is</w:t>
            </w:r>
            <w:r>
              <w:rPr>
                <w:spacing w:val="-1"/>
              </w:rPr>
              <w:t xml:space="preserve"> </w:t>
            </w:r>
            <w:r>
              <w:t>met</w:t>
            </w:r>
            <w:r>
              <w:rPr>
                <w:spacing w:val="-1"/>
              </w:rPr>
              <w:t xml:space="preserve"> </w:t>
            </w:r>
            <w:r>
              <w:t>and</w:t>
            </w:r>
            <w:r>
              <w:rPr>
                <w:spacing w:val="-1"/>
              </w:rPr>
              <w:t xml:space="preserve"> </w:t>
            </w:r>
            <w:r>
              <w:t>best</w:t>
            </w:r>
            <w:r>
              <w:rPr>
                <w:spacing w:val="-1"/>
              </w:rPr>
              <w:t xml:space="preserve"> </w:t>
            </w:r>
            <w:r>
              <w:t>anchor</w:t>
            </w:r>
            <w:r>
              <w:rPr>
                <w:spacing w:val="-1"/>
              </w:rPr>
              <w:t xml:space="preserve"> </w:t>
            </w:r>
            <w:r>
              <w:t xml:space="preserve">inflation </w:t>
            </w:r>
            <w:r>
              <w:rPr>
                <w:spacing w:val="-2"/>
              </w:rPr>
              <w:t>expectations.</w:t>
            </w:r>
          </w:p>
          <w:p w14:paraId="1F22B826" w14:textId="77777777" w:rsidR="00797C02" w:rsidRPr="0052089D" w:rsidRDefault="00797C02" w:rsidP="0000278A">
            <w:pPr>
              <w:pStyle w:val="Bullet"/>
            </w:pPr>
            <w:r w:rsidRPr="0052089D">
              <w:t>The</w:t>
            </w:r>
            <w:r w:rsidRPr="0052089D">
              <w:rPr>
                <w:spacing w:val="-1"/>
              </w:rPr>
              <w:t xml:space="preserve"> </w:t>
            </w:r>
            <w:r w:rsidRPr="0052089D">
              <w:t>Monetary</w:t>
            </w:r>
            <w:r w:rsidRPr="0052089D">
              <w:rPr>
                <w:spacing w:val="1"/>
              </w:rPr>
              <w:t xml:space="preserve"> </w:t>
            </w:r>
            <w:r w:rsidRPr="0052089D">
              <w:t>Policy</w:t>
            </w:r>
            <w:r w:rsidRPr="0052089D">
              <w:rPr>
                <w:spacing w:val="2"/>
              </w:rPr>
              <w:t xml:space="preserve"> </w:t>
            </w:r>
            <w:r w:rsidRPr="0052089D">
              <w:t>Board</w:t>
            </w:r>
            <w:r w:rsidRPr="0052089D">
              <w:rPr>
                <w:spacing w:val="1"/>
              </w:rPr>
              <w:t xml:space="preserve"> </w:t>
            </w:r>
            <w:r w:rsidRPr="0052089D">
              <w:t>should</w:t>
            </w:r>
            <w:r w:rsidRPr="0052089D">
              <w:rPr>
                <w:spacing w:val="1"/>
              </w:rPr>
              <w:t xml:space="preserve"> </w:t>
            </w:r>
            <w:r w:rsidRPr="0052089D">
              <w:t>set</w:t>
            </w:r>
            <w:r w:rsidRPr="0052089D">
              <w:rPr>
                <w:spacing w:val="2"/>
              </w:rPr>
              <w:t xml:space="preserve"> </w:t>
            </w:r>
            <w:r w:rsidRPr="0052089D">
              <w:t>out</w:t>
            </w:r>
            <w:r w:rsidRPr="0052089D">
              <w:rPr>
                <w:spacing w:val="1"/>
              </w:rPr>
              <w:t xml:space="preserve"> </w:t>
            </w:r>
            <w:r w:rsidRPr="0052089D">
              <w:t>its</w:t>
            </w:r>
            <w:r w:rsidRPr="0052089D">
              <w:rPr>
                <w:spacing w:val="1"/>
              </w:rPr>
              <w:t xml:space="preserve"> </w:t>
            </w:r>
            <w:r w:rsidRPr="0052089D">
              <w:t>assessment</w:t>
            </w:r>
            <w:r w:rsidRPr="0052089D">
              <w:rPr>
                <w:spacing w:val="2"/>
              </w:rPr>
              <w:t xml:space="preserve"> </w:t>
            </w:r>
            <w:r w:rsidRPr="0052089D">
              <w:t>of</w:t>
            </w:r>
            <w:r w:rsidRPr="0052089D">
              <w:rPr>
                <w:spacing w:val="1"/>
              </w:rPr>
              <w:t xml:space="preserve"> </w:t>
            </w:r>
            <w:r w:rsidRPr="0052089D">
              <w:t>its</w:t>
            </w:r>
            <w:r w:rsidRPr="0052089D">
              <w:rPr>
                <w:spacing w:val="1"/>
              </w:rPr>
              <w:t xml:space="preserve"> </w:t>
            </w:r>
            <w:r w:rsidRPr="0052089D">
              <w:t>full</w:t>
            </w:r>
            <w:r w:rsidRPr="0052089D">
              <w:rPr>
                <w:spacing w:val="2"/>
              </w:rPr>
              <w:t xml:space="preserve"> </w:t>
            </w:r>
            <w:r w:rsidRPr="0052089D">
              <w:rPr>
                <w:spacing w:val="-2"/>
              </w:rPr>
              <w:t>employment</w:t>
            </w:r>
            <w:r>
              <w:rPr>
                <w:spacing w:val="-2"/>
              </w:rPr>
              <w:t xml:space="preserve"> </w:t>
            </w:r>
            <w:r w:rsidRPr="0052089D">
              <w:t>objective,</w:t>
            </w:r>
            <w:r w:rsidRPr="0052089D">
              <w:rPr>
                <w:spacing w:val="-4"/>
              </w:rPr>
              <w:t xml:space="preserve"> </w:t>
            </w:r>
            <w:r w:rsidRPr="0052089D">
              <w:t>as</w:t>
            </w:r>
            <w:r w:rsidRPr="0052089D">
              <w:rPr>
                <w:spacing w:val="-1"/>
              </w:rPr>
              <w:t xml:space="preserve"> </w:t>
            </w:r>
            <w:r w:rsidRPr="0052089D">
              <w:t>reflected</w:t>
            </w:r>
            <w:r w:rsidRPr="0052089D">
              <w:rPr>
                <w:spacing w:val="-1"/>
              </w:rPr>
              <w:t xml:space="preserve"> </w:t>
            </w:r>
            <w:r w:rsidRPr="0052089D">
              <w:t>in</w:t>
            </w:r>
            <w:r w:rsidRPr="0052089D">
              <w:rPr>
                <w:spacing w:val="-1"/>
              </w:rPr>
              <w:t xml:space="preserve"> </w:t>
            </w:r>
            <w:r w:rsidRPr="0052089D">
              <w:t>a</w:t>
            </w:r>
            <w:r w:rsidRPr="0052089D">
              <w:rPr>
                <w:spacing w:val="-1"/>
              </w:rPr>
              <w:t xml:space="preserve"> </w:t>
            </w:r>
            <w:r w:rsidRPr="0052089D">
              <w:t>range</w:t>
            </w:r>
            <w:r w:rsidRPr="0052089D">
              <w:rPr>
                <w:spacing w:val="-1"/>
              </w:rPr>
              <w:t xml:space="preserve"> </w:t>
            </w:r>
            <w:r w:rsidRPr="0052089D">
              <w:t>of</w:t>
            </w:r>
            <w:r w:rsidRPr="0052089D">
              <w:rPr>
                <w:spacing w:val="-2"/>
              </w:rPr>
              <w:t xml:space="preserve"> </w:t>
            </w:r>
            <w:r w:rsidRPr="0052089D">
              <w:t>relevant</w:t>
            </w:r>
            <w:r w:rsidRPr="0052089D">
              <w:rPr>
                <w:spacing w:val="-1"/>
              </w:rPr>
              <w:t xml:space="preserve"> </w:t>
            </w:r>
            <w:r w:rsidRPr="0052089D">
              <w:t>indicators</w:t>
            </w:r>
            <w:r w:rsidRPr="0052089D">
              <w:rPr>
                <w:spacing w:val="-1"/>
              </w:rPr>
              <w:t xml:space="preserve"> </w:t>
            </w:r>
            <w:r w:rsidRPr="0052089D">
              <w:t>of</w:t>
            </w:r>
            <w:r w:rsidRPr="0052089D">
              <w:rPr>
                <w:spacing w:val="-1"/>
              </w:rPr>
              <w:t xml:space="preserve"> </w:t>
            </w:r>
            <w:r w:rsidRPr="0052089D">
              <w:t>labour</w:t>
            </w:r>
            <w:r w:rsidRPr="0052089D">
              <w:rPr>
                <w:spacing w:val="-1"/>
              </w:rPr>
              <w:t xml:space="preserve"> </w:t>
            </w:r>
            <w:r w:rsidRPr="0052089D">
              <w:t>market</w:t>
            </w:r>
            <w:r w:rsidRPr="0052089D">
              <w:rPr>
                <w:spacing w:val="-1"/>
              </w:rPr>
              <w:t xml:space="preserve"> </w:t>
            </w:r>
            <w:r w:rsidRPr="0052089D">
              <w:rPr>
                <w:spacing w:val="-2"/>
              </w:rPr>
              <w:t>conditions.</w:t>
            </w:r>
          </w:p>
          <w:p w14:paraId="11FF40A8" w14:textId="77777777" w:rsidR="00797C02" w:rsidRDefault="00797C02" w:rsidP="0000278A">
            <w:pPr>
              <w:pStyle w:val="Bullet"/>
            </w:pPr>
            <w:r>
              <w:t>The Monetary Policy Board has the flexibility to vary the timeframes over which it aims to bring inflation back to around the midpoint of the target, taking into account the full employment objective, when significant deviations occur.</w:t>
            </w:r>
          </w:p>
        </w:tc>
      </w:tr>
      <w:tr w:rsidR="00797C02" w14:paraId="758AD1D9" w14:textId="77777777" w:rsidTr="00F22AE5">
        <w:trPr>
          <w:gridBefore w:val="1"/>
          <w:wBefore w:w="100" w:type="pct"/>
          <w:trHeight w:val="2598"/>
        </w:trPr>
        <w:tc>
          <w:tcPr>
            <w:tcW w:w="423" w:type="pct"/>
            <w:gridSpan w:val="3"/>
          </w:tcPr>
          <w:p w14:paraId="0ECBC722" w14:textId="77777777" w:rsidR="00797C02" w:rsidRDefault="00797C02" w:rsidP="00F22AE5">
            <w:r>
              <w:t>2.2</w:t>
            </w:r>
          </w:p>
        </w:tc>
        <w:tc>
          <w:tcPr>
            <w:tcW w:w="4476" w:type="pct"/>
            <w:gridSpan w:val="3"/>
          </w:tcPr>
          <w:p w14:paraId="3AA32A16" w14:textId="77777777" w:rsidR="00797C02" w:rsidRDefault="00797C02" w:rsidP="00F22AE5">
            <w:r>
              <w:t xml:space="preserve">The </w:t>
            </w:r>
            <w:r>
              <w:rPr>
                <w:i/>
              </w:rPr>
              <w:t>Statement on the Conduct of Monetary Policy</w:t>
            </w:r>
            <w:r>
              <w:rPr>
                <w:i/>
                <w:spacing w:val="-1"/>
              </w:rPr>
              <w:t xml:space="preserve"> </w:t>
            </w:r>
            <w:r>
              <w:t>should outline how the RBA Monetary Policy Board will communicate its use of the framework’s flexibility including expectations that the RBA will, in its regular communications:</w:t>
            </w:r>
          </w:p>
          <w:p w14:paraId="20925374" w14:textId="77777777" w:rsidR="00797C02" w:rsidRDefault="00797C02" w:rsidP="0000278A">
            <w:pPr>
              <w:pStyle w:val="Bullet"/>
            </w:pPr>
            <w:r>
              <w:t>explain</w:t>
            </w:r>
            <w:r>
              <w:rPr>
                <w:spacing w:val="-1"/>
              </w:rPr>
              <w:t xml:space="preserve"> </w:t>
            </w:r>
            <w:r>
              <w:t>how</w:t>
            </w:r>
            <w:r>
              <w:rPr>
                <w:spacing w:val="-1"/>
              </w:rPr>
              <w:t xml:space="preserve"> </w:t>
            </w:r>
            <w:r>
              <w:t>long</w:t>
            </w:r>
            <w:r>
              <w:rPr>
                <w:spacing w:val="-1"/>
              </w:rPr>
              <w:t xml:space="preserve"> </w:t>
            </w:r>
            <w:r>
              <w:t>inflation</w:t>
            </w:r>
            <w:r>
              <w:rPr>
                <w:spacing w:val="-1"/>
              </w:rPr>
              <w:t xml:space="preserve"> </w:t>
            </w:r>
            <w:r>
              <w:t>is</w:t>
            </w:r>
            <w:r>
              <w:rPr>
                <w:spacing w:val="-1"/>
              </w:rPr>
              <w:t xml:space="preserve"> </w:t>
            </w:r>
            <w:r>
              <w:t>expected</w:t>
            </w:r>
            <w:r>
              <w:rPr>
                <w:spacing w:val="-1"/>
              </w:rPr>
              <w:t xml:space="preserve"> </w:t>
            </w:r>
            <w:r>
              <w:t>to</w:t>
            </w:r>
            <w:r>
              <w:rPr>
                <w:spacing w:val="-1"/>
              </w:rPr>
              <w:t xml:space="preserve"> </w:t>
            </w:r>
            <w:r>
              <w:t>be</w:t>
            </w:r>
            <w:r>
              <w:rPr>
                <w:spacing w:val="-1"/>
              </w:rPr>
              <w:t xml:space="preserve"> </w:t>
            </w:r>
            <w:r>
              <w:t>materially</w:t>
            </w:r>
            <w:r>
              <w:rPr>
                <w:spacing w:val="-1"/>
              </w:rPr>
              <w:t xml:space="preserve"> </w:t>
            </w:r>
            <w:r>
              <w:t>away</w:t>
            </w:r>
            <w:r>
              <w:rPr>
                <w:spacing w:val="-1"/>
              </w:rPr>
              <w:t xml:space="preserve"> </w:t>
            </w:r>
            <w:r>
              <w:t>from</w:t>
            </w:r>
            <w:r>
              <w:rPr>
                <w:spacing w:val="-1"/>
              </w:rPr>
              <w:t xml:space="preserve"> </w:t>
            </w:r>
            <w:r>
              <w:t>the</w:t>
            </w:r>
            <w:r>
              <w:rPr>
                <w:spacing w:val="-1"/>
              </w:rPr>
              <w:t xml:space="preserve"> </w:t>
            </w:r>
            <w:r>
              <w:t>midpoint</w:t>
            </w:r>
            <w:r>
              <w:rPr>
                <w:spacing w:val="-1"/>
              </w:rPr>
              <w:t xml:space="preserve"> </w:t>
            </w:r>
            <w:r>
              <w:t>of the target and why, how long labour market conditions are expected to deviate from full employment and why, and how it is balancing its two objectives</w:t>
            </w:r>
          </w:p>
          <w:p w14:paraId="28984B3B" w14:textId="77777777" w:rsidR="00797C02" w:rsidRDefault="00797C02" w:rsidP="0000278A">
            <w:pPr>
              <w:pStyle w:val="Bullet"/>
            </w:pPr>
            <w:r>
              <w:t>explain the key factors affecting its decision making, such as financial stability risks which should be a consideration in monetary policy decisions to the extent that they may influence the price stability and full employment objectives.</w:t>
            </w:r>
          </w:p>
        </w:tc>
      </w:tr>
      <w:tr w:rsidR="00797C02" w14:paraId="71DCF239" w14:textId="77777777" w:rsidTr="00FA4DE9">
        <w:trPr>
          <w:gridBefore w:val="1"/>
          <w:wBefore w:w="100" w:type="pct"/>
          <w:trHeight w:val="925"/>
        </w:trPr>
        <w:tc>
          <w:tcPr>
            <w:tcW w:w="4900" w:type="pct"/>
            <w:gridSpan w:val="6"/>
            <w:tcBorders>
              <w:bottom w:val="single" w:sz="8" w:space="0" w:color="ECEDE9"/>
            </w:tcBorders>
          </w:tcPr>
          <w:p w14:paraId="69A1739B" w14:textId="77777777" w:rsidR="00797C02" w:rsidRDefault="00797C02" w:rsidP="00F22AE5">
            <w:pPr>
              <w:pStyle w:val="Heading4"/>
            </w:pPr>
            <w:r>
              <w:lastRenderedPageBreak/>
              <w:t>Recommendation 3:</w:t>
            </w:r>
            <w:r>
              <w:rPr>
                <w:spacing w:val="1"/>
              </w:rPr>
              <w:t xml:space="preserve"> </w:t>
            </w:r>
            <w:r>
              <w:t>Promote a</w:t>
            </w:r>
            <w:r>
              <w:rPr>
                <w:spacing w:val="1"/>
              </w:rPr>
              <w:t xml:space="preserve"> </w:t>
            </w:r>
            <w:r>
              <w:t>better understanding</w:t>
            </w:r>
            <w:r>
              <w:rPr>
                <w:spacing w:val="1"/>
              </w:rPr>
              <w:t xml:space="preserve"> </w:t>
            </w:r>
            <w:r>
              <w:t>of the</w:t>
            </w:r>
            <w:r>
              <w:rPr>
                <w:spacing w:val="1"/>
              </w:rPr>
              <w:t xml:space="preserve"> </w:t>
            </w:r>
            <w:r>
              <w:t>relative roles</w:t>
            </w:r>
            <w:r>
              <w:rPr>
                <w:spacing w:val="1"/>
              </w:rPr>
              <w:t xml:space="preserve"> </w:t>
            </w:r>
            <w:r>
              <w:t>of</w:t>
            </w:r>
            <w:r>
              <w:rPr>
                <w:spacing w:val="1"/>
              </w:rPr>
              <w:t xml:space="preserve"> </w:t>
            </w:r>
            <w:r>
              <w:rPr>
                <w:spacing w:val="-2"/>
              </w:rPr>
              <w:t xml:space="preserve">fiscal </w:t>
            </w:r>
            <w:r>
              <w:t>and</w:t>
            </w:r>
            <w:r>
              <w:rPr>
                <w:spacing w:val="3"/>
              </w:rPr>
              <w:t xml:space="preserve"> </w:t>
            </w:r>
            <w:r>
              <w:t>monetary</w:t>
            </w:r>
            <w:r>
              <w:rPr>
                <w:spacing w:val="4"/>
              </w:rPr>
              <w:t xml:space="preserve"> </w:t>
            </w:r>
            <w:r>
              <w:rPr>
                <w:spacing w:val="-2"/>
              </w:rPr>
              <w:t>policy</w:t>
            </w:r>
          </w:p>
        </w:tc>
      </w:tr>
      <w:tr w:rsidR="00797C02" w14:paraId="4F9DDD8B" w14:textId="77777777" w:rsidTr="00F22AE5">
        <w:trPr>
          <w:gridBefore w:val="1"/>
          <w:wBefore w:w="100" w:type="pct"/>
          <w:trHeight w:val="4014"/>
        </w:trPr>
        <w:tc>
          <w:tcPr>
            <w:tcW w:w="423" w:type="pct"/>
            <w:gridSpan w:val="3"/>
            <w:tcBorders>
              <w:top w:val="single" w:sz="8" w:space="0" w:color="ECEDE9"/>
              <w:bottom w:val="single" w:sz="8" w:space="0" w:color="ECEDE9"/>
            </w:tcBorders>
          </w:tcPr>
          <w:p w14:paraId="44456AA5" w14:textId="77777777" w:rsidR="00797C02" w:rsidRDefault="00797C02" w:rsidP="00F22AE5">
            <w:r>
              <w:t>3.1</w:t>
            </w:r>
          </w:p>
        </w:tc>
        <w:tc>
          <w:tcPr>
            <w:tcW w:w="4476" w:type="pct"/>
            <w:gridSpan w:val="3"/>
            <w:tcBorders>
              <w:top w:val="single" w:sz="8" w:space="0" w:color="ECEDE9"/>
              <w:bottom w:val="single" w:sz="8" w:space="0" w:color="ECEDE9"/>
            </w:tcBorders>
          </w:tcPr>
          <w:p w14:paraId="3619122F" w14:textId="77777777" w:rsidR="00797C02" w:rsidRDefault="00797C02" w:rsidP="00F22AE5">
            <w:r>
              <w:t xml:space="preserve">The </w:t>
            </w:r>
            <w:r>
              <w:rPr>
                <w:i/>
              </w:rPr>
              <w:t xml:space="preserve">Statement on the Conduct of Monetary Policy </w:t>
            </w:r>
            <w:r>
              <w:t>should acknowledge the importance of both monetary policy and fiscal policy for macroeconomic outcomes. The Government (in particular Treasury) and the RBA should commit to:</w:t>
            </w:r>
          </w:p>
          <w:p w14:paraId="7ADB7188" w14:textId="77777777" w:rsidR="00797C02" w:rsidRDefault="00797C02" w:rsidP="0000278A">
            <w:pPr>
              <w:pStyle w:val="Bullet"/>
            </w:pPr>
            <w:r>
              <w:t>continue to regularly share information about the economic outlook, risks and policy constraints</w:t>
            </w:r>
          </w:p>
          <w:p w14:paraId="4F9F7427" w14:textId="77777777" w:rsidR="00797C02" w:rsidRDefault="00797C02" w:rsidP="0000278A">
            <w:pPr>
              <w:pStyle w:val="Bullet"/>
            </w:pPr>
            <w:r>
              <w:t>work together to analyse the impacts of monetary policy decisions on fiscal policy, and the impacts of fiscal policy decisions on monetary policy</w:t>
            </w:r>
          </w:p>
          <w:p w14:paraId="3337DEDA" w14:textId="77777777" w:rsidR="00797C02" w:rsidRDefault="00797C02" w:rsidP="0000278A">
            <w:pPr>
              <w:pStyle w:val="Bullet"/>
            </w:pPr>
            <w:r>
              <w:t>jointly develop scenario analysis that identifies the best combination of policy responses to economic challenges, in ways that do not compromise monetary policy independence</w:t>
            </w:r>
          </w:p>
          <w:p w14:paraId="016D0D24" w14:textId="77777777" w:rsidR="00797C02" w:rsidRDefault="00797C02" w:rsidP="0000278A">
            <w:pPr>
              <w:pStyle w:val="Bullet"/>
            </w:pPr>
            <w:r>
              <w:t>identify how the RBA’s monetary policy framework and the Government’s fiscal approach can together best support good economic outcomes and acknowledge that fiscal policy may have a larger role in some circumstances, for example when the cash rate is at its effective lower bound.</w:t>
            </w:r>
          </w:p>
        </w:tc>
      </w:tr>
      <w:tr w:rsidR="00797C02" w14:paraId="216D302E" w14:textId="77777777" w:rsidTr="00FA4DE9">
        <w:trPr>
          <w:gridBefore w:val="1"/>
          <w:wBefore w:w="100" w:type="pct"/>
          <w:trHeight w:val="1192"/>
        </w:trPr>
        <w:tc>
          <w:tcPr>
            <w:tcW w:w="423" w:type="pct"/>
            <w:gridSpan w:val="3"/>
            <w:tcBorders>
              <w:top w:val="single" w:sz="8" w:space="0" w:color="ECEDE9"/>
              <w:bottom w:val="single" w:sz="8" w:space="0" w:color="ECEDE9"/>
            </w:tcBorders>
          </w:tcPr>
          <w:p w14:paraId="7648F190" w14:textId="77777777" w:rsidR="00797C02" w:rsidRPr="009774A4" w:rsidRDefault="00797C02" w:rsidP="00F22AE5">
            <w:r>
              <w:t>3.2</w:t>
            </w:r>
          </w:p>
        </w:tc>
        <w:tc>
          <w:tcPr>
            <w:tcW w:w="4476" w:type="pct"/>
            <w:gridSpan w:val="3"/>
            <w:tcBorders>
              <w:top w:val="single" w:sz="8" w:space="0" w:color="ECEDE9"/>
              <w:bottom w:val="single" w:sz="8" w:space="0" w:color="ECEDE9"/>
            </w:tcBorders>
          </w:tcPr>
          <w:p w14:paraId="67682556" w14:textId="77777777" w:rsidR="00797C02" w:rsidRDefault="00797C02" w:rsidP="00F22AE5">
            <w:r>
              <w:t>The RBA and Treasury should develop an Australian Macroeconomic Policy Research Program</w:t>
            </w:r>
            <w:r w:rsidRPr="009774A4">
              <w:t xml:space="preserve"> </w:t>
            </w:r>
            <w:r>
              <w:t>to</w:t>
            </w:r>
            <w:r w:rsidRPr="009774A4">
              <w:t xml:space="preserve"> </w:t>
            </w:r>
            <w:r>
              <w:t>promote</w:t>
            </w:r>
            <w:r w:rsidRPr="009774A4">
              <w:t xml:space="preserve"> </w:t>
            </w:r>
            <w:r>
              <w:t>applied</w:t>
            </w:r>
            <w:r w:rsidRPr="009774A4">
              <w:t xml:space="preserve"> </w:t>
            </w:r>
            <w:r>
              <w:t>research</w:t>
            </w:r>
            <w:r w:rsidRPr="009774A4">
              <w:t xml:space="preserve"> </w:t>
            </w:r>
            <w:r>
              <w:t>and</w:t>
            </w:r>
            <w:r w:rsidRPr="009774A4">
              <w:t xml:space="preserve"> </w:t>
            </w:r>
            <w:r>
              <w:t>analytics</w:t>
            </w:r>
            <w:r w:rsidRPr="009774A4">
              <w:t xml:space="preserve"> </w:t>
            </w:r>
            <w:r>
              <w:t>on</w:t>
            </w:r>
            <w:r w:rsidRPr="009774A4">
              <w:t xml:space="preserve"> </w:t>
            </w:r>
            <w:r>
              <w:t>Australian</w:t>
            </w:r>
            <w:r w:rsidRPr="009774A4">
              <w:t xml:space="preserve"> </w:t>
            </w:r>
            <w:r>
              <w:t>monetary,</w:t>
            </w:r>
            <w:r w:rsidRPr="009774A4">
              <w:t xml:space="preserve"> </w:t>
            </w:r>
            <w:r>
              <w:t>fiscal</w:t>
            </w:r>
            <w:r w:rsidRPr="009774A4">
              <w:t xml:space="preserve"> </w:t>
            </w:r>
            <w:r>
              <w:t>and financial policy, working with universities and think tanks that have such programs.</w:t>
            </w:r>
          </w:p>
        </w:tc>
      </w:tr>
      <w:tr w:rsidR="00797C02" w14:paraId="4F1D3E54" w14:textId="77777777" w:rsidTr="00FA4DE9">
        <w:trPr>
          <w:gridBefore w:val="1"/>
          <w:wBefore w:w="100" w:type="pct"/>
          <w:trHeight w:val="4014"/>
        </w:trPr>
        <w:tc>
          <w:tcPr>
            <w:tcW w:w="423" w:type="pct"/>
            <w:gridSpan w:val="3"/>
            <w:tcBorders>
              <w:top w:val="single" w:sz="8" w:space="0" w:color="ECEDE9"/>
            </w:tcBorders>
          </w:tcPr>
          <w:p w14:paraId="74DE29AD" w14:textId="77777777" w:rsidR="00797C02" w:rsidRPr="009774A4" w:rsidRDefault="00797C02" w:rsidP="00F22AE5">
            <w:r>
              <w:t>3.3</w:t>
            </w:r>
          </w:p>
        </w:tc>
        <w:tc>
          <w:tcPr>
            <w:tcW w:w="4476" w:type="pct"/>
            <w:gridSpan w:val="3"/>
            <w:tcBorders>
              <w:top w:val="single" w:sz="8" w:space="0" w:color="ECEDE9"/>
            </w:tcBorders>
          </w:tcPr>
          <w:p w14:paraId="09F1D14E" w14:textId="77777777" w:rsidR="00797C02" w:rsidRDefault="00797C02" w:rsidP="00F22AE5">
            <w:r>
              <w:t>The RBA should publish a framework for the use of additional monetary policy tools</w:t>
            </w:r>
            <w:r w:rsidRPr="009774A4">
              <w:t xml:space="preserve"> </w:t>
            </w:r>
            <w:r>
              <w:t xml:space="preserve">in the future. The </w:t>
            </w:r>
            <w:r w:rsidRPr="009774A4">
              <w:t xml:space="preserve">Statement on the Conduct of Monetary Policy </w:t>
            </w:r>
            <w:r>
              <w:t>should set out what the framework</w:t>
            </w:r>
            <w:r w:rsidRPr="009774A4">
              <w:t xml:space="preserve"> </w:t>
            </w:r>
            <w:r>
              <w:t>will</w:t>
            </w:r>
            <w:r w:rsidRPr="009774A4">
              <w:t xml:space="preserve"> </w:t>
            </w:r>
            <w:r>
              <w:t>cover,</w:t>
            </w:r>
            <w:r w:rsidRPr="009774A4">
              <w:t xml:space="preserve"> </w:t>
            </w:r>
            <w:r>
              <w:t>including</w:t>
            </w:r>
            <w:r w:rsidRPr="009774A4">
              <w:t xml:space="preserve"> </w:t>
            </w:r>
            <w:r>
              <w:t>the</w:t>
            </w:r>
            <w:r w:rsidRPr="009774A4">
              <w:t xml:space="preserve"> </w:t>
            </w:r>
            <w:r>
              <w:t>expectations</w:t>
            </w:r>
            <w:r w:rsidRPr="009774A4">
              <w:t xml:space="preserve"> </w:t>
            </w:r>
            <w:r>
              <w:t>of</w:t>
            </w:r>
            <w:r w:rsidRPr="009774A4">
              <w:t xml:space="preserve"> </w:t>
            </w:r>
            <w:r>
              <w:t>the</w:t>
            </w:r>
            <w:r w:rsidRPr="009774A4">
              <w:t xml:space="preserve"> </w:t>
            </w:r>
            <w:r>
              <w:t>Government</w:t>
            </w:r>
            <w:r w:rsidRPr="009774A4">
              <w:t xml:space="preserve"> </w:t>
            </w:r>
            <w:r>
              <w:t>and</w:t>
            </w:r>
            <w:r w:rsidRPr="009774A4">
              <w:t xml:space="preserve"> </w:t>
            </w:r>
            <w:r>
              <w:t>RBA</w:t>
            </w:r>
            <w:r w:rsidRPr="009774A4">
              <w:t xml:space="preserve"> </w:t>
            </w:r>
            <w:r>
              <w:t>Monetary Policy Board around:</w:t>
            </w:r>
          </w:p>
          <w:p w14:paraId="1CF74FC4" w14:textId="77777777" w:rsidR="00797C02" w:rsidRDefault="00797C02" w:rsidP="0000278A">
            <w:pPr>
              <w:pStyle w:val="Bullet"/>
            </w:pPr>
            <w:r w:rsidRPr="009774A4">
              <w:t>transparency</w:t>
            </w:r>
          </w:p>
          <w:p w14:paraId="56BBCF0B" w14:textId="77777777" w:rsidR="00797C02" w:rsidRDefault="00797C02" w:rsidP="0000278A">
            <w:pPr>
              <w:pStyle w:val="Bullet"/>
            </w:pPr>
            <w:r>
              <w:t>assessing</w:t>
            </w:r>
            <w:r w:rsidRPr="009774A4">
              <w:t xml:space="preserve"> </w:t>
            </w:r>
            <w:r>
              <w:t>costs</w:t>
            </w:r>
            <w:r w:rsidRPr="009774A4">
              <w:t xml:space="preserve"> </w:t>
            </w:r>
            <w:r>
              <w:t>and</w:t>
            </w:r>
            <w:r w:rsidRPr="009774A4">
              <w:t xml:space="preserve"> benefits</w:t>
            </w:r>
          </w:p>
          <w:p w14:paraId="7E02C5B7" w14:textId="77777777" w:rsidR="00797C02" w:rsidRDefault="00797C02" w:rsidP="0000278A">
            <w:pPr>
              <w:pStyle w:val="Bullet"/>
            </w:pPr>
            <w:r>
              <w:t xml:space="preserve">managing </w:t>
            </w:r>
            <w:r w:rsidRPr="009774A4">
              <w:t>risks</w:t>
            </w:r>
          </w:p>
          <w:p w14:paraId="4B67ECD3" w14:textId="77777777" w:rsidR="00797C02" w:rsidRDefault="00797C02" w:rsidP="0000278A">
            <w:pPr>
              <w:pStyle w:val="Bullet"/>
            </w:pPr>
            <w:r>
              <w:t>considering</w:t>
            </w:r>
            <w:r w:rsidRPr="009774A4">
              <w:t xml:space="preserve"> </w:t>
            </w:r>
            <w:r>
              <w:t>exit</w:t>
            </w:r>
            <w:r w:rsidRPr="009774A4">
              <w:t xml:space="preserve"> </w:t>
            </w:r>
            <w:r>
              <w:t>strategies</w:t>
            </w:r>
            <w:r w:rsidRPr="009774A4">
              <w:t xml:space="preserve"> </w:t>
            </w:r>
            <w:r>
              <w:t>at</w:t>
            </w:r>
            <w:r w:rsidRPr="009774A4">
              <w:t xml:space="preserve"> </w:t>
            </w:r>
            <w:r>
              <w:t>the</w:t>
            </w:r>
            <w:r w:rsidRPr="009774A4">
              <w:t xml:space="preserve"> </w:t>
            </w:r>
            <w:r>
              <w:t>outset</w:t>
            </w:r>
            <w:r w:rsidRPr="009774A4">
              <w:t xml:space="preserve"> </w:t>
            </w:r>
            <w:r>
              <w:t>for</w:t>
            </w:r>
            <w:r w:rsidRPr="009774A4">
              <w:t xml:space="preserve"> </w:t>
            </w:r>
            <w:r>
              <w:t>different</w:t>
            </w:r>
            <w:r w:rsidRPr="009774A4">
              <w:t xml:space="preserve"> scenarios</w:t>
            </w:r>
          </w:p>
          <w:p w14:paraId="6CF5317E" w14:textId="77777777" w:rsidR="00797C02" w:rsidRDefault="00797C02" w:rsidP="0000278A">
            <w:pPr>
              <w:pStyle w:val="Bullet"/>
            </w:pPr>
            <w:r>
              <w:t>discussions</w:t>
            </w:r>
            <w:r w:rsidRPr="009774A4">
              <w:t xml:space="preserve"> </w:t>
            </w:r>
            <w:r>
              <w:t>on</w:t>
            </w:r>
            <w:r w:rsidRPr="009774A4">
              <w:t xml:space="preserve"> </w:t>
            </w:r>
            <w:r>
              <w:t>the</w:t>
            </w:r>
            <w:r w:rsidRPr="009774A4">
              <w:t xml:space="preserve"> </w:t>
            </w:r>
            <w:r>
              <w:t>appropriateness</w:t>
            </w:r>
            <w:r w:rsidRPr="009774A4">
              <w:t xml:space="preserve"> </w:t>
            </w:r>
            <w:r>
              <w:t>of</w:t>
            </w:r>
            <w:r w:rsidRPr="009774A4">
              <w:t xml:space="preserve"> </w:t>
            </w:r>
            <w:r>
              <w:t>fiscal</w:t>
            </w:r>
            <w:r w:rsidRPr="009774A4">
              <w:t xml:space="preserve"> </w:t>
            </w:r>
            <w:r>
              <w:t>policy</w:t>
            </w:r>
            <w:r w:rsidRPr="009774A4">
              <w:t xml:space="preserve"> </w:t>
            </w:r>
            <w:r>
              <w:t>as</w:t>
            </w:r>
            <w:r w:rsidRPr="009774A4">
              <w:t xml:space="preserve"> </w:t>
            </w:r>
            <w:r>
              <w:t>an</w:t>
            </w:r>
            <w:r w:rsidRPr="009774A4">
              <w:t xml:space="preserve"> </w:t>
            </w:r>
            <w:r>
              <w:t>alternative</w:t>
            </w:r>
            <w:r w:rsidRPr="009774A4">
              <w:t xml:space="preserve"> </w:t>
            </w:r>
            <w:r>
              <w:t>policy</w:t>
            </w:r>
            <w:r w:rsidRPr="009774A4">
              <w:t xml:space="preserve"> lever.</w:t>
            </w:r>
          </w:p>
          <w:p w14:paraId="15789C9F" w14:textId="77777777" w:rsidR="00797C02" w:rsidRDefault="00797C02" w:rsidP="00F22AE5">
            <w:r>
              <w:t>Within</w:t>
            </w:r>
            <w:r w:rsidRPr="009774A4">
              <w:t xml:space="preserve"> </w:t>
            </w:r>
            <w:r>
              <w:t>the</w:t>
            </w:r>
            <w:r w:rsidRPr="009774A4">
              <w:t xml:space="preserve"> </w:t>
            </w:r>
            <w:r>
              <w:t>agreed</w:t>
            </w:r>
            <w:r w:rsidRPr="009774A4">
              <w:t xml:space="preserve"> </w:t>
            </w:r>
            <w:r>
              <w:t>framework,</w:t>
            </w:r>
            <w:r w:rsidRPr="009774A4">
              <w:t xml:space="preserve"> </w:t>
            </w:r>
            <w:r>
              <w:t>the</w:t>
            </w:r>
            <w:r w:rsidRPr="009774A4">
              <w:t xml:space="preserve"> </w:t>
            </w:r>
            <w:r>
              <w:t>RBA</w:t>
            </w:r>
            <w:r w:rsidRPr="009774A4">
              <w:t xml:space="preserve"> </w:t>
            </w:r>
            <w:r>
              <w:t>should</w:t>
            </w:r>
            <w:r w:rsidRPr="009774A4">
              <w:t xml:space="preserve"> </w:t>
            </w:r>
            <w:r>
              <w:t>retain</w:t>
            </w:r>
            <w:r w:rsidRPr="009774A4">
              <w:t xml:space="preserve"> </w:t>
            </w:r>
            <w:r>
              <w:t>instrument</w:t>
            </w:r>
            <w:r w:rsidRPr="009774A4">
              <w:t xml:space="preserve"> independence.</w:t>
            </w:r>
          </w:p>
        </w:tc>
      </w:tr>
      <w:tr w:rsidR="00797C02" w14:paraId="2ECE0896" w14:textId="77777777" w:rsidTr="00F22AE5">
        <w:trPr>
          <w:gridAfter w:val="1"/>
          <w:wAfter w:w="8" w:type="pct"/>
          <w:trHeight w:val="639"/>
        </w:trPr>
        <w:tc>
          <w:tcPr>
            <w:tcW w:w="4992" w:type="pct"/>
            <w:gridSpan w:val="6"/>
            <w:tcBorders>
              <w:bottom w:val="single" w:sz="8" w:space="0" w:color="ECEDE9"/>
            </w:tcBorders>
          </w:tcPr>
          <w:p w14:paraId="2FECE9B1" w14:textId="77777777" w:rsidR="00797C02" w:rsidRDefault="00797C02" w:rsidP="00F22AE5">
            <w:pPr>
              <w:pStyle w:val="Heading4"/>
              <w:rPr>
                <w:rFonts w:ascii="Open Sans"/>
                <w:b/>
                <w:sz w:val="18"/>
              </w:rPr>
            </w:pPr>
            <w:r w:rsidRPr="009457C2">
              <w:t>Recommendation 4: Institute regular reviews of the monetary policy framework</w:t>
            </w:r>
            <w:r>
              <w:t xml:space="preserve"> </w:t>
            </w:r>
            <w:r w:rsidRPr="009457C2">
              <w:t>and tools</w:t>
            </w:r>
          </w:p>
        </w:tc>
      </w:tr>
      <w:tr w:rsidR="00797C02" w14:paraId="3899DEA2" w14:textId="77777777" w:rsidTr="00FA4DE9">
        <w:trPr>
          <w:gridAfter w:val="1"/>
          <w:wAfter w:w="8" w:type="pct"/>
          <w:trHeight w:val="1721"/>
        </w:trPr>
        <w:tc>
          <w:tcPr>
            <w:tcW w:w="413" w:type="pct"/>
            <w:gridSpan w:val="2"/>
            <w:tcBorders>
              <w:top w:val="single" w:sz="8" w:space="0" w:color="ECEDE9"/>
              <w:bottom w:val="single" w:sz="8" w:space="0" w:color="ECEDE9"/>
            </w:tcBorders>
          </w:tcPr>
          <w:p w14:paraId="312C41CD" w14:textId="77777777" w:rsidR="00797C02" w:rsidRDefault="00797C02" w:rsidP="00F22AE5">
            <w:r>
              <w:t>4.1</w:t>
            </w:r>
          </w:p>
        </w:tc>
        <w:tc>
          <w:tcPr>
            <w:tcW w:w="4578" w:type="pct"/>
            <w:gridSpan w:val="4"/>
            <w:tcBorders>
              <w:top w:val="single" w:sz="8" w:space="0" w:color="ECEDE9"/>
              <w:bottom w:val="single" w:sz="8" w:space="0" w:color="ECEDE9"/>
            </w:tcBorders>
          </w:tcPr>
          <w:p w14:paraId="09E5311D" w14:textId="77777777" w:rsidR="00797C02" w:rsidRDefault="00797C02" w:rsidP="00F22AE5">
            <w:r>
              <w:t>The</w:t>
            </w:r>
            <w:r>
              <w:rPr>
                <w:spacing w:val="17"/>
              </w:rPr>
              <w:t xml:space="preserve"> </w:t>
            </w:r>
            <w:r>
              <w:t>Government</w:t>
            </w:r>
            <w:r>
              <w:rPr>
                <w:spacing w:val="17"/>
              </w:rPr>
              <w:t xml:space="preserve"> </w:t>
            </w:r>
            <w:r>
              <w:t>and</w:t>
            </w:r>
            <w:r>
              <w:rPr>
                <w:spacing w:val="17"/>
              </w:rPr>
              <w:t xml:space="preserve"> </w:t>
            </w:r>
            <w:r>
              <w:t>RBA</w:t>
            </w:r>
            <w:r>
              <w:rPr>
                <w:spacing w:val="17"/>
              </w:rPr>
              <w:t xml:space="preserve"> </w:t>
            </w:r>
            <w:r>
              <w:t>Monetary</w:t>
            </w:r>
            <w:r>
              <w:rPr>
                <w:spacing w:val="17"/>
              </w:rPr>
              <w:t xml:space="preserve"> </w:t>
            </w:r>
            <w:r>
              <w:t>Policy</w:t>
            </w:r>
            <w:r>
              <w:rPr>
                <w:spacing w:val="17"/>
              </w:rPr>
              <w:t xml:space="preserve"> </w:t>
            </w:r>
            <w:r>
              <w:t>Board</w:t>
            </w:r>
            <w:r>
              <w:rPr>
                <w:spacing w:val="17"/>
              </w:rPr>
              <w:t xml:space="preserve"> </w:t>
            </w:r>
            <w:r>
              <w:t>should</w:t>
            </w:r>
            <w:r>
              <w:rPr>
                <w:spacing w:val="17"/>
              </w:rPr>
              <w:t xml:space="preserve"> </w:t>
            </w:r>
            <w:r>
              <w:t>instigate</w:t>
            </w:r>
            <w:r>
              <w:rPr>
                <w:spacing w:val="17"/>
              </w:rPr>
              <w:t xml:space="preserve"> </w:t>
            </w:r>
            <w:r>
              <w:t>a</w:t>
            </w:r>
            <w:r>
              <w:rPr>
                <w:spacing w:val="17"/>
              </w:rPr>
              <w:t xml:space="preserve"> </w:t>
            </w:r>
            <w:r>
              <w:t>formal</w:t>
            </w:r>
            <w:r>
              <w:rPr>
                <w:spacing w:val="17"/>
              </w:rPr>
              <w:t xml:space="preserve"> </w:t>
            </w:r>
            <w:r>
              <w:t xml:space="preserve">review of the monetary policy framework and tools every 5 years, jointly led by the RBA and Treasury and including formal and transparent input from independent domestic and international experts with a wide range of viewpoints. The purpose of the review should be to ensure the monetary policy framework and tools remain appropriate, and it should inform the renewal of the </w:t>
            </w:r>
            <w:r>
              <w:rPr>
                <w:i/>
              </w:rPr>
              <w:t>Statement on the Conduct of Monetary Policy</w:t>
            </w:r>
            <w:r>
              <w:t>.</w:t>
            </w:r>
          </w:p>
        </w:tc>
      </w:tr>
      <w:tr w:rsidR="00797C02" w14:paraId="22B52D08" w14:textId="77777777" w:rsidTr="00F22AE5">
        <w:trPr>
          <w:gridAfter w:val="1"/>
          <w:wAfter w:w="8" w:type="pct"/>
          <w:trHeight w:val="571"/>
        </w:trPr>
        <w:tc>
          <w:tcPr>
            <w:tcW w:w="4992" w:type="pct"/>
            <w:gridSpan w:val="6"/>
            <w:tcBorders>
              <w:top w:val="single" w:sz="8" w:space="0" w:color="ECEDE9"/>
              <w:bottom w:val="single" w:sz="8" w:space="0" w:color="ECEDE9"/>
            </w:tcBorders>
          </w:tcPr>
          <w:p w14:paraId="01FEB011" w14:textId="77777777" w:rsidR="00797C02" w:rsidRDefault="00797C02" w:rsidP="00F22AE5">
            <w:pPr>
              <w:pStyle w:val="Heading4"/>
            </w:pPr>
            <w:r>
              <w:lastRenderedPageBreak/>
              <w:t>Recommendation</w:t>
            </w:r>
            <w:r>
              <w:rPr>
                <w:spacing w:val="1"/>
              </w:rPr>
              <w:t xml:space="preserve"> </w:t>
            </w:r>
            <w:r>
              <w:t>5:</w:t>
            </w:r>
            <w:r>
              <w:rPr>
                <w:spacing w:val="1"/>
              </w:rPr>
              <w:t xml:space="preserve"> </w:t>
            </w:r>
            <w:r>
              <w:t>Legislate</w:t>
            </w:r>
            <w:r>
              <w:rPr>
                <w:spacing w:val="1"/>
              </w:rPr>
              <w:t xml:space="preserve"> </w:t>
            </w:r>
            <w:r>
              <w:t>the</w:t>
            </w:r>
            <w:r>
              <w:rPr>
                <w:spacing w:val="2"/>
              </w:rPr>
              <w:t xml:space="preserve"> </w:t>
            </w:r>
            <w:r>
              <w:t>RBA’s</w:t>
            </w:r>
            <w:r>
              <w:rPr>
                <w:spacing w:val="1"/>
              </w:rPr>
              <w:t xml:space="preserve"> </w:t>
            </w:r>
            <w:r>
              <w:t>financial</w:t>
            </w:r>
            <w:r>
              <w:rPr>
                <w:spacing w:val="1"/>
              </w:rPr>
              <w:t xml:space="preserve"> </w:t>
            </w:r>
            <w:r>
              <w:t>stability</w:t>
            </w:r>
            <w:r>
              <w:rPr>
                <w:spacing w:val="1"/>
              </w:rPr>
              <w:t xml:space="preserve"> </w:t>
            </w:r>
            <w:r>
              <w:rPr>
                <w:spacing w:val="-4"/>
              </w:rPr>
              <w:t>role</w:t>
            </w:r>
          </w:p>
        </w:tc>
      </w:tr>
      <w:tr w:rsidR="00797C02" w14:paraId="3B9A2310" w14:textId="77777777" w:rsidTr="00FA4DE9">
        <w:trPr>
          <w:gridAfter w:val="1"/>
          <w:wAfter w:w="8" w:type="pct"/>
          <w:trHeight w:val="1097"/>
        </w:trPr>
        <w:tc>
          <w:tcPr>
            <w:tcW w:w="413" w:type="pct"/>
            <w:gridSpan w:val="2"/>
            <w:tcBorders>
              <w:top w:val="single" w:sz="8" w:space="0" w:color="ECEDE9"/>
              <w:bottom w:val="single" w:sz="8" w:space="0" w:color="ECEDE9"/>
            </w:tcBorders>
          </w:tcPr>
          <w:p w14:paraId="1B8D4FDF" w14:textId="77777777" w:rsidR="00797C02" w:rsidRDefault="00797C02" w:rsidP="00F22AE5">
            <w:r>
              <w:t>5.1</w:t>
            </w:r>
          </w:p>
        </w:tc>
        <w:tc>
          <w:tcPr>
            <w:tcW w:w="4578" w:type="pct"/>
            <w:gridSpan w:val="4"/>
            <w:tcBorders>
              <w:top w:val="single" w:sz="8" w:space="0" w:color="ECEDE9"/>
              <w:bottom w:val="single" w:sz="8" w:space="0" w:color="ECEDE9"/>
            </w:tcBorders>
          </w:tcPr>
          <w:p w14:paraId="173DDED4" w14:textId="77777777" w:rsidR="00797C02" w:rsidRDefault="00797C02" w:rsidP="00F22AE5">
            <w:r>
              <w:t>The</w:t>
            </w:r>
            <w:r>
              <w:rPr>
                <w:spacing w:val="-1"/>
              </w:rPr>
              <w:t xml:space="preserve"> </w:t>
            </w:r>
            <w:r>
              <w:t>Government</w:t>
            </w:r>
            <w:r>
              <w:rPr>
                <w:spacing w:val="-1"/>
              </w:rPr>
              <w:t xml:space="preserve"> </w:t>
            </w:r>
            <w:r>
              <w:t>should</w:t>
            </w:r>
            <w:r>
              <w:rPr>
                <w:spacing w:val="-1"/>
              </w:rPr>
              <w:t xml:space="preserve"> </w:t>
            </w:r>
            <w:r>
              <w:t>specify</w:t>
            </w:r>
            <w:r>
              <w:rPr>
                <w:spacing w:val="-1"/>
              </w:rPr>
              <w:t xml:space="preserve"> </w:t>
            </w:r>
            <w:r>
              <w:t>in</w:t>
            </w:r>
            <w:r>
              <w:rPr>
                <w:spacing w:val="-1"/>
              </w:rPr>
              <w:t xml:space="preserve"> </w:t>
            </w:r>
            <w:r>
              <w:t>the</w:t>
            </w:r>
            <w:r>
              <w:rPr>
                <w:spacing w:val="-1"/>
              </w:rPr>
              <w:t xml:space="preserve"> </w:t>
            </w:r>
            <w:r>
              <w:rPr>
                <w:i/>
              </w:rPr>
              <w:t>Reserve</w:t>
            </w:r>
            <w:r>
              <w:rPr>
                <w:i/>
                <w:spacing w:val="-1"/>
              </w:rPr>
              <w:t xml:space="preserve"> </w:t>
            </w:r>
            <w:r>
              <w:rPr>
                <w:i/>
              </w:rPr>
              <w:t>Bank</w:t>
            </w:r>
            <w:r>
              <w:rPr>
                <w:i/>
                <w:spacing w:val="-1"/>
              </w:rPr>
              <w:t xml:space="preserve"> </w:t>
            </w:r>
            <w:r>
              <w:rPr>
                <w:i/>
              </w:rPr>
              <w:t>Act</w:t>
            </w:r>
            <w:r>
              <w:rPr>
                <w:i/>
                <w:spacing w:val="-1"/>
              </w:rPr>
              <w:t xml:space="preserve"> </w:t>
            </w:r>
            <w:r>
              <w:rPr>
                <w:i/>
              </w:rPr>
              <w:t>1959</w:t>
            </w:r>
            <w:r>
              <w:rPr>
                <w:i/>
                <w:spacing w:val="-1"/>
              </w:rPr>
              <w:t xml:space="preserve"> </w:t>
            </w:r>
            <w:r>
              <w:t>that</w:t>
            </w:r>
            <w:r>
              <w:rPr>
                <w:spacing w:val="-1"/>
              </w:rPr>
              <w:t xml:space="preserve"> </w:t>
            </w:r>
            <w:r>
              <w:t>the</w:t>
            </w:r>
            <w:r>
              <w:rPr>
                <w:spacing w:val="-1"/>
              </w:rPr>
              <w:t xml:space="preserve"> </w:t>
            </w:r>
            <w:r>
              <w:t>RBA</w:t>
            </w:r>
            <w:r>
              <w:rPr>
                <w:spacing w:val="-1"/>
              </w:rPr>
              <w:t xml:space="preserve"> </w:t>
            </w:r>
            <w:r>
              <w:t>has a responsibility to contribute to financial system stability, in cooperation with other government agencies, especially the Australian Prudential Regulation Authority (APRA).</w:t>
            </w:r>
          </w:p>
        </w:tc>
      </w:tr>
      <w:tr w:rsidR="00797C02" w14:paraId="4184D582" w14:textId="77777777" w:rsidTr="00F22AE5">
        <w:trPr>
          <w:gridAfter w:val="1"/>
          <w:wAfter w:w="8" w:type="pct"/>
          <w:trHeight w:val="1097"/>
        </w:trPr>
        <w:tc>
          <w:tcPr>
            <w:tcW w:w="4992" w:type="pct"/>
            <w:gridSpan w:val="6"/>
            <w:tcBorders>
              <w:top w:val="single" w:sz="8" w:space="0" w:color="ECEDE9"/>
              <w:bottom w:val="single" w:sz="8" w:space="0" w:color="ECEDE9"/>
            </w:tcBorders>
          </w:tcPr>
          <w:tbl>
            <w:tblPr>
              <w:tblW w:w="5000" w:type="pct"/>
              <w:tblCellMar>
                <w:left w:w="0" w:type="dxa"/>
                <w:right w:w="0" w:type="dxa"/>
              </w:tblCellMar>
              <w:tblLook w:val="01E0" w:firstRow="1" w:lastRow="1" w:firstColumn="1" w:lastColumn="1" w:noHBand="0" w:noVBand="0"/>
            </w:tblPr>
            <w:tblGrid>
              <w:gridCol w:w="795"/>
              <w:gridCol w:w="8260"/>
            </w:tblGrid>
            <w:tr w:rsidR="00797C02" w14:paraId="6722BF22" w14:textId="77777777" w:rsidTr="00F22AE5">
              <w:trPr>
                <w:trHeight w:val="639"/>
              </w:trPr>
              <w:tc>
                <w:tcPr>
                  <w:tcW w:w="5000" w:type="pct"/>
                  <w:gridSpan w:val="2"/>
                  <w:tcBorders>
                    <w:bottom w:val="single" w:sz="8" w:space="0" w:color="ECEDE9"/>
                  </w:tcBorders>
                </w:tcPr>
                <w:p w14:paraId="233FF18F" w14:textId="77777777" w:rsidR="00797C02" w:rsidRPr="009457C2" w:rsidRDefault="00797C02" w:rsidP="00F22AE5">
                  <w:pPr>
                    <w:pStyle w:val="Heading4"/>
                  </w:pPr>
                  <w:r w:rsidRPr="009457C2">
                    <w:t>Recommendation 6: Reinforce cooperation arrangements for promoting financial stability</w:t>
                  </w:r>
                </w:p>
              </w:tc>
            </w:tr>
            <w:tr w:rsidR="00797C02" w14:paraId="1DA30356" w14:textId="77777777" w:rsidTr="00F22AE5">
              <w:trPr>
                <w:trHeight w:val="2061"/>
              </w:trPr>
              <w:tc>
                <w:tcPr>
                  <w:tcW w:w="439" w:type="pct"/>
                  <w:tcBorders>
                    <w:top w:val="single" w:sz="8" w:space="0" w:color="ECEDE9"/>
                    <w:bottom w:val="single" w:sz="8" w:space="0" w:color="ECEDE9"/>
                  </w:tcBorders>
                </w:tcPr>
                <w:p w14:paraId="3B0B606E" w14:textId="77777777" w:rsidR="00797C02" w:rsidRDefault="00797C02" w:rsidP="00F22AE5">
                  <w:r>
                    <w:t>6.1</w:t>
                  </w:r>
                </w:p>
              </w:tc>
              <w:tc>
                <w:tcPr>
                  <w:tcW w:w="4561" w:type="pct"/>
                  <w:tcBorders>
                    <w:top w:val="single" w:sz="8" w:space="0" w:color="ECEDE9"/>
                    <w:bottom w:val="single" w:sz="8" w:space="0" w:color="ECEDE9"/>
                  </w:tcBorders>
                </w:tcPr>
                <w:p w14:paraId="3E7F3713" w14:textId="77777777" w:rsidR="00797C02" w:rsidRDefault="00797C02" w:rsidP="00F22AE5">
                  <w:r>
                    <w:t>The Council of Financial Regulators should renew memorandums of understanding between its members so that there is:</w:t>
                  </w:r>
                </w:p>
                <w:p w14:paraId="3170A8F2" w14:textId="77777777" w:rsidR="00797C02" w:rsidRPr="009457C2" w:rsidRDefault="00797C02" w:rsidP="0000278A">
                  <w:pPr>
                    <w:pStyle w:val="Bullet"/>
                  </w:pPr>
                  <w:r w:rsidRPr="009457C2">
                    <w:t>clarity</w:t>
                  </w:r>
                  <w:r w:rsidRPr="009457C2">
                    <w:rPr>
                      <w:spacing w:val="-2"/>
                    </w:rPr>
                    <w:t xml:space="preserve"> </w:t>
                  </w:r>
                  <w:r w:rsidRPr="009457C2">
                    <w:t>on</w:t>
                  </w:r>
                  <w:r w:rsidRPr="009457C2">
                    <w:rPr>
                      <w:spacing w:val="1"/>
                    </w:rPr>
                    <w:t xml:space="preserve"> </w:t>
                  </w:r>
                  <w:r w:rsidRPr="009457C2">
                    <w:t>the</w:t>
                  </w:r>
                  <w:r w:rsidRPr="009457C2">
                    <w:rPr>
                      <w:spacing w:val="1"/>
                    </w:rPr>
                    <w:t xml:space="preserve"> </w:t>
                  </w:r>
                  <w:r w:rsidRPr="009457C2">
                    <w:t>outcomes</w:t>
                  </w:r>
                  <w:r w:rsidRPr="009457C2">
                    <w:rPr>
                      <w:spacing w:val="1"/>
                    </w:rPr>
                    <w:t xml:space="preserve"> </w:t>
                  </w:r>
                  <w:r w:rsidRPr="009457C2">
                    <w:t>the</w:t>
                  </w:r>
                  <w:r w:rsidRPr="009457C2">
                    <w:rPr>
                      <w:spacing w:val="1"/>
                    </w:rPr>
                    <w:t xml:space="preserve"> </w:t>
                  </w:r>
                  <w:r w:rsidRPr="009457C2">
                    <w:t>group</w:t>
                  </w:r>
                  <w:r w:rsidRPr="009457C2">
                    <w:rPr>
                      <w:spacing w:val="1"/>
                    </w:rPr>
                    <w:t xml:space="preserve"> </w:t>
                  </w:r>
                  <w:r w:rsidRPr="009457C2">
                    <w:t>is</w:t>
                  </w:r>
                  <w:r w:rsidRPr="009457C2">
                    <w:rPr>
                      <w:spacing w:val="1"/>
                    </w:rPr>
                    <w:t xml:space="preserve"> </w:t>
                  </w:r>
                  <w:r w:rsidRPr="009457C2">
                    <w:t>responsible</w:t>
                  </w:r>
                  <w:r w:rsidRPr="009457C2">
                    <w:rPr>
                      <w:spacing w:val="1"/>
                    </w:rPr>
                    <w:t xml:space="preserve"> </w:t>
                  </w:r>
                  <w:r w:rsidRPr="009457C2">
                    <w:t>for</w:t>
                  </w:r>
                  <w:r w:rsidRPr="009457C2">
                    <w:rPr>
                      <w:spacing w:val="1"/>
                    </w:rPr>
                    <w:t xml:space="preserve"> </w:t>
                  </w:r>
                  <w:r w:rsidRPr="009457C2">
                    <w:t>delivering</w:t>
                  </w:r>
                  <w:r w:rsidRPr="009457C2">
                    <w:rPr>
                      <w:spacing w:val="1"/>
                    </w:rPr>
                    <w:t xml:space="preserve"> </w:t>
                  </w:r>
                  <w:r w:rsidRPr="009457C2">
                    <w:t>and</w:t>
                  </w:r>
                  <w:r w:rsidRPr="009457C2">
                    <w:rPr>
                      <w:spacing w:val="1"/>
                    </w:rPr>
                    <w:t xml:space="preserve"> </w:t>
                  </w:r>
                  <w:r w:rsidRPr="009457C2">
                    <w:t>the</w:t>
                  </w:r>
                  <w:r w:rsidRPr="009457C2">
                    <w:rPr>
                      <w:spacing w:val="1"/>
                    </w:rPr>
                    <w:t xml:space="preserve"> </w:t>
                  </w:r>
                  <w:r w:rsidRPr="009457C2">
                    <w:rPr>
                      <w:spacing w:val="-2"/>
                    </w:rPr>
                    <w:t>specific</w:t>
                  </w:r>
                  <w:r>
                    <w:rPr>
                      <w:spacing w:val="-2"/>
                    </w:rPr>
                    <w:t xml:space="preserve"> </w:t>
                  </w:r>
                  <w:r w:rsidRPr="009457C2">
                    <w:t>roles</w:t>
                  </w:r>
                  <w:r w:rsidRPr="009457C2">
                    <w:rPr>
                      <w:spacing w:val="-2"/>
                    </w:rPr>
                    <w:t xml:space="preserve"> </w:t>
                  </w:r>
                  <w:r w:rsidRPr="009457C2">
                    <w:t>of</w:t>
                  </w:r>
                  <w:r w:rsidRPr="009457C2">
                    <w:rPr>
                      <w:spacing w:val="-1"/>
                    </w:rPr>
                    <w:t xml:space="preserve"> </w:t>
                  </w:r>
                  <w:r w:rsidRPr="009457C2">
                    <w:t>each</w:t>
                  </w:r>
                  <w:r w:rsidRPr="009457C2">
                    <w:rPr>
                      <w:spacing w:val="-1"/>
                    </w:rPr>
                    <w:t xml:space="preserve"> </w:t>
                  </w:r>
                  <w:r w:rsidRPr="009457C2">
                    <w:rPr>
                      <w:spacing w:val="-2"/>
                    </w:rPr>
                    <w:t>agency</w:t>
                  </w:r>
                </w:p>
                <w:p w14:paraId="4A0E2BF9" w14:textId="77777777" w:rsidR="00797C02" w:rsidRDefault="00797C02" w:rsidP="0000278A">
                  <w:pPr>
                    <w:pStyle w:val="Bullet"/>
                  </w:pPr>
                  <w:r>
                    <w:t>a</w:t>
                  </w:r>
                  <w:r>
                    <w:rPr>
                      <w:spacing w:val="4"/>
                    </w:rPr>
                    <w:t xml:space="preserve"> </w:t>
                  </w:r>
                  <w:r>
                    <w:t>shared</w:t>
                  </w:r>
                  <w:r>
                    <w:rPr>
                      <w:spacing w:val="4"/>
                    </w:rPr>
                    <w:t xml:space="preserve"> </w:t>
                  </w:r>
                  <w:r>
                    <w:t>responsibility</w:t>
                  </w:r>
                  <w:r>
                    <w:rPr>
                      <w:spacing w:val="4"/>
                    </w:rPr>
                    <w:t xml:space="preserve"> </w:t>
                  </w:r>
                  <w:r>
                    <w:t>for</w:t>
                  </w:r>
                  <w:r>
                    <w:rPr>
                      <w:spacing w:val="4"/>
                    </w:rPr>
                    <w:t xml:space="preserve"> </w:t>
                  </w:r>
                  <w:r>
                    <w:t>identifying</w:t>
                  </w:r>
                  <w:r>
                    <w:rPr>
                      <w:spacing w:val="4"/>
                    </w:rPr>
                    <w:t xml:space="preserve"> </w:t>
                  </w:r>
                  <w:r>
                    <w:t>regulatory</w:t>
                  </w:r>
                  <w:r>
                    <w:rPr>
                      <w:spacing w:val="4"/>
                    </w:rPr>
                    <w:t xml:space="preserve"> </w:t>
                  </w:r>
                  <w:r>
                    <w:t>gaps</w:t>
                  </w:r>
                  <w:r>
                    <w:rPr>
                      <w:spacing w:val="4"/>
                    </w:rPr>
                    <w:t xml:space="preserve"> </w:t>
                  </w:r>
                  <w:r>
                    <w:t>at</w:t>
                  </w:r>
                  <w:r>
                    <w:rPr>
                      <w:spacing w:val="4"/>
                    </w:rPr>
                    <w:t xml:space="preserve"> </w:t>
                  </w:r>
                  <w:r>
                    <w:t>a</w:t>
                  </w:r>
                  <w:r>
                    <w:rPr>
                      <w:spacing w:val="4"/>
                    </w:rPr>
                    <w:t xml:space="preserve"> </w:t>
                  </w:r>
                  <w:r>
                    <w:t>‘whole</w:t>
                  </w:r>
                  <w:r>
                    <w:rPr>
                      <w:spacing w:val="4"/>
                    </w:rPr>
                    <w:t xml:space="preserve"> </w:t>
                  </w:r>
                  <w:r>
                    <w:t>of</w:t>
                  </w:r>
                  <w:r>
                    <w:rPr>
                      <w:spacing w:val="4"/>
                    </w:rPr>
                    <w:t xml:space="preserve"> </w:t>
                  </w:r>
                  <w:r>
                    <w:t>system’</w:t>
                  </w:r>
                  <w:r>
                    <w:rPr>
                      <w:spacing w:val="4"/>
                    </w:rPr>
                    <w:t xml:space="preserve"> </w:t>
                  </w:r>
                  <w:r>
                    <w:rPr>
                      <w:spacing w:val="-2"/>
                    </w:rPr>
                    <w:t>level</w:t>
                  </w:r>
                </w:p>
                <w:p w14:paraId="1CB9C40E" w14:textId="77777777" w:rsidR="00797C02" w:rsidRDefault="00797C02" w:rsidP="0000278A">
                  <w:pPr>
                    <w:pStyle w:val="Bullet"/>
                  </w:pPr>
                  <w:r>
                    <w:t>a</w:t>
                  </w:r>
                  <w:r>
                    <w:rPr>
                      <w:spacing w:val="-1"/>
                    </w:rPr>
                    <w:t xml:space="preserve"> </w:t>
                  </w:r>
                  <w:r>
                    <w:t>shared commitment</w:t>
                  </w:r>
                  <w:r>
                    <w:rPr>
                      <w:spacing w:val="-1"/>
                    </w:rPr>
                    <w:t xml:space="preserve"> </w:t>
                  </w:r>
                  <w:r>
                    <w:t>to reduce the</w:t>
                  </w:r>
                  <w:r>
                    <w:rPr>
                      <w:spacing w:val="-1"/>
                    </w:rPr>
                    <w:t xml:space="preserve"> </w:t>
                  </w:r>
                  <w:r>
                    <w:t>risks posed</w:t>
                  </w:r>
                  <w:r>
                    <w:rPr>
                      <w:spacing w:val="-1"/>
                    </w:rPr>
                    <w:t xml:space="preserve"> </w:t>
                  </w:r>
                  <w:r>
                    <w:t xml:space="preserve">by such </w:t>
                  </w:r>
                  <w:r>
                    <w:rPr>
                      <w:spacing w:val="-4"/>
                    </w:rPr>
                    <w:t>gaps.</w:t>
                  </w:r>
                </w:p>
              </w:tc>
            </w:tr>
            <w:tr w:rsidR="00797C02" w14:paraId="738455EA" w14:textId="77777777" w:rsidTr="00FA4DE9">
              <w:trPr>
                <w:trHeight w:val="1261"/>
              </w:trPr>
              <w:tc>
                <w:tcPr>
                  <w:tcW w:w="439" w:type="pct"/>
                  <w:tcBorders>
                    <w:top w:val="single" w:sz="8" w:space="0" w:color="ECEDE9"/>
                    <w:bottom w:val="single" w:sz="8" w:space="0" w:color="ECEDE9"/>
                  </w:tcBorders>
                </w:tcPr>
                <w:p w14:paraId="11C3C134" w14:textId="77777777" w:rsidR="00797C02" w:rsidRDefault="00797C02" w:rsidP="00F22AE5">
                  <w:r>
                    <w:t>6.2</w:t>
                  </w:r>
                </w:p>
              </w:tc>
              <w:tc>
                <w:tcPr>
                  <w:tcW w:w="4561" w:type="pct"/>
                  <w:tcBorders>
                    <w:top w:val="single" w:sz="8" w:space="0" w:color="ECEDE9"/>
                    <w:bottom w:val="single" w:sz="8" w:space="0" w:color="ECEDE9"/>
                  </w:tcBorders>
                </w:tcPr>
                <w:p w14:paraId="1DD79BE5" w14:textId="77777777" w:rsidR="00797C02" w:rsidRDefault="00797C02" w:rsidP="00F22AE5">
                  <w:r>
                    <w:t>The RBA Monetary Policy Board should commit to inform the Council of Financial Regulators when monetary policy is likely to affect, or be affected by, risks to financial stability. This should include formal advice from the RBA to APRA on its use of macroprudential</w:t>
                  </w:r>
                  <w:r>
                    <w:rPr>
                      <w:spacing w:val="-7"/>
                    </w:rPr>
                    <w:t xml:space="preserve"> </w:t>
                  </w:r>
                  <w:r>
                    <w:t>tools.</w:t>
                  </w:r>
                  <w:r>
                    <w:rPr>
                      <w:spacing w:val="-7"/>
                    </w:rPr>
                    <w:t xml:space="preserve"> </w:t>
                  </w:r>
                  <w:r>
                    <w:t>This</w:t>
                  </w:r>
                  <w:r>
                    <w:rPr>
                      <w:spacing w:val="-7"/>
                    </w:rPr>
                    <w:t xml:space="preserve"> </w:t>
                  </w:r>
                  <w:r>
                    <w:t>advice</w:t>
                  </w:r>
                  <w:r>
                    <w:rPr>
                      <w:spacing w:val="-7"/>
                    </w:rPr>
                    <w:t xml:space="preserve"> </w:t>
                  </w:r>
                  <w:r>
                    <w:t>to</w:t>
                  </w:r>
                  <w:r>
                    <w:rPr>
                      <w:spacing w:val="-7"/>
                    </w:rPr>
                    <w:t xml:space="preserve"> </w:t>
                  </w:r>
                  <w:r>
                    <w:t>CFR</w:t>
                  </w:r>
                  <w:r>
                    <w:rPr>
                      <w:spacing w:val="-7"/>
                    </w:rPr>
                    <w:t xml:space="preserve"> </w:t>
                  </w:r>
                  <w:r>
                    <w:t>and</w:t>
                  </w:r>
                  <w:r>
                    <w:rPr>
                      <w:spacing w:val="-7"/>
                    </w:rPr>
                    <w:t xml:space="preserve"> </w:t>
                  </w:r>
                  <w:r>
                    <w:t>APRA</w:t>
                  </w:r>
                  <w:r>
                    <w:rPr>
                      <w:spacing w:val="-7"/>
                    </w:rPr>
                    <w:t xml:space="preserve"> </w:t>
                  </w:r>
                  <w:r>
                    <w:t>should</w:t>
                  </w:r>
                  <w:r>
                    <w:rPr>
                      <w:spacing w:val="-7"/>
                    </w:rPr>
                    <w:t xml:space="preserve"> </w:t>
                  </w:r>
                  <w:r>
                    <w:t>be</w:t>
                  </w:r>
                  <w:r>
                    <w:rPr>
                      <w:spacing w:val="-7"/>
                    </w:rPr>
                    <w:t xml:space="preserve"> </w:t>
                  </w:r>
                  <w:r>
                    <w:t>published</w:t>
                  </w:r>
                  <w:r>
                    <w:rPr>
                      <w:spacing w:val="-7"/>
                    </w:rPr>
                    <w:t xml:space="preserve"> </w:t>
                  </w:r>
                  <w:r>
                    <w:t>after</w:t>
                  </w:r>
                  <w:r>
                    <w:rPr>
                      <w:spacing w:val="-7"/>
                    </w:rPr>
                    <w:t xml:space="preserve"> </w:t>
                  </w:r>
                  <w:r>
                    <w:t>5</w:t>
                  </w:r>
                  <w:r>
                    <w:rPr>
                      <w:spacing w:val="-7"/>
                    </w:rPr>
                    <w:t xml:space="preserve"> </w:t>
                  </w:r>
                  <w:r>
                    <w:t>years.</w:t>
                  </w:r>
                </w:p>
              </w:tc>
            </w:tr>
            <w:tr w:rsidR="00797C02" w14:paraId="5602DC06" w14:textId="77777777" w:rsidTr="00FA4DE9">
              <w:trPr>
                <w:trHeight w:val="867"/>
              </w:trPr>
              <w:tc>
                <w:tcPr>
                  <w:tcW w:w="439" w:type="pct"/>
                  <w:tcBorders>
                    <w:top w:val="single" w:sz="8" w:space="0" w:color="ECEDE9"/>
                  </w:tcBorders>
                </w:tcPr>
                <w:p w14:paraId="36E0D4EA" w14:textId="77777777" w:rsidR="00797C02" w:rsidRDefault="00797C02" w:rsidP="00F22AE5">
                  <w:r>
                    <w:t>6.3</w:t>
                  </w:r>
                </w:p>
              </w:tc>
              <w:tc>
                <w:tcPr>
                  <w:tcW w:w="4561" w:type="pct"/>
                  <w:tcBorders>
                    <w:top w:val="single" w:sz="8" w:space="0" w:color="ECEDE9"/>
                  </w:tcBorders>
                </w:tcPr>
                <w:p w14:paraId="6A54E5DA" w14:textId="77777777" w:rsidR="00797C02" w:rsidRDefault="00797C02" w:rsidP="00F22AE5">
                  <w:r>
                    <w:t>The RBA and APRA should update their public memorandum of understanding so</w:t>
                  </w:r>
                  <w:r>
                    <w:rPr>
                      <w:spacing w:val="40"/>
                    </w:rPr>
                    <w:t xml:space="preserve"> </w:t>
                  </w:r>
                  <w:r>
                    <w:t>that it sets out clear and specific commitments to cooperation in promoting financial stability, including the way APRA consults the RBA on macroprudential policy settings.</w:t>
                  </w:r>
                </w:p>
              </w:tc>
            </w:tr>
          </w:tbl>
          <w:p w14:paraId="46BFA760" w14:textId="77777777" w:rsidR="00797C02" w:rsidRDefault="00797C02" w:rsidP="00F22AE5">
            <w:pPr>
              <w:pStyle w:val="TableParagraph"/>
              <w:spacing w:before="157" w:line="230" w:lineRule="exact"/>
              <w:ind w:left="232" w:right="879"/>
              <w:rPr>
                <w:sz w:val="18"/>
              </w:rPr>
            </w:pPr>
          </w:p>
        </w:tc>
      </w:tr>
      <w:tr w:rsidR="00797C02" w14:paraId="2DF31321" w14:textId="77777777" w:rsidTr="00FA4DE9">
        <w:trPr>
          <w:gridBefore w:val="1"/>
          <w:wBefore w:w="100" w:type="pct"/>
          <w:trHeight w:val="639"/>
        </w:trPr>
        <w:tc>
          <w:tcPr>
            <w:tcW w:w="4900" w:type="pct"/>
            <w:gridSpan w:val="6"/>
            <w:tcBorders>
              <w:bottom w:val="single" w:sz="8" w:space="0" w:color="ECEDE9"/>
            </w:tcBorders>
          </w:tcPr>
          <w:p w14:paraId="1FFFA895" w14:textId="77777777" w:rsidR="00797C02" w:rsidRDefault="00797C02" w:rsidP="00F22AE5">
            <w:pPr>
              <w:pStyle w:val="Heading4"/>
            </w:pPr>
            <w:r>
              <w:t>Recommendation</w:t>
            </w:r>
            <w:r>
              <w:rPr>
                <w:spacing w:val="-1"/>
              </w:rPr>
              <w:t xml:space="preserve"> </w:t>
            </w:r>
            <w:r>
              <w:t>7:</w:t>
            </w:r>
            <w:r>
              <w:rPr>
                <w:spacing w:val="-1"/>
              </w:rPr>
              <w:t xml:space="preserve"> </w:t>
            </w:r>
            <w:r>
              <w:t>The</w:t>
            </w:r>
            <w:r>
              <w:rPr>
                <w:spacing w:val="-1"/>
              </w:rPr>
              <w:t xml:space="preserve"> </w:t>
            </w:r>
            <w:r>
              <w:t>RBA</w:t>
            </w:r>
            <w:r>
              <w:rPr>
                <w:spacing w:val="-1"/>
              </w:rPr>
              <w:t xml:space="preserve"> </w:t>
            </w:r>
            <w:r>
              <w:t>should</w:t>
            </w:r>
            <w:r>
              <w:rPr>
                <w:spacing w:val="-1"/>
              </w:rPr>
              <w:t xml:space="preserve"> </w:t>
            </w:r>
            <w:r>
              <w:t>take</w:t>
            </w:r>
            <w:r>
              <w:rPr>
                <w:spacing w:val="-1"/>
              </w:rPr>
              <w:t xml:space="preserve"> </w:t>
            </w:r>
            <w:r>
              <w:t>account</w:t>
            </w:r>
            <w:r>
              <w:rPr>
                <w:spacing w:val="-1"/>
              </w:rPr>
              <w:t xml:space="preserve"> </w:t>
            </w:r>
            <w:r>
              <w:t>of</w:t>
            </w:r>
            <w:r>
              <w:rPr>
                <w:spacing w:val="-1"/>
              </w:rPr>
              <w:t xml:space="preserve"> </w:t>
            </w:r>
            <w:r>
              <w:t>climate</w:t>
            </w:r>
            <w:r>
              <w:rPr>
                <w:spacing w:val="-1"/>
              </w:rPr>
              <w:t xml:space="preserve"> </w:t>
            </w:r>
            <w:r>
              <w:t>risks</w:t>
            </w:r>
            <w:r>
              <w:rPr>
                <w:spacing w:val="-1"/>
              </w:rPr>
              <w:t xml:space="preserve"> </w:t>
            </w:r>
            <w:r>
              <w:t>but</w:t>
            </w:r>
            <w:r>
              <w:rPr>
                <w:spacing w:val="-1"/>
              </w:rPr>
              <w:t xml:space="preserve"> </w:t>
            </w:r>
            <w:r>
              <w:t>not</w:t>
            </w:r>
            <w:r>
              <w:rPr>
                <w:spacing w:val="-1"/>
              </w:rPr>
              <w:t xml:space="preserve"> </w:t>
            </w:r>
            <w:r>
              <w:t>use monetary policy to address them</w:t>
            </w:r>
          </w:p>
        </w:tc>
      </w:tr>
      <w:tr w:rsidR="00797C02" w14:paraId="27F7841B" w14:textId="77777777" w:rsidTr="00FA4DE9">
        <w:trPr>
          <w:gridBefore w:val="1"/>
          <w:wBefore w:w="100" w:type="pct"/>
          <w:trHeight w:val="1948"/>
        </w:trPr>
        <w:tc>
          <w:tcPr>
            <w:tcW w:w="431" w:type="pct"/>
            <w:gridSpan w:val="4"/>
            <w:tcBorders>
              <w:top w:val="single" w:sz="8" w:space="0" w:color="ECEDE9"/>
              <w:bottom w:val="single" w:sz="8" w:space="0" w:color="ECEDE9"/>
            </w:tcBorders>
          </w:tcPr>
          <w:p w14:paraId="613198E7" w14:textId="77777777" w:rsidR="00797C02" w:rsidRDefault="00797C02" w:rsidP="00F22AE5">
            <w:r>
              <w:t>7.1</w:t>
            </w:r>
          </w:p>
        </w:tc>
        <w:tc>
          <w:tcPr>
            <w:tcW w:w="4469" w:type="pct"/>
            <w:gridSpan w:val="2"/>
            <w:tcBorders>
              <w:top w:val="single" w:sz="8" w:space="0" w:color="ECEDE9"/>
              <w:bottom w:val="single" w:sz="8" w:space="0" w:color="ECEDE9"/>
            </w:tcBorders>
          </w:tcPr>
          <w:p w14:paraId="46C3AD6F" w14:textId="77777777" w:rsidR="00797C02" w:rsidRDefault="00797C02" w:rsidP="00F22AE5">
            <w:r>
              <w:t>The RBA</w:t>
            </w:r>
            <w:r>
              <w:rPr>
                <w:spacing w:val="1"/>
              </w:rPr>
              <w:t xml:space="preserve"> </w:t>
            </w:r>
            <w:r>
              <w:t>should</w:t>
            </w:r>
            <w:r>
              <w:rPr>
                <w:spacing w:val="1"/>
              </w:rPr>
              <w:t xml:space="preserve"> </w:t>
            </w:r>
            <w:r>
              <w:t>continue</w:t>
            </w:r>
            <w:r>
              <w:rPr>
                <w:spacing w:val="1"/>
              </w:rPr>
              <w:t xml:space="preserve"> </w:t>
            </w:r>
            <w:r>
              <w:t>to:</w:t>
            </w:r>
          </w:p>
          <w:p w14:paraId="5BE15B28" w14:textId="77777777" w:rsidR="00797C02" w:rsidRDefault="00797C02" w:rsidP="0000278A">
            <w:pPr>
              <w:pStyle w:val="Bullet"/>
            </w:pPr>
            <w:r>
              <w:t>integrate the implications of climate</w:t>
            </w:r>
            <w:r>
              <w:rPr>
                <w:spacing w:val="1"/>
              </w:rPr>
              <w:t xml:space="preserve"> </w:t>
            </w:r>
            <w:r>
              <w:t>change for the Australian economy</w:t>
            </w:r>
            <w:r>
              <w:rPr>
                <w:spacing w:val="1"/>
              </w:rPr>
              <w:t xml:space="preserve"> </w:t>
            </w:r>
            <w:r>
              <w:t>and financial</w:t>
            </w:r>
            <w:r>
              <w:rPr>
                <w:spacing w:val="3"/>
              </w:rPr>
              <w:t xml:space="preserve"> </w:t>
            </w:r>
            <w:r>
              <w:t>system</w:t>
            </w:r>
            <w:r>
              <w:rPr>
                <w:spacing w:val="4"/>
              </w:rPr>
              <w:t xml:space="preserve"> </w:t>
            </w:r>
            <w:r>
              <w:t>into</w:t>
            </w:r>
            <w:r>
              <w:rPr>
                <w:spacing w:val="3"/>
              </w:rPr>
              <w:t xml:space="preserve"> </w:t>
            </w:r>
            <w:r>
              <w:t>its</w:t>
            </w:r>
            <w:r>
              <w:rPr>
                <w:spacing w:val="4"/>
              </w:rPr>
              <w:t xml:space="preserve"> </w:t>
            </w:r>
            <w:r>
              <w:rPr>
                <w:spacing w:val="-2"/>
              </w:rPr>
              <w:t>analysis</w:t>
            </w:r>
          </w:p>
          <w:p w14:paraId="6F72F395" w14:textId="77777777" w:rsidR="00797C02" w:rsidRDefault="00797C02" w:rsidP="0000278A">
            <w:pPr>
              <w:pStyle w:val="Bullet"/>
            </w:pPr>
            <w:r>
              <w:t>contribute more generally to the effective regulation of banking and finance on climate risk and natural capital management through the Council of Financial Regulators and international forums.</w:t>
            </w:r>
          </w:p>
        </w:tc>
      </w:tr>
      <w:tr w:rsidR="00797C02" w14:paraId="0249F74C" w14:textId="77777777" w:rsidTr="00FA4DE9">
        <w:trPr>
          <w:gridBefore w:val="1"/>
          <w:wBefore w:w="100" w:type="pct"/>
          <w:trHeight w:val="1390"/>
        </w:trPr>
        <w:tc>
          <w:tcPr>
            <w:tcW w:w="431" w:type="pct"/>
            <w:gridSpan w:val="4"/>
            <w:tcBorders>
              <w:top w:val="single" w:sz="8" w:space="0" w:color="ECEDE9"/>
            </w:tcBorders>
          </w:tcPr>
          <w:p w14:paraId="5D93C5B7" w14:textId="77777777" w:rsidR="00797C02" w:rsidRDefault="00797C02" w:rsidP="00F22AE5">
            <w:r>
              <w:t>7.2</w:t>
            </w:r>
          </w:p>
        </w:tc>
        <w:tc>
          <w:tcPr>
            <w:tcW w:w="4469" w:type="pct"/>
            <w:gridSpan w:val="2"/>
            <w:tcBorders>
              <w:top w:val="single" w:sz="8" w:space="0" w:color="ECEDE9"/>
            </w:tcBorders>
          </w:tcPr>
          <w:p w14:paraId="0914E962" w14:textId="77777777" w:rsidR="00797C02" w:rsidRDefault="00797C02" w:rsidP="00F22AE5">
            <w:r>
              <w:t>The Government should not make transition to a low carbon economy an explicit objective of monetary policy. The Government should set the mix of policies to pursue and manage the transition, rather than the RBA using its balance sheet or directing private lending to accelerate transition.</w:t>
            </w:r>
          </w:p>
        </w:tc>
      </w:tr>
    </w:tbl>
    <w:p w14:paraId="48278A12" w14:textId="77777777" w:rsidR="007E7781" w:rsidRDefault="007E7781">
      <w:pPr>
        <w:spacing w:before="0" w:after="160" w:line="259" w:lineRule="auto"/>
      </w:pPr>
    </w:p>
    <w:bookmarkEnd w:id="5"/>
    <w:bookmarkEnd w:id="6"/>
    <w:p w14:paraId="65098290" w14:textId="775A372E" w:rsidR="00B340F5" w:rsidRDefault="00B340F5" w:rsidP="006C5B73"/>
    <w:p w14:paraId="37F156F3" w14:textId="13E01825" w:rsidR="000D4025" w:rsidRDefault="000D4025">
      <w:pPr>
        <w:spacing w:before="0" w:after="160" w:line="259" w:lineRule="auto"/>
      </w:pPr>
      <w:r>
        <w:br w:type="page"/>
      </w:r>
    </w:p>
    <w:p w14:paraId="32AC8ECB" w14:textId="5CEDE803" w:rsidR="00970047" w:rsidRDefault="00970047" w:rsidP="0036486A">
      <w:pPr>
        <w:pStyle w:val="Heading2"/>
      </w:pPr>
      <w:bookmarkStart w:id="36" w:name="_Toc134221006"/>
      <w:r w:rsidRPr="0036486A">
        <w:lastRenderedPageBreak/>
        <w:t>Monetary policy arrangements in Australia</w:t>
      </w:r>
      <w:r w:rsidR="0036486A" w:rsidRPr="0036486A">
        <w:t xml:space="preserve"> </w:t>
      </w:r>
      <w:r w:rsidRPr="0036486A">
        <w:t>and their context</w:t>
      </w:r>
      <w:bookmarkEnd w:id="36"/>
    </w:p>
    <w:p w14:paraId="00670F92" w14:textId="77777777" w:rsidR="0036486A" w:rsidRPr="0036486A" w:rsidRDefault="0036486A" w:rsidP="0036486A"/>
    <w:p w14:paraId="20EECD20" w14:textId="77777777" w:rsidR="00970047" w:rsidRDefault="00970047" w:rsidP="0036486A">
      <w:pPr>
        <w:pStyle w:val="Heading3"/>
      </w:pPr>
      <w:r>
        <w:t>Australia’s</w:t>
      </w:r>
      <w:r>
        <w:rPr>
          <w:spacing w:val="-5"/>
        </w:rPr>
        <w:t xml:space="preserve"> </w:t>
      </w:r>
      <w:r>
        <w:t>monetary</w:t>
      </w:r>
      <w:r>
        <w:rPr>
          <w:spacing w:val="-5"/>
        </w:rPr>
        <w:t xml:space="preserve"> </w:t>
      </w:r>
      <w:r>
        <w:t>policy</w:t>
      </w:r>
      <w:r>
        <w:rPr>
          <w:spacing w:val="-5"/>
        </w:rPr>
        <w:t xml:space="preserve"> </w:t>
      </w:r>
      <w:r>
        <w:rPr>
          <w:spacing w:val="-2"/>
        </w:rPr>
        <w:t>framework</w:t>
      </w:r>
    </w:p>
    <w:p w14:paraId="04401421" w14:textId="77777777" w:rsidR="00970047" w:rsidRDefault="00970047" w:rsidP="0036486A">
      <w:r>
        <w:t xml:space="preserve">The </w:t>
      </w:r>
      <w:r>
        <w:rPr>
          <w:i/>
        </w:rPr>
        <w:t xml:space="preserve">Reserve Bank Act 1959 </w:t>
      </w:r>
      <w:r>
        <w:t>(the RBA Act) s 10 imposes a duty on the Reserve Bank Board to conduct its ‘monetary and banking policy’ … ‘to the greatest advantage of the people of Australia’ and use its statutory powers in a way that ‘will best contribute to:</w:t>
      </w:r>
    </w:p>
    <w:p w14:paraId="2950DEC0" w14:textId="77777777" w:rsidR="00970047" w:rsidRDefault="00970047" w:rsidP="00FA4DE9">
      <w:pPr>
        <w:pStyle w:val="Bullet"/>
      </w:pPr>
      <w:r>
        <w:t>stability</w:t>
      </w:r>
      <w:r>
        <w:rPr>
          <w:spacing w:val="4"/>
        </w:rPr>
        <w:t xml:space="preserve"> </w:t>
      </w:r>
      <w:r>
        <w:t>of</w:t>
      </w:r>
      <w:r>
        <w:rPr>
          <w:spacing w:val="4"/>
        </w:rPr>
        <w:t xml:space="preserve"> </w:t>
      </w:r>
      <w:r>
        <w:t>the</w:t>
      </w:r>
      <w:r>
        <w:rPr>
          <w:spacing w:val="4"/>
        </w:rPr>
        <w:t xml:space="preserve"> </w:t>
      </w:r>
      <w:r>
        <w:t>currency</w:t>
      </w:r>
      <w:r>
        <w:rPr>
          <w:spacing w:val="4"/>
        </w:rPr>
        <w:t xml:space="preserve"> </w:t>
      </w:r>
      <w:r>
        <w:t>of</w:t>
      </w:r>
      <w:r>
        <w:rPr>
          <w:spacing w:val="5"/>
        </w:rPr>
        <w:t xml:space="preserve"> </w:t>
      </w:r>
      <w:r>
        <w:rPr>
          <w:spacing w:val="-2"/>
        </w:rPr>
        <w:t>Australia,</w:t>
      </w:r>
    </w:p>
    <w:p w14:paraId="1E7E3E66" w14:textId="77777777" w:rsidR="00970047" w:rsidRDefault="00970047" w:rsidP="00FA4DE9">
      <w:pPr>
        <w:pStyle w:val="Bullet"/>
      </w:pPr>
      <w:r>
        <w:t>maintenance</w:t>
      </w:r>
      <w:r>
        <w:rPr>
          <w:spacing w:val="1"/>
        </w:rPr>
        <w:t xml:space="preserve"> </w:t>
      </w:r>
      <w:r>
        <w:t>of</w:t>
      </w:r>
      <w:r>
        <w:rPr>
          <w:spacing w:val="2"/>
        </w:rPr>
        <w:t xml:space="preserve"> </w:t>
      </w:r>
      <w:r>
        <w:t>full</w:t>
      </w:r>
      <w:r>
        <w:rPr>
          <w:spacing w:val="1"/>
        </w:rPr>
        <w:t xml:space="preserve"> </w:t>
      </w:r>
      <w:r>
        <w:t>employment</w:t>
      </w:r>
      <w:r>
        <w:rPr>
          <w:spacing w:val="2"/>
        </w:rPr>
        <w:t xml:space="preserve"> </w:t>
      </w:r>
      <w:r>
        <w:t>in</w:t>
      </w:r>
      <w:r>
        <w:rPr>
          <w:spacing w:val="1"/>
        </w:rPr>
        <w:t xml:space="preserve"> </w:t>
      </w:r>
      <w:r>
        <w:t>Australia,</w:t>
      </w:r>
      <w:r>
        <w:rPr>
          <w:spacing w:val="2"/>
        </w:rPr>
        <w:t xml:space="preserve"> </w:t>
      </w:r>
      <w:r>
        <w:rPr>
          <w:spacing w:val="-5"/>
        </w:rPr>
        <w:t>and</w:t>
      </w:r>
    </w:p>
    <w:p w14:paraId="6C2C8FF1" w14:textId="3DBCACF5" w:rsidR="00970047" w:rsidRDefault="00970047" w:rsidP="00FA4DE9">
      <w:pPr>
        <w:pStyle w:val="Bullet"/>
      </w:pPr>
      <w:r>
        <w:t>economic</w:t>
      </w:r>
      <w:r>
        <w:rPr>
          <w:spacing w:val="1"/>
        </w:rPr>
        <w:t xml:space="preserve"> </w:t>
      </w:r>
      <w:r>
        <w:t>prosperity</w:t>
      </w:r>
      <w:r>
        <w:rPr>
          <w:spacing w:val="1"/>
        </w:rPr>
        <w:t xml:space="preserve"> </w:t>
      </w:r>
      <w:r>
        <w:t>and</w:t>
      </w:r>
      <w:r>
        <w:rPr>
          <w:spacing w:val="1"/>
        </w:rPr>
        <w:t xml:space="preserve"> </w:t>
      </w:r>
      <w:r>
        <w:t>welfare</w:t>
      </w:r>
      <w:r>
        <w:rPr>
          <w:spacing w:val="1"/>
        </w:rPr>
        <w:t xml:space="preserve"> </w:t>
      </w:r>
      <w:r>
        <w:t>of</w:t>
      </w:r>
      <w:r>
        <w:rPr>
          <w:spacing w:val="1"/>
        </w:rPr>
        <w:t xml:space="preserve"> </w:t>
      </w:r>
      <w:r>
        <w:t>the</w:t>
      </w:r>
      <w:r>
        <w:rPr>
          <w:spacing w:val="1"/>
        </w:rPr>
        <w:t xml:space="preserve"> </w:t>
      </w:r>
      <w:r>
        <w:t>people</w:t>
      </w:r>
      <w:r>
        <w:rPr>
          <w:spacing w:val="1"/>
        </w:rPr>
        <w:t xml:space="preserve"> </w:t>
      </w:r>
      <w:r>
        <w:t>of</w:t>
      </w:r>
      <w:r>
        <w:rPr>
          <w:spacing w:val="1"/>
        </w:rPr>
        <w:t xml:space="preserve"> </w:t>
      </w:r>
      <w:r>
        <w:t>Australia’</w:t>
      </w:r>
      <w:r>
        <w:rPr>
          <w:spacing w:val="-10"/>
          <w:w w:val="85"/>
        </w:rPr>
        <w:t>.</w:t>
      </w:r>
    </w:p>
    <w:p w14:paraId="049AF5EF" w14:textId="30238418" w:rsidR="00970047" w:rsidRDefault="00970047" w:rsidP="0036486A">
      <w:r>
        <w:t>While these objectives in the RBA Act have been unchanged, the monetary policy framework – the RBA’s broad strategy to fulfill these objectives – has gone through several iterations in the period since. Prior to adopting flexible inflation-targeting in the early 1990s, Australia had experimented with a number of monetary policy frameworks – including targeting the money supply, a fixed exchange rate regime, and a ‘checklist’ approach with substantial discretion</w:t>
      </w:r>
      <w:r>
        <w:rPr>
          <w:w w:val="85"/>
        </w:rPr>
        <w:t>.</w:t>
      </w:r>
    </w:p>
    <w:p w14:paraId="47D97C29" w14:textId="23C7726B" w:rsidR="00970047" w:rsidRDefault="00970047" w:rsidP="0036486A">
      <w:r>
        <w:t xml:space="preserve">The RBA’s approach to meeting its legislated monetary policy objectives is set out in an agreement between the Treasurer and the Governor: the </w:t>
      </w:r>
      <w:r>
        <w:rPr>
          <w:i/>
        </w:rPr>
        <w:t xml:space="preserve">Statement on the Conduct of Monetary Policy </w:t>
      </w:r>
      <w:r>
        <w:t>(the Statement on Conduct). The Statement on Conduct has not been significantly changed since its inception in 1996, though minor revisions have been made</w:t>
      </w:r>
      <w:r>
        <w:rPr>
          <w:w w:val="85"/>
        </w:rPr>
        <w:t xml:space="preserve">. </w:t>
      </w:r>
      <w:r>
        <w:t>Bipartisan support for the monetary policy framework has been an immense strength of Australian economic policy</w:t>
      </w:r>
      <w:r>
        <w:rPr>
          <w:w w:val="85"/>
        </w:rPr>
        <w:t xml:space="preserve">. </w:t>
      </w:r>
      <w:r>
        <w:t>The Government affirms</w:t>
      </w:r>
      <w:r>
        <w:rPr>
          <w:spacing w:val="17"/>
        </w:rPr>
        <w:t xml:space="preserve"> </w:t>
      </w:r>
      <w:r>
        <w:t>in</w:t>
      </w:r>
      <w:r>
        <w:rPr>
          <w:spacing w:val="17"/>
        </w:rPr>
        <w:t xml:space="preserve"> </w:t>
      </w:r>
      <w:r>
        <w:t>the</w:t>
      </w:r>
      <w:r>
        <w:rPr>
          <w:spacing w:val="17"/>
        </w:rPr>
        <w:t xml:space="preserve"> </w:t>
      </w:r>
      <w:r>
        <w:t>Statement</w:t>
      </w:r>
      <w:r>
        <w:rPr>
          <w:spacing w:val="17"/>
        </w:rPr>
        <w:t xml:space="preserve"> </w:t>
      </w:r>
      <w:r>
        <w:t>on</w:t>
      </w:r>
      <w:r>
        <w:rPr>
          <w:spacing w:val="17"/>
        </w:rPr>
        <w:t xml:space="preserve"> </w:t>
      </w:r>
      <w:r>
        <w:t>Conduct</w:t>
      </w:r>
      <w:r>
        <w:rPr>
          <w:spacing w:val="17"/>
        </w:rPr>
        <w:t xml:space="preserve"> </w:t>
      </w:r>
      <w:r>
        <w:t>that</w:t>
      </w:r>
      <w:r>
        <w:rPr>
          <w:spacing w:val="17"/>
        </w:rPr>
        <w:t xml:space="preserve"> </w:t>
      </w:r>
      <w:r>
        <w:t>it</w:t>
      </w:r>
      <w:r>
        <w:rPr>
          <w:spacing w:val="17"/>
        </w:rPr>
        <w:t xml:space="preserve"> </w:t>
      </w:r>
      <w:r>
        <w:t>will</w:t>
      </w:r>
      <w:r>
        <w:rPr>
          <w:spacing w:val="17"/>
        </w:rPr>
        <w:t xml:space="preserve"> </w:t>
      </w:r>
      <w:r>
        <w:t>respect</w:t>
      </w:r>
      <w:r>
        <w:rPr>
          <w:spacing w:val="17"/>
        </w:rPr>
        <w:t xml:space="preserve"> </w:t>
      </w:r>
      <w:r>
        <w:t>the</w:t>
      </w:r>
      <w:r>
        <w:rPr>
          <w:spacing w:val="17"/>
        </w:rPr>
        <w:t xml:space="preserve"> </w:t>
      </w:r>
      <w:r>
        <w:t>RBA’s</w:t>
      </w:r>
      <w:r>
        <w:rPr>
          <w:spacing w:val="17"/>
        </w:rPr>
        <w:t xml:space="preserve"> </w:t>
      </w:r>
      <w:r>
        <w:t>independence</w:t>
      </w:r>
      <w:r>
        <w:rPr>
          <w:spacing w:val="17"/>
        </w:rPr>
        <w:t xml:space="preserve"> </w:t>
      </w:r>
      <w:r>
        <w:t>as</w:t>
      </w:r>
      <w:r>
        <w:rPr>
          <w:spacing w:val="17"/>
        </w:rPr>
        <w:t xml:space="preserve"> </w:t>
      </w:r>
      <w:r>
        <w:t>provided</w:t>
      </w:r>
      <w:r>
        <w:rPr>
          <w:spacing w:val="15"/>
        </w:rPr>
        <w:t xml:space="preserve"> </w:t>
      </w:r>
      <w:r>
        <w:t>by the RBA Act</w:t>
      </w:r>
      <w:r>
        <w:rPr>
          <w:w w:val="85"/>
        </w:rPr>
        <w:t>.</w:t>
      </w:r>
    </w:p>
    <w:p w14:paraId="15A9C572" w14:textId="367FE77F" w:rsidR="00970047" w:rsidRDefault="00970047" w:rsidP="0036486A">
      <w:r>
        <w:t>The</w:t>
      </w:r>
      <w:r>
        <w:rPr>
          <w:spacing w:val="-1"/>
        </w:rPr>
        <w:t xml:space="preserve"> </w:t>
      </w:r>
      <w:r>
        <w:t>Statement</w:t>
      </w:r>
      <w:r>
        <w:rPr>
          <w:spacing w:val="1"/>
        </w:rPr>
        <w:t xml:space="preserve"> </w:t>
      </w:r>
      <w:r>
        <w:t>on</w:t>
      </w:r>
      <w:r>
        <w:rPr>
          <w:spacing w:val="2"/>
        </w:rPr>
        <w:t xml:space="preserve"> </w:t>
      </w:r>
      <w:r>
        <w:t>Conduct</w:t>
      </w:r>
      <w:r>
        <w:rPr>
          <w:spacing w:val="1"/>
        </w:rPr>
        <w:t xml:space="preserve"> </w:t>
      </w:r>
      <w:r>
        <w:t>outlines</w:t>
      </w:r>
      <w:r>
        <w:rPr>
          <w:spacing w:val="1"/>
        </w:rPr>
        <w:t xml:space="preserve"> </w:t>
      </w:r>
      <w:r>
        <w:t>how</w:t>
      </w:r>
      <w:r>
        <w:rPr>
          <w:spacing w:val="2"/>
        </w:rPr>
        <w:t xml:space="preserve"> </w:t>
      </w:r>
      <w:r>
        <w:t>the</w:t>
      </w:r>
      <w:r>
        <w:rPr>
          <w:spacing w:val="1"/>
        </w:rPr>
        <w:t xml:space="preserve"> </w:t>
      </w:r>
      <w:r>
        <w:t>Government</w:t>
      </w:r>
      <w:r>
        <w:rPr>
          <w:spacing w:val="2"/>
        </w:rPr>
        <w:t xml:space="preserve"> </w:t>
      </w:r>
      <w:r>
        <w:t>and</w:t>
      </w:r>
      <w:r>
        <w:rPr>
          <w:spacing w:val="1"/>
        </w:rPr>
        <w:t xml:space="preserve"> </w:t>
      </w:r>
      <w:r>
        <w:t>the</w:t>
      </w:r>
      <w:r>
        <w:rPr>
          <w:spacing w:val="1"/>
        </w:rPr>
        <w:t xml:space="preserve"> </w:t>
      </w:r>
      <w:r>
        <w:t>Governor</w:t>
      </w:r>
      <w:r>
        <w:rPr>
          <w:spacing w:val="2"/>
        </w:rPr>
        <w:t xml:space="preserve"> </w:t>
      </w:r>
      <w:r>
        <w:t>interpret</w:t>
      </w:r>
      <w:r>
        <w:rPr>
          <w:spacing w:val="1"/>
        </w:rPr>
        <w:t xml:space="preserve"> </w:t>
      </w:r>
      <w:r>
        <w:t>the</w:t>
      </w:r>
      <w:r>
        <w:rPr>
          <w:spacing w:val="2"/>
        </w:rPr>
        <w:t xml:space="preserve"> </w:t>
      </w:r>
      <w:r>
        <w:rPr>
          <w:spacing w:val="-2"/>
        </w:rPr>
        <w:t>RBA’s</w:t>
      </w:r>
      <w:r w:rsidR="0036486A">
        <w:rPr>
          <w:spacing w:val="-2"/>
        </w:rPr>
        <w:t xml:space="preserve"> </w:t>
      </w:r>
      <w:r>
        <w:t>legislated</w:t>
      </w:r>
      <w:r>
        <w:rPr>
          <w:spacing w:val="2"/>
        </w:rPr>
        <w:t xml:space="preserve"> </w:t>
      </w:r>
      <w:r>
        <w:t>objectives.</w:t>
      </w:r>
      <w:r>
        <w:rPr>
          <w:spacing w:val="5"/>
        </w:rPr>
        <w:t xml:space="preserve"> </w:t>
      </w:r>
      <w:r>
        <w:t>It</w:t>
      </w:r>
      <w:r>
        <w:rPr>
          <w:spacing w:val="5"/>
        </w:rPr>
        <w:t xml:space="preserve"> </w:t>
      </w:r>
      <w:r>
        <w:t>interprets</w:t>
      </w:r>
      <w:r>
        <w:rPr>
          <w:spacing w:val="4"/>
        </w:rPr>
        <w:t xml:space="preserve"> </w:t>
      </w:r>
      <w:r>
        <w:t>the</w:t>
      </w:r>
      <w:r>
        <w:rPr>
          <w:spacing w:val="5"/>
        </w:rPr>
        <w:t xml:space="preserve"> </w:t>
      </w:r>
      <w:r>
        <w:t>first</w:t>
      </w:r>
      <w:r>
        <w:rPr>
          <w:spacing w:val="5"/>
        </w:rPr>
        <w:t xml:space="preserve"> </w:t>
      </w:r>
      <w:r>
        <w:t>objective</w:t>
      </w:r>
      <w:r>
        <w:rPr>
          <w:spacing w:val="5"/>
        </w:rPr>
        <w:t xml:space="preserve"> </w:t>
      </w:r>
      <w:r>
        <w:t>of</w:t>
      </w:r>
      <w:r>
        <w:rPr>
          <w:spacing w:val="4"/>
        </w:rPr>
        <w:t xml:space="preserve"> </w:t>
      </w:r>
      <w:r>
        <w:t>the</w:t>
      </w:r>
      <w:r>
        <w:rPr>
          <w:spacing w:val="5"/>
        </w:rPr>
        <w:t xml:space="preserve"> </w:t>
      </w:r>
      <w:r>
        <w:t>RBA</w:t>
      </w:r>
      <w:r>
        <w:rPr>
          <w:spacing w:val="5"/>
        </w:rPr>
        <w:t xml:space="preserve"> </w:t>
      </w:r>
      <w:r>
        <w:t>Act,</w:t>
      </w:r>
      <w:r>
        <w:rPr>
          <w:spacing w:val="4"/>
        </w:rPr>
        <w:t xml:space="preserve"> </w:t>
      </w:r>
      <w:r>
        <w:t>‘stability</w:t>
      </w:r>
      <w:r>
        <w:rPr>
          <w:spacing w:val="5"/>
        </w:rPr>
        <w:t xml:space="preserve"> </w:t>
      </w:r>
      <w:r>
        <w:t>of</w:t>
      </w:r>
      <w:r>
        <w:rPr>
          <w:spacing w:val="5"/>
        </w:rPr>
        <w:t xml:space="preserve"> </w:t>
      </w:r>
      <w:r>
        <w:t>the</w:t>
      </w:r>
      <w:r>
        <w:rPr>
          <w:spacing w:val="5"/>
        </w:rPr>
        <w:t xml:space="preserve"> </w:t>
      </w:r>
      <w:r>
        <w:rPr>
          <w:spacing w:val="-2"/>
        </w:rPr>
        <w:t>currency’,</w:t>
      </w:r>
      <w:r w:rsidR="0036486A">
        <w:rPr>
          <w:spacing w:val="-2"/>
        </w:rPr>
        <w:t xml:space="preserve"> </w:t>
      </w:r>
      <w:r>
        <w:t>as ‘price stability’</w:t>
      </w:r>
      <w:r>
        <w:rPr>
          <w:w w:val="85"/>
        </w:rPr>
        <w:t xml:space="preserve">. </w:t>
      </w:r>
      <w:r>
        <w:t>It notes that the Reserve Bank Board will also take into account the impact of monetary policy on activity and employment in the short term, but that price stability is ‘a crucial precondition for long term economic growth and employment’</w:t>
      </w:r>
      <w:r>
        <w:rPr>
          <w:w w:val="85"/>
        </w:rPr>
        <w:t>.</w:t>
      </w:r>
    </w:p>
    <w:p w14:paraId="34817099" w14:textId="20DF92EE" w:rsidR="00970047" w:rsidRPr="0036486A" w:rsidRDefault="00970047" w:rsidP="0036486A">
      <w:r>
        <w:t>The Statement on Conduct outlines that the RBA pursues its objectives through a flexible medium- term inflation target. The most recent version of the Statement on Conduct describes the inflation target as follows:</w:t>
      </w:r>
    </w:p>
    <w:p w14:paraId="170B0A1A" w14:textId="501A1601" w:rsidR="000D4025" w:rsidRDefault="00970047" w:rsidP="0036486A">
      <w:pPr>
        <w:pStyle w:val="italicquote"/>
      </w:pPr>
      <w:r>
        <w:t>Both</w:t>
      </w:r>
      <w:r>
        <w:rPr>
          <w:spacing w:val="14"/>
        </w:rPr>
        <w:t xml:space="preserve"> </w:t>
      </w:r>
      <w:r>
        <w:t>the</w:t>
      </w:r>
      <w:r>
        <w:rPr>
          <w:spacing w:val="14"/>
        </w:rPr>
        <w:t xml:space="preserve"> </w:t>
      </w:r>
      <w:r>
        <w:t>Reserve</w:t>
      </w:r>
      <w:r>
        <w:rPr>
          <w:spacing w:val="14"/>
        </w:rPr>
        <w:t xml:space="preserve"> </w:t>
      </w:r>
      <w:r>
        <w:t>Bank</w:t>
      </w:r>
      <w:r>
        <w:rPr>
          <w:spacing w:val="14"/>
        </w:rPr>
        <w:t xml:space="preserve"> </w:t>
      </w:r>
      <w:r>
        <w:t>and</w:t>
      </w:r>
      <w:r>
        <w:rPr>
          <w:spacing w:val="12"/>
        </w:rPr>
        <w:t xml:space="preserve"> </w:t>
      </w:r>
      <w:r>
        <w:t>the</w:t>
      </w:r>
      <w:r>
        <w:rPr>
          <w:spacing w:val="14"/>
        </w:rPr>
        <w:t xml:space="preserve"> </w:t>
      </w:r>
      <w:r>
        <w:t>Government</w:t>
      </w:r>
      <w:r>
        <w:rPr>
          <w:spacing w:val="14"/>
        </w:rPr>
        <w:t xml:space="preserve"> </w:t>
      </w:r>
      <w:r>
        <w:t>agree</w:t>
      </w:r>
      <w:r>
        <w:rPr>
          <w:spacing w:val="14"/>
        </w:rPr>
        <w:t xml:space="preserve"> </w:t>
      </w:r>
      <w:r>
        <w:t>that</w:t>
      </w:r>
      <w:r>
        <w:rPr>
          <w:spacing w:val="14"/>
        </w:rPr>
        <w:t xml:space="preserve"> </w:t>
      </w:r>
      <w:r>
        <w:t>a</w:t>
      </w:r>
      <w:r>
        <w:rPr>
          <w:spacing w:val="12"/>
        </w:rPr>
        <w:t xml:space="preserve"> </w:t>
      </w:r>
      <w:r>
        <w:t>flexible</w:t>
      </w:r>
      <w:r>
        <w:rPr>
          <w:spacing w:val="14"/>
        </w:rPr>
        <w:t xml:space="preserve"> </w:t>
      </w:r>
      <w:r>
        <w:t>medium-term</w:t>
      </w:r>
      <w:r>
        <w:rPr>
          <w:spacing w:val="14"/>
        </w:rPr>
        <w:t xml:space="preserve"> </w:t>
      </w:r>
      <w:r>
        <w:t>inflation</w:t>
      </w:r>
      <w:r>
        <w:rPr>
          <w:spacing w:val="14"/>
        </w:rPr>
        <w:t xml:space="preserve"> </w:t>
      </w:r>
      <w:r>
        <w:t>target is the appropriate framework for achieving medium-term price stability. They agree that an appropriate goal is to keep consumer price inflation between 2 and 3 per cent, on average, over time. This formulation allows for the natural short-run variation in inflation over the economic cycle and the medium-term focus provides the flexibility for the Reserve Bank to set its policy so</w:t>
      </w:r>
      <w:r w:rsidR="0036486A">
        <w:t xml:space="preserve"> </w:t>
      </w:r>
      <w:r w:rsidRPr="0036486A">
        <w:t>as best to achieve its broad objectives, including financial stability. The 2-3 per cent medium-term goal provides a clearly identifiable performance benchmark over time.</w:t>
      </w:r>
    </w:p>
    <w:p w14:paraId="24A2D599" w14:textId="569F7FC3" w:rsidR="00087033" w:rsidRDefault="00087033" w:rsidP="00087033">
      <w:r>
        <w:t>At various points in time, the RBA has set out more detail about how it approaches the flexibility in the inflation target framework. In particular, it:</w:t>
      </w:r>
    </w:p>
    <w:p w14:paraId="15E90309" w14:textId="77777777" w:rsidR="00087033" w:rsidRDefault="00087033" w:rsidP="0000278A">
      <w:pPr>
        <w:pStyle w:val="Bullet"/>
      </w:pPr>
      <w:r>
        <w:t>does</w:t>
      </w:r>
      <w:r>
        <w:rPr>
          <w:spacing w:val="-1"/>
        </w:rPr>
        <w:t xml:space="preserve"> </w:t>
      </w:r>
      <w:r>
        <w:t>not</w:t>
      </w:r>
      <w:r>
        <w:rPr>
          <w:spacing w:val="-1"/>
        </w:rPr>
        <w:t xml:space="preserve"> </w:t>
      </w:r>
      <w:r>
        <w:t>explicitly</w:t>
      </w:r>
      <w:r>
        <w:rPr>
          <w:spacing w:val="-1"/>
        </w:rPr>
        <w:t xml:space="preserve"> </w:t>
      </w:r>
      <w:r>
        <w:t>aim</w:t>
      </w:r>
      <w:r>
        <w:rPr>
          <w:spacing w:val="-1"/>
        </w:rPr>
        <w:t xml:space="preserve"> </w:t>
      </w:r>
      <w:r>
        <w:t>for</w:t>
      </w:r>
      <w:r>
        <w:rPr>
          <w:spacing w:val="-1"/>
        </w:rPr>
        <w:t xml:space="preserve"> </w:t>
      </w:r>
      <w:r>
        <w:t>the</w:t>
      </w:r>
      <w:r>
        <w:rPr>
          <w:spacing w:val="-1"/>
        </w:rPr>
        <w:t xml:space="preserve"> </w:t>
      </w:r>
      <w:r>
        <w:t>midpoint</w:t>
      </w:r>
      <w:r>
        <w:rPr>
          <w:spacing w:val="-1"/>
        </w:rPr>
        <w:t xml:space="preserve"> </w:t>
      </w:r>
      <w:r>
        <w:t>of</w:t>
      </w:r>
      <w:r>
        <w:rPr>
          <w:spacing w:val="-1"/>
        </w:rPr>
        <w:t xml:space="preserve"> </w:t>
      </w:r>
      <w:r>
        <w:t>the</w:t>
      </w:r>
      <w:r>
        <w:rPr>
          <w:spacing w:val="-1"/>
        </w:rPr>
        <w:t xml:space="preserve"> </w:t>
      </w:r>
      <w:r>
        <w:t>2-3</w:t>
      </w:r>
      <w:r>
        <w:rPr>
          <w:spacing w:val="-1"/>
        </w:rPr>
        <w:t xml:space="preserve"> </w:t>
      </w:r>
      <w:r>
        <w:t>target</w:t>
      </w:r>
      <w:r>
        <w:rPr>
          <w:spacing w:val="-1"/>
        </w:rPr>
        <w:t xml:space="preserve"> </w:t>
      </w:r>
      <w:r>
        <w:t>range,</w:t>
      </w:r>
      <w:r>
        <w:rPr>
          <w:spacing w:val="-1"/>
        </w:rPr>
        <w:t xml:space="preserve"> </w:t>
      </w:r>
      <w:r>
        <w:t>although</w:t>
      </w:r>
      <w:r>
        <w:rPr>
          <w:spacing w:val="-1"/>
        </w:rPr>
        <w:t xml:space="preserve"> </w:t>
      </w:r>
      <w:r>
        <w:t>the</w:t>
      </w:r>
      <w:r>
        <w:rPr>
          <w:spacing w:val="-1"/>
        </w:rPr>
        <w:t xml:space="preserve"> </w:t>
      </w:r>
      <w:r>
        <w:t>target</w:t>
      </w:r>
      <w:r>
        <w:rPr>
          <w:spacing w:val="-1"/>
        </w:rPr>
        <w:t xml:space="preserve"> </w:t>
      </w:r>
      <w:r>
        <w:t>range</w:t>
      </w:r>
      <w:r>
        <w:rPr>
          <w:spacing w:val="-1"/>
        </w:rPr>
        <w:t xml:space="preserve"> </w:t>
      </w:r>
      <w:r>
        <w:t>does not represent a ‘zone of policy inaction’ (Debelle 2018b)</w:t>
      </w:r>
    </w:p>
    <w:p w14:paraId="27262971" w14:textId="77777777" w:rsidR="00087033" w:rsidRDefault="00087033" w:rsidP="0000278A">
      <w:pPr>
        <w:pStyle w:val="Bullet"/>
      </w:pPr>
      <w:r>
        <w:t>lets ‘bygones be bygones’ so that past inflation outcomes do not alter the inflation target for</w:t>
      </w:r>
      <w:r>
        <w:rPr>
          <w:spacing w:val="80"/>
          <w:w w:val="150"/>
        </w:rPr>
        <w:t xml:space="preserve"> </w:t>
      </w:r>
      <w:r>
        <w:t>the period ahead (the RBA will not attempt to offset any past over or undershooting of inflation) (Debelle 2009)</w:t>
      </w:r>
    </w:p>
    <w:p w14:paraId="5E931087" w14:textId="1ACF3158" w:rsidR="00087033" w:rsidRDefault="00087033" w:rsidP="0000278A">
      <w:pPr>
        <w:pStyle w:val="Bullet"/>
      </w:pPr>
      <w:r>
        <w:lastRenderedPageBreak/>
        <w:t>does</w:t>
      </w:r>
      <w:r w:rsidRPr="00087033">
        <w:rPr>
          <w:spacing w:val="-1"/>
        </w:rPr>
        <w:t xml:space="preserve"> </w:t>
      </w:r>
      <w:r>
        <w:t>not adhere</w:t>
      </w:r>
      <w:r w:rsidRPr="00087033">
        <w:rPr>
          <w:spacing w:val="-1"/>
        </w:rPr>
        <w:t xml:space="preserve"> </w:t>
      </w:r>
      <w:r>
        <w:t>to a</w:t>
      </w:r>
      <w:r w:rsidRPr="00087033">
        <w:rPr>
          <w:spacing w:val="-1"/>
        </w:rPr>
        <w:t xml:space="preserve"> </w:t>
      </w:r>
      <w:r>
        <w:t>specific timeframe over</w:t>
      </w:r>
      <w:r w:rsidRPr="00087033">
        <w:rPr>
          <w:spacing w:val="-1"/>
        </w:rPr>
        <w:t xml:space="preserve"> </w:t>
      </w:r>
      <w:r>
        <w:t>which to</w:t>
      </w:r>
      <w:r w:rsidRPr="00087033">
        <w:rPr>
          <w:spacing w:val="-1"/>
        </w:rPr>
        <w:t xml:space="preserve"> </w:t>
      </w:r>
      <w:r>
        <w:t>aim to return</w:t>
      </w:r>
      <w:r w:rsidRPr="00087033">
        <w:rPr>
          <w:spacing w:val="-1"/>
        </w:rPr>
        <w:t xml:space="preserve"> </w:t>
      </w:r>
      <w:r>
        <w:t>inflation to</w:t>
      </w:r>
      <w:r w:rsidRPr="00087033">
        <w:rPr>
          <w:spacing w:val="-1"/>
        </w:rPr>
        <w:t xml:space="preserve"> </w:t>
      </w:r>
      <w:r>
        <w:t xml:space="preserve">target, or </w:t>
      </w:r>
      <w:r w:rsidRPr="00087033">
        <w:rPr>
          <w:spacing w:val="-4"/>
        </w:rPr>
        <w:t>over</w:t>
      </w:r>
      <w:r>
        <w:rPr>
          <w:spacing w:val="-4"/>
        </w:rPr>
        <w:t xml:space="preserve"> </w:t>
      </w:r>
      <w:r>
        <w:t>which to assess performance in hindsight (Debelle and Stevens 1995)</w:t>
      </w:r>
      <w:r w:rsidRPr="00087033">
        <w:rPr>
          <w:spacing w:val="-10"/>
          <w:w w:val="85"/>
        </w:rPr>
        <w:t>.</w:t>
      </w:r>
    </w:p>
    <w:p w14:paraId="4AEDF5D1" w14:textId="77777777" w:rsidR="00087033" w:rsidRDefault="00087033" w:rsidP="00087033">
      <w:r>
        <w:t>The flexibility in Australia’s framework recognises that unexpected developments will, at times,</w:t>
      </w:r>
      <w:r>
        <w:rPr>
          <w:spacing w:val="40"/>
        </w:rPr>
        <w:t xml:space="preserve"> </w:t>
      </w:r>
      <w:r>
        <w:t>push inflation outside the target range. Given that these shocks occur, it is sometimes neither realistic nor desirable to use monetary policy to keep inflation within the target range. Two reasons for this are:</w:t>
      </w:r>
    </w:p>
    <w:p w14:paraId="25FC268C" w14:textId="21E6EADE" w:rsidR="00087033" w:rsidRDefault="00087033" w:rsidP="0000278A">
      <w:pPr>
        <w:pStyle w:val="Bullet"/>
      </w:pPr>
      <w:r>
        <w:t>Monetary policy has long and variable lags in its effects on the economy. RBA research suggests that monetary policy’s strongest effects on employment and inflation occur around 1-2 years after a change in policy (see for example Beckers 2020)</w:t>
      </w:r>
      <w:r>
        <w:rPr>
          <w:w w:val="85"/>
        </w:rPr>
        <w:t>.</w:t>
      </w:r>
    </w:p>
    <w:p w14:paraId="555F979C" w14:textId="404A1E8E" w:rsidR="00087033" w:rsidRDefault="00087033" w:rsidP="0000278A">
      <w:pPr>
        <w:pStyle w:val="Bullet"/>
      </w:pPr>
      <w:r>
        <w:t>The RBA takes account of more than just price stability in setting monetary policy; at times the RBA will aim to bring inflation back to target slower than otherwise to the benefit of its objectives for full employment and the welfare of Australians</w:t>
      </w:r>
      <w:r>
        <w:rPr>
          <w:w w:val="85"/>
        </w:rPr>
        <w:t>.</w:t>
      </w:r>
    </w:p>
    <w:p w14:paraId="4F4811D7" w14:textId="113F479D" w:rsidR="00087033" w:rsidRDefault="00087033" w:rsidP="00087033">
      <w:r>
        <w:t>The RBA’s interpretation of its full employment objective is less explicitly specified than its price stability objective. This reflects that full employment is not directly measurable and changes over time</w:t>
      </w:r>
      <w:r>
        <w:rPr>
          <w:w w:val="85"/>
        </w:rPr>
        <w:t xml:space="preserve">. </w:t>
      </w:r>
      <w:r>
        <w:t>The</w:t>
      </w:r>
      <w:r>
        <w:rPr>
          <w:spacing w:val="-1"/>
        </w:rPr>
        <w:t xml:space="preserve"> </w:t>
      </w:r>
      <w:r>
        <w:t>RBA</w:t>
      </w:r>
      <w:r>
        <w:rPr>
          <w:spacing w:val="-1"/>
        </w:rPr>
        <w:t xml:space="preserve"> </w:t>
      </w:r>
      <w:r>
        <w:t>considers</w:t>
      </w:r>
      <w:r>
        <w:rPr>
          <w:spacing w:val="-1"/>
        </w:rPr>
        <w:t xml:space="preserve"> </w:t>
      </w:r>
      <w:r>
        <w:t>a</w:t>
      </w:r>
      <w:r>
        <w:rPr>
          <w:spacing w:val="-1"/>
        </w:rPr>
        <w:t xml:space="preserve"> </w:t>
      </w:r>
      <w:r>
        <w:t>range</w:t>
      </w:r>
      <w:r>
        <w:rPr>
          <w:spacing w:val="-1"/>
        </w:rPr>
        <w:t xml:space="preserve"> </w:t>
      </w:r>
      <w:r>
        <w:t>of</w:t>
      </w:r>
      <w:r>
        <w:rPr>
          <w:spacing w:val="-1"/>
        </w:rPr>
        <w:t xml:space="preserve"> </w:t>
      </w:r>
      <w:r>
        <w:t>measures</w:t>
      </w:r>
      <w:r>
        <w:rPr>
          <w:spacing w:val="-1"/>
        </w:rPr>
        <w:t xml:space="preserve"> </w:t>
      </w:r>
      <w:r>
        <w:t>of</w:t>
      </w:r>
      <w:r>
        <w:rPr>
          <w:spacing w:val="-1"/>
        </w:rPr>
        <w:t xml:space="preserve"> </w:t>
      </w:r>
      <w:r>
        <w:t>labour</w:t>
      </w:r>
      <w:r>
        <w:rPr>
          <w:spacing w:val="-1"/>
        </w:rPr>
        <w:t xml:space="preserve"> </w:t>
      </w:r>
      <w:r>
        <w:t>market</w:t>
      </w:r>
      <w:r>
        <w:rPr>
          <w:spacing w:val="-1"/>
        </w:rPr>
        <w:t xml:space="preserve"> </w:t>
      </w:r>
      <w:r>
        <w:t>conditions,</w:t>
      </w:r>
      <w:r>
        <w:rPr>
          <w:spacing w:val="-1"/>
        </w:rPr>
        <w:t xml:space="preserve"> </w:t>
      </w:r>
      <w:r>
        <w:t>with</w:t>
      </w:r>
      <w:r>
        <w:rPr>
          <w:spacing w:val="-1"/>
        </w:rPr>
        <w:t xml:space="preserve"> </w:t>
      </w:r>
      <w:r>
        <w:t>a</w:t>
      </w:r>
      <w:r>
        <w:rPr>
          <w:spacing w:val="-1"/>
        </w:rPr>
        <w:t xml:space="preserve"> </w:t>
      </w:r>
      <w:r>
        <w:t>particular</w:t>
      </w:r>
      <w:r>
        <w:rPr>
          <w:spacing w:val="-1"/>
        </w:rPr>
        <w:t xml:space="preserve"> </w:t>
      </w:r>
      <w:r>
        <w:t>focus on the non-accelerating inflation rate of unemployment or NAIRU. On occasion, the RBA has published its estimates of the NAIRU (Ellis 2019).</w:t>
      </w:r>
    </w:p>
    <w:p w14:paraId="4D91E316" w14:textId="568EB6BB" w:rsidR="00087033" w:rsidRDefault="00087033" w:rsidP="00087033">
      <w:r>
        <w:t>The interpretation of the ‘economic prosperity and welfare’ objective is the most ambiguous element of the RBA’s framework. One interpretation sees it as a reiteration of the broad purpose of the RBA, within which the price stability and full employment objectives for monetary policy are nested</w:t>
      </w:r>
      <w:r>
        <w:rPr>
          <w:w w:val="85"/>
        </w:rPr>
        <w:t xml:space="preserve">. </w:t>
      </w:r>
      <w:r>
        <w:t>A</w:t>
      </w:r>
      <w:r>
        <w:rPr>
          <w:spacing w:val="-1"/>
        </w:rPr>
        <w:t xml:space="preserve"> </w:t>
      </w:r>
      <w:r>
        <w:t>second</w:t>
      </w:r>
      <w:r>
        <w:rPr>
          <w:spacing w:val="-1"/>
        </w:rPr>
        <w:t xml:space="preserve"> </w:t>
      </w:r>
      <w:r>
        <w:t>interpretation</w:t>
      </w:r>
      <w:r>
        <w:rPr>
          <w:spacing w:val="-1"/>
        </w:rPr>
        <w:t xml:space="preserve"> </w:t>
      </w:r>
      <w:r>
        <w:t>sees</w:t>
      </w:r>
      <w:r>
        <w:rPr>
          <w:spacing w:val="-1"/>
        </w:rPr>
        <w:t xml:space="preserve"> </w:t>
      </w:r>
      <w:r>
        <w:t>it</w:t>
      </w:r>
      <w:r>
        <w:rPr>
          <w:spacing w:val="-1"/>
        </w:rPr>
        <w:t xml:space="preserve"> </w:t>
      </w:r>
      <w:r>
        <w:t>as</w:t>
      </w:r>
      <w:r>
        <w:rPr>
          <w:spacing w:val="-1"/>
        </w:rPr>
        <w:t xml:space="preserve"> </w:t>
      </w:r>
      <w:r>
        <w:t>a</w:t>
      </w:r>
      <w:r>
        <w:rPr>
          <w:spacing w:val="-1"/>
        </w:rPr>
        <w:t xml:space="preserve"> </w:t>
      </w:r>
      <w:r>
        <w:t>separate,</w:t>
      </w:r>
      <w:r>
        <w:rPr>
          <w:spacing w:val="-1"/>
        </w:rPr>
        <w:t xml:space="preserve"> </w:t>
      </w:r>
      <w:r>
        <w:t>additional</w:t>
      </w:r>
      <w:r>
        <w:rPr>
          <w:spacing w:val="-1"/>
        </w:rPr>
        <w:t xml:space="preserve"> </w:t>
      </w:r>
      <w:r>
        <w:t>objective</w:t>
      </w:r>
      <w:r>
        <w:rPr>
          <w:spacing w:val="-1"/>
        </w:rPr>
        <w:t xml:space="preserve"> </w:t>
      </w:r>
      <w:r>
        <w:t>for</w:t>
      </w:r>
      <w:r>
        <w:rPr>
          <w:spacing w:val="-1"/>
        </w:rPr>
        <w:t xml:space="preserve"> </w:t>
      </w:r>
      <w:r>
        <w:t>monetary</w:t>
      </w:r>
      <w:r>
        <w:rPr>
          <w:spacing w:val="-1"/>
        </w:rPr>
        <w:t xml:space="preserve"> </w:t>
      </w:r>
      <w:r>
        <w:t>policy</w:t>
      </w:r>
      <w:r>
        <w:rPr>
          <w:spacing w:val="-1"/>
        </w:rPr>
        <w:t xml:space="preserve"> </w:t>
      </w:r>
      <w:r>
        <w:t>which provides the Reserve Bank Board with discretion to trade off its price stability and full employment objectives against other factors it judges as relevant to Australians’ welfare</w:t>
      </w:r>
      <w:r>
        <w:rPr>
          <w:w w:val="85"/>
        </w:rPr>
        <w:t xml:space="preserve">. </w:t>
      </w:r>
      <w:r>
        <w:t>The RBA has made comments</w:t>
      </w:r>
      <w:r>
        <w:rPr>
          <w:spacing w:val="-9"/>
        </w:rPr>
        <w:t xml:space="preserve"> </w:t>
      </w:r>
      <w:r>
        <w:t>that</w:t>
      </w:r>
      <w:r>
        <w:rPr>
          <w:spacing w:val="-7"/>
        </w:rPr>
        <w:t xml:space="preserve"> </w:t>
      </w:r>
      <w:r>
        <w:t>can</w:t>
      </w:r>
      <w:r>
        <w:rPr>
          <w:spacing w:val="-7"/>
        </w:rPr>
        <w:t xml:space="preserve"> </w:t>
      </w:r>
      <w:r>
        <w:t>be</w:t>
      </w:r>
      <w:r>
        <w:rPr>
          <w:spacing w:val="-7"/>
        </w:rPr>
        <w:t xml:space="preserve"> </w:t>
      </w:r>
      <w:r>
        <w:t>taken</w:t>
      </w:r>
      <w:r>
        <w:rPr>
          <w:spacing w:val="-7"/>
        </w:rPr>
        <w:t xml:space="preserve"> </w:t>
      </w:r>
      <w:r>
        <w:t>to</w:t>
      </w:r>
      <w:r>
        <w:rPr>
          <w:spacing w:val="-7"/>
        </w:rPr>
        <w:t xml:space="preserve"> </w:t>
      </w:r>
      <w:r>
        <w:t>support</w:t>
      </w:r>
      <w:r>
        <w:rPr>
          <w:spacing w:val="-7"/>
        </w:rPr>
        <w:t xml:space="preserve"> </w:t>
      </w:r>
      <w:r>
        <w:t>both</w:t>
      </w:r>
      <w:r>
        <w:rPr>
          <w:spacing w:val="-7"/>
        </w:rPr>
        <w:t xml:space="preserve"> </w:t>
      </w:r>
      <w:r>
        <w:t>interpretations</w:t>
      </w:r>
      <w:r>
        <w:rPr>
          <w:spacing w:val="-7"/>
        </w:rPr>
        <w:t xml:space="preserve"> </w:t>
      </w:r>
      <w:r>
        <w:t>in</w:t>
      </w:r>
      <w:r>
        <w:rPr>
          <w:spacing w:val="-7"/>
        </w:rPr>
        <w:t xml:space="preserve"> </w:t>
      </w:r>
      <w:r>
        <w:t>the</w:t>
      </w:r>
      <w:r>
        <w:rPr>
          <w:spacing w:val="-7"/>
        </w:rPr>
        <w:t xml:space="preserve"> </w:t>
      </w:r>
      <w:r>
        <w:t>past</w:t>
      </w:r>
      <w:r>
        <w:rPr>
          <w:spacing w:val="-7"/>
        </w:rPr>
        <w:t xml:space="preserve"> </w:t>
      </w:r>
      <w:r>
        <w:t>(Debelle</w:t>
      </w:r>
      <w:r>
        <w:rPr>
          <w:spacing w:val="-7"/>
        </w:rPr>
        <w:t xml:space="preserve"> </w:t>
      </w:r>
      <w:r>
        <w:t>2018b,</w:t>
      </w:r>
      <w:r>
        <w:rPr>
          <w:spacing w:val="-7"/>
        </w:rPr>
        <w:t xml:space="preserve"> </w:t>
      </w:r>
      <w:r>
        <w:t>Lowe</w:t>
      </w:r>
      <w:r>
        <w:rPr>
          <w:spacing w:val="-7"/>
        </w:rPr>
        <w:t xml:space="preserve"> </w:t>
      </w:r>
      <w:r>
        <w:t>2019)</w:t>
      </w:r>
      <w:r>
        <w:rPr>
          <w:w w:val="85"/>
        </w:rPr>
        <w:t>.</w:t>
      </w:r>
    </w:p>
    <w:p w14:paraId="70C1A538" w14:textId="21B12E7B" w:rsidR="00087033" w:rsidRDefault="00087033" w:rsidP="00087033">
      <w:r>
        <w:t>While the RBA is generally understood as having a key role in financial stability and this is acknowledged in the Statement on Conduct, neither the RBA Act nor the Statement is explicit about how financial stability considerations ought to influence monetary policy decisions. The Statement on Conduct excerpt above suggests that monetary policy decisions may take into account financial stability concerns since it is one of the ‘broad objectives of the Bank’, although these broad objectives are not articulated in the RBA Act</w:t>
      </w:r>
      <w:r>
        <w:rPr>
          <w:w w:val="85"/>
        </w:rPr>
        <w:t>.</w:t>
      </w:r>
    </w:p>
    <w:p w14:paraId="2DAF1FB2" w14:textId="4FEC5A91" w:rsidR="000D4025" w:rsidRDefault="00087033" w:rsidP="00087033">
      <w:r>
        <w:t>In</w:t>
      </w:r>
      <w:r>
        <w:rPr>
          <w:spacing w:val="11"/>
        </w:rPr>
        <w:t xml:space="preserve"> </w:t>
      </w:r>
      <w:r>
        <w:t>practice,</w:t>
      </w:r>
      <w:r>
        <w:rPr>
          <w:spacing w:val="11"/>
        </w:rPr>
        <w:t xml:space="preserve"> </w:t>
      </w:r>
      <w:r>
        <w:t>the</w:t>
      </w:r>
      <w:r>
        <w:rPr>
          <w:spacing w:val="11"/>
        </w:rPr>
        <w:t xml:space="preserve"> </w:t>
      </w:r>
      <w:r>
        <w:t>potential</w:t>
      </w:r>
      <w:r>
        <w:rPr>
          <w:spacing w:val="11"/>
        </w:rPr>
        <w:t xml:space="preserve"> </w:t>
      </w:r>
      <w:r>
        <w:t>for</w:t>
      </w:r>
      <w:r>
        <w:rPr>
          <w:spacing w:val="11"/>
        </w:rPr>
        <w:t xml:space="preserve"> </w:t>
      </w:r>
      <w:r>
        <w:t>easier</w:t>
      </w:r>
      <w:r>
        <w:rPr>
          <w:spacing w:val="11"/>
        </w:rPr>
        <w:t xml:space="preserve"> </w:t>
      </w:r>
      <w:r>
        <w:t>monetary</w:t>
      </w:r>
      <w:r>
        <w:rPr>
          <w:spacing w:val="11"/>
        </w:rPr>
        <w:t xml:space="preserve"> </w:t>
      </w:r>
      <w:r>
        <w:t>policy</w:t>
      </w:r>
      <w:r>
        <w:rPr>
          <w:spacing w:val="11"/>
        </w:rPr>
        <w:t xml:space="preserve"> </w:t>
      </w:r>
      <w:r>
        <w:t>to</w:t>
      </w:r>
      <w:r>
        <w:rPr>
          <w:spacing w:val="11"/>
        </w:rPr>
        <w:t xml:space="preserve"> </w:t>
      </w:r>
      <w:r>
        <w:t>stoke</w:t>
      </w:r>
      <w:r>
        <w:rPr>
          <w:spacing w:val="11"/>
        </w:rPr>
        <w:t xml:space="preserve"> </w:t>
      </w:r>
      <w:r>
        <w:t>financial</w:t>
      </w:r>
      <w:r>
        <w:rPr>
          <w:spacing w:val="11"/>
        </w:rPr>
        <w:t xml:space="preserve"> </w:t>
      </w:r>
      <w:r>
        <w:t>risks</w:t>
      </w:r>
      <w:r>
        <w:rPr>
          <w:spacing w:val="11"/>
        </w:rPr>
        <w:t xml:space="preserve"> </w:t>
      </w:r>
      <w:r>
        <w:t>has</w:t>
      </w:r>
      <w:r>
        <w:rPr>
          <w:spacing w:val="11"/>
        </w:rPr>
        <w:t xml:space="preserve"> </w:t>
      </w:r>
      <w:r>
        <w:t>been</w:t>
      </w:r>
      <w:r>
        <w:rPr>
          <w:spacing w:val="11"/>
        </w:rPr>
        <w:t xml:space="preserve"> </w:t>
      </w:r>
      <w:r>
        <w:t>cited</w:t>
      </w:r>
      <w:r>
        <w:rPr>
          <w:spacing w:val="11"/>
        </w:rPr>
        <w:t xml:space="preserve"> </w:t>
      </w:r>
      <w:r>
        <w:t>as</w:t>
      </w:r>
      <w:r>
        <w:rPr>
          <w:spacing w:val="11"/>
        </w:rPr>
        <w:t xml:space="preserve"> </w:t>
      </w:r>
      <w:r>
        <w:t>a basis of monetary policy decisions (see Chapter 1). The RBA recently reaffirmed that the framework provides flexibility for the RBA to strike a balance between achieving the inflation objective in the short term and avoiding the build-up of financial stability risks (Lowe 2022).</w:t>
      </w:r>
    </w:p>
    <w:p w14:paraId="5168D87E" w14:textId="77777777" w:rsidR="001A304A" w:rsidRDefault="001A304A" w:rsidP="00465342">
      <w:pPr>
        <w:pStyle w:val="Heading3"/>
      </w:pPr>
      <w:r w:rsidRPr="001A304A">
        <w:t>Monetary</w:t>
      </w:r>
      <w:r>
        <w:rPr>
          <w:spacing w:val="-4"/>
        </w:rPr>
        <w:t xml:space="preserve"> </w:t>
      </w:r>
      <w:r>
        <w:t>policy</w:t>
      </w:r>
      <w:r>
        <w:rPr>
          <w:spacing w:val="-3"/>
        </w:rPr>
        <w:t xml:space="preserve"> </w:t>
      </w:r>
      <w:r>
        <w:t>and</w:t>
      </w:r>
      <w:r>
        <w:rPr>
          <w:spacing w:val="-4"/>
        </w:rPr>
        <w:t xml:space="preserve"> </w:t>
      </w:r>
      <w:r>
        <w:t>fiscal</w:t>
      </w:r>
      <w:r>
        <w:rPr>
          <w:spacing w:val="-4"/>
        </w:rPr>
        <w:t xml:space="preserve"> </w:t>
      </w:r>
      <w:r>
        <w:t>policy</w:t>
      </w:r>
      <w:r>
        <w:rPr>
          <w:spacing w:val="-3"/>
        </w:rPr>
        <w:t xml:space="preserve"> </w:t>
      </w:r>
      <w:r>
        <w:rPr>
          <w:spacing w:val="-2"/>
        </w:rPr>
        <w:t>interactions</w:t>
      </w:r>
    </w:p>
    <w:p w14:paraId="27AC8EE5" w14:textId="0772B40C" w:rsidR="001A304A" w:rsidRDefault="001A304A" w:rsidP="001A304A">
      <w:r>
        <w:t>Monetary</w:t>
      </w:r>
      <w:r>
        <w:rPr>
          <w:spacing w:val="3"/>
        </w:rPr>
        <w:t xml:space="preserve"> </w:t>
      </w:r>
      <w:r>
        <w:t>policy</w:t>
      </w:r>
      <w:r>
        <w:rPr>
          <w:spacing w:val="3"/>
        </w:rPr>
        <w:t xml:space="preserve"> </w:t>
      </w:r>
      <w:r>
        <w:t>and</w:t>
      </w:r>
      <w:r>
        <w:rPr>
          <w:spacing w:val="4"/>
        </w:rPr>
        <w:t xml:space="preserve"> </w:t>
      </w:r>
      <w:r>
        <w:t>fiscal</w:t>
      </w:r>
      <w:r>
        <w:rPr>
          <w:spacing w:val="3"/>
        </w:rPr>
        <w:t xml:space="preserve"> </w:t>
      </w:r>
      <w:r>
        <w:t>policy</w:t>
      </w:r>
      <w:r>
        <w:rPr>
          <w:spacing w:val="4"/>
        </w:rPr>
        <w:t xml:space="preserve"> </w:t>
      </w:r>
      <w:r>
        <w:t>both</w:t>
      </w:r>
      <w:r>
        <w:rPr>
          <w:spacing w:val="3"/>
        </w:rPr>
        <w:t xml:space="preserve"> </w:t>
      </w:r>
      <w:r>
        <w:t>affect</w:t>
      </w:r>
      <w:r>
        <w:rPr>
          <w:spacing w:val="4"/>
        </w:rPr>
        <w:t xml:space="preserve"> </w:t>
      </w:r>
      <w:r>
        <w:t>inflation</w:t>
      </w:r>
      <w:r>
        <w:rPr>
          <w:spacing w:val="3"/>
        </w:rPr>
        <w:t xml:space="preserve"> </w:t>
      </w:r>
      <w:r>
        <w:t>and</w:t>
      </w:r>
      <w:r>
        <w:rPr>
          <w:spacing w:val="3"/>
        </w:rPr>
        <w:t xml:space="preserve"> </w:t>
      </w:r>
      <w:r>
        <w:t>employment</w:t>
      </w:r>
      <w:r>
        <w:rPr>
          <w:spacing w:val="4"/>
        </w:rPr>
        <w:t xml:space="preserve"> </w:t>
      </w:r>
      <w:r>
        <w:t>and</w:t>
      </w:r>
      <w:r>
        <w:rPr>
          <w:spacing w:val="3"/>
        </w:rPr>
        <w:t xml:space="preserve"> </w:t>
      </w:r>
      <w:r>
        <w:t>are</w:t>
      </w:r>
      <w:r>
        <w:rPr>
          <w:spacing w:val="4"/>
        </w:rPr>
        <w:t xml:space="preserve"> </w:t>
      </w:r>
      <w:r>
        <w:t>the</w:t>
      </w:r>
      <w:r>
        <w:rPr>
          <w:spacing w:val="3"/>
        </w:rPr>
        <w:t xml:space="preserve"> </w:t>
      </w:r>
      <w:r>
        <w:t>two</w:t>
      </w:r>
      <w:r>
        <w:rPr>
          <w:spacing w:val="4"/>
        </w:rPr>
        <w:t xml:space="preserve"> </w:t>
      </w:r>
      <w:r>
        <w:rPr>
          <w:spacing w:val="-4"/>
        </w:rPr>
        <w:t xml:space="preserve">most </w:t>
      </w:r>
      <w:r>
        <w:t>important</w:t>
      </w:r>
      <w:r>
        <w:rPr>
          <w:spacing w:val="2"/>
        </w:rPr>
        <w:t xml:space="preserve"> </w:t>
      </w:r>
      <w:r>
        <w:t>policy</w:t>
      </w:r>
      <w:r>
        <w:rPr>
          <w:spacing w:val="2"/>
        </w:rPr>
        <w:t xml:space="preserve"> </w:t>
      </w:r>
      <w:r>
        <w:t>areas</w:t>
      </w:r>
      <w:r>
        <w:rPr>
          <w:spacing w:val="2"/>
        </w:rPr>
        <w:t xml:space="preserve"> </w:t>
      </w:r>
      <w:r>
        <w:t>for</w:t>
      </w:r>
      <w:r>
        <w:rPr>
          <w:spacing w:val="2"/>
        </w:rPr>
        <w:t xml:space="preserve"> </w:t>
      </w:r>
      <w:r>
        <w:t>management</w:t>
      </w:r>
      <w:r>
        <w:rPr>
          <w:spacing w:val="2"/>
        </w:rPr>
        <w:t xml:space="preserve"> </w:t>
      </w:r>
      <w:r>
        <w:t>of</w:t>
      </w:r>
      <w:r>
        <w:rPr>
          <w:spacing w:val="2"/>
        </w:rPr>
        <w:t xml:space="preserve"> </w:t>
      </w:r>
      <w:r>
        <w:t>the</w:t>
      </w:r>
      <w:r>
        <w:rPr>
          <w:spacing w:val="2"/>
        </w:rPr>
        <w:t xml:space="preserve"> </w:t>
      </w:r>
      <w:r>
        <w:t>macroeconomic</w:t>
      </w:r>
      <w:r>
        <w:rPr>
          <w:spacing w:val="2"/>
        </w:rPr>
        <w:t xml:space="preserve"> </w:t>
      </w:r>
      <w:r>
        <w:t>cycle</w:t>
      </w:r>
      <w:r w:rsidR="00A70BAD">
        <w:rPr>
          <w:spacing w:val="-23"/>
        </w:rPr>
        <w:t>.</w:t>
      </w:r>
    </w:p>
    <w:p w14:paraId="21F2C1EF" w14:textId="2C7A890C" w:rsidR="001A304A" w:rsidRDefault="001A304A" w:rsidP="001A304A">
      <w:r>
        <w:t>Australia’s monetary policy framework focuses on relatively targeted objectives</w:t>
      </w:r>
      <w:r w:rsidR="00A70BAD">
        <w:rPr>
          <w:spacing w:val="-13"/>
        </w:rPr>
        <w:t>.</w:t>
      </w:r>
      <w:r>
        <w:rPr>
          <w:w w:val="85"/>
        </w:rPr>
        <w:t xml:space="preserve"> </w:t>
      </w:r>
      <w:r>
        <w:t>Compared to monetary policy, fiscal policy has broader objectives, including maintaining and improving the performance of the economy, the security of the community, the provision of public services, the distribution</w:t>
      </w:r>
      <w:r>
        <w:rPr>
          <w:spacing w:val="25"/>
        </w:rPr>
        <w:t xml:space="preserve"> </w:t>
      </w:r>
      <w:r>
        <w:t>of</w:t>
      </w:r>
      <w:r>
        <w:rPr>
          <w:spacing w:val="25"/>
        </w:rPr>
        <w:t xml:space="preserve"> </w:t>
      </w:r>
      <w:r>
        <w:t>income</w:t>
      </w:r>
      <w:r>
        <w:rPr>
          <w:spacing w:val="25"/>
        </w:rPr>
        <w:t xml:space="preserve"> </w:t>
      </w:r>
      <w:r>
        <w:t>and</w:t>
      </w:r>
      <w:r>
        <w:rPr>
          <w:spacing w:val="23"/>
        </w:rPr>
        <w:t xml:space="preserve"> </w:t>
      </w:r>
      <w:r>
        <w:t>opportunity,</w:t>
      </w:r>
      <w:r>
        <w:rPr>
          <w:spacing w:val="25"/>
        </w:rPr>
        <w:t xml:space="preserve"> </w:t>
      </w:r>
      <w:r>
        <w:t>as</w:t>
      </w:r>
      <w:r>
        <w:rPr>
          <w:spacing w:val="25"/>
        </w:rPr>
        <w:t xml:space="preserve"> </w:t>
      </w:r>
      <w:r>
        <w:t>well</w:t>
      </w:r>
      <w:r>
        <w:rPr>
          <w:spacing w:val="25"/>
        </w:rPr>
        <w:t xml:space="preserve"> </w:t>
      </w:r>
      <w:r>
        <w:t>as</w:t>
      </w:r>
      <w:r>
        <w:rPr>
          <w:spacing w:val="25"/>
        </w:rPr>
        <w:t xml:space="preserve"> </w:t>
      </w:r>
      <w:r>
        <w:t>preserving</w:t>
      </w:r>
      <w:r>
        <w:rPr>
          <w:spacing w:val="25"/>
        </w:rPr>
        <w:t xml:space="preserve"> </w:t>
      </w:r>
      <w:r>
        <w:t>fiscal</w:t>
      </w:r>
      <w:r>
        <w:rPr>
          <w:spacing w:val="25"/>
        </w:rPr>
        <w:t xml:space="preserve"> </w:t>
      </w:r>
      <w:r>
        <w:t>sustainability.</w:t>
      </w:r>
      <w:r>
        <w:rPr>
          <w:spacing w:val="25"/>
        </w:rPr>
        <w:t xml:space="preserve"> </w:t>
      </w:r>
      <w:r>
        <w:t>Fiscal</w:t>
      </w:r>
      <w:r>
        <w:rPr>
          <w:spacing w:val="25"/>
        </w:rPr>
        <w:t xml:space="preserve"> </w:t>
      </w:r>
      <w:r>
        <w:t>policy also plays an important role in influencing economic activity through tax and transfer payments.</w:t>
      </w:r>
      <w:r>
        <w:rPr>
          <w:spacing w:val="80"/>
        </w:rPr>
        <w:t xml:space="preserve"> </w:t>
      </w:r>
      <w:r>
        <w:t>At times, fiscal policy and monetary policy have had either reinforcing or opposing influences on economic growth:</w:t>
      </w:r>
    </w:p>
    <w:p w14:paraId="0E35FAD9" w14:textId="76F72B40" w:rsidR="001A304A" w:rsidRDefault="001A304A" w:rsidP="0000278A">
      <w:pPr>
        <w:pStyle w:val="Bullet"/>
      </w:pPr>
      <w:r>
        <w:t>During the</w:t>
      </w:r>
      <w:r>
        <w:rPr>
          <w:spacing w:val="1"/>
        </w:rPr>
        <w:t xml:space="preserve"> </w:t>
      </w:r>
      <w:r>
        <w:t>Global</w:t>
      </w:r>
      <w:r>
        <w:rPr>
          <w:spacing w:val="1"/>
        </w:rPr>
        <w:t xml:space="preserve"> </w:t>
      </w:r>
      <w:r>
        <w:t>Financial</w:t>
      </w:r>
      <w:r>
        <w:rPr>
          <w:spacing w:val="1"/>
        </w:rPr>
        <w:t xml:space="preserve"> </w:t>
      </w:r>
      <w:r>
        <w:t>Crisis and</w:t>
      </w:r>
      <w:r>
        <w:rPr>
          <w:spacing w:val="1"/>
        </w:rPr>
        <w:t xml:space="preserve"> </w:t>
      </w:r>
      <w:r>
        <w:t>COVID-19</w:t>
      </w:r>
      <w:r>
        <w:rPr>
          <w:spacing w:val="1"/>
        </w:rPr>
        <w:t xml:space="preserve"> </w:t>
      </w:r>
      <w:r>
        <w:t>pandemic,</w:t>
      </w:r>
      <w:r>
        <w:rPr>
          <w:spacing w:val="1"/>
        </w:rPr>
        <w:t xml:space="preserve"> </w:t>
      </w:r>
      <w:r>
        <w:t>fiscal and</w:t>
      </w:r>
      <w:r>
        <w:rPr>
          <w:spacing w:val="1"/>
        </w:rPr>
        <w:t xml:space="preserve"> </w:t>
      </w:r>
      <w:r>
        <w:t>monetary</w:t>
      </w:r>
      <w:r>
        <w:rPr>
          <w:spacing w:val="1"/>
        </w:rPr>
        <w:t xml:space="preserve"> </w:t>
      </w:r>
      <w:r>
        <w:t>policy</w:t>
      </w:r>
      <w:r>
        <w:rPr>
          <w:spacing w:val="1"/>
        </w:rPr>
        <w:t xml:space="preserve"> </w:t>
      </w:r>
      <w:r>
        <w:rPr>
          <w:spacing w:val="-4"/>
        </w:rPr>
        <w:t xml:space="preserve">both </w:t>
      </w:r>
      <w:r>
        <w:t>added</w:t>
      </w:r>
      <w:r>
        <w:rPr>
          <w:spacing w:val="1"/>
        </w:rPr>
        <w:t xml:space="preserve"> </w:t>
      </w:r>
      <w:r>
        <w:t>stimuli</w:t>
      </w:r>
      <w:r>
        <w:rPr>
          <w:spacing w:val="2"/>
        </w:rPr>
        <w:t xml:space="preserve"> </w:t>
      </w:r>
      <w:r>
        <w:t>to</w:t>
      </w:r>
      <w:r>
        <w:rPr>
          <w:spacing w:val="2"/>
        </w:rPr>
        <w:t xml:space="preserve"> </w:t>
      </w:r>
      <w:r>
        <w:t>support</w:t>
      </w:r>
      <w:r>
        <w:rPr>
          <w:spacing w:val="2"/>
        </w:rPr>
        <w:t xml:space="preserve"> </w:t>
      </w:r>
      <w:r>
        <w:t>the</w:t>
      </w:r>
      <w:r>
        <w:rPr>
          <w:spacing w:val="1"/>
        </w:rPr>
        <w:t xml:space="preserve"> </w:t>
      </w:r>
      <w:r>
        <w:t>economy</w:t>
      </w:r>
      <w:r>
        <w:rPr>
          <w:spacing w:val="2"/>
        </w:rPr>
        <w:t xml:space="preserve"> </w:t>
      </w:r>
      <w:r>
        <w:t>in</w:t>
      </w:r>
      <w:r>
        <w:rPr>
          <w:spacing w:val="2"/>
        </w:rPr>
        <w:t xml:space="preserve"> </w:t>
      </w:r>
      <w:r>
        <w:t>managing</w:t>
      </w:r>
      <w:r>
        <w:rPr>
          <w:spacing w:val="2"/>
        </w:rPr>
        <w:t xml:space="preserve"> </w:t>
      </w:r>
      <w:r>
        <w:t>severe</w:t>
      </w:r>
      <w:r>
        <w:rPr>
          <w:spacing w:val="2"/>
        </w:rPr>
        <w:t xml:space="preserve"> </w:t>
      </w:r>
      <w:r>
        <w:t>shocks</w:t>
      </w:r>
      <w:r>
        <w:rPr>
          <w:spacing w:val="-10"/>
          <w:w w:val="85"/>
        </w:rPr>
        <w:t>.</w:t>
      </w:r>
    </w:p>
    <w:p w14:paraId="47E50344" w14:textId="2DE0A857" w:rsidR="001A304A" w:rsidRDefault="001A304A" w:rsidP="0000278A">
      <w:pPr>
        <w:pStyle w:val="Bullet"/>
      </w:pPr>
      <w:r>
        <w:lastRenderedPageBreak/>
        <w:t>In the period prior to COVID-19, in contrast, fiscal policy was more contractionary as the Government sought to restore its balance sheet</w:t>
      </w:r>
      <w:r>
        <w:rPr>
          <w:w w:val="85"/>
        </w:rPr>
        <w:t xml:space="preserve">. </w:t>
      </w:r>
      <w:r>
        <w:t>Meanwhile, monetary policy had a more stimulatory stance</w:t>
      </w:r>
      <w:r>
        <w:rPr>
          <w:w w:val="85"/>
        </w:rPr>
        <w:t>.</w:t>
      </w:r>
    </w:p>
    <w:p w14:paraId="613FC895" w14:textId="77777777" w:rsidR="00681C3F" w:rsidRDefault="001A304A" w:rsidP="001A304A">
      <w:pPr>
        <w:rPr>
          <w:spacing w:val="-2"/>
        </w:rPr>
      </w:pPr>
      <w:r>
        <w:t>Fiscal</w:t>
      </w:r>
      <w:r>
        <w:rPr>
          <w:spacing w:val="-4"/>
        </w:rPr>
        <w:t xml:space="preserve"> </w:t>
      </w:r>
      <w:r>
        <w:t>policy</w:t>
      </w:r>
      <w:r>
        <w:rPr>
          <w:spacing w:val="-4"/>
        </w:rPr>
        <w:t xml:space="preserve"> </w:t>
      </w:r>
      <w:r>
        <w:t>can</w:t>
      </w:r>
      <w:r>
        <w:rPr>
          <w:spacing w:val="-4"/>
        </w:rPr>
        <w:t xml:space="preserve"> </w:t>
      </w:r>
      <w:r>
        <w:t>also</w:t>
      </w:r>
      <w:r>
        <w:rPr>
          <w:spacing w:val="-4"/>
        </w:rPr>
        <w:t xml:space="preserve"> </w:t>
      </w:r>
      <w:r>
        <w:t>influence</w:t>
      </w:r>
      <w:r>
        <w:rPr>
          <w:spacing w:val="-4"/>
        </w:rPr>
        <w:t xml:space="preserve"> </w:t>
      </w:r>
      <w:r>
        <w:t>the</w:t>
      </w:r>
      <w:r>
        <w:rPr>
          <w:spacing w:val="-4"/>
        </w:rPr>
        <w:t xml:space="preserve"> </w:t>
      </w:r>
      <w:r>
        <w:t>productive</w:t>
      </w:r>
      <w:r>
        <w:rPr>
          <w:spacing w:val="-4"/>
        </w:rPr>
        <w:t xml:space="preserve"> </w:t>
      </w:r>
      <w:r>
        <w:t>capacity</w:t>
      </w:r>
      <w:r>
        <w:rPr>
          <w:spacing w:val="-4"/>
        </w:rPr>
        <w:t xml:space="preserve"> </w:t>
      </w:r>
      <w:r>
        <w:t>of</w:t>
      </w:r>
      <w:r>
        <w:rPr>
          <w:spacing w:val="-4"/>
        </w:rPr>
        <w:t xml:space="preserve"> </w:t>
      </w:r>
      <w:r>
        <w:t>the</w:t>
      </w:r>
      <w:r>
        <w:rPr>
          <w:spacing w:val="-4"/>
        </w:rPr>
        <w:t xml:space="preserve"> </w:t>
      </w:r>
      <w:r>
        <w:t>economy.</w:t>
      </w:r>
      <w:r>
        <w:rPr>
          <w:spacing w:val="-4"/>
        </w:rPr>
        <w:t xml:space="preserve"> </w:t>
      </w:r>
      <w:r>
        <w:t>Where</w:t>
      </w:r>
      <w:r>
        <w:rPr>
          <w:spacing w:val="-4"/>
        </w:rPr>
        <w:t xml:space="preserve"> </w:t>
      </w:r>
      <w:r>
        <w:t>used</w:t>
      </w:r>
      <w:r>
        <w:rPr>
          <w:spacing w:val="-4"/>
        </w:rPr>
        <w:t xml:space="preserve"> </w:t>
      </w:r>
      <w:r>
        <w:t>in</w:t>
      </w:r>
      <w:r>
        <w:rPr>
          <w:spacing w:val="-4"/>
        </w:rPr>
        <w:t xml:space="preserve"> </w:t>
      </w:r>
      <w:r>
        <w:t>this</w:t>
      </w:r>
      <w:r>
        <w:rPr>
          <w:spacing w:val="-4"/>
        </w:rPr>
        <w:t xml:space="preserve"> </w:t>
      </w:r>
      <w:r>
        <w:t>way, fiscal</w:t>
      </w:r>
      <w:r>
        <w:rPr>
          <w:spacing w:val="-6"/>
        </w:rPr>
        <w:t xml:space="preserve"> </w:t>
      </w:r>
      <w:r>
        <w:t>policy</w:t>
      </w:r>
      <w:r>
        <w:rPr>
          <w:spacing w:val="-4"/>
        </w:rPr>
        <w:t xml:space="preserve"> </w:t>
      </w:r>
      <w:r>
        <w:t>can</w:t>
      </w:r>
      <w:r>
        <w:rPr>
          <w:spacing w:val="-4"/>
        </w:rPr>
        <w:t xml:space="preserve"> </w:t>
      </w:r>
      <w:r>
        <w:t>sometimes</w:t>
      </w:r>
      <w:r>
        <w:rPr>
          <w:spacing w:val="-4"/>
        </w:rPr>
        <w:t xml:space="preserve"> </w:t>
      </w:r>
      <w:r>
        <w:t>generate</w:t>
      </w:r>
      <w:r>
        <w:rPr>
          <w:spacing w:val="-3"/>
        </w:rPr>
        <w:t xml:space="preserve"> </w:t>
      </w:r>
      <w:r>
        <w:t>stronger</w:t>
      </w:r>
      <w:r>
        <w:rPr>
          <w:spacing w:val="-4"/>
        </w:rPr>
        <w:t xml:space="preserve"> </w:t>
      </w:r>
      <w:r>
        <w:t>employment</w:t>
      </w:r>
      <w:r>
        <w:rPr>
          <w:spacing w:val="-4"/>
        </w:rPr>
        <w:t xml:space="preserve"> </w:t>
      </w:r>
      <w:r>
        <w:t>outcomes</w:t>
      </w:r>
      <w:r>
        <w:rPr>
          <w:spacing w:val="-4"/>
        </w:rPr>
        <w:t xml:space="preserve"> </w:t>
      </w:r>
      <w:r>
        <w:t>without</w:t>
      </w:r>
      <w:r>
        <w:rPr>
          <w:spacing w:val="-4"/>
        </w:rPr>
        <w:t xml:space="preserve"> </w:t>
      </w:r>
      <w:r>
        <w:t>stoking</w:t>
      </w:r>
      <w:r>
        <w:rPr>
          <w:spacing w:val="-3"/>
        </w:rPr>
        <w:t xml:space="preserve"> </w:t>
      </w:r>
      <w:r>
        <w:rPr>
          <w:spacing w:val="-2"/>
        </w:rPr>
        <w:t xml:space="preserve">inflation. </w:t>
      </w:r>
    </w:p>
    <w:p w14:paraId="1F5C162E" w14:textId="77D27E2F" w:rsidR="001A304A" w:rsidRDefault="001A304A" w:rsidP="001A304A">
      <w:r>
        <w:t>The sustainability of government finances can also affect inflation outcomes. If government</w:t>
      </w:r>
      <w:r>
        <w:rPr>
          <w:spacing w:val="80"/>
        </w:rPr>
        <w:t xml:space="preserve"> </w:t>
      </w:r>
      <w:r>
        <w:t>finances are perceived as becoming unsustainable, this is likely to provoke higher inflation due to concerns that governments and central banks will pursue higher inflation or debt monetisation in order to lower the real value of debt. Exchange rate depreciation further boosts inflation in this scenario. The Statement on Conduct acknowledges ‘the role that disciplined fiscal policy must play</w:t>
      </w:r>
      <w:r>
        <w:rPr>
          <w:spacing w:val="40"/>
        </w:rPr>
        <w:t xml:space="preserve"> </w:t>
      </w:r>
      <w:r>
        <w:t>in achieving medium term price stability’</w:t>
      </w:r>
      <w:r w:rsidR="00A70BAD">
        <w:rPr>
          <w:spacing w:val="-8"/>
        </w:rPr>
        <w:t>.</w:t>
      </w:r>
    </w:p>
    <w:p w14:paraId="2ACBB416" w14:textId="77777777" w:rsidR="001A304A" w:rsidRDefault="001A304A" w:rsidP="001A304A">
      <w:r>
        <w:t>There are</w:t>
      </w:r>
      <w:r>
        <w:rPr>
          <w:spacing w:val="2"/>
        </w:rPr>
        <w:t xml:space="preserve"> </w:t>
      </w:r>
      <w:r>
        <w:t>a</w:t>
      </w:r>
      <w:r>
        <w:rPr>
          <w:spacing w:val="3"/>
        </w:rPr>
        <w:t xml:space="preserve"> </w:t>
      </w:r>
      <w:r>
        <w:t>number</w:t>
      </w:r>
      <w:r>
        <w:rPr>
          <w:spacing w:val="2"/>
        </w:rPr>
        <w:t xml:space="preserve"> </w:t>
      </w:r>
      <w:r>
        <w:t>of</w:t>
      </w:r>
      <w:r>
        <w:rPr>
          <w:spacing w:val="3"/>
        </w:rPr>
        <w:t xml:space="preserve"> </w:t>
      </w:r>
      <w:r>
        <w:t>other</w:t>
      </w:r>
      <w:r>
        <w:rPr>
          <w:spacing w:val="2"/>
        </w:rPr>
        <w:t xml:space="preserve"> </w:t>
      </w:r>
      <w:r>
        <w:t>ways</w:t>
      </w:r>
      <w:r>
        <w:rPr>
          <w:spacing w:val="2"/>
        </w:rPr>
        <w:t xml:space="preserve"> </w:t>
      </w:r>
      <w:r>
        <w:t>in</w:t>
      </w:r>
      <w:r>
        <w:rPr>
          <w:spacing w:val="3"/>
        </w:rPr>
        <w:t xml:space="preserve"> </w:t>
      </w:r>
      <w:r>
        <w:t>which</w:t>
      </w:r>
      <w:r>
        <w:rPr>
          <w:spacing w:val="2"/>
        </w:rPr>
        <w:t xml:space="preserve"> </w:t>
      </w:r>
      <w:r>
        <w:t>monetary</w:t>
      </w:r>
      <w:r>
        <w:rPr>
          <w:spacing w:val="3"/>
        </w:rPr>
        <w:t xml:space="preserve"> </w:t>
      </w:r>
      <w:r>
        <w:t>policy</w:t>
      </w:r>
      <w:r>
        <w:rPr>
          <w:spacing w:val="2"/>
        </w:rPr>
        <w:t xml:space="preserve"> </w:t>
      </w:r>
      <w:r>
        <w:t>and</w:t>
      </w:r>
      <w:r>
        <w:rPr>
          <w:spacing w:val="2"/>
        </w:rPr>
        <w:t xml:space="preserve"> </w:t>
      </w:r>
      <w:r>
        <w:t>fiscal</w:t>
      </w:r>
      <w:r>
        <w:rPr>
          <w:spacing w:val="3"/>
        </w:rPr>
        <w:t xml:space="preserve"> </w:t>
      </w:r>
      <w:r>
        <w:t>policy</w:t>
      </w:r>
      <w:r>
        <w:rPr>
          <w:spacing w:val="2"/>
        </w:rPr>
        <w:t xml:space="preserve"> </w:t>
      </w:r>
      <w:r>
        <w:t>interact,</w:t>
      </w:r>
      <w:r>
        <w:rPr>
          <w:spacing w:val="3"/>
        </w:rPr>
        <w:t xml:space="preserve"> </w:t>
      </w:r>
      <w:r>
        <w:rPr>
          <w:spacing w:val="-2"/>
        </w:rPr>
        <w:t>including:</w:t>
      </w:r>
    </w:p>
    <w:p w14:paraId="63C86D82" w14:textId="33F68AAE" w:rsidR="001A304A" w:rsidRDefault="001A304A" w:rsidP="0000278A">
      <w:pPr>
        <w:pStyle w:val="Bullet"/>
      </w:pPr>
      <w:r>
        <w:t>Monetary policy influences the cost of government debt. Policies such as bond purchases can have significant effects on the earnings and capital position of the central bank and therefore the dividends paid to the government</w:t>
      </w:r>
      <w:r>
        <w:rPr>
          <w:w w:val="85"/>
        </w:rPr>
        <w:t>.</w:t>
      </w:r>
    </w:p>
    <w:p w14:paraId="72FF6C31" w14:textId="25203031" w:rsidR="00B77DD0" w:rsidRPr="00B77DD0" w:rsidRDefault="001A304A" w:rsidP="0000278A">
      <w:pPr>
        <w:pStyle w:val="Bullet"/>
      </w:pPr>
      <w:r>
        <w:t>Monetary</w:t>
      </w:r>
      <w:r w:rsidRPr="00B77DD0">
        <w:rPr>
          <w:spacing w:val="-3"/>
        </w:rPr>
        <w:t xml:space="preserve"> </w:t>
      </w:r>
      <w:r>
        <w:t>policy</w:t>
      </w:r>
      <w:r w:rsidRPr="00B77DD0">
        <w:rPr>
          <w:spacing w:val="-3"/>
        </w:rPr>
        <w:t xml:space="preserve"> </w:t>
      </w:r>
      <w:r>
        <w:t>also</w:t>
      </w:r>
      <w:r w:rsidRPr="00B77DD0">
        <w:rPr>
          <w:spacing w:val="-3"/>
        </w:rPr>
        <w:t xml:space="preserve"> </w:t>
      </w:r>
      <w:r>
        <w:t>has</w:t>
      </w:r>
      <w:r w:rsidRPr="00B77DD0">
        <w:rPr>
          <w:spacing w:val="-3"/>
        </w:rPr>
        <w:t xml:space="preserve"> </w:t>
      </w:r>
      <w:r>
        <w:t>distributive</w:t>
      </w:r>
      <w:r w:rsidRPr="00B77DD0">
        <w:rPr>
          <w:spacing w:val="-3"/>
        </w:rPr>
        <w:t xml:space="preserve"> </w:t>
      </w:r>
      <w:r>
        <w:t>impacts</w:t>
      </w:r>
      <w:r w:rsidRPr="00B77DD0">
        <w:rPr>
          <w:spacing w:val="-3"/>
        </w:rPr>
        <w:t xml:space="preserve"> </w:t>
      </w:r>
      <w:r>
        <w:t>within</w:t>
      </w:r>
      <w:r w:rsidRPr="00B77DD0">
        <w:rPr>
          <w:spacing w:val="-3"/>
        </w:rPr>
        <w:t xml:space="preserve"> </w:t>
      </w:r>
      <w:r>
        <w:t>the</w:t>
      </w:r>
      <w:r w:rsidRPr="00B77DD0">
        <w:rPr>
          <w:spacing w:val="-3"/>
        </w:rPr>
        <w:t xml:space="preserve"> </w:t>
      </w:r>
      <w:r>
        <w:t>private</w:t>
      </w:r>
      <w:r w:rsidRPr="00B77DD0">
        <w:rPr>
          <w:spacing w:val="-3"/>
        </w:rPr>
        <w:t xml:space="preserve"> </w:t>
      </w:r>
      <w:r>
        <w:t>sector</w:t>
      </w:r>
      <w:r w:rsidRPr="00B77DD0">
        <w:rPr>
          <w:w w:val="85"/>
        </w:rPr>
        <w:t xml:space="preserve">. </w:t>
      </w:r>
      <w:r>
        <w:t>If</w:t>
      </w:r>
      <w:r w:rsidRPr="00B77DD0">
        <w:rPr>
          <w:spacing w:val="-1"/>
        </w:rPr>
        <w:t xml:space="preserve"> </w:t>
      </w:r>
      <w:r>
        <w:t>the</w:t>
      </w:r>
      <w:r w:rsidRPr="00B77DD0">
        <w:rPr>
          <w:spacing w:val="-3"/>
        </w:rPr>
        <w:t xml:space="preserve"> </w:t>
      </w:r>
      <w:r>
        <w:t>nature</w:t>
      </w:r>
      <w:r w:rsidRPr="00B77DD0">
        <w:rPr>
          <w:spacing w:val="-3"/>
        </w:rPr>
        <w:t xml:space="preserve"> </w:t>
      </w:r>
      <w:r>
        <w:t>or</w:t>
      </w:r>
      <w:r w:rsidRPr="00B77DD0">
        <w:rPr>
          <w:spacing w:val="-3"/>
        </w:rPr>
        <w:t xml:space="preserve"> </w:t>
      </w:r>
      <w:r>
        <w:t>extent</w:t>
      </w:r>
      <w:r w:rsidRPr="00B77DD0">
        <w:rPr>
          <w:spacing w:val="-3"/>
        </w:rPr>
        <w:t xml:space="preserve"> </w:t>
      </w:r>
      <w:r>
        <w:t>of these</w:t>
      </w:r>
      <w:r w:rsidRPr="00B77DD0">
        <w:rPr>
          <w:spacing w:val="-2"/>
        </w:rPr>
        <w:t xml:space="preserve"> </w:t>
      </w:r>
      <w:r>
        <w:t>impacts</w:t>
      </w:r>
      <w:r w:rsidRPr="00B77DD0">
        <w:rPr>
          <w:spacing w:val="-2"/>
        </w:rPr>
        <w:t xml:space="preserve"> </w:t>
      </w:r>
      <w:r>
        <w:t>is</w:t>
      </w:r>
      <w:r w:rsidRPr="00B77DD0">
        <w:rPr>
          <w:spacing w:val="-2"/>
        </w:rPr>
        <w:t xml:space="preserve"> </w:t>
      </w:r>
      <w:r>
        <w:t>undesirable</w:t>
      </w:r>
      <w:r w:rsidRPr="00B77DD0">
        <w:rPr>
          <w:spacing w:val="-2"/>
        </w:rPr>
        <w:t xml:space="preserve"> </w:t>
      </w:r>
      <w:r>
        <w:t>from</w:t>
      </w:r>
      <w:r w:rsidRPr="00B77DD0">
        <w:rPr>
          <w:spacing w:val="-2"/>
        </w:rPr>
        <w:t xml:space="preserve"> </w:t>
      </w:r>
      <w:r>
        <w:t>a</w:t>
      </w:r>
      <w:r w:rsidRPr="00B77DD0">
        <w:rPr>
          <w:spacing w:val="-1"/>
        </w:rPr>
        <w:t xml:space="preserve"> </w:t>
      </w:r>
      <w:r>
        <w:t>broader</w:t>
      </w:r>
      <w:r w:rsidRPr="00B77DD0">
        <w:rPr>
          <w:spacing w:val="-2"/>
        </w:rPr>
        <w:t xml:space="preserve"> </w:t>
      </w:r>
      <w:r>
        <w:t>social</w:t>
      </w:r>
      <w:r w:rsidRPr="00B77DD0">
        <w:rPr>
          <w:spacing w:val="-2"/>
        </w:rPr>
        <w:t xml:space="preserve"> </w:t>
      </w:r>
      <w:r>
        <w:t>perspective,</w:t>
      </w:r>
      <w:r w:rsidRPr="00B77DD0">
        <w:rPr>
          <w:spacing w:val="-2"/>
        </w:rPr>
        <w:t xml:space="preserve"> </w:t>
      </w:r>
      <w:r>
        <w:t>then</w:t>
      </w:r>
      <w:r w:rsidRPr="00B77DD0">
        <w:rPr>
          <w:spacing w:val="-2"/>
        </w:rPr>
        <w:t xml:space="preserve"> </w:t>
      </w:r>
      <w:r>
        <w:t>fiscal</w:t>
      </w:r>
      <w:r w:rsidRPr="00B77DD0">
        <w:rPr>
          <w:spacing w:val="-2"/>
        </w:rPr>
        <w:t xml:space="preserve"> </w:t>
      </w:r>
      <w:r>
        <w:t>policy</w:t>
      </w:r>
      <w:r w:rsidRPr="00B77DD0">
        <w:rPr>
          <w:spacing w:val="-2"/>
        </w:rPr>
        <w:t xml:space="preserve"> </w:t>
      </w:r>
      <w:r>
        <w:t>has</w:t>
      </w:r>
      <w:r w:rsidRPr="00B77DD0">
        <w:rPr>
          <w:spacing w:val="-2"/>
        </w:rPr>
        <w:t xml:space="preserve"> </w:t>
      </w:r>
      <w:r>
        <w:t>access</w:t>
      </w:r>
      <w:r w:rsidRPr="00B77DD0">
        <w:rPr>
          <w:spacing w:val="-2"/>
        </w:rPr>
        <w:t xml:space="preserve"> </w:t>
      </w:r>
      <w:r>
        <w:t xml:space="preserve">to </w:t>
      </w:r>
      <w:r w:rsidRPr="00B77DD0">
        <w:rPr>
          <w:spacing w:val="-2"/>
        </w:rPr>
        <w:t>more</w:t>
      </w:r>
      <w:r w:rsidRPr="00B77DD0">
        <w:rPr>
          <w:spacing w:val="-5"/>
        </w:rPr>
        <w:t xml:space="preserve"> </w:t>
      </w:r>
      <w:r w:rsidRPr="00B77DD0">
        <w:rPr>
          <w:spacing w:val="-2"/>
        </w:rPr>
        <w:t>targeted</w:t>
      </w:r>
      <w:r w:rsidRPr="00B77DD0">
        <w:rPr>
          <w:spacing w:val="-5"/>
        </w:rPr>
        <w:t xml:space="preserve"> </w:t>
      </w:r>
      <w:r w:rsidRPr="00B77DD0">
        <w:rPr>
          <w:spacing w:val="-2"/>
        </w:rPr>
        <w:t>tools</w:t>
      </w:r>
      <w:r w:rsidRPr="00B77DD0">
        <w:rPr>
          <w:spacing w:val="-5"/>
        </w:rPr>
        <w:t xml:space="preserve"> </w:t>
      </w:r>
      <w:r w:rsidRPr="00B77DD0">
        <w:rPr>
          <w:spacing w:val="-2"/>
        </w:rPr>
        <w:t>through</w:t>
      </w:r>
      <w:r w:rsidRPr="00B77DD0">
        <w:rPr>
          <w:spacing w:val="-5"/>
        </w:rPr>
        <w:t xml:space="preserve"> </w:t>
      </w:r>
      <w:r w:rsidRPr="00B77DD0">
        <w:rPr>
          <w:spacing w:val="-2"/>
        </w:rPr>
        <w:t>the</w:t>
      </w:r>
      <w:r w:rsidRPr="00B77DD0">
        <w:rPr>
          <w:spacing w:val="-5"/>
        </w:rPr>
        <w:t xml:space="preserve"> </w:t>
      </w:r>
      <w:r w:rsidRPr="00B77DD0">
        <w:rPr>
          <w:spacing w:val="-2"/>
        </w:rPr>
        <w:t>tax</w:t>
      </w:r>
      <w:r w:rsidRPr="00B77DD0">
        <w:rPr>
          <w:spacing w:val="-5"/>
        </w:rPr>
        <w:t xml:space="preserve"> </w:t>
      </w:r>
      <w:r w:rsidRPr="00B77DD0">
        <w:rPr>
          <w:spacing w:val="-2"/>
        </w:rPr>
        <w:t>and</w:t>
      </w:r>
      <w:r w:rsidRPr="00B77DD0">
        <w:rPr>
          <w:spacing w:val="-5"/>
        </w:rPr>
        <w:t xml:space="preserve"> </w:t>
      </w:r>
      <w:r w:rsidRPr="00B77DD0">
        <w:rPr>
          <w:spacing w:val="-2"/>
        </w:rPr>
        <w:t>transfer</w:t>
      </w:r>
      <w:r w:rsidRPr="00B77DD0">
        <w:rPr>
          <w:spacing w:val="-5"/>
        </w:rPr>
        <w:t xml:space="preserve"> </w:t>
      </w:r>
      <w:r w:rsidRPr="00B77DD0">
        <w:rPr>
          <w:spacing w:val="-2"/>
        </w:rPr>
        <w:t>system</w:t>
      </w:r>
      <w:r w:rsidRPr="00B77DD0">
        <w:rPr>
          <w:spacing w:val="-5"/>
        </w:rPr>
        <w:t xml:space="preserve"> </w:t>
      </w:r>
      <w:r w:rsidRPr="00B77DD0">
        <w:rPr>
          <w:spacing w:val="-2"/>
        </w:rPr>
        <w:t>and</w:t>
      </w:r>
      <w:r w:rsidRPr="00B77DD0">
        <w:rPr>
          <w:spacing w:val="-5"/>
        </w:rPr>
        <w:t xml:space="preserve"> </w:t>
      </w:r>
      <w:r w:rsidRPr="00B77DD0">
        <w:rPr>
          <w:spacing w:val="-2"/>
        </w:rPr>
        <w:t>social</w:t>
      </w:r>
      <w:r w:rsidRPr="00B77DD0">
        <w:rPr>
          <w:spacing w:val="-5"/>
        </w:rPr>
        <w:t xml:space="preserve"> </w:t>
      </w:r>
      <w:r w:rsidRPr="00B77DD0">
        <w:rPr>
          <w:spacing w:val="-2"/>
        </w:rPr>
        <w:t>spending</w:t>
      </w:r>
      <w:r w:rsidRPr="00B77DD0">
        <w:rPr>
          <w:spacing w:val="-5"/>
        </w:rPr>
        <w:t xml:space="preserve"> </w:t>
      </w:r>
      <w:r w:rsidRPr="00B77DD0">
        <w:rPr>
          <w:spacing w:val="-2"/>
        </w:rPr>
        <w:t>to</w:t>
      </w:r>
      <w:r w:rsidRPr="00B77DD0">
        <w:rPr>
          <w:spacing w:val="-5"/>
        </w:rPr>
        <w:t xml:space="preserve"> </w:t>
      </w:r>
      <w:r w:rsidRPr="00B77DD0">
        <w:rPr>
          <w:spacing w:val="-2"/>
        </w:rPr>
        <w:t>shape</w:t>
      </w:r>
      <w:r w:rsidRPr="00B77DD0">
        <w:rPr>
          <w:spacing w:val="-5"/>
        </w:rPr>
        <w:t xml:space="preserve"> </w:t>
      </w:r>
      <w:r w:rsidRPr="00B77DD0">
        <w:rPr>
          <w:spacing w:val="-2"/>
        </w:rPr>
        <w:t>outcomes</w:t>
      </w:r>
      <w:r w:rsidR="00B77DD0">
        <w:rPr>
          <w:spacing w:val="-2"/>
        </w:rPr>
        <w:t>.</w:t>
      </w:r>
      <w:r w:rsidR="005D0611">
        <w:rPr>
          <w:rStyle w:val="FootnoteReference"/>
          <w:spacing w:val="-2"/>
        </w:rPr>
        <w:footnoteReference w:id="3"/>
      </w:r>
      <w:r w:rsidRPr="00B77DD0">
        <w:rPr>
          <w:spacing w:val="-24"/>
        </w:rPr>
        <w:t xml:space="preserve"> </w:t>
      </w:r>
    </w:p>
    <w:p w14:paraId="66FDAB70" w14:textId="0420A24F" w:rsidR="001A304A" w:rsidRDefault="001A304A" w:rsidP="00B77DD0">
      <w:pPr>
        <w:pStyle w:val="Bullet"/>
        <w:numPr>
          <w:ilvl w:val="0"/>
          <w:numId w:val="0"/>
        </w:numPr>
      </w:pPr>
      <w:r>
        <w:t>Leeper (2023) sets out a more detailed discussion of the interactions of monetary and fiscal policy. Given these links, it is important that there is cooperation between monetary and fiscal policy makers and that their respective longer-run policy frameworks are compatible</w:t>
      </w:r>
      <w:r w:rsidRPr="00B77DD0">
        <w:rPr>
          <w:w w:val="85"/>
        </w:rPr>
        <w:t xml:space="preserve">. </w:t>
      </w:r>
      <w:r>
        <w:t>But this cooperation should not threaten the independence of monetary policy decision making to pursue its legislated objectives</w:t>
      </w:r>
      <w:r w:rsidRPr="00B77DD0">
        <w:rPr>
          <w:w w:val="85"/>
        </w:rPr>
        <w:t>.</w:t>
      </w:r>
    </w:p>
    <w:p w14:paraId="2CA6E81E" w14:textId="51BB8482" w:rsidR="001A304A" w:rsidRDefault="001A304A" w:rsidP="001A304A">
      <w:r>
        <w:t>Current arrangements support cooperation between monetary and fiscal policy makers. The RBA Act requires that the Governor and the Treasury Secretary establish ‘close liaison’, and that the Secretary to the Treasury be an ex officio member of the Reserve Bank Board (s 13 of the RBA</w:t>
      </w:r>
      <w:r>
        <w:rPr>
          <w:spacing w:val="-1"/>
        </w:rPr>
        <w:t xml:space="preserve"> </w:t>
      </w:r>
      <w:r>
        <w:t>Act)</w:t>
      </w:r>
      <w:r w:rsidR="00A70BAD">
        <w:rPr>
          <w:spacing w:val="-25"/>
        </w:rPr>
        <w:t>.</w:t>
      </w:r>
      <w:r>
        <w:rPr>
          <w:w w:val="85"/>
        </w:rPr>
        <w:t xml:space="preserve"> </w:t>
      </w:r>
      <w:r>
        <w:t>RBA</w:t>
      </w:r>
      <w:r>
        <w:rPr>
          <w:spacing w:val="-1"/>
        </w:rPr>
        <w:t xml:space="preserve"> </w:t>
      </w:r>
      <w:r>
        <w:t>leadership</w:t>
      </w:r>
      <w:r>
        <w:rPr>
          <w:spacing w:val="-1"/>
        </w:rPr>
        <w:t xml:space="preserve"> </w:t>
      </w:r>
      <w:r>
        <w:t>also</w:t>
      </w:r>
      <w:r>
        <w:rPr>
          <w:spacing w:val="-1"/>
        </w:rPr>
        <w:t xml:space="preserve"> </w:t>
      </w:r>
      <w:r>
        <w:t>communicates</w:t>
      </w:r>
      <w:r>
        <w:rPr>
          <w:spacing w:val="-1"/>
        </w:rPr>
        <w:t xml:space="preserve"> </w:t>
      </w:r>
      <w:r>
        <w:t>directly</w:t>
      </w:r>
      <w:r>
        <w:rPr>
          <w:spacing w:val="-1"/>
        </w:rPr>
        <w:t xml:space="preserve"> </w:t>
      </w:r>
      <w:r>
        <w:t>with</w:t>
      </w:r>
      <w:r>
        <w:rPr>
          <w:spacing w:val="-1"/>
        </w:rPr>
        <w:t xml:space="preserve"> </w:t>
      </w:r>
      <w:r>
        <w:t>the</w:t>
      </w:r>
      <w:r>
        <w:rPr>
          <w:spacing w:val="-1"/>
        </w:rPr>
        <w:t xml:space="preserve"> </w:t>
      </w:r>
      <w:r>
        <w:t>Prime</w:t>
      </w:r>
      <w:r>
        <w:rPr>
          <w:spacing w:val="-1"/>
        </w:rPr>
        <w:t xml:space="preserve"> </w:t>
      </w:r>
      <w:r>
        <w:t>Minister</w:t>
      </w:r>
      <w:r>
        <w:rPr>
          <w:spacing w:val="-1"/>
        </w:rPr>
        <w:t xml:space="preserve"> </w:t>
      </w:r>
      <w:r>
        <w:t>and</w:t>
      </w:r>
      <w:r>
        <w:rPr>
          <w:spacing w:val="-1"/>
        </w:rPr>
        <w:t xml:space="preserve"> </w:t>
      </w:r>
      <w:r>
        <w:t>the</w:t>
      </w:r>
      <w:r>
        <w:rPr>
          <w:spacing w:val="-1"/>
        </w:rPr>
        <w:t xml:space="preserve"> </w:t>
      </w:r>
      <w:r>
        <w:t>Treasurer, particularly during crises or differences of opinion (s 11 of the RBA Act).</w:t>
      </w:r>
    </w:p>
    <w:p w14:paraId="72A13298" w14:textId="2F30FE78" w:rsidR="00A05095" w:rsidRDefault="00A05095" w:rsidP="00A05095">
      <w:r>
        <w:t>At the staff level, arrangements exist to share information on economic developments (as opposed to</w:t>
      </w:r>
      <w:r>
        <w:rPr>
          <w:spacing w:val="-1"/>
        </w:rPr>
        <w:t xml:space="preserve"> </w:t>
      </w:r>
      <w:r>
        <w:t>policy</w:t>
      </w:r>
      <w:r>
        <w:rPr>
          <w:spacing w:val="-1"/>
        </w:rPr>
        <w:t xml:space="preserve"> </w:t>
      </w:r>
      <w:r>
        <w:t>deliberations)</w:t>
      </w:r>
      <w:r>
        <w:rPr>
          <w:spacing w:val="-1"/>
        </w:rPr>
        <w:t xml:space="preserve"> </w:t>
      </w:r>
      <w:r>
        <w:t>between</w:t>
      </w:r>
      <w:r>
        <w:rPr>
          <w:spacing w:val="-1"/>
        </w:rPr>
        <w:t xml:space="preserve"> </w:t>
      </w:r>
      <w:r>
        <w:t>the</w:t>
      </w:r>
      <w:r>
        <w:rPr>
          <w:spacing w:val="-1"/>
        </w:rPr>
        <w:t xml:space="preserve"> </w:t>
      </w:r>
      <w:r>
        <w:t>RBA</w:t>
      </w:r>
      <w:r>
        <w:rPr>
          <w:spacing w:val="-1"/>
        </w:rPr>
        <w:t xml:space="preserve"> </w:t>
      </w:r>
      <w:r>
        <w:t>and</w:t>
      </w:r>
      <w:r>
        <w:rPr>
          <w:spacing w:val="-1"/>
        </w:rPr>
        <w:t xml:space="preserve"> </w:t>
      </w:r>
      <w:r>
        <w:t>Treasury</w:t>
      </w:r>
      <w:r>
        <w:rPr>
          <w:spacing w:val="-24"/>
        </w:rPr>
        <w:t>.</w:t>
      </w:r>
      <w:r>
        <w:rPr>
          <w:w w:val="85"/>
        </w:rPr>
        <w:t xml:space="preserve"> </w:t>
      </w:r>
      <w:r>
        <w:t>For</w:t>
      </w:r>
      <w:r>
        <w:rPr>
          <w:spacing w:val="-1"/>
        </w:rPr>
        <w:t xml:space="preserve"> </w:t>
      </w:r>
      <w:r>
        <w:t>example,</w:t>
      </w:r>
      <w:r>
        <w:rPr>
          <w:spacing w:val="-1"/>
        </w:rPr>
        <w:t xml:space="preserve"> </w:t>
      </w:r>
      <w:r>
        <w:t>the</w:t>
      </w:r>
      <w:r>
        <w:rPr>
          <w:spacing w:val="-1"/>
        </w:rPr>
        <w:t xml:space="preserve"> </w:t>
      </w:r>
      <w:r>
        <w:t>Joint</w:t>
      </w:r>
      <w:r>
        <w:rPr>
          <w:spacing w:val="-1"/>
        </w:rPr>
        <w:t xml:space="preserve"> </w:t>
      </w:r>
      <w:r>
        <w:t>Economic</w:t>
      </w:r>
      <w:r>
        <w:rPr>
          <w:spacing w:val="-1"/>
        </w:rPr>
        <w:t xml:space="preserve"> </w:t>
      </w:r>
      <w:r>
        <w:t>Forecasting Group brings together officials from the RBA, the Treasury, and other government departments to discuss the domestic and global outlook</w:t>
      </w:r>
      <w:r>
        <w:rPr>
          <w:spacing w:val="-23"/>
        </w:rPr>
        <w:t>.</w:t>
      </w:r>
      <w:r>
        <w:rPr>
          <w:w w:val="85"/>
        </w:rPr>
        <w:t xml:space="preserve"> </w:t>
      </w:r>
      <w:r>
        <w:t>The RBA and Treasury are also members of the Council of Financial Regulators</w:t>
      </w:r>
      <w:r>
        <w:rPr>
          <w:spacing w:val="-17"/>
        </w:rPr>
        <w:t>.</w:t>
      </w:r>
    </w:p>
    <w:p w14:paraId="15F2BBA3" w14:textId="77777777" w:rsidR="00A05095" w:rsidRDefault="00A05095" w:rsidP="00465342">
      <w:pPr>
        <w:pStyle w:val="Heading3"/>
      </w:pPr>
      <w:r>
        <w:t>Financial</w:t>
      </w:r>
      <w:r>
        <w:rPr>
          <w:spacing w:val="-13"/>
        </w:rPr>
        <w:t xml:space="preserve"> </w:t>
      </w:r>
      <w:r>
        <w:t>stability</w:t>
      </w:r>
      <w:r>
        <w:rPr>
          <w:spacing w:val="-13"/>
        </w:rPr>
        <w:t xml:space="preserve"> </w:t>
      </w:r>
      <w:r>
        <w:t>and</w:t>
      </w:r>
      <w:r>
        <w:rPr>
          <w:spacing w:val="-13"/>
        </w:rPr>
        <w:t xml:space="preserve"> </w:t>
      </w:r>
      <w:r>
        <w:t>macroprudential</w:t>
      </w:r>
      <w:r>
        <w:rPr>
          <w:spacing w:val="-13"/>
        </w:rPr>
        <w:t xml:space="preserve"> </w:t>
      </w:r>
      <w:r>
        <w:rPr>
          <w:spacing w:val="-2"/>
        </w:rPr>
        <w:t>policy</w:t>
      </w:r>
    </w:p>
    <w:p w14:paraId="0308DB4A" w14:textId="77777777" w:rsidR="00E100F9" w:rsidRDefault="00A05095" w:rsidP="00A05095">
      <w:r>
        <w:t xml:space="preserve">In Australia, responsibility for promoting financial stability is spread across several agencies. </w:t>
      </w:r>
    </w:p>
    <w:p w14:paraId="72A84133" w14:textId="130A0906" w:rsidR="00A05095" w:rsidRDefault="00A05095" w:rsidP="00A05095">
      <w:r>
        <w:t>The RBA is widely accepted to have financial stability responsibilities, despite not having an explicit legislative mandate to support this objective, outside of its Payments System Board’s responsibilities. The RBA has a powerful toolkit to support financial stability, including the power to provide liquidity support to the financial system. Monetary policy can also affect financial stability through its influence on risk taking, growth in debt and asset prices, and on the balance sheets of the household, corporate and financial sectors.</w:t>
      </w:r>
    </w:p>
    <w:p w14:paraId="3BDA2688" w14:textId="77777777" w:rsidR="00A05095" w:rsidRDefault="00A05095" w:rsidP="00A05095">
      <w:r>
        <w:lastRenderedPageBreak/>
        <w:t>The Australian Prudential Regulation Authority (APRA) has an explicit legislative mandate to promote financial system stability and powers that enable it to directly alter the behaviour of financial institutions.</w:t>
      </w:r>
    </w:p>
    <w:p w14:paraId="3B05038D" w14:textId="5C5C1022" w:rsidR="00A05095" w:rsidRDefault="00A05095" w:rsidP="00A05095">
      <w:r>
        <w:t>The overlapping responsibilities for financial stability between APRA and RBA make close coordination essential. Both agencies bring complementary lenses to financial stability issues,</w:t>
      </w:r>
      <w:r>
        <w:rPr>
          <w:spacing w:val="80"/>
        </w:rPr>
        <w:t xml:space="preserve"> </w:t>
      </w:r>
      <w:r>
        <w:t>with the RBA generally taking a top-down macroeconomic view and APRA having more bottom-up insights</w:t>
      </w:r>
      <w:r>
        <w:rPr>
          <w:spacing w:val="21"/>
        </w:rPr>
        <w:t xml:space="preserve"> </w:t>
      </w:r>
      <w:r>
        <w:t>from</w:t>
      </w:r>
      <w:r>
        <w:rPr>
          <w:spacing w:val="21"/>
        </w:rPr>
        <w:t xml:space="preserve"> </w:t>
      </w:r>
      <w:r>
        <w:t>supervised</w:t>
      </w:r>
      <w:r>
        <w:rPr>
          <w:spacing w:val="21"/>
        </w:rPr>
        <w:t xml:space="preserve"> </w:t>
      </w:r>
      <w:r>
        <w:t>institutions.</w:t>
      </w:r>
      <w:r>
        <w:rPr>
          <w:spacing w:val="21"/>
        </w:rPr>
        <w:t xml:space="preserve"> </w:t>
      </w:r>
      <w:r>
        <w:t>Effective</w:t>
      </w:r>
      <w:r>
        <w:rPr>
          <w:spacing w:val="21"/>
        </w:rPr>
        <w:t xml:space="preserve"> </w:t>
      </w:r>
      <w:r>
        <w:t>information</w:t>
      </w:r>
      <w:r>
        <w:rPr>
          <w:spacing w:val="21"/>
        </w:rPr>
        <w:t xml:space="preserve"> </w:t>
      </w:r>
      <w:r>
        <w:t>sharing</w:t>
      </w:r>
      <w:r>
        <w:rPr>
          <w:spacing w:val="21"/>
        </w:rPr>
        <w:t xml:space="preserve"> </w:t>
      </w:r>
      <w:r>
        <w:t>and</w:t>
      </w:r>
      <w:r>
        <w:rPr>
          <w:spacing w:val="21"/>
        </w:rPr>
        <w:t xml:space="preserve"> </w:t>
      </w:r>
      <w:r>
        <w:t>cooperation</w:t>
      </w:r>
      <w:r>
        <w:rPr>
          <w:spacing w:val="21"/>
        </w:rPr>
        <w:t xml:space="preserve"> </w:t>
      </w:r>
      <w:r>
        <w:t>is</w:t>
      </w:r>
      <w:r>
        <w:rPr>
          <w:spacing w:val="21"/>
        </w:rPr>
        <w:t xml:space="preserve"> </w:t>
      </w:r>
      <w:r>
        <w:t>essential to risk identification, the determination of appropriate policy responses and oversight of potential regulatory gaps</w:t>
      </w:r>
      <w:r>
        <w:rPr>
          <w:spacing w:val="-17"/>
        </w:rPr>
        <w:t>.</w:t>
      </w:r>
    </w:p>
    <w:p w14:paraId="4A661163" w14:textId="67B39571" w:rsidR="00A05095" w:rsidRDefault="00A05095" w:rsidP="00A05095">
      <w:r>
        <w:t>A key area of common interest between the RBA and APRA is the interaction between monetary policy and macroprudential policy</w:t>
      </w:r>
      <w:r>
        <w:rPr>
          <w:spacing w:val="-18"/>
        </w:rPr>
        <w:t>.</w:t>
      </w:r>
      <w:r>
        <w:rPr>
          <w:w w:val="85"/>
        </w:rPr>
        <w:t xml:space="preserve"> </w:t>
      </w:r>
      <w:r>
        <w:t>Macroprudential policy is the use of prudential powers to mitigate risks to financial stability through actions such as imposing limits on lending or varying capital requirements</w:t>
      </w:r>
      <w:r>
        <w:rPr>
          <w:spacing w:val="-17"/>
        </w:rPr>
        <w:t>.</w:t>
      </w:r>
    </w:p>
    <w:p w14:paraId="04C4D26D" w14:textId="4D47ED6F" w:rsidR="00A05095" w:rsidRDefault="00A05095" w:rsidP="00A05095">
      <w:r>
        <w:t>When</w:t>
      </w:r>
      <w:r>
        <w:rPr>
          <w:spacing w:val="1"/>
        </w:rPr>
        <w:t xml:space="preserve"> </w:t>
      </w:r>
      <w:r>
        <w:t>used</w:t>
      </w:r>
      <w:r>
        <w:rPr>
          <w:spacing w:val="3"/>
        </w:rPr>
        <w:t xml:space="preserve"> </w:t>
      </w:r>
      <w:r>
        <w:t>in</w:t>
      </w:r>
      <w:r>
        <w:rPr>
          <w:spacing w:val="3"/>
        </w:rPr>
        <w:t xml:space="preserve"> </w:t>
      </w:r>
      <w:r>
        <w:t>a</w:t>
      </w:r>
      <w:r>
        <w:rPr>
          <w:spacing w:val="3"/>
        </w:rPr>
        <w:t xml:space="preserve"> </w:t>
      </w:r>
      <w:r>
        <w:t>complementary</w:t>
      </w:r>
      <w:r>
        <w:rPr>
          <w:spacing w:val="3"/>
        </w:rPr>
        <w:t xml:space="preserve"> </w:t>
      </w:r>
      <w:r>
        <w:t>way,</w:t>
      </w:r>
      <w:r>
        <w:rPr>
          <w:spacing w:val="4"/>
        </w:rPr>
        <w:t xml:space="preserve"> </w:t>
      </w:r>
      <w:r>
        <w:t>macroprudential</w:t>
      </w:r>
      <w:r>
        <w:rPr>
          <w:spacing w:val="3"/>
        </w:rPr>
        <w:t xml:space="preserve"> </w:t>
      </w:r>
      <w:r>
        <w:t>policy</w:t>
      </w:r>
      <w:r>
        <w:rPr>
          <w:spacing w:val="3"/>
        </w:rPr>
        <w:t xml:space="preserve"> </w:t>
      </w:r>
      <w:r>
        <w:t>can</w:t>
      </w:r>
      <w:r>
        <w:rPr>
          <w:spacing w:val="3"/>
        </w:rPr>
        <w:t xml:space="preserve"> </w:t>
      </w:r>
      <w:r>
        <w:t>provide</w:t>
      </w:r>
      <w:r>
        <w:rPr>
          <w:spacing w:val="3"/>
        </w:rPr>
        <w:t xml:space="preserve"> </w:t>
      </w:r>
      <w:r>
        <w:t>monetary</w:t>
      </w:r>
      <w:r>
        <w:rPr>
          <w:spacing w:val="4"/>
        </w:rPr>
        <w:t xml:space="preserve"> </w:t>
      </w:r>
      <w:r>
        <w:rPr>
          <w:spacing w:val="-2"/>
        </w:rPr>
        <w:t>policy</w:t>
      </w:r>
      <w:r>
        <w:t xml:space="preserve"> with greater flexibility to achieve its economic objectives while mitigating potential unintended consequences for financial stability. In particular, macroprudential policy can help reduce the build- up of financial vulnerabilities that might otherwise happen when interest rates are low for a long period, by reducing excessive risk-taking among financial institutions.</w:t>
      </w:r>
    </w:p>
    <w:p w14:paraId="0DC94417" w14:textId="54D2A293" w:rsidR="00A05095" w:rsidRDefault="00A05095" w:rsidP="00A05095">
      <w:r>
        <w:t>Recognising the importance of the RBA and APRA working together on financial stability issues, there are a range of formal and informal arrangements at various levels to support effective cooperation</w:t>
      </w:r>
      <w:r>
        <w:rPr>
          <w:spacing w:val="-23"/>
        </w:rPr>
        <w:t>.</w:t>
      </w:r>
      <w:r>
        <w:rPr>
          <w:w w:val="85"/>
        </w:rPr>
        <w:t xml:space="preserve"> </w:t>
      </w:r>
      <w:r>
        <w:t>The RBA and APRA agreed a memorandum of understanding in 1998, which sets out some of the specifics of cooperation and information sharing, including regular meetings of senior officials. It has not been updated since.</w:t>
      </w:r>
    </w:p>
    <w:p w14:paraId="1580ADC4" w14:textId="555263FE" w:rsidR="00087033" w:rsidRDefault="00A05095" w:rsidP="00A05095">
      <w:pPr>
        <w:rPr>
          <w:w w:val="85"/>
        </w:rPr>
      </w:pPr>
      <w:r>
        <w:t>Cooperation on financial stability issues is also facilitated through the Council of Financial</w:t>
      </w:r>
      <w:r>
        <w:rPr>
          <w:spacing w:val="80"/>
        </w:rPr>
        <w:t xml:space="preserve"> </w:t>
      </w:r>
      <w:r>
        <w:t>Regulators (CFR)</w:t>
      </w:r>
      <w:r>
        <w:rPr>
          <w:w w:val="85"/>
        </w:rPr>
        <w:t>.</w:t>
      </w:r>
      <w:r>
        <w:t xml:space="preserve"> CFR is chaired by the Governor and brings together APRA, the Australian</w:t>
      </w:r>
      <w:r>
        <w:rPr>
          <w:spacing w:val="40"/>
        </w:rPr>
        <w:t xml:space="preserve"> </w:t>
      </w:r>
      <w:r>
        <w:t>Securities and Investments Commission, the RBA and Treasury on areas of common interest, including macroprudential policy</w:t>
      </w:r>
      <w:r>
        <w:rPr>
          <w:w w:val="85"/>
        </w:rPr>
        <w:t xml:space="preserve">. </w:t>
      </w:r>
      <w:r>
        <w:t>CFR is a non-statutory group, with no formal regulatory or decision-making powers</w:t>
      </w:r>
      <w:r>
        <w:rPr>
          <w:w w:val="85"/>
        </w:rPr>
        <w:t xml:space="preserve">. </w:t>
      </w:r>
      <w:r>
        <w:t>It provides a forum for member agencies to share analysis, identify risks and discuss policy responses</w:t>
      </w:r>
      <w:r>
        <w:rPr>
          <w:w w:val="85"/>
        </w:rPr>
        <w:t xml:space="preserve">. </w:t>
      </w:r>
      <w:r>
        <w:t>APRA’s Macroprudential Policy Framework indicates that consultation with CFR is an essential prerequisite to initiating macroprudential policy actions (APRA 2021)</w:t>
      </w:r>
      <w:r>
        <w:rPr>
          <w:w w:val="85"/>
        </w:rPr>
        <w:t>.</w:t>
      </w:r>
    </w:p>
    <w:p w14:paraId="0B09F565" w14:textId="77777777" w:rsidR="005E5B3C" w:rsidRDefault="005E5B3C" w:rsidP="00465342">
      <w:pPr>
        <w:pStyle w:val="Heading3"/>
      </w:pPr>
      <w:r>
        <w:t>Monetary</w:t>
      </w:r>
      <w:r>
        <w:rPr>
          <w:spacing w:val="-7"/>
        </w:rPr>
        <w:t xml:space="preserve"> </w:t>
      </w:r>
      <w:r>
        <w:t>policy</w:t>
      </w:r>
      <w:r>
        <w:rPr>
          <w:spacing w:val="-7"/>
        </w:rPr>
        <w:t xml:space="preserve"> </w:t>
      </w:r>
      <w:r w:rsidRPr="005E5B3C">
        <w:t>arrangements</w:t>
      </w:r>
      <w:r>
        <w:rPr>
          <w:spacing w:val="-6"/>
        </w:rPr>
        <w:t xml:space="preserve"> </w:t>
      </w:r>
      <w:r>
        <w:rPr>
          <w:spacing w:val="-2"/>
        </w:rPr>
        <w:t>overseas</w:t>
      </w:r>
    </w:p>
    <w:p w14:paraId="1817D645" w14:textId="43A05C23" w:rsidR="005E5B3C" w:rsidRDefault="005E5B3C" w:rsidP="005E5B3C">
      <w:r>
        <w:t>Australia’s monetary policy framework shares many similarities with comparable economies, though there are differences in how the inflation target is defined and what priority is given to full employment or other objectives</w:t>
      </w:r>
      <w:r>
        <w:rPr>
          <w:spacing w:val="-9"/>
        </w:rPr>
        <w:t>.</w:t>
      </w:r>
    </w:p>
    <w:p w14:paraId="6583DFD8" w14:textId="2FC37976" w:rsidR="005E5B3C" w:rsidRDefault="005E5B3C" w:rsidP="005E5B3C">
      <w:r>
        <w:t>Most other central banks have a narrower set of objectives for monetary policy than the RBA (see the comparison of objectives in Appendix 3)</w:t>
      </w:r>
      <w:r>
        <w:rPr>
          <w:spacing w:val="-20"/>
        </w:rPr>
        <w:t>.</w:t>
      </w:r>
      <w:r>
        <w:t xml:space="preserve"> A small number of central banks have price stability as</w:t>
      </w:r>
      <w:r>
        <w:rPr>
          <w:spacing w:val="-3"/>
        </w:rPr>
        <w:t xml:space="preserve"> </w:t>
      </w:r>
      <w:r>
        <w:t>their</w:t>
      </w:r>
      <w:r>
        <w:rPr>
          <w:spacing w:val="-3"/>
        </w:rPr>
        <w:t xml:space="preserve"> </w:t>
      </w:r>
      <w:r>
        <w:t>only</w:t>
      </w:r>
      <w:r>
        <w:rPr>
          <w:spacing w:val="-3"/>
        </w:rPr>
        <w:t xml:space="preserve"> </w:t>
      </w:r>
      <w:r>
        <w:t>objective</w:t>
      </w:r>
      <w:r>
        <w:rPr>
          <w:spacing w:val="-24"/>
        </w:rPr>
        <w:t>.</w:t>
      </w:r>
      <w:r>
        <w:rPr>
          <w:w w:val="85"/>
        </w:rPr>
        <w:t xml:space="preserve"> </w:t>
      </w:r>
      <w:r>
        <w:t>Many</w:t>
      </w:r>
      <w:r>
        <w:rPr>
          <w:spacing w:val="-3"/>
        </w:rPr>
        <w:t xml:space="preserve"> </w:t>
      </w:r>
      <w:r>
        <w:t>others</w:t>
      </w:r>
      <w:r>
        <w:rPr>
          <w:spacing w:val="-3"/>
        </w:rPr>
        <w:t xml:space="preserve"> </w:t>
      </w:r>
      <w:r>
        <w:t>have</w:t>
      </w:r>
      <w:r>
        <w:rPr>
          <w:spacing w:val="-3"/>
        </w:rPr>
        <w:t xml:space="preserve"> </w:t>
      </w:r>
      <w:r>
        <w:t>price</w:t>
      </w:r>
      <w:r>
        <w:rPr>
          <w:spacing w:val="-3"/>
        </w:rPr>
        <w:t xml:space="preserve"> </w:t>
      </w:r>
      <w:r>
        <w:t>stability</w:t>
      </w:r>
      <w:r>
        <w:rPr>
          <w:spacing w:val="-3"/>
        </w:rPr>
        <w:t xml:space="preserve"> </w:t>
      </w:r>
      <w:r>
        <w:t>as</w:t>
      </w:r>
      <w:r>
        <w:rPr>
          <w:spacing w:val="-3"/>
        </w:rPr>
        <w:t xml:space="preserve"> </w:t>
      </w:r>
      <w:r>
        <w:t>their</w:t>
      </w:r>
      <w:r>
        <w:rPr>
          <w:spacing w:val="-3"/>
        </w:rPr>
        <w:t xml:space="preserve"> </w:t>
      </w:r>
      <w:r>
        <w:t>primary</w:t>
      </w:r>
      <w:r>
        <w:rPr>
          <w:spacing w:val="-3"/>
        </w:rPr>
        <w:t xml:space="preserve"> </w:t>
      </w:r>
      <w:r>
        <w:t>objective,</w:t>
      </w:r>
      <w:r>
        <w:rPr>
          <w:spacing w:val="-3"/>
        </w:rPr>
        <w:t xml:space="preserve"> </w:t>
      </w:r>
      <w:r>
        <w:t>with</w:t>
      </w:r>
      <w:r>
        <w:rPr>
          <w:spacing w:val="-3"/>
        </w:rPr>
        <w:t xml:space="preserve"> </w:t>
      </w:r>
      <w:r>
        <w:t>a</w:t>
      </w:r>
      <w:r>
        <w:rPr>
          <w:spacing w:val="-3"/>
        </w:rPr>
        <w:t xml:space="preserve"> </w:t>
      </w:r>
      <w:r>
        <w:t>secondary or</w:t>
      </w:r>
      <w:r>
        <w:rPr>
          <w:spacing w:val="-2"/>
        </w:rPr>
        <w:t xml:space="preserve"> </w:t>
      </w:r>
      <w:r>
        <w:t>subordinate</w:t>
      </w:r>
      <w:r>
        <w:rPr>
          <w:spacing w:val="-2"/>
        </w:rPr>
        <w:t xml:space="preserve"> </w:t>
      </w:r>
      <w:r>
        <w:t>objective</w:t>
      </w:r>
      <w:r>
        <w:rPr>
          <w:spacing w:val="-2"/>
        </w:rPr>
        <w:t xml:space="preserve"> </w:t>
      </w:r>
      <w:r>
        <w:t>to</w:t>
      </w:r>
      <w:r>
        <w:rPr>
          <w:spacing w:val="-2"/>
        </w:rPr>
        <w:t xml:space="preserve"> </w:t>
      </w:r>
      <w:r>
        <w:t>support</w:t>
      </w:r>
      <w:r>
        <w:rPr>
          <w:spacing w:val="-2"/>
        </w:rPr>
        <w:t xml:space="preserve"> </w:t>
      </w:r>
      <w:r>
        <w:t>economic</w:t>
      </w:r>
      <w:r>
        <w:rPr>
          <w:spacing w:val="-2"/>
        </w:rPr>
        <w:t xml:space="preserve"> </w:t>
      </w:r>
      <w:r>
        <w:t>growth</w:t>
      </w:r>
      <w:r>
        <w:rPr>
          <w:spacing w:val="-2"/>
        </w:rPr>
        <w:t xml:space="preserve"> </w:t>
      </w:r>
      <w:r>
        <w:t>or</w:t>
      </w:r>
      <w:r>
        <w:rPr>
          <w:spacing w:val="-2"/>
        </w:rPr>
        <w:t xml:space="preserve"> </w:t>
      </w:r>
      <w:r>
        <w:t>full</w:t>
      </w:r>
      <w:r>
        <w:rPr>
          <w:spacing w:val="-2"/>
        </w:rPr>
        <w:t xml:space="preserve"> </w:t>
      </w:r>
      <w:r>
        <w:t>employment</w:t>
      </w:r>
      <w:r>
        <w:rPr>
          <w:spacing w:val="-24"/>
        </w:rPr>
        <w:t>.</w:t>
      </w:r>
      <w:r>
        <w:rPr>
          <w:w w:val="85"/>
        </w:rPr>
        <w:t xml:space="preserve"> </w:t>
      </w:r>
      <w:r>
        <w:t>Similarly,</w:t>
      </w:r>
      <w:r>
        <w:rPr>
          <w:spacing w:val="-2"/>
        </w:rPr>
        <w:t xml:space="preserve"> </w:t>
      </w:r>
      <w:r>
        <w:t>another</w:t>
      </w:r>
      <w:r>
        <w:rPr>
          <w:spacing w:val="-2"/>
        </w:rPr>
        <w:t xml:space="preserve"> </w:t>
      </w:r>
      <w:r>
        <w:t>group of</w:t>
      </w:r>
      <w:r>
        <w:rPr>
          <w:spacing w:val="-1"/>
        </w:rPr>
        <w:t xml:space="preserve"> </w:t>
      </w:r>
      <w:r>
        <w:t>central</w:t>
      </w:r>
      <w:r>
        <w:rPr>
          <w:spacing w:val="-1"/>
        </w:rPr>
        <w:t xml:space="preserve"> </w:t>
      </w:r>
      <w:r>
        <w:t>banks</w:t>
      </w:r>
      <w:r>
        <w:rPr>
          <w:spacing w:val="-1"/>
        </w:rPr>
        <w:t xml:space="preserve"> </w:t>
      </w:r>
      <w:r>
        <w:t>has</w:t>
      </w:r>
      <w:r>
        <w:rPr>
          <w:spacing w:val="-1"/>
        </w:rPr>
        <w:t xml:space="preserve"> </w:t>
      </w:r>
      <w:r>
        <w:t>a</w:t>
      </w:r>
      <w:r>
        <w:rPr>
          <w:spacing w:val="-1"/>
        </w:rPr>
        <w:t xml:space="preserve"> </w:t>
      </w:r>
      <w:r>
        <w:t>subordinate</w:t>
      </w:r>
      <w:r>
        <w:rPr>
          <w:spacing w:val="-1"/>
        </w:rPr>
        <w:t xml:space="preserve"> </w:t>
      </w:r>
      <w:r>
        <w:t>objective</w:t>
      </w:r>
      <w:r>
        <w:rPr>
          <w:spacing w:val="-1"/>
        </w:rPr>
        <w:t xml:space="preserve"> </w:t>
      </w:r>
      <w:r>
        <w:t>to</w:t>
      </w:r>
      <w:r>
        <w:rPr>
          <w:spacing w:val="-1"/>
        </w:rPr>
        <w:t xml:space="preserve"> </w:t>
      </w:r>
      <w:r>
        <w:t>support</w:t>
      </w:r>
      <w:r>
        <w:rPr>
          <w:spacing w:val="-1"/>
        </w:rPr>
        <w:t xml:space="preserve"> </w:t>
      </w:r>
      <w:r>
        <w:t>the</w:t>
      </w:r>
      <w:r>
        <w:rPr>
          <w:spacing w:val="-1"/>
        </w:rPr>
        <w:t xml:space="preserve"> </w:t>
      </w:r>
      <w:r>
        <w:t>economic</w:t>
      </w:r>
      <w:r>
        <w:rPr>
          <w:spacing w:val="-1"/>
        </w:rPr>
        <w:t xml:space="preserve"> </w:t>
      </w:r>
      <w:r>
        <w:t>policies</w:t>
      </w:r>
      <w:r>
        <w:rPr>
          <w:spacing w:val="-1"/>
        </w:rPr>
        <w:t xml:space="preserve"> </w:t>
      </w:r>
      <w:r>
        <w:t>of</w:t>
      </w:r>
      <w:r>
        <w:rPr>
          <w:spacing w:val="-1"/>
        </w:rPr>
        <w:t xml:space="preserve"> </w:t>
      </w:r>
      <w:r>
        <w:t>their</w:t>
      </w:r>
      <w:r>
        <w:rPr>
          <w:spacing w:val="-1"/>
        </w:rPr>
        <w:t xml:space="preserve"> </w:t>
      </w:r>
      <w:r>
        <w:t>government provided</w:t>
      </w:r>
      <w:r>
        <w:rPr>
          <w:spacing w:val="-4"/>
        </w:rPr>
        <w:t xml:space="preserve"> </w:t>
      </w:r>
      <w:r>
        <w:t>that</w:t>
      </w:r>
      <w:r>
        <w:rPr>
          <w:spacing w:val="-4"/>
        </w:rPr>
        <w:t xml:space="preserve"> </w:t>
      </w:r>
      <w:r>
        <w:t>it</w:t>
      </w:r>
      <w:r>
        <w:rPr>
          <w:spacing w:val="-4"/>
        </w:rPr>
        <w:t xml:space="preserve"> </w:t>
      </w:r>
      <w:r>
        <w:t>does</w:t>
      </w:r>
      <w:r>
        <w:rPr>
          <w:spacing w:val="-4"/>
        </w:rPr>
        <w:t xml:space="preserve"> </w:t>
      </w:r>
      <w:r>
        <w:t>not</w:t>
      </w:r>
      <w:r>
        <w:rPr>
          <w:spacing w:val="-4"/>
        </w:rPr>
        <w:t xml:space="preserve"> </w:t>
      </w:r>
      <w:r>
        <w:t>impinge</w:t>
      </w:r>
      <w:r>
        <w:rPr>
          <w:spacing w:val="-4"/>
        </w:rPr>
        <w:t xml:space="preserve"> </w:t>
      </w:r>
      <w:r>
        <w:t>on</w:t>
      </w:r>
      <w:r>
        <w:rPr>
          <w:spacing w:val="-4"/>
        </w:rPr>
        <w:t xml:space="preserve"> </w:t>
      </w:r>
      <w:r>
        <w:t>their</w:t>
      </w:r>
      <w:r>
        <w:rPr>
          <w:spacing w:val="-4"/>
        </w:rPr>
        <w:t xml:space="preserve"> </w:t>
      </w:r>
      <w:r>
        <w:t>objective</w:t>
      </w:r>
      <w:r>
        <w:rPr>
          <w:spacing w:val="-4"/>
        </w:rPr>
        <w:t xml:space="preserve"> </w:t>
      </w:r>
      <w:r>
        <w:t>of</w:t>
      </w:r>
      <w:r>
        <w:rPr>
          <w:spacing w:val="-4"/>
        </w:rPr>
        <w:t xml:space="preserve"> </w:t>
      </w:r>
      <w:r>
        <w:t>price</w:t>
      </w:r>
      <w:r>
        <w:rPr>
          <w:spacing w:val="-4"/>
        </w:rPr>
        <w:t xml:space="preserve"> </w:t>
      </w:r>
      <w:r>
        <w:t>stability.</w:t>
      </w:r>
      <w:r>
        <w:rPr>
          <w:spacing w:val="-4"/>
        </w:rPr>
        <w:t xml:space="preserve"> </w:t>
      </w:r>
      <w:r>
        <w:t>A</w:t>
      </w:r>
      <w:r>
        <w:rPr>
          <w:spacing w:val="-4"/>
        </w:rPr>
        <w:t xml:space="preserve"> </w:t>
      </w:r>
      <w:r>
        <w:t>final</w:t>
      </w:r>
      <w:r>
        <w:rPr>
          <w:spacing w:val="-4"/>
        </w:rPr>
        <w:t xml:space="preserve"> </w:t>
      </w:r>
      <w:r>
        <w:t>group,</w:t>
      </w:r>
      <w:r>
        <w:rPr>
          <w:spacing w:val="-4"/>
        </w:rPr>
        <w:t xml:space="preserve"> </w:t>
      </w:r>
      <w:r>
        <w:t>including</w:t>
      </w:r>
      <w:r>
        <w:rPr>
          <w:spacing w:val="-4"/>
        </w:rPr>
        <w:t xml:space="preserve"> </w:t>
      </w:r>
      <w:r>
        <w:t>the</w:t>
      </w:r>
      <w:r>
        <w:rPr>
          <w:spacing w:val="-4"/>
        </w:rPr>
        <w:t xml:space="preserve"> </w:t>
      </w:r>
      <w:r>
        <w:t>US Federal Reserve and the Reserve Bank of New Zealand, have ‘dual mandates’ where objectives for price stability and full employment are given equal weight</w:t>
      </w:r>
      <w:r>
        <w:rPr>
          <w:spacing w:val="-16"/>
        </w:rPr>
        <w:t>.</w:t>
      </w:r>
    </w:p>
    <w:p w14:paraId="0F2F45F3" w14:textId="675EB31A" w:rsidR="005E5B3C" w:rsidRDefault="005E5B3C" w:rsidP="005E5B3C">
      <w:r>
        <w:t>The</w:t>
      </w:r>
      <w:r>
        <w:rPr>
          <w:spacing w:val="-5"/>
        </w:rPr>
        <w:t xml:space="preserve"> </w:t>
      </w:r>
      <w:r>
        <w:t>RBA’s</w:t>
      </w:r>
      <w:r>
        <w:rPr>
          <w:spacing w:val="-5"/>
        </w:rPr>
        <w:t xml:space="preserve"> </w:t>
      </w:r>
      <w:r>
        <w:t>objectives</w:t>
      </w:r>
      <w:r>
        <w:rPr>
          <w:spacing w:val="-5"/>
        </w:rPr>
        <w:t xml:space="preserve"> </w:t>
      </w:r>
      <w:r>
        <w:t>are</w:t>
      </w:r>
      <w:r>
        <w:rPr>
          <w:spacing w:val="-5"/>
        </w:rPr>
        <w:t xml:space="preserve"> </w:t>
      </w:r>
      <w:r>
        <w:t>unusual</w:t>
      </w:r>
      <w:r>
        <w:rPr>
          <w:spacing w:val="-5"/>
        </w:rPr>
        <w:t xml:space="preserve"> </w:t>
      </w:r>
      <w:r>
        <w:t>in</w:t>
      </w:r>
      <w:r>
        <w:rPr>
          <w:spacing w:val="-5"/>
        </w:rPr>
        <w:t xml:space="preserve"> </w:t>
      </w:r>
      <w:r>
        <w:t>that</w:t>
      </w:r>
      <w:r>
        <w:rPr>
          <w:spacing w:val="-5"/>
        </w:rPr>
        <w:t xml:space="preserve"> </w:t>
      </w:r>
      <w:r>
        <w:t>a</w:t>
      </w:r>
      <w:r>
        <w:rPr>
          <w:spacing w:val="-5"/>
        </w:rPr>
        <w:t xml:space="preserve"> </w:t>
      </w:r>
      <w:r>
        <w:t>duty</w:t>
      </w:r>
      <w:r>
        <w:rPr>
          <w:spacing w:val="-5"/>
        </w:rPr>
        <w:t xml:space="preserve"> </w:t>
      </w:r>
      <w:r>
        <w:t>to</w:t>
      </w:r>
      <w:r>
        <w:rPr>
          <w:spacing w:val="-5"/>
        </w:rPr>
        <w:t xml:space="preserve"> </w:t>
      </w:r>
      <w:r>
        <w:t>contribute</w:t>
      </w:r>
      <w:r>
        <w:rPr>
          <w:spacing w:val="-5"/>
        </w:rPr>
        <w:t xml:space="preserve"> </w:t>
      </w:r>
      <w:r>
        <w:t>to</w:t>
      </w:r>
      <w:r>
        <w:rPr>
          <w:spacing w:val="-5"/>
        </w:rPr>
        <w:t xml:space="preserve"> </w:t>
      </w:r>
      <w:r>
        <w:t>the</w:t>
      </w:r>
      <w:r>
        <w:rPr>
          <w:spacing w:val="-5"/>
        </w:rPr>
        <w:t xml:space="preserve"> </w:t>
      </w:r>
      <w:r>
        <w:t>‘economic</w:t>
      </w:r>
      <w:r>
        <w:rPr>
          <w:spacing w:val="-5"/>
        </w:rPr>
        <w:t xml:space="preserve"> </w:t>
      </w:r>
      <w:r>
        <w:t>prosperity</w:t>
      </w:r>
      <w:r>
        <w:rPr>
          <w:spacing w:val="-5"/>
        </w:rPr>
        <w:t xml:space="preserve"> </w:t>
      </w:r>
      <w:r>
        <w:t>and</w:t>
      </w:r>
      <w:r>
        <w:rPr>
          <w:spacing w:val="-5"/>
        </w:rPr>
        <w:t xml:space="preserve"> </w:t>
      </w:r>
      <w:r>
        <w:t>welfare of the people of Australia’ sits alongside the objectives for price stability and full employment</w:t>
      </w:r>
      <w:r>
        <w:rPr>
          <w:spacing w:val="-20"/>
        </w:rPr>
        <w:t>.</w:t>
      </w:r>
      <w:r>
        <w:rPr>
          <w:w w:val="85"/>
        </w:rPr>
        <w:t xml:space="preserve"> </w:t>
      </w:r>
      <w:r>
        <w:t>A number</w:t>
      </w:r>
      <w:r>
        <w:rPr>
          <w:spacing w:val="-3"/>
        </w:rPr>
        <w:t xml:space="preserve"> </w:t>
      </w:r>
      <w:r>
        <w:t>of</w:t>
      </w:r>
      <w:r>
        <w:rPr>
          <w:spacing w:val="-3"/>
        </w:rPr>
        <w:t xml:space="preserve"> </w:t>
      </w:r>
      <w:r>
        <w:t>other</w:t>
      </w:r>
      <w:r>
        <w:rPr>
          <w:spacing w:val="-3"/>
        </w:rPr>
        <w:t xml:space="preserve"> </w:t>
      </w:r>
      <w:r>
        <w:t>central</w:t>
      </w:r>
      <w:r>
        <w:rPr>
          <w:spacing w:val="-3"/>
        </w:rPr>
        <w:t xml:space="preserve"> </w:t>
      </w:r>
      <w:r>
        <w:t>banks</w:t>
      </w:r>
      <w:r>
        <w:rPr>
          <w:spacing w:val="-3"/>
        </w:rPr>
        <w:t xml:space="preserve"> </w:t>
      </w:r>
      <w:r>
        <w:t>have</w:t>
      </w:r>
      <w:r>
        <w:rPr>
          <w:spacing w:val="-3"/>
        </w:rPr>
        <w:t xml:space="preserve"> </w:t>
      </w:r>
      <w:r>
        <w:t>a</w:t>
      </w:r>
      <w:r>
        <w:rPr>
          <w:spacing w:val="-3"/>
        </w:rPr>
        <w:t xml:space="preserve"> </w:t>
      </w:r>
      <w:r>
        <w:t>broad</w:t>
      </w:r>
      <w:r>
        <w:rPr>
          <w:spacing w:val="-3"/>
        </w:rPr>
        <w:t xml:space="preserve"> </w:t>
      </w:r>
      <w:r>
        <w:t>objective</w:t>
      </w:r>
      <w:r>
        <w:rPr>
          <w:spacing w:val="-3"/>
        </w:rPr>
        <w:t xml:space="preserve"> </w:t>
      </w:r>
      <w:r>
        <w:t>to</w:t>
      </w:r>
      <w:r>
        <w:rPr>
          <w:spacing w:val="-3"/>
        </w:rPr>
        <w:t xml:space="preserve"> </w:t>
      </w:r>
      <w:r>
        <w:t>contribute</w:t>
      </w:r>
      <w:r>
        <w:rPr>
          <w:spacing w:val="-3"/>
        </w:rPr>
        <w:t xml:space="preserve"> </w:t>
      </w:r>
      <w:r>
        <w:t>to</w:t>
      </w:r>
      <w:r>
        <w:rPr>
          <w:spacing w:val="-3"/>
        </w:rPr>
        <w:t xml:space="preserve"> </w:t>
      </w:r>
      <w:r>
        <w:t>their</w:t>
      </w:r>
      <w:r>
        <w:rPr>
          <w:spacing w:val="-3"/>
        </w:rPr>
        <w:t xml:space="preserve"> </w:t>
      </w:r>
      <w:r>
        <w:t>nation’s</w:t>
      </w:r>
      <w:r>
        <w:rPr>
          <w:spacing w:val="-3"/>
        </w:rPr>
        <w:t xml:space="preserve"> </w:t>
      </w:r>
      <w:r>
        <w:t>welfare,</w:t>
      </w:r>
      <w:r>
        <w:rPr>
          <w:spacing w:val="-3"/>
        </w:rPr>
        <w:t xml:space="preserve"> </w:t>
      </w:r>
      <w:r>
        <w:t>but</w:t>
      </w:r>
      <w:r>
        <w:rPr>
          <w:spacing w:val="-3"/>
        </w:rPr>
        <w:t xml:space="preserve"> </w:t>
      </w:r>
      <w:r>
        <w:t>it</w:t>
      </w:r>
      <w:r>
        <w:rPr>
          <w:spacing w:val="-3"/>
        </w:rPr>
        <w:t xml:space="preserve"> </w:t>
      </w:r>
      <w:r>
        <w:t>is positioned as an overarching purpose for monetary policy, that is, monetary policy delivers on this overarching purpose by pursuing price stability and maximum employment</w:t>
      </w:r>
      <w:r>
        <w:rPr>
          <w:spacing w:val="-17"/>
        </w:rPr>
        <w:t>.</w:t>
      </w:r>
    </w:p>
    <w:p w14:paraId="16B32D61" w14:textId="220B950D" w:rsidR="005E5B3C" w:rsidRDefault="005E5B3C" w:rsidP="005E5B3C">
      <w:r>
        <w:lastRenderedPageBreak/>
        <w:t>Inflation targeting is nearly universal as the operational framework used by central banks in</w:t>
      </w:r>
      <w:r>
        <w:rPr>
          <w:spacing w:val="-1"/>
        </w:rPr>
        <w:t xml:space="preserve"> </w:t>
      </w:r>
      <w:r>
        <w:t>comparable</w:t>
      </w:r>
      <w:r>
        <w:rPr>
          <w:spacing w:val="1"/>
        </w:rPr>
        <w:t xml:space="preserve"> </w:t>
      </w:r>
      <w:r>
        <w:t>economies</w:t>
      </w:r>
      <w:r>
        <w:rPr>
          <w:spacing w:val="1"/>
        </w:rPr>
        <w:t xml:space="preserve"> </w:t>
      </w:r>
      <w:r>
        <w:t>to</w:t>
      </w:r>
      <w:r>
        <w:rPr>
          <w:spacing w:val="1"/>
        </w:rPr>
        <w:t xml:space="preserve"> </w:t>
      </w:r>
      <w:r>
        <w:t>meet</w:t>
      </w:r>
      <w:r>
        <w:rPr>
          <w:spacing w:val="1"/>
        </w:rPr>
        <w:t xml:space="preserve"> </w:t>
      </w:r>
      <w:r>
        <w:t>their</w:t>
      </w:r>
      <w:r>
        <w:rPr>
          <w:spacing w:val="2"/>
        </w:rPr>
        <w:t xml:space="preserve"> </w:t>
      </w:r>
      <w:r>
        <w:t>objectives.</w:t>
      </w:r>
      <w:r>
        <w:rPr>
          <w:spacing w:val="1"/>
        </w:rPr>
        <w:t xml:space="preserve"> </w:t>
      </w:r>
      <w:r>
        <w:t>However,</w:t>
      </w:r>
      <w:r>
        <w:rPr>
          <w:spacing w:val="1"/>
        </w:rPr>
        <w:t xml:space="preserve"> </w:t>
      </w:r>
      <w:r>
        <w:t>inflation</w:t>
      </w:r>
      <w:r>
        <w:rPr>
          <w:spacing w:val="1"/>
        </w:rPr>
        <w:t xml:space="preserve"> </w:t>
      </w:r>
      <w:r>
        <w:t>targets</w:t>
      </w:r>
      <w:r>
        <w:rPr>
          <w:spacing w:val="1"/>
        </w:rPr>
        <w:t xml:space="preserve"> </w:t>
      </w:r>
      <w:r>
        <w:t>vary</w:t>
      </w:r>
      <w:r>
        <w:rPr>
          <w:spacing w:val="1"/>
        </w:rPr>
        <w:t xml:space="preserve"> </w:t>
      </w:r>
      <w:r>
        <w:t>in</w:t>
      </w:r>
      <w:r>
        <w:rPr>
          <w:spacing w:val="2"/>
        </w:rPr>
        <w:t xml:space="preserve"> </w:t>
      </w:r>
      <w:r>
        <w:rPr>
          <w:spacing w:val="-2"/>
        </w:rPr>
        <w:t xml:space="preserve">their </w:t>
      </w:r>
      <w:r>
        <w:t>specifications. Australia’s inflation target is at the more flexible end of these and sets a slightly higher target level of inflation. A few central banks, such as the Reserve Bank of New Zealand and the</w:t>
      </w:r>
      <w:r>
        <w:rPr>
          <w:spacing w:val="-1"/>
        </w:rPr>
        <w:t xml:space="preserve"> </w:t>
      </w:r>
      <w:r>
        <w:t>Bank</w:t>
      </w:r>
      <w:r>
        <w:rPr>
          <w:spacing w:val="-1"/>
        </w:rPr>
        <w:t xml:space="preserve"> </w:t>
      </w:r>
      <w:r>
        <w:t>of</w:t>
      </w:r>
      <w:r>
        <w:rPr>
          <w:spacing w:val="-1"/>
        </w:rPr>
        <w:t xml:space="preserve"> </w:t>
      </w:r>
      <w:r>
        <w:t>Canada,</w:t>
      </w:r>
      <w:r>
        <w:rPr>
          <w:spacing w:val="-1"/>
        </w:rPr>
        <w:t xml:space="preserve"> </w:t>
      </w:r>
      <w:r>
        <w:t>set</w:t>
      </w:r>
      <w:r>
        <w:rPr>
          <w:spacing w:val="-1"/>
        </w:rPr>
        <w:t xml:space="preserve"> </w:t>
      </w:r>
      <w:r>
        <w:t>a</w:t>
      </w:r>
      <w:r>
        <w:rPr>
          <w:spacing w:val="-1"/>
        </w:rPr>
        <w:t xml:space="preserve"> </w:t>
      </w:r>
      <w:r>
        <w:t>wider</w:t>
      </w:r>
      <w:r>
        <w:rPr>
          <w:spacing w:val="-1"/>
        </w:rPr>
        <w:t xml:space="preserve"> </w:t>
      </w:r>
      <w:r>
        <w:t>range</w:t>
      </w:r>
      <w:r>
        <w:rPr>
          <w:spacing w:val="-1"/>
        </w:rPr>
        <w:t xml:space="preserve"> </w:t>
      </w:r>
      <w:r>
        <w:t>of</w:t>
      </w:r>
      <w:r>
        <w:rPr>
          <w:spacing w:val="-1"/>
        </w:rPr>
        <w:t xml:space="preserve"> </w:t>
      </w:r>
      <w:r>
        <w:t>1-3</w:t>
      </w:r>
      <w:r>
        <w:rPr>
          <w:spacing w:val="-1"/>
        </w:rPr>
        <w:t xml:space="preserve"> </w:t>
      </w:r>
      <w:r>
        <w:t>per</w:t>
      </w:r>
      <w:r>
        <w:rPr>
          <w:spacing w:val="-1"/>
        </w:rPr>
        <w:t xml:space="preserve"> </w:t>
      </w:r>
      <w:r>
        <w:t>cent</w:t>
      </w:r>
      <w:r>
        <w:rPr>
          <w:spacing w:val="-1"/>
        </w:rPr>
        <w:t xml:space="preserve"> </w:t>
      </w:r>
      <w:r>
        <w:t>for</w:t>
      </w:r>
      <w:r>
        <w:rPr>
          <w:spacing w:val="-1"/>
        </w:rPr>
        <w:t xml:space="preserve"> </w:t>
      </w:r>
      <w:r>
        <w:t>their</w:t>
      </w:r>
      <w:r>
        <w:rPr>
          <w:spacing w:val="-1"/>
        </w:rPr>
        <w:t xml:space="preserve"> </w:t>
      </w:r>
      <w:r>
        <w:t>target</w:t>
      </w:r>
      <w:r>
        <w:rPr>
          <w:spacing w:val="-1"/>
        </w:rPr>
        <w:t xml:space="preserve"> </w:t>
      </w:r>
      <w:r>
        <w:t>while</w:t>
      </w:r>
      <w:r>
        <w:rPr>
          <w:spacing w:val="-1"/>
        </w:rPr>
        <w:t xml:space="preserve"> </w:t>
      </w:r>
      <w:r>
        <w:t>emphasising</w:t>
      </w:r>
      <w:r>
        <w:rPr>
          <w:spacing w:val="-1"/>
        </w:rPr>
        <w:t xml:space="preserve"> </w:t>
      </w:r>
      <w:r>
        <w:t>the</w:t>
      </w:r>
      <w:r>
        <w:rPr>
          <w:spacing w:val="-1"/>
        </w:rPr>
        <w:t xml:space="preserve"> </w:t>
      </w:r>
      <w:r>
        <w:t>2</w:t>
      </w:r>
      <w:r>
        <w:rPr>
          <w:spacing w:val="-1"/>
        </w:rPr>
        <w:t xml:space="preserve"> </w:t>
      </w:r>
      <w:r>
        <w:t>per cent midpoint. Other central banks, such as the European Central Bank and the Bank of Korea, set a point target of 2 per cent. The RBA, like most central banks overseas, targets a measure of inflation based on a consumer price index.</w:t>
      </w:r>
    </w:p>
    <w:p w14:paraId="2D57F998" w14:textId="2E69BB01" w:rsidR="005E5B3C" w:rsidRDefault="005E5B3C" w:rsidP="005E5B3C">
      <w:r>
        <w:t>A number of central banks overseas have undertaken reviews of their monetary policy framework</w:t>
      </w:r>
      <w:r>
        <w:rPr>
          <w:spacing w:val="80"/>
        </w:rPr>
        <w:t xml:space="preserve"> </w:t>
      </w:r>
      <w:r>
        <w:t>in recent years</w:t>
      </w:r>
      <w:r>
        <w:rPr>
          <w:spacing w:val="-21"/>
        </w:rPr>
        <w:t>.</w:t>
      </w:r>
      <w:r>
        <w:rPr>
          <w:w w:val="85"/>
        </w:rPr>
        <w:t xml:space="preserve"> </w:t>
      </w:r>
      <w:r>
        <w:t>They considered similar alternative frameworks to those considered by this Review (see Appendix 2 for a description of the alternative frameworks considered)</w:t>
      </w:r>
      <w:r>
        <w:rPr>
          <w:spacing w:val="-18"/>
        </w:rPr>
        <w:t>.</w:t>
      </w:r>
      <w:r>
        <w:rPr>
          <w:w w:val="85"/>
        </w:rPr>
        <w:t xml:space="preserve"> </w:t>
      </w:r>
      <w:r>
        <w:t>They assessed those alternatives based on criteria like how well the framework would stabilise inflation and the real economy,</w:t>
      </w:r>
      <w:r>
        <w:rPr>
          <w:spacing w:val="-1"/>
        </w:rPr>
        <w:t xml:space="preserve"> </w:t>
      </w:r>
      <w:r>
        <w:t>how</w:t>
      </w:r>
      <w:r>
        <w:rPr>
          <w:spacing w:val="-1"/>
        </w:rPr>
        <w:t xml:space="preserve"> </w:t>
      </w:r>
      <w:r>
        <w:t>well</w:t>
      </w:r>
      <w:r>
        <w:rPr>
          <w:spacing w:val="-1"/>
        </w:rPr>
        <w:t xml:space="preserve"> </w:t>
      </w:r>
      <w:r>
        <w:t>it</w:t>
      </w:r>
      <w:r>
        <w:rPr>
          <w:spacing w:val="-1"/>
        </w:rPr>
        <w:t xml:space="preserve"> </w:t>
      </w:r>
      <w:r>
        <w:t>would</w:t>
      </w:r>
      <w:r>
        <w:rPr>
          <w:spacing w:val="-1"/>
        </w:rPr>
        <w:t xml:space="preserve"> </w:t>
      </w:r>
      <w:r>
        <w:t>be</w:t>
      </w:r>
      <w:r>
        <w:rPr>
          <w:spacing w:val="-1"/>
        </w:rPr>
        <w:t xml:space="preserve"> </w:t>
      </w:r>
      <w:r>
        <w:t>understood</w:t>
      </w:r>
      <w:r>
        <w:rPr>
          <w:spacing w:val="-1"/>
        </w:rPr>
        <w:t xml:space="preserve"> </w:t>
      </w:r>
      <w:r>
        <w:t>and</w:t>
      </w:r>
      <w:r>
        <w:rPr>
          <w:spacing w:val="-1"/>
        </w:rPr>
        <w:t xml:space="preserve"> </w:t>
      </w:r>
      <w:r>
        <w:t>the</w:t>
      </w:r>
      <w:r>
        <w:rPr>
          <w:spacing w:val="-1"/>
        </w:rPr>
        <w:t xml:space="preserve"> </w:t>
      </w:r>
      <w:r>
        <w:t>potential</w:t>
      </w:r>
      <w:r>
        <w:rPr>
          <w:spacing w:val="-1"/>
        </w:rPr>
        <w:t xml:space="preserve"> </w:t>
      </w:r>
      <w:r>
        <w:t>implications</w:t>
      </w:r>
      <w:r>
        <w:rPr>
          <w:spacing w:val="-1"/>
        </w:rPr>
        <w:t xml:space="preserve"> </w:t>
      </w:r>
      <w:r>
        <w:t>for</w:t>
      </w:r>
      <w:r>
        <w:rPr>
          <w:spacing w:val="-1"/>
        </w:rPr>
        <w:t xml:space="preserve"> </w:t>
      </w:r>
      <w:r>
        <w:t>financial</w:t>
      </w:r>
      <w:r>
        <w:rPr>
          <w:spacing w:val="-1"/>
        </w:rPr>
        <w:t xml:space="preserve"> </w:t>
      </w:r>
      <w:r>
        <w:t>stability.</w:t>
      </w:r>
      <w:r>
        <w:rPr>
          <w:spacing w:val="-1"/>
        </w:rPr>
        <w:t xml:space="preserve"> </w:t>
      </w:r>
      <w:r>
        <w:t>In</w:t>
      </w:r>
      <w:r>
        <w:rPr>
          <w:spacing w:val="-1"/>
        </w:rPr>
        <w:t xml:space="preserve"> </w:t>
      </w:r>
      <w:r>
        <w:t>all cases, these reviews recommended that the central bank continue with an inflation target. Several of these reviews recommended a greater emphasis on the central bank’s employment mandate</w:t>
      </w:r>
      <w:r>
        <w:rPr>
          <w:spacing w:val="-19"/>
        </w:rPr>
        <w:t>.</w:t>
      </w:r>
      <w:r w:rsidR="00B32B33">
        <w:t xml:space="preserve"> </w:t>
      </w:r>
      <w:r>
        <w:t>Other particularly notable outcomes were the US Federal Reserve’s change before the pandemic to an average inflation target that seeks to offset periods of low inflation with a subsequent period of ‘over-shooting’</w:t>
      </w:r>
      <w:r>
        <w:rPr>
          <w:spacing w:val="-1"/>
        </w:rPr>
        <w:t xml:space="preserve"> </w:t>
      </w:r>
      <w:r>
        <w:t>the</w:t>
      </w:r>
      <w:r>
        <w:rPr>
          <w:spacing w:val="-1"/>
        </w:rPr>
        <w:t xml:space="preserve"> </w:t>
      </w:r>
      <w:r>
        <w:t>target;</w:t>
      </w:r>
      <w:r>
        <w:rPr>
          <w:spacing w:val="-1"/>
        </w:rPr>
        <w:t xml:space="preserve"> </w:t>
      </w:r>
      <w:r>
        <w:t>and</w:t>
      </w:r>
      <w:r>
        <w:rPr>
          <w:spacing w:val="-1"/>
        </w:rPr>
        <w:t xml:space="preserve"> </w:t>
      </w:r>
      <w:r>
        <w:t>the</w:t>
      </w:r>
      <w:r>
        <w:rPr>
          <w:spacing w:val="-1"/>
        </w:rPr>
        <w:t xml:space="preserve"> </w:t>
      </w:r>
      <w:r>
        <w:t>European</w:t>
      </w:r>
      <w:r>
        <w:rPr>
          <w:spacing w:val="-1"/>
        </w:rPr>
        <w:t xml:space="preserve"> </w:t>
      </w:r>
      <w:r>
        <w:t>Central</w:t>
      </w:r>
      <w:r>
        <w:rPr>
          <w:spacing w:val="-1"/>
        </w:rPr>
        <w:t xml:space="preserve"> </w:t>
      </w:r>
      <w:r>
        <w:t>Bank’s</w:t>
      </w:r>
      <w:r>
        <w:rPr>
          <w:spacing w:val="-1"/>
        </w:rPr>
        <w:t xml:space="preserve"> </w:t>
      </w:r>
      <w:r>
        <w:t>move</w:t>
      </w:r>
      <w:r>
        <w:rPr>
          <w:spacing w:val="-1"/>
        </w:rPr>
        <w:t xml:space="preserve"> </w:t>
      </w:r>
      <w:r>
        <w:t>to</w:t>
      </w:r>
      <w:r>
        <w:rPr>
          <w:spacing w:val="-1"/>
        </w:rPr>
        <w:t xml:space="preserve"> </w:t>
      </w:r>
      <w:r>
        <w:t>a</w:t>
      </w:r>
      <w:r>
        <w:rPr>
          <w:spacing w:val="-1"/>
        </w:rPr>
        <w:t xml:space="preserve"> </w:t>
      </w:r>
      <w:r>
        <w:t>symmetric</w:t>
      </w:r>
      <w:r>
        <w:rPr>
          <w:spacing w:val="-1"/>
        </w:rPr>
        <w:t xml:space="preserve"> </w:t>
      </w:r>
      <w:r>
        <w:t>2</w:t>
      </w:r>
      <w:r>
        <w:rPr>
          <w:spacing w:val="-1"/>
        </w:rPr>
        <w:t xml:space="preserve"> </w:t>
      </w:r>
      <w:r>
        <w:t>per</w:t>
      </w:r>
      <w:r>
        <w:rPr>
          <w:spacing w:val="-1"/>
        </w:rPr>
        <w:t xml:space="preserve"> </w:t>
      </w:r>
      <w:r>
        <w:t>cent</w:t>
      </w:r>
      <w:r>
        <w:rPr>
          <w:spacing w:val="-1"/>
        </w:rPr>
        <w:t xml:space="preserve"> </w:t>
      </w:r>
      <w:r>
        <w:t>inflation target which gives deviations above and below the target equal consideration in policy setting</w:t>
      </w:r>
      <w:r>
        <w:rPr>
          <w:spacing w:val="-18"/>
        </w:rPr>
        <w:t>.</w:t>
      </w:r>
    </w:p>
    <w:p w14:paraId="426B0A2E" w14:textId="77777777" w:rsidR="00B5100B" w:rsidRDefault="005E5B3C" w:rsidP="005E5B3C">
      <w:pPr>
        <w:rPr>
          <w:spacing w:val="-10"/>
        </w:rPr>
      </w:pPr>
      <w:r>
        <w:t>There is also a variety of approaches overseas to managing macroprudential policy and regulation of the financial system. Some central banks are also the prudential regulator and hold macroprudential powers</w:t>
      </w:r>
      <w:r>
        <w:rPr>
          <w:spacing w:val="-16"/>
        </w:rPr>
        <w:t>.</w:t>
      </w:r>
      <w:r>
        <w:rPr>
          <w:w w:val="85"/>
        </w:rPr>
        <w:t xml:space="preserve"> </w:t>
      </w:r>
      <w:r>
        <w:t>In other countries there are separate institutions with arrangements for how they interact. Australia’s coordination arrangements between financial regulators are comparatively informal compared to its peers</w:t>
      </w:r>
      <w:r>
        <w:rPr>
          <w:spacing w:val="-10"/>
        </w:rPr>
        <w:t>.</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FD4B77" w:rsidRPr="00FD4B77" w14:paraId="3C82FB79" w14:textId="77777777" w:rsidTr="00FD4B77">
        <w:tc>
          <w:tcPr>
            <w:tcW w:w="5000" w:type="pct"/>
            <w:shd w:val="clear" w:color="auto" w:fill="F9EEDB" w:themeFill="accent6"/>
          </w:tcPr>
          <w:p w14:paraId="74A01D0E" w14:textId="77777777" w:rsidR="00FD4B77" w:rsidRDefault="00FD4B77" w:rsidP="00FD4B77">
            <w:pPr>
              <w:pStyle w:val="BoxHeading"/>
            </w:pPr>
            <w:r w:rsidRPr="00FD4B77">
              <w:lastRenderedPageBreak/>
              <w:t>Box 2.2: Economic trends and the implications for monetary policy</w:t>
            </w:r>
          </w:p>
          <w:p w14:paraId="1CEBF2B6" w14:textId="76891C82" w:rsidR="004F6D01" w:rsidRPr="00C20840" w:rsidRDefault="004F6D01" w:rsidP="00C20840">
            <w:pPr>
              <w:pStyle w:val="BoxText"/>
            </w:pPr>
            <w:r w:rsidRPr="00C20840">
              <w:t>Monetary policymakers are operating in an increasingly complex environment</w:t>
            </w:r>
            <w:r w:rsidR="00D92F8F">
              <w:t>.</w:t>
            </w:r>
            <w:r w:rsidRPr="00C20840">
              <w:t xml:space="preserve"> The challenges</w:t>
            </w:r>
            <w:r w:rsidR="00C20840" w:rsidRPr="00C20840">
              <w:t xml:space="preserve"> </w:t>
            </w:r>
            <w:r w:rsidRPr="00C20840">
              <w:t>that have arisen since the COVID-19 pandemic are a testimony to this, with inflation globally at a decades-long high</w:t>
            </w:r>
            <w:r w:rsidR="00D92F8F">
              <w:t>.</w:t>
            </w:r>
            <w:r w:rsidRPr="00C20840">
              <w:t xml:space="preserve"> Geopolitical risks are heightened, and climate change and the global response add to economic uncertainty</w:t>
            </w:r>
            <w:r w:rsidR="00D92F8F">
              <w:t>.</w:t>
            </w:r>
            <w:r w:rsidRPr="00C20840">
              <w:t xml:space="preserve"> While the RBA’s monetary policy framework has performed well since the 1990s (Chapter 1), the Review is tasked with assessing whether that framework remains suitable in a changing environment</w:t>
            </w:r>
            <w:r w:rsidR="00D92F8F">
              <w:t>.</w:t>
            </w:r>
          </w:p>
          <w:p w14:paraId="22CAED30" w14:textId="00AB0E89" w:rsidR="004F6D01" w:rsidRPr="00B37090" w:rsidRDefault="004F6D01" w:rsidP="00C20840">
            <w:pPr>
              <w:pStyle w:val="BoxText"/>
              <w:rPr>
                <w:rFonts w:cs="Calibri Light"/>
              </w:rPr>
            </w:pPr>
            <w:r>
              <w:t>Based</w:t>
            </w:r>
            <w:r>
              <w:rPr>
                <w:spacing w:val="-2"/>
              </w:rPr>
              <w:t xml:space="preserve"> </w:t>
            </w:r>
            <w:r>
              <w:t>on</w:t>
            </w:r>
            <w:r>
              <w:rPr>
                <w:spacing w:val="-2"/>
              </w:rPr>
              <w:t xml:space="preserve"> </w:t>
            </w:r>
            <w:r>
              <w:t>expert</w:t>
            </w:r>
            <w:r>
              <w:rPr>
                <w:spacing w:val="-2"/>
              </w:rPr>
              <w:t xml:space="preserve"> </w:t>
            </w:r>
            <w:r>
              <w:t>commentary</w:t>
            </w:r>
            <w:r>
              <w:rPr>
                <w:spacing w:val="-2"/>
              </w:rPr>
              <w:t xml:space="preserve"> </w:t>
            </w:r>
            <w:r>
              <w:t>and</w:t>
            </w:r>
            <w:r>
              <w:rPr>
                <w:spacing w:val="-2"/>
              </w:rPr>
              <w:t xml:space="preserve"> </w:t>
            </w:r>
            <w:r>
              <w:t>the</w:t>
            </w:r>
            <w:r>
              <w:rPr>
                <w:spacing w:val="-2"/>
              </w:rPr>
              <w:t xml:space="preserve"> </w:t>
            </w:r>
            <w:r>
              <w:t>Review’s</w:t>
            </w:r>
            <w:r>
              <w:rPr>
                <w:spacing w:val="-2"/>
              </w:rPr>
              <w:t xml:space="preserve"> </w:t>
            </w:r>
            <w:r>
              <w:t>consultations,</w:t>
            </w:r>
            <w:r>
              <w:rPr>
                <w:spacing w:val="-2"/>
              </w:rPr>
              <w:t xml:space="preserve"> </w:t>
            </w:r>
            <w:r>
              <w:t>there</w:t>
            </w:r>
            <w:r>
              <w:rPr>
                <w:spacing w:val="-2"/>
              </w:rPr>
              <w:t xml:space="preserve"> </w:t>
            </w:r>
            <w:r>
              <w:t>are</w:t>
            </w:r>
            <w:r>
              <w:rPr>
                <w:spacing w:val="-2"/>
              </w:rPr>
              <w:t xml:space="preserve"> </w:t>
            </w:r>
            <w:r>
              <w:t>4</w:t>
            </w:r>
            <w:r>
              <w:rPr>
                <w:spacing w:val="-2"/>
              </w:rPr>
              <w:t xml:space="preserve"> </w:t>
            </w:r>
            <w:r>
              <w:t>longer</w:t>
            </w:r>
            <w:r>
              <w:rPr>
                <w:spacing w:val="-2"/>
              </w:rPr>
              <w:t xml:space="preserve"> </w:t>
            </w:r>
            <w:r>
              <w:t>term</w:t>
            </w:r>
            <w:r>
              <w:rPr>
                <w:spacing w:val="-2"/>
              </w:rPr>
              <w:t xml:space="preserve"> </w:t>
            </w:r>
            <w:r>
              <w:t xml:space="preserve">trends </w:t>
            </w:r>
            <w:r w:rsidRPr="00B37090">
              <w:rPr>
                <w:rFonts w:cs="Calibri Light"/>
              </w:rPr>
              <w:t>that are particularly relevant to monetary policy</w:t>
            </w:r>
            <w:r w:rsidR="00D92F8F">
              <w:rPr>
                <w:rFonts w:cs="Calibri Light"/>
                <w:spacing w:val="-22"/>
              </w:rPr>
              <w:t>.</w:t>
            </w:r>
            <w:r w:rsidRPr="00B37090">
              <w:rPr>
                <w:rFonts w:cs="Calibri Light"/>
                <w:w w:val="85"/>
              </w:rPr>
              <w:t xml:space="preserve"> </w:t>
            </w:r>
            <w:r w:rsidRPr="00B37090">
              <w:rPr>
                <w:rFonts w:cs="Calibri Light"/>
              </w:rPr>
              <w:t>These are domestic and international, both being relevant given Australia’s high level of integration with the global economy</w:t>
            </w:r>
            <w:r w:rsidR="00D92F8F">
              <w:rPr>
                <w:rFonts w:cs="Calibri Light"/>
                <w:spacing w:val="-19"/>
              </w:rPr>
              <w:t>.</w:t>
            </w:r>
          </w:p>
          <w:p w14:paraId="5DF9FF56" w14:textId="57F63322" w:rsidR="004F6D01" w:rsidRPr="00B37090" w:rsidRDefault="004F6D01" w:rsidP="00C20840">
            <w:pPr>
              <w:pStyle w:val="BoxText"/>
              <w:rPr>
                <w:rFonts w:cs="Calibri Light"/>
              </w:rPr>
            </w:pPr>
            <w:r w:rsidRPr="00B37090">
              <w:rPr>
                <w:rFonts w:cs="Calibri Light"/>
                <w:b/>
              </w:rPr>
              <w:t xml:space="preserve">Changes in trade and globalisation: </w:t>
            </w:r>
            <w:r w:rsidRPr="00B37090">
              <w:rPr>
                <w:rFonts w:cs="Calibri Light"/>
              </w:rPr>
              <w:t>In recent decades, economic growth has been supported by growth in global trade and financial flows. This trend will likely provide less support for growth in the period ahead, as barriers to free trade have become more common (Schnabel 2022; Gopinath 2022)</w:t>
            </w:r>
            <w:r w:rsidR="00D92F8F">
              <w:rPr>
                <w:rFonts w:cs="Calibri Light"/>
                <w:spacing w:val="-18"/>
              </w:rPr>
              <w:t>.</w:t>
            </w:r>
            <w:r w:rsidRPr="00B37090">
              <w:rPr>
                <w:rFonts w:cs="Calibri Light"/>
                <w:w w:val="85"/>
              </w:rPr>
              <w:t xml:space="preserve"> </w:t>
            </w:r>
            <w:r w:rsidRPr="00B37090">
              <w:rPr>
                <w:rFonts w:cs="Calibri Light"/>
              </w:rPr>
              <w:t>Disruptions during the pandemic and trade sanctions as geopolitical tensions rise have shown vulnerabilities in global supply chains and raised the prospect that firms and countries will increasingly prioritise supply security over lower costs (IMF 2022). The implication is that this source of economic growth and disinflationary force may be dissipating</w:t>
            </w:r>
            <w:r w:rsidR="00D92F8F">
              <w:rPr>
                <w:rFonts w:cs="Calibri Light"/>
                <w:spacing w:val="-11"/>
              </w:rPr>
              <w:t>.</w:t>
            </w:r>
          </w:p>
          <w:p w14:paraId="5AC56939" w14:textId="555F865C" w:rsidR="004F6D01" w:rsidRPr="00B37090" w:rsidRDefault="004F6D01" w:rsidP="00C20840">
            <w:pPr>
              <w:pStyle w:val="BoxText"/>
              <w:rPr>
                <w:rFonts w:cs="Calibri Light"/>
              </w:rPr>
            </w:pPr>
            <w:r w:rsidRPr="00B37090">
              <w:rPr>
                <w:rFonts w:cs="Calibri Light"/>
                <w:b/>
              </w:rPr>
              <w:t xml:space="preserve">Climate change: </w:t>
            </w:r>
            <w:r w:rsidRPr="00B37090">
              <w:rPr>
                <w:rFonts w:cs="Calibri Light"/>
              </w:rPr>
              <w:t>Climate change is resulting in more frequent disruptions to the economy, particularly for food and commodities (Schnabel 2022; Gopinath 2022)</w:t>
            </w:r>
            <w:r w:rsidR="00D92F8F">
              <w:rPr>
                <w:rFonts w:cs="Calibri Light"/>
                <w:spacing w:val="-19"/>
              </w:rPr>
              <w:t>.</w:t>
            </w:r>
            <w:r w:rsidRPr="00B37090">
              <w:rPr>
                <w:rFonts w:cs="Calibri Light"/>
                <w:w w:val="85"/>
              </w:rPr>
              <w:t xml:space="preserve"> </w:t>
            </w:r>
            <w:r w:rsidRPr="00B37090">
              <w:rPr>
                <w:rFonts w:cs="Calibri Light"/>
              </w:rPr>
              <w:t>There are risks to the transition to carbon-neutral economies, including effectively investing funds to adapt</w:t>
            </w:r>
            <w:r w:rsidRPr="00B37090">
              <w:rPr>
                <w:rFonts w:cs="Calibri Light"/>
                <w:spacing w:val="80"/>
              </w:rPr>
              <w:t xml:space="preserve"> </w:t>
            </w:r>
            <w:r w:rsidRPr="00B37090">
              <w:rPr>
                <w:rFonts w:cs="Calibri Light"/>
              </w:rPr>
              <w:t>the capital stock, managing the impact of structural economic changes on communities and industries, and volatile commodity prices (particularly energy)</w:t>
            </w:r>
            <w:r w:rsidR="00D92F8F">
              <w:rPr>
                <w:rFonts w:cs="Calibri Light"/>
                <w:spacing w:val="-15"/>
              </w:rPr>
              <w:t>.</w:t>
            </w:r>
            <w:r w:rsidRPr="00B37090">
              <w:rPr>
                <w:rFonts w:cs="Calibri Light"/>
              </w:rPr>
              <w:t xml:space="preserve"> There are concerns about</w:t>
            </w:r>
            <w:r w:rsidRPr="00B37090">
              <w:rPr>
                <w:rFonts w:cs="Calibri Light"/>
                <w:spacing w:val="80"/>
              </w:rPr>
              <w:t xml:space="preserve"> </w:t>
            </w:r>
            <w:r w:rsidRPr="00B37090">
              <w:rPr>
                <w:rFonts w:cs="Calibri Light"/>
              </w:rPr>
              <w:t>the implications of a disorderly transition, should it occur, which would cause frequent disruptions across the economy</w:t>
            </w:r>
            <w:r w:rsidR="00D92F8F">
              <w:rPr>
                <w:rFonts w:cs="Calibri Light"/>
                <w:spacing w:val="-9"/>
              </w:rPr>
              <w:t>.</w:t>
            </w:r>
          </w:p>
          <w:p w14:paraId="2FF9CF00" w14:textId="2418B14A" w:rsidR="00FD4B77" w:rsidRPr="00B37090" w:rsidRDefault="004F6D01" w:rsidP="00C20840">
            <w:pPr>
              <w:pStyle w:val="BoxText"/>
              <w:rPr>
                <w:rFonts w:cs="Calibri Light"/>
                <w:spacing w:val="-10"/>
                <w:w w:val="85"/>
              </w:rPr>
            </w:pPr>
            <w:r w:rsidRPr="00B37090">
              <w:rPr>
                <w:rFonts w:cs="Calibri Light"/>
                <w:b/>
              </w:rPr>
              <w:t xml:space="preserve">Demographic changes: </w:t>
            </w:r>
            <w:r w:rsidRPr="00B37090">
              <w:rPr>
                <w:rFonts w:cs="Calibri Light"/>
              </w:rPr>
              <w:t>An increasing working population has supported economic growth and labour supply globally and within Australia, China and other economies. Now, for some countries, the working population is declining or projected to decline relative to the rest of the</w:t>
            </w:r>
            <w:r w:rsidRPr="00B37090">
              <w:rPr>
                <w:rFonts w:cs="Calibri Light"/>
                <w:spacing w:val="-3"/>
              </w:rPr>
              <w:t xml:space="preserve"> </w:t>
            </w:r>
            <w:r w:rsidRPr="00B37090">
              <w:rPr>
                <w:rFonts w:cs="Calibri Light"/>
              </w:rPr>
              <w:t>population,</w:t>
            </w:r>
            <w:r w:rsidRPr="00B37090">
              <w:rPr>
                <w:rFonts w:cs="Calibri Light"/>
                <w:spacing w:val="-3"/>
              </w:rPr>
              <w:t xml:space="preserve"> </w:t>
            </w:r>
            <w:r w:rsidRPr="00B37090">
              <w:rPr>
                <w:rFonts w:cs="Calibri Light"/>
              </w:rPr>
              <w:t>tempering</w:t>
            </w:r>
            <w:r w:rsidRPr="00B37090">
              <w:rPr>
                <w:rFonts w:cs="Calibri Light"/>
                <w:spacing w:val="-3"/>
              </w:rPr>
              <w:t xml:space="preserve"> </w:t>
            </w:r>
            <w:r w:rsidRPr="00B37090">
              <w:rPr>
                <w:rFonts w:cs="Calibri Light"/>
              </w:rPr>
              <w:t>this</w:t>
            </w:r>
            <w:r w:rsidRPr="00B37090">
              <w:rPr>
                <w:rFonts w:cs="Calibri Light"/>
                <w:spacing w:val="-3"/>
              </w:rPr>
              <w:t xml:space="preserve"> </w:t>
            </w:r>
            <w:r w:rsidRPr="00B37090">
              <w:rPr>
                <w:rFonts w:cs="Calibri Light"/>
              </w:rPr>
              <w:t>as</w:t>
            </w:r>
            <w:r w:rsidRPr="00B37090">
              <w:rPr>
                <w:rFonts w:cs="Calibri Light"/>
                <w:spacing w:val="-3"/>
              </w:rPr>
              <w:t xml:space="preserve"> </w:t>
            </w:r>
            <w:r w:rsidRPr="00B37090">
              <w:rPr>
                <w:rFonts w:cs="Calibri Light"/>
              </w:rPr>
              <w:t>a</w:t>
            </w:r>
            <w:r w:rsidRPr="00B37090">
              <w:rPr>
                <w:rFonts w:cs="Calibri Light"/>
                <w:spacing w:val="-3"/>
              </w:rPr>
              <w:t xml:space="preserve"> </w:t>
            </w:r>
            <w:r w:rsidRPr="00B37090">
              <w:rPr>
                <w:rFonts w:cs="Calibri Light"/>
              </w:rPr>
              <w:t>source</w:t>
            </w:r>
            <w:r w:rsidRPr="00B37090">
              <w:rPr>
                <w:rFonts w:cs="Calibri Light"/>
                <w:spacing w:val="-3"/>
              </w:rPr>
              <w:t xml:space="preserve"> </w:t>
            </w:r>
            <w:r w:rsidRPr="00B37090">
              <w:rPr>
                <w:rFonts w:cs="Calibri Light"/>
              </w:rPr>
              <w:t>of</w:t>
            </w:r>
            <w:r w:rsidRPr="00B37090">
              <w:rPr>
                <w:rFonts w:cs="Calibri Light"/>
                <w:spacing w:val="-3"/>
              </w:rPr>
              <w:t xml:space="preserve"> </w:t>
            </w:r>
            <w:r w:rsidRPr="00B37090">
              <w:rPr>
                <w:rFonts w:cs="Calibri Light"/>
              </w:rPr>
              <w:t>growth.</w:t>
            </w:r>
            <w:r w:rsidRPr="00B37090">
              <w:rPr>
                <w:rFonts w:cs="Calibri Light"/>
                <w:spacing w:val="-3"/>
              </w:rPr>
              <w:t xml:space="preserve"> </w:t>
            </w:r>
            <w:r w:rsidRPr="00B37090">
              <w:rPr>
                <w:rFonts w:cs="Calibri Light"/>
              </w:rPr>
              <w:t>While</w:t>
            </w:r>
            <w:r w:rsidRPr="00B37090">
              <w:rPr>
                <w:rFonts w:cs="Calibri Light"/>
                <w:spacing w:val="-3"/>
              </w:rPr>
              <w:t xml:space="preserve"> </w:t>
            </w:r>
            <w:r w:rsidRPr="00B37090">
              <w:rPr>
                <w:rFonts w:cs="Calibri Light"/>
              </w:rPr>
              <w:t>migration</w:t>
            </w:r>
            <w:r w:rsidRPr="00B37090">
              <w:rPr>
                <w:rFonts w:cs="Calibri Light"/>
                <w:spacing w:val="-3"/>
              </w:rPr>
              <w:t xml:space="preserve"> </w:t>
            </w:r>
            <w:r w:rsidRPr="00B37090">
              <w:rPr>
                <w:rFonts w:cs="Calibri Light"/>
              </w:rPr>
              <w:t>helps</w:t>
            </w:r>
            <w:r w:rsidRPr="00B37090">
              <w:rPr>
                <w:rFonts w:cs="Calibri Light"/>
                <w:spacing w:val="-3"/>
              </w:rPr>
              <w:t xml:space="preserve"> </w:t>
            </w:r>
            <w:r w:rsidRPr="00B37090">
              <w:rPr>
                <w:rFonts w:cs="Calibri Light"/>
              </w:rPr>
              <w:t>offset</w:t>
            </w:r>
            <w:r w:rsidRPr="00B37090">
              <w:rPr>
                <w:rFonts w:cs="Calibri Light"/>
                <w:spacing w:val="-3"/>
              </w:rPr>
              <w:t xml:space="preserve"> </w:t>
            </w:r>
            <w:r w:rsidRPr="00B37090">
              <w:rPr>
                <w:rFonts w:cs="Calibri Light"/>
              </w:rPr>
              <w:t>population ageing in Australia, the ratio of working-age people to those over 65 is projected to fall substantially</w:t>
            </w:r>
            <w:r w:rsidRPr="00B37090">
              <w:rPr>
                <w:rFonts w:cs="Calibri Light"/>
                <w:spacing w:val="-4"/>
              </w:rPr>
              <w:t xml:space="preserve"> </w:t>
            </w:r>
            <w:r w:rsidRPr="00B37090">
              <w:rPr>
                <w:rFonts w:cs="Calibri Light"/>
              </w:rPr>
              <w:t>over</w:t>
            </w:r>
            <w:r w:rsidRPr="00B37090">
              <w:rPr>
                <w:rFonts w:cs="Calibri Light"/>
                <w:spacing w:val="-4"/>
              </w:rPr>
              <w:t xml:space="preserve"> </w:t>
            </w:r>
            <w:r w:rsidRPr="00B37090">
              <w:rPr>
                <w:rFonts w:cs="Calibri Light"/>
              </w:rPr>
              <w:t>the</w:t>
            </w:r>
            <w:r w:rsidRPr="00B37090">
              <w:rPr>
                <w:rFonts w:cs="Calibri Light"/>
                <w:spacing w:val="-4"/>
              </w:rPr>
              <w:t xml:space="preserve"> </w:t>
            </w:r>
            <w:r w:rsidRPr="00B37090">
              <w:rPr>
                <w:rFonts w:cs="Calibri Light"/>
              </w:rPr>
              <w:t>next</w:t>
            </w:r>
            <w:r w:rsidRPr="00B37090">
              <w:rPr>
                <w:rFonts w:cs="Calibri Light"/>
                <w:spacing w:val="-4"/>
              </w:rPr>
              <w:t xml:space="preserve"> </w:t>
            </w:r>
            <w:r w:rsidRPr="00B37090">
              <w:rPr>
                <w:rFonts w:cs="Calibri Light"/>
              </w:rPr>
              <w:t>40</w:t>
            </w:r>
            <w:r w:rsidRPr="00B37090">
              <w:rPr>
                <w:rFonts w:cs="Calibri Light"/>
                <w:spacing w:val="-4"/>
              </w:rPr>
              <w:t xml:space="preserve"> </w:t>
            </w:r>
            <w:r w:rsidRPr="00B37090">
              <w:rPr>
                <w:rFonts w:cs="Calibri Light"/>
              </w:rPr>
              <w:t>years</w:t>
            </w:r>
            <w:r w:rsidRPr="00B37090">
              <w:rPr>
                <w:rFonts w:cs="Calibri Light"/>
                <w:spacing w:val="-4"/>
              </w:rPr>
              <w:t xml:space="preserve"> </w:t>
            </w:r>
            <w:r w:rsidRPr="00B37090">
              <w:rPr>
                <w:rFonts w:cs="Calibri Light"/>
              </w:rPr>
              <w:t>(Treasury</w:t>
            </w:r>
            <w:r w:rsidRPr="00B37090">
              <w:rPr>
                <w:rFonts w:cs="Calibri Light"/>
                <w:spacing w:val="-4"/>
              </w:rPr>
              <w:t xml:space="preserve"> </w:t>
            </w:r>
            <w:r w:rsidRPr="00B37090">
              <w:rPr>
                <w:rFonts w:cs="Calibri Light"/>
              </w:rPr>
              <w:t>2021)</w:t>
            </w:r>
            <w:r w:rsidR="00D92F8F">
              <w:rPr>
                <w:rFonts w:cs="Calibri Light"/>
                <w:spacing w:val="-25"/>
              </w:rPr>
              <w:t>.</w:t>
            </w:r>
            <w:r w:rsidRPr="00B37090">
              <w:rPr>
                <w:rFonts w:cs="Calibri Light"/>
                <w:w w:val="85"/>
              </w:rPr>
              <w:t xml:space="preserve"> </w:t>
            </w:r>
            <w:r w:rsidR="00FA4DE9">
              <w:rPr>
                <w:rFonts w:cs="Calibri Light"/>
                <w:w w:val="85"/>
              </w:rPr>
              <w:t xml:space="preserve"> </w:t>
            </w:r>
            <w:r w:rsidRPr="00B37090">
              <w:rPr>
                <w:rFonts w:cs="Calibri Light"/>
              </w:rPr>
              <w:t>As</w:t>
            </w:r>
            <w:r w:rsidRPr="00B37090">
              <w:rPr>
                <w:rFonts w:cs="Calibri Light"/>
                <w:spacing w:val="-4"/>
              </w:rPr>
              <w:t xml:space="preserve"> </w:t>
            </w:r>
            <w:r w:rsidRPr="00B37090">
              <w:rPr>
                <w:rFonts w:cs="Calibri Light"/>
              </w:rPr>
              <w:t>well</w:t>
            </w:r>
            <w:r w:rsidRPr="00B37090">
              <w:rPr>
                <w:rFonts w:cs="Calibri Light"/>
                <w:spacing w:val="-4"/>
              </w:rPr>
              <w:t xml:space="preserve"> </w:t>
            </w:r>
            <w:r w:rsidRPr="00B37090">
              <w:rPr>
                <w:rFonts w:cs="Calibri Light"/>
              </w:rPr>
              <w:t>as</w:t>
            </w:r>
            <w:r w:rsidRPr="00B37090">
              <w:rPr>
                <w:rFonts w:cs="Calibri Light"/>
                <w:spacing w:val="-4"/>
              </w:rPr>
              <w:t xml:space="preserve"> </w:t>
            </w:r>
            <w:r w:rsidRPr="00B37090">
              <w:rPr>
                <w:rFonts w:cs="Calibri Light"/>
              </w:rPr>
              <w:t>implications</w:t>
            </w:r>
            <w:r w:rsidRPr="00B37090">
              <w:rPr>
                <w:rFonts w:cs="Calibri Light"/>
                <w:spacing w:val="-4"/>
              </w:rPr>
              <w:t xml:space="preserve"> </w:t>
            </w:r>
            <w:r w:rsidRPr="00B37090">
              <w:rPr>
                <w:rFonts w:cs="Calibri Light"/>
              </w:rPr>
              <w:t>for</w:t>
            </w:r>
            <w:r w:rsidRPr="00B37090">
              <w:rPr>
                <w:rFonts w:cs="Calibri Light"/>
                <w:spacing w:val="-4"/>
              </w:rPr>
              <w:t xml:space="preserve"> </w:t>
            </w:r>
            <w:r w:rsidRPr="00B37090">
              <w:rPr>
                <w:rFonts w:cs="Calibri Light"/>
              </w:rPr>
              <w:t>labour</w:t>
            </w:r>
            <w:r w:rsidRPr="00B37090">
              <w:rPr>
                <w:rFonts w:cs="Calibri Light"/>
                <w:spacing w:val="-4"/>
              </w:rPr>
              <w:t xml:space="preserve"> </w:t>
            </w:r>
            <w:r w:rsidRPr="00B37090">
              <w:rPr>
                <w:rFonts w:cs="Calibri Light"/>
              </w:rPr>
              <w:t>supply,</w:t>
            </w:r>
            <w:r w:rsidR="00C20840" w:rsidRPr="00B37090">
              <w:rPr>
                <w:rFonts w:cs="Calibri Light"/>
              </w:rPr>
              <w:t xml:space="preserve"> </w:t>
            </w:r>
            <w:r w:rsidRPr="00B37090">
              <w:rPr>
                <w:rFonts w:cs="Calibri Light"/>
              </w:rPr>
              <w:t>these</w:t>
            </w:r>
            <w:r w:rsidRPr="00B37090">
              <w:rPr>
                <w:rFonts w:cs="Calibri Light"/>
                <w:spacing w:val="-5"/>
              </w:rPr>
              <w:t xml:space="preserve"> </w:t>
            </w:r>
            <w:r w:rsidRPr="00B37090">
              <w:rPr>
                <w:rFonts w:cs="Calibri Light"/>
              </w:rPr>
              <w:t>demographic</w:t>
            </w:r>
            <w:r w:rsidRPr="00B37090">
              <w:rPr>
                <w:rFonts w:cs="Calibri Light"/>
                <w:spacing w:val="-3"/>
              </w:rPr>
              <w:t xml:space="preserve"> </w:t>
            </w:r>
            <w:r w:rsidRPr="00B37090">
              <w:rPr>
                <w:rFonts w:cs="Calibri Light"/>
              </w:rPr>
              <w:t>changes</w:t>
            </w:r>
            <w:r w:rsidRPr="00B37090">
              <w:rPr>
                <w:rFonts w:cs="Calibri Light"/>
                <w:spacing w:val="-3"/>
              </w:rPr>
              <w:t xml:space="preserve"> </w:t>
            </w:r>
            <w:r w:rsidRPr="00B37090">
              <w:rPr>
                <w:rFonts w:cs="Calibri Light"/>
              </w:rPr>
              <w:t>also</w:t>
            </w:r>
            <w:r w:rsidRPr="00B37090">
              <w:rPr>
                <w:rFonts w:cs="Calibri Light"/>
                <w:spacing w:val="-3"/>
              </w:rPr>
              <w:t xml:space="preserve"> </w:t>
            </w:r>
            <w:r w:rsidRPr="00B37090">
              <w:rPr>
                <w:rFonts w:cs="Calibri Light"/>
              </w:rPr>
              <w:t>affect</w:t>
            </w:r>
            <w:r w:rsidRPr="00B37090">
              <w:rPr>
                <w:rFonts w:cs="Calibri Light"/>
                <w:spacing w:val="-3"/>
              </w:rPr>
              <w:t xml:space="preserve"> </w:t>
            </w:r>
            <w:r w:rsidRPr="00B37090">
              <w:rPr>
                <w:rFonts w:cs="Calibri Light"/>
              </w:rPr>
              <w:t>the</w:t>
            </w:r>
            <w:r w:rsidRPr="00B37090">
              <w:rPr>
                <w:rFonts w:cs="Calibri Light"/>
                <w:spacing w:val="-3"/>
              </w:rPr>
              <w:t xml:space="preserve"> </w:t>
            </w:r>
            <w:r w:rsidRPr="00B37090">
              <w:rPr>
                <w:rFonts w:cs="Calibri Light"/>
              </w:rPr>
              <w:t>balance</w:t>
            </w:r>
            <w:r w:rsidRPr="00B37090">
              <w:rPr>
                <w:rFonts w:cs="Calibri Light"/>
                <w:spacing w:val="-3"/>
              </w:rPr>
              <w:t xml:space="preserve"> </w:t>
            </w:r>
            <w:r w:rsidRPr="00B37090">
              <w:rPr>
                <w:rFonts w:cs="Calibri Light"/>
              </w:rPr>
              <w:t>of</w:t>
            </w:r>
            <w:r w:rsidRPr="00B37090">
              <w:rPr>
                <w:rFonts w:cs="Calibri Light"/>
                <w:spacing w:val="-3"/>
              </w:rPr>
              <w:t xml:space="preserve"> </w:t>
            </w:r>
            <w:r w:rsidRPr="00B37090">
              <w:rPr>
                <w:rFonts w:cs="Calibri Light"/>
              </w:rPr>
              <w:t>preferences</w:t>
            </w:r>
            <w:r w:rsidRPr="00B37090">
              <w:rPr>
                <w:rFonts w:cs="Calibri Light"/>
                <w:spacing w:val="-3"/>
              </w:rPr>
              <w:t xml:space="preserve"> </w:t>
            </w:r>
            <w:r w:rsidRPr="00B37090">
              <w:rPr>
                <w:rFonts w:cs="Calibri Light"/>
              </w:rPr>
              <w:t>for</w:t>
            </w:r>
            <w:r w:rsidRPr="00B37090">
              <w:rPr>
                <w:rFonts w:cs="Calibri Light"/>
                <w:spacing w:val="-3"/>
              </w:rPr>
              <w:t xml:space="preserve"> </w:t>
            </w:r>
            <w:r w:rsidRPr="00B37090">
              <w:rPr>
                <w:rFonts w:cs="Calibri Light"/>
              </w:rPr>
              <w:t>savings</w:t>
            </w:r>
            <w:r w:rsidRPr="00B37090">
              <w:rPr>
                <w:rFonts w:cs="Calibri Light"/>
                <w:spacing w:val="-3"/>
              </w:rPr>
              <w:t xml:space="preserve"> </w:t>
            </w:r>
            <w:r w:rsidRPr="00B37090">
              <w:rPr>
                <w:rFonts w:cs="Calibri Light"/>
              </w:rPr>
              <w:t>and</w:t>
            </w:r>
            <w:r w:rsidRPr="00B37090">
              <w:rPr>
                <w:rFonts w:cs="Calibri Light"/>
                <w:spacing w:val="-2"/>
              </w:rPr>
              <w:t xml:space="preserve"> investment</w:t>
            </w:r>
            <w:r w:rsidR="00C20840" w:rsidRPr="00B37090">
              <w:rPr>
                <w:rFonts w:cs="Calibri Light"/>
                <w:spacing w:val="-2"/>
              </w:rPr>
              <w:t xml:space="preserve"> </w:t>
            </w:r>
            <w:r w:rsidRPr="00B37090">
              <w:rPr>
                <w:rFonts w:cs="Calibri Light"/>
              </w:rPr>
              <w:t>and</w:t>
            </w:r>
            <w:r w:rsidRPr="00B37090">
              <w:rPr>
                <w:rFonts w:cs="Calibri Light"/>
                <w:spacing w:val="-4"/>
              </w:rPr>
              <w:t xml:space="preserve"> </w:t>
            </w:r>
            <w:r w:rsidRPr="00B37090">
              <w:rPr>
                <w:rFonts w:cs="Calibri Light"/>
              </w:rPr>
              <w:t>the</w:t>
            </w:r>
            <w:r w:rsidRPr="00B37090">
              <w:rPr>
                <w:rFonts w:cs="Calibri Light"/>
                <w:spacing w:val="-3"/>
              </w:rPr>
              <w:t xml:space="preserve"> </w:t>
            </w:r>
            <w:r w:rsidRPr="00B37090">
              <w:rPr>
                <w:rFonts w:cs="Calibri Light"/>
              </w:rPr>
              <w:t>level</w:t>
            </w:r>
            <w:r w:rsidRPr="00B37090">
              <w:rPr>
                <w:rFonts w:cs="Calibri Light"/>
                <w:spacing w:val="-3"/>
              </w:rPr>
              <w:t xml:space="preserve"> </w:t>
            </w:r>
            <w:r w:rsidRPr="00B37090">
              <w:rPr>
                <w:rFonts w:cs="Calibri Light"/>
              </w:rPr>
              <w:t>of</w:t>
            </w:r>
            <w:r w:rsidRPr="00B37090">
              <w:rPr>
                <w:rFonts w:cs="Calibri Light"/>
                <w:spacing w:val="-3"/>
              </w:rPr>
              <w:t xml:space="preserve"> </w:t>
            </w:r>
            <w:r w:rsidRPr="00B37090">
              <w:rPr>
                <w:rFonts w:cs="Calibri Light"/>
              </w:rPr>
              <w:t>interest</w:t>
            </w:r>
            <w:r w:rsidRPr="00B37090">
              <w:rPr>
                <w:rFonts w:cs="Calibri Light"/>
                <w:spacing w:val="-3"/>
              </w:rPr>
              <w:t xml:space="preserve"> </w:t>
            </w:r>
            <w:r w:rsidRPr="00B37090">
              <w:rPr>
                <w:rFonts w:cs="Calibri Light"/>
              </w:rPr>
              <w:t>rates</w:t>
            </w:r>
            <w:r w:rsidR="00D92F8F">
              <w:rPr>
                <w:rFonts w:cs="Calibri Light"/>
                <w:spacing w:val="-25"/>
              </w:rPr>
              <w:t>.</w:t>
            </w:r>
          </w:p>
          <w:p w14:paraId="65675E4C" w14:textId="3DEB2259" w:rsidR="00C20840" w:rsidRDefault="00B37090" w:rsidP="00B37090">
            <w:pPr>
              <w:pStyle w:val="BoxText"/>
            </w:pPr>
            <w:r w:rsidRPr="00B37090">
              <w:rPr>
                <w:rFonts w:cs="Calibri Light"/>
                <w:b/>
              </w:rPr>
              <w:t xml:space="preserve">Changes </w:t>
            </w:r>
            <w:r w:rsidR="00C20840" w:rsidRPr="00B37090">
              <w:rPr>
                <w:rFonts w:cs="Calibri Light"/>
                <w:b/>
              </w:rPr>
              <w:t xml:space="preserve">in wealth, debt and income distributions: </w:t>
            </w:r>
            <w:r w:rsidR="00C20840" w:rsidRPr="00B37090">
              <w:rPr>
                <w:rFonts w:cs="Calibri Light"/>
              </w:rPr>
              <w:t>Globally and in Australia, debt</w:t>
            </w:r>
            <w:r w:rsidR="00C20840" w:rsidRPr="00B37090">
              <w:rPr>
                <w:rFonts w:cs="Calibri Light"/>
                <w:spacing w:val="80"/>
              </w:rPr>
              <w:t xml:space="preserve"> </w:t>
            </w:r>
            <w:r w:rsidR="00C20840" w:rsidRPr="00B37090">
              <w:rPr>
                <w:rFonts w:cs="Calibri Light"/>
              </w:rPr>
              <w:t>has grown considerably for households, government, and the p</w:t>
            </w:r>
            <w:r w:rsidR="00C20840">
              <w:t>rivate sector over recent decades</w:t>
            </w:r>
            <w:r w:rsidR="00D92F8F">
              <w:rPr>
                <w:spacing w:val="-18"/>
              </w:rPr>
              <w:t>.</w:t>
            </w:r>
            <w:r w:rsidR="00C20840">
              <w:t xml:space="preserve"> This is largely attributed to declines in average interest rates over the period</w:t>
            </w:r>
            <w:r w:rsidR="00C20840">
              <w:rPr>
                <w:spacing w:val="80"/>
              </w:rPr>
              <w:t xml:space="preserve"> </w:t>
            </w:r>
            <w:r w:rsidR="00C20840">
              <w:t>and the deregulation of the financial sector. Within Australia, growth in debt has also been</w:t>
            </w:r>
            <w:r>
              <w:t xml:space="preserve"> </w:t>
            </w:r>
            <w:r w:rsidR="00C20840">
              <w:t>driven by real income growth and household ownership of rental real estate (Kearns, Major, and Norman 2020). At the same time as debt has risen, there has been a rise in wealth and income inequality in many economies, and there is evidence of a slight increase in inequality in Australia (Productivity Commission 2018)</w:t>
            </w:r>
            <w:r w:rsidR="00D92F8F">
              <w:rPr>
                <w:spacing w:val="-8"/>
              </w:rPr>
              <w:t>.</w:t>
            </w:r>
          </w:p>
          <w:p w14:paraId="499973DC" w14:textId="307FB894" w:rsidR="00C20840" w:rsidRDefault="00C20840" w:rsidP="00B37090">
            <w:pPr>
              <w:pStyle w:val="BoxText"/>
            </w:pPr>
            <w:r>
              <w:t>These trends point us to two key conclusions relevant to choosing the most appropriate monetary policy framework for the period ahead</w:t>
            </w:r>
            <w:r w:rsidR="00D92F8F">
              <w:rPr>
                <w:spacing w:val="-11"/>
              </w:rPr>
              <w:t>.</w:t>
            </w:r>
          </w:p>
          <w:p w14:paraId="25B91F39" w14:textId="7837797C" w:rsidR="00C20840" w:rsidRDefault="00C20840" w:rsidP="00B37090">
            <w:pPr>
              <w:pStyle w:val="BoxText"/>
            </w:pPr>
            <w:r>
              <w:t xml:space="preserve">First, changes in trade patterns and an increased frequency of severe climate events indicate that supply may be less flexible to changes than in the past and may face more frequent disruptions. This suggests more volatile inflation and trade-offs between price stability and </w:t>
            </w:r>
            <w:r>
              <w:lastRenderedPageBreak/>
              <w:t>employment objectives that are more acute</w:t>
            </w:r>
            <w:r w:rsidR="00D92F8F">
              <w:rPr>
                <w:spacing w:val="-23"/>
              </w:rPr>
              <w:t>.</w:t>
            </w:r>
            <w:r>
              <w:rPr>
                <w:w w:val="85"/>
              </w:rPr>
              <w:t xml:space="preserve"> </w:t>
            </w:r>
            <w:r>
              <w:t>An appropriate monetary policy framework must function well in such circumstances. As monetary policy is a tool that primarily influences demand in the economy through channels with significant lags, policy makers must be</w:t>
            </w:r>
            <w:r w:rsidR="00B37090">
              <w:t xml:space="preserve"> </w:t>
            </w:r>
            <w:r>
              <w:t>aware of the limits of what it can achieve in such scenarios</w:t>
            </w:r>
            <w:r w:rsidR="00D92F8F">
              <w:rPr>
                <w:spacing w:val="-21"/>
              </w:rPr>
              <w:t>.</w:t>
            </w:r>
            <w:r>
              <w:rPr>
                <w:w w:val="85"/>
              </w:rPr>
              <w:t xml:space="preserve"> </w:t>
            </w:r>
            <w:r>
              <w:t>Governments need to consider carefully how they can contribute to economic outcomes through fiscal policy, measures to improve productivity, the response to climate change, as well as other structural reform and international cooperation and trade (Carstens 2022)</w:t>
            </w:r>
            <w:r w:rsidR="00D92F8F">
              <w:rPr>
                <w:spacing w:val="-12"/>
              </w:rPr>
              <w:t>.</w:t>
            </w:r>
          </w:p>
          <w:p w14:paraId="090A0266" w14:textId="6EA04645" w:rsidR="00C20840" w:rsidRDefault="00C20840" w:rsidP="00B37090">
            <w:pPr>
              <w:pStyle w:val="BoxText"/>
            </w:pPr>
            <w:r>
              <w:t>Second, there is substantial uncertainty about the outlook for the neutral interest rate</w:t>
            </w:r>
            <w:r w:rsidR="00D92F8F">
              <w:rPr>
                <w:spacing w:val="-18"/>
              </w:rPr>
              <w:t>.</w:t>
            </w:r>
            <w:r>
              <w:t xml:space="preserve"> It</w:t>
            </w:r>
            <w:r>
              <w:rPr>
                <w:spacing w:val="80"/>
              </w:rPr>
              <w:t xml:space="preserve"> </w:t>
            </w:r>
            <w:r>
              <w:t>could return to the low levels apparent before the COVID-19 pandemic, with monetary policy close to the effective lower bound, or it could settle somewhere higher. There is some debate about why neutral interest rates have declined in advanced economies over recent decades</w:t>
            </w:r>
            <w:r w:rsidR="00D92F8F">
              <w:rPr>
                <w:spacing w:val="-18"/>
              </w:rPr>
              <w:t>.</w:t>
            </w:r>
            <w:r>
              <w:t xml:space="preserve"> Lower economic growth (driven by the demographic and trade trends noted above, among other</w:t>
            </w:r>
            <w:r>
              <w:rPr>
                <w:spacing w:val="-1"/>
              </w:rPr>
              <w:t xml:space="preserve"> </w:t>
            </w:r>
            <w:r>
              <w:t>things),</w:t>
            </w:r>
            <w:r>
              <w:rPr>
                <w:spacing w:val="-1"/>
              </w:rPr>
              <w:t xml:space="preserve"> </w:t>
            </w:r>
            <w:r>
              <w:t>increases</w:t>
            </w:r>
            <w:r>
              <w:rPr>
                <w:spacing w:val="-1"/>
              </w:rPr>
              <w:t xml:space="preserve"> </w:t>
            </w:r>
            <w:r>
              <w:t>in</w:t>
            </w:r>
            <w:r>
              <w:rPr>
                <w:spacing w:val="-1"/>
              </w:rPr>
              <w:t xml:space="preserve"> </w:t>
            </w:r>
            <w:r>
              <w:t>inequality,</w:t>
            </w:r>
            <w:r>
              <w:rPr>
                <w:spacing w:val="-1"/>
              </w:rPr>
              <w:t xml:space="preserve"> </w:t>
            </w:r>
            <w:r>
              <w:t>and</w:t>
            </w:r>
            <w:r>
              <w:rPr>
                <w:spacing w:val="-1"/>
              </w:rPr>
              <w:t xml:space="preserve"> </w:t>
            </w:r>
            <w:r>
              <w:t>other</w:t>
            </w:r>
            <w:r>
              <w:rPr>
                <w:spacing w:val="-1"/>
              </w:rPr>
              <w:t xml:space="preserve"> </w:t>
            </w:r>
            <w:r>
              <w:t>causes</w:t>
            </w:r>
            <w:r>
              <w:rPr>
                <w:spacing w:val="-1"/>
              </w:rPr>
              <w:t xml:space="preserve"> </w:t>
            </w:r>
            <w:r>
              <w:t>of</w:t>
            </w:r>
            <w:r>
              <w:rPr>
                <w:spacing w:val="-1"/>
              </w:rPr>
              <w:t xml:space="preserve"> </w:t>
            </w:r>
            <w:r>
              <w:t>a</w:t>
            </w:r>
            <w:r>
              <w:rPr>
                <w:spacing w:val="-1"/>
              </w:rPr>
              <w:t xml:space="preserve"> </w:t>
            </w:r>
            <w:r>
              <w:t>greater</w:t>
            </w:r>
            <w:r>
              <w:rPr>
                <w:spacing w:val="-1"/>
              </w:rPr>
              <w:t xml:space="preserve"> </w:t>
            </w:r>
            <w:r>
              <w:t>preference</w:t>
            </w:r>
            <w:r>
              <w:rPr>
                <w:spacing w:val="-1"/>
              </w:rPr>
              <w:t xml:space="preserve"> </w:t>
            </w:r>
            <w:r>
              <w:t>for</w:t>
            </w:r>
            <w:r>
              <w:rPr>
                <w:spacing w:val="-1"/>
              </w:rPr>
              <w:t xml:space="preserve"> </w:t>
            </w:r>
            <w:r>
              <w:t>savings</w:t>
            </w:r>
            <w:r>
              <w:rPr>
                <w:spacing w:val="-1"/>
              </w:rPr>
              <w:t xml:space="preserve"> </w:t>
            </w:r>
            <w:r>
              <w:t>than investment are considered important (Mian, Straub and Sufi 2021; Rachel and Smith 2015).</w:t>
            </w:r>
            <w:r w:rsidR="00FC0177">
              <w:t xml:space="preserve"> </w:t>
            </w:r>
            <w:r>
              <w:t>There is an ongoing debate about whether these factors will persist for some time (Blanchard (2023) and Summers (2023) provide two perspectives)</w:t>
            </w:r>
            <w:r w:rsidR="00D92F8F">
              <w:rPr>
                <w:spacing w:val="-19"/>
              </w:rPr>
              <w:t>.</w:t>
            </w:r>
            <w:r>
              <w:rPr>
                <w:w w:val="85"/>
              </w:rPr>
              <w:t xml:space="preserve"> </w:t>
            </w:r>
            <w:r>
              <w:t>What matters to the Review is the reasonable chance that they do persist</w:t>
            </w:r>
            <w:r w:rsidR="00D92F8F">
              <w:rPr>
                <w:spacing w:val="-17"/>
              </w:rPr>
              <w:t>.</w:t>
            </w:r>
            <w:r>
              <w:rPr>
                <w:w w:val="85"/>
              </w:rPr>
              <w:t xml:space="preserve"> </w:t>
            </w:r>
            <w:r>
              <w:t>While central banks can use additional monetary policy tools at the effective lower bound, there appear to be practical limits to how much monetary policy can stimulate the economy by these means</w:t>
            </w:r>
            <w:r w:rsidR="00D92F8F">
              <w:rPr>
                <w:spacing w:val="-22"/>
              </w:rPr>
              <w:t>.</w:t>
            </w:r>
            <w:r>
              <w:rPr>
                <w:w w:val="85"/>
              </w:rPr>
              <w:t xml:space="preserve"> </w:t>
            </w:r>
            <w:r>
              <w:t>The monetary policy framework must be robust to this, and it may have implications for the relative roles of monetary policy and fiscal policy in stabilising the macroeconomy.</w:t>
            </w:r>
          </w:p>
          <w:p w14:paraId="627EFB7E" w14:textId="652AFF89" w:rsidR="00C20840" w:rsidRPr="00FD4B77" w:rsidRDefault="00C20840" w:rsidP="00B37090">
            <w:pPr>
              <w:pStyle w:val="BoxText"/>
            </w:pPr>
            <w:r>
              <w:t>These economic trends, and assessments of their implications, will no doubt evolve in the coming years, which is why the Review recommends that the monetary policy framework is reviewed every 5 years (see Recommendation 4). A changeable economic environment also requires that the RBA’s research practices are as robust as possible, and that it has agile analytical processes to respond to emerging economic risks (see Chapter 4).</w:t>
            </w:r>
          </w:p>
        </w:tc>
      </w:tr>
    </w:tbl>
    <w:p w14:paraId="3DD0E07A" w14:textId="77777777" w:rsidR="005E5B3C" w:rsidRDefault="005E5B3C" w:rsidP="005E5B3C">
      <w:pPr>
        <w:rPr>
          <w:spacing w:val="-10"/>
        </w:rPr>
      </w:pPr>
    </w:p>
    <w:p w14:paraId="3AAE8A11" w14:textId="0C67D051" w:rsidR="005E5B3C" w:rsidRDefault="005E5B3C">
      <w:pPr>
        <w:spacing w:before="0" w:after="160" w:line="259" w:lineRule="auto"/>
        <w:rPr>
          <w:spacing w:val="-10"/>
        </w:rPr>
      </w:pPr>
      <w:r>
        <w:rPr>
          <w:spacing w:val="-10"/>
        </w:rPr>
        <w:br w:type="page"/>
      </w:r>
    </w:p>
    <w:p w14:paraId="7C93E8CB" w14:textId="77777777" w:rsidR="004933F5" w:rsidRDefault="004933F5" w:rsidP="004933F5">
      <w:pPr>
        <w:pStyle w:val="Heading2"/>
      </w:pPr>
      <w:bookmarkStart w:id="37" w:name="_Toc134221007"/>
      <w:r w:rsidRPr="004933F5">
        <w:lastRenderedPageBreak/>
        <w:t>Recommendation</w:t>
      </w:r>
      <w:r>
        <w:rPr>
          <w:spacing w:val="-10"/>
        </w:rPr>
        <w:t xml:space="preserve"> </w:t>
      </w:r>
      <w:r>
        <w:rPr>
          <w:spacing w:val="-4"/>
        </w:rPr>
        <w:t>1:</w:t>
      </w:r>
      <w:r>
        <w:rPr>
          <w:spacing w:val="-10"/>
        </w:rPr>
        <w:t xml:space="preserve"> </w:t>
      </w:r>
      <w:r>
        <w:rPr>
          <w:spacing w:val="-4"/>
        </w:rPr>
        <w:t>Affirm</w:t>
      </w:r>
      <w:r>
        <w:rPr>
          <w:spacing w:val="-10"/>
        </w:rPr>
        <w:t xml:space="preserve"> </w:t>
      </w:r>
      <w:r>
        <w:rPr>
          <w:spacing w:val="-4"/>
        </w:rPr>
        <w:t>the</w:t>
      </w:r>
      <w:r>
        <w:rPr>
          <w:spacing w:val="-10"/>
        </w:rPr>
        <w:t xml:space="preserve"> </w:t>
      </w:r>
      <w:r>
        <w:rPr>
          <w:spacing w:val="-4"/>
        </w:rPr>
        <w:t>RBA’s</w:t>
      </w:r>
      <w:r>
        <w:rPr>
          <w:spacing w:val="-10"/>
        </w:rPr>
        <w:t xml:space="preserve"> </w:t>
      </w:r>
      <w:r>
        <w:rPr>
          <w:spacing w:val="-4"/>
        </w:rPr>
        <w:t xml:space="preserve">independence </w:t>
      </w:r>
      <w:r>
        <w:t>and</w:t>
      </w:r>
      <w:r>
        <w:rPr>
          <w:spacing w:val="-21"/>
        </w:rPr>
        <w:t xml:space="preserve"> </w:t>
      </w:r>
      <w:r>
        <w:t>clarify</w:t>
      </w:r>
      <w:r>
        <w:rPr>
          <w:spacing w:val="-21"/>
        </w:rPr>
        <w:t xml:space="preserve"> </w:t>
      </w:r>
      <w:r>
        <w:t>its</w:t>
      </w:r>
      <w:r>
        <w:rPr>
          <w:spacing w:val="-21"/>
        </w:rPr>
        <w:t xml:space="preserve"> </w:t>
      </w:r>
      <w:r>
        <w:t>statutory</w:t>
      </w:r>
      <w:r>
        <w:rPr>
          <w:spacing w:val="-21"/>
        </w:rPr>
        <w:t xml:space="preserve"> </w:t>
      </w:r>
      <w:r>
        <w:t>monetary</w:t>
      </w:r>
      <w:r>
        <w:rPr>
          <w:spacing w:val="-20"/>
        </w:rPr>
        <w:t xml:space="preserve"> </w:t>
      </w:r>
      <w:r>
        <w:t>policy</w:t>
      </w:r>
      <w:r>
        <w:rPr>
          <w:spacing w:val="-21"/>
        </w:rPr>
        <w:t xml:space="preserve"> </w:t>
      </w:r>
      <w:r>
        <w:t>objectives</w:t>
      </w:r>
      <w:bookmarkEnd w:id="37"/>
    </w:p>
    <w:p w14:paraId="09B35AFC" w14:textId="77777777" w:rsidR="0088682F" w:rsidRDefault="0088682F" w:rsidP="0088682F"/>
    <w:tbl>
      <w:tblPr>
        <w:tblW w:w="5000" w:type="pct"/>
        <w:tblCellMar>
          <w:left w:w="0" w:type="dxa"/>
          <w:right w:w="0" w:type="dxa"/>
        </w:tblCellMar>
        <w:tblLook w:val="01E0" w:firstRow="1" w:lastRow="1" w:firstColumn="1" w:lastColumn="1" w:noHBand="0" w:noVBand="0"/>
      </w:tblPr>
      <w:tblGrid>
        <w:gridCol w:w="776"/>
        <w:gridCol w:w="8294"/>
      </w:tblGrid>
      <w:tr w:rsidR="004933F5" w14:paraId="61D44790" w14:textId="77777777" w:rsidTr="006D61D7">
        <w:trPr>
          <w:trHeight w:val="801"/>
        </w:trPr>
        <w:tc>
          <w:tcPr>
            <w:tcW w:w="5000" w:type="pct"/>
            <w:gridSpan w:val="2"/>
            <w:tcBorders>
              <w:bottom w:val="single" w:sz="8" w:space="0" w:color="ECEDE9"/>
            </w:tcBorders>
          </w:tcPr>
          <w:p w14:paraId="580C1025" w14:textId="77777777" w:rsidR="004933F5" w:rsidRDefault="004933F5" w:rsidP="00F22AE5">
            <w:pPr>
              <w:pStyle w:val="Heading4"/>
              <w:rPr>
                <w:rFonts w:ascii="Open Sans"/>
                <w:sz w:val="18"/>
              </w:rPr>
            </w:pPr>
            <w:r>
              <w:t>Recommendation 1:</w:t>
            </w:r>
            <w:r>
              <w:rPr>
                <w:spacing w:val="1"/>
              </w:rPr>
              <w:t xml:space="preserve"> </w:t>
            </w:r>
            <w:r>
              <w:t>Affirm the</w:t>
            </w:r>
            <w:r>
              <w:rPr>
                <w:spacing w:val="1"/>
              </w:rPr>
              <w:t xml:space="preserve"> </w:t>
            </w:r>
            <w:r>
              <w:t>RBA’s independence</w:t>
            </w:r>
            <w:r>
              <w:rPr>
                <w:spacing w:val="1"/>
              </w:rPr>
              <w:t xml:space="preserve"> </w:t>
            </w:r>
            <w:r>
              <w:t>and clarify</w:t>
            </w:r>
            <w:r>
              <w:rPr>
                <w:spacing w:val="1"/>
              </w:rPr>
              <w:t xml:space="preserve"> </w:t>
            </w:r>
            <w:r>
              <w:t>its</w:t>
            </w:r>
            <w:r>
              <w:rPr>
                <w:spacing w:val="1"/>
              </w:rPr>
              <w:t xml:space="preserve"> </w:t>
            </w:r>
            <w:r w:rsidRPr="005D4486">
              <w:t>statutory</w:t>
            </w:r>
            <w:r>
              <w:t xml:space="preserve"> </w:t>
            </w:r>
            <w:r w:rsidRPr="005D4486">
              <w:t>monetary</w:t>
            </w:r>
            <w:r>
              <w:rPr>
                <w:rFonts w:ascii="Open Sans"/>
                <w:color w:val="204160"/>
                <w:spacing w:val="7"/>
                <w:sz w:val="18"/>
              </w:rPr>
              <w:t xml:space="preserve"> </w:t>
            </w:r>
            <w:r w:rsidRPr="005D4486">
              <w:t>policy objectives</w:t>
            </w:r>
          </w:p>
        </w:tc>
      </w:tr>
      <w:tr w:rsidR="004933F5" w14:paraId="7806F77A" w14:textId="77777777" w:rsidTr="00F22AE5">
        <w:trPr>
          <w:trHeight w:val="801"/>
        </w:trPr>
        <w:tc>
          <w:tcPr>
            <w:tcW w:w="428" w:type="pct"/>
            <w:tcBorders>
              <w:top w:val="single" w:sz="8" w:space="0" w:color="ECEDE9"/>
              <w:bottom w:val="single" w:sz="8" w:space="0" w:color="ECEDE9"/>
            </w:tcBorders>
          </w:tcPr>
          <w:p w14:paraId="27CA3D46" w14:textId="77777777" w:rsidR="004933F5" w:rsidRDefault="004933F5" w:rsidP="00F22AE5">
            <w:r>
              <w:t>1.1</w:t>
            </w:r>
          </w:p>
        </w:tc>
        <w:tc>
          <w:tcPr>
            <w:tcW w:w="4572" w:type="pct"/>
            <w:tcBorders>
              <w:top w:val="single" w:sz="8" w:space="0" w:color="ECEDE9"/>
              <w:bottom w:val="single" w:sz="8" w:space="0" w:color="ECEDE9"/>
            </w:tcBorders>
          </w:tcPr>
          <w:p w14:paraId="149D77BB" w14:textId="77777777" w:rsidR="004933F5" w:rsidRDefault="004933F5" w:rsidP="00F22AE5">
            <w:r>
              <w:t>The</w:t>
            </w:r>
            <w:r>
              <w:rPr>
                <w:spacing w:val="-1"/>
              </w:rPr>
              <w:t xml:space="preserve"> </w:t>
            </w:r>
            <w:r>
              <w:t>RBA</w:t>
            </w:r>
            <w:r>
              <w:rPr>
                <w:spacing w:val="1"/>
              </w:rPr>
              <w:t xml:space="preserve"> </w:t>
            </w:r>
            <w:r>
              <w:t>should</w:t>
            </w:r>
            <w:r>
              <w:rPr>
                <w:spacing w:val="2"/>
              </w:rPr>
              <w:t xml:space="preserve"> </w:t>
            </w:r>
            <w:r>
              <w:t>continue</w:t>
            </w:r>
            <w:r>
              <w:rPr>
                <w:spacing w:val="1"/>
              </w:rPr>
              <w:t xml:space="preserve"> </w:t>
            </w:r>
            <w:r>
              <w:t>to</w:t>
            </w:r>
            <w:r>
              <w:rPr>
                <w:spacing w:val="2"/>
              </w:rPr>
              <w:t xml:space="preserve"> </w:t>
            </w:r>
            <w:r>
              <w:t>have</w:t>
            </w:r>
            <w:r>
              <w:rPr>
                <w:spacing w:val="1"/>
              </w:rPr>
              <w:t xml:space="preserve"> </w:t>
            </w:r>
            <w:r>
              <w:t>operational</w:t>
            </w:r>
            <w:r>
              <w:rPr>
                <w:spacing w:val="2"/>
              </w:rPr>
              <w:t xml:space="preserve"> </w:t>
            </w:r>
            <w:r>
              <w:t>independence</w:t>
            </w:r>
            <w:r>
              <w:rPr>
                <w:spacing w:val="1"/>
              </w:rPr>
              <w:t xml:space="preserve"> </w:t>
            </w:r>
            <w:r>
              <w:t>for</w:t>
            </w:r>
            <w:r>
              <w:rPr>
                <w:spacing w:val="2"/>
              </w:rPr>
              <w:t xml:space="preserve"> </w:t>
            </w:r>
            <w:r>
              <w:t>monetary</w:t>
            </w:r>
            <w:r>
              <w:rPr>
                <w:spacing w:val="1"/>
              </w:rPr>
              <w:t xml:space="preserve"> </w:t>
            </w:r>
            <w:r>
              <w:t>policy.</w:t>
            </w:r>
            <w:r>
              <w:rPr>
                <w:spacing w:val="2"/>
              </w:rPr>
              <w:t xml:space="preserve"> </w:t>
            </w:r>
            <w:r>
              <w:rPr>
                <w:spacing w:val="-5"/>
              </w:rPr>
              <w:t xml:space="preserve">The </w:t>
            </w:r>
            <w:r>
              <w:rPr>
                <w:spacing w:val="-2"/>
              </w:rPr>
              <w:t>Government</w:t>
            </w:r>
            <w:r>
              <w:rPr>
                <w:spacing w:val="-6"/>
              </w:rPr>
              <w:t xml:space="preserve"> </w:t>
            </w:r>
            <w:r>
              <w:rPr>
                <w:spacing w:val="-2"/>
              </w:rPr>
              <w:t>should</w:t>
            </w:r>
            <w:r>
              <w:rPr>
                <w:spacing w:val="-3"/>
              </w:rPr>
              <w:t xml:space="preserve"> </w:t>
            </w:r>
            <w:r>
              <w:rPr>
                <w:spacing w:val="-2"/>
              </w:rPr>
              <w:t>remove</w:t>
            </w:r>
            <w:r>
              <w:rPr>
                <w:spacing w:val="-3"/>
              </w:rPr>
              <w:t xml:space="preserve"> </w:t>
            </w:r>
            <w:r>
              <w:rPr>
                <w:spacing w:val="-2"/>
              </w:rPr>
              <w:t>the</w:t>
            </w:r>
            <w:r>
              <w:rPr>
                <w:spacing w:val="-3"/>
              </w:rPr>
              <w:t xml:space="preserve"> </w:t>
            </w:r>
            <w:r>
              <w:rPr>
                <w:spacing w:val="-2"/>
              </w:rPr>
              <w:t>power</w:t>
            </w:r>
            <w:r>
              <w:rPr>
                <w:spacing w:val="-3"/>
              </w:rPr>
              <w:t xml:space="preserve"> </w:t>
            </w:r>
            <w:r>
              <w:rPr>
                <w:spacing w:val="-2"/>
              </w:rPr>
              <w:t>of</w:t>
            </w:r>
            <w:r>
              <w:rPr>
                <w:spacing w:val="-3"/>
              </w:rPr>
              <w:t xml:space="preserve"> </w:t>
            </w:r>
            <w:r>
              <w:rPr>
                <w:spacing w:val="-2"/>
              </w:rPr>
              <w:t>the</w:t>
            </w:r>
            <w:r>
              <w:rPr>
                <w:spacing w:val="-4"/>
              </w:rPr>
              <w:t xml:space="preserve"> </w:t>
            </w:r>
            <w:r>
              <w:rPr>
                <w:spacing w:val="-2"/>
              </w:rPr>
              <w:t>Treasurer</w:t>
            </w:r>
            <w:r>
              <w:rPr>
                <w:spacing w:val="-3"/>
              </w:rPr>
              <w:t xml:space="preserve"> </w:t>
            </w:r>
            <w:r>
              <w:rPr>
                <w:spacing w:val="-2"/>
              </w:rPr>
              <w:t>to</w:t>
            </w:r>
            <w:r>
              <w:rPr>
                <w:spacing w:val="-3"/>
              </w:rPr>
              <w:t xml:space="preserve"> </w:t>
            </w:r>
            <w:r>
              <w:rPr>
                <w:spacing w:val="-2"/>
              </w:rPr>
              <w:t>overrule</w:t>
            </w:r>
            <w:r>
              <w:rPr>
                <w:spacing w:val="-3"/>
              </w:rPr>
              <w:t xml:space="preserve"> </w:t>
            </w:r>
            <w:r>
              <w:rPr>
                <w:spacing w:val="-2"/>
              </w:rPr>
              <w:t>the</w:t>
            </w:r>
            <w:r>
              <w:rPr>
                <w:spacing w:val="-3"/>
              </w:rPr>
              <w:t xml:space="preserve"> </w:t>
            </w:r>
            <w:r>
              <w:rPr>
                <w:spacing w:val="-2"/>
              </w:rPr>
              <w:t>RBA’s</w:t>
            </w:r>
            <w:r>
              <w:rPr>
                <w:spacing w:val="-3"/>
              </w:rPr>
              <w:t xml:space="preserve"> </w:t>
            </w:r>
            <w:r>
              <w:rPr>
                <w:spacing w:val="-2"/>
              </w:rPr>
              <w:t>decisions.</w:t>
            </w:r>
          </w:p>
        </w:tc>
      </w:tr>
      <w:tr w:rsidR="004933F5" w14:paraId="7B545D94" w14:textId="77777777" w:rsidTr="00F22AE5">
        <w:trPr>
          <w:trHeight w:val="1718"/>
        </w:trPr>
        <w:tc>
          <w:tcPr>
            <w:tcW w:w="428" w:type="pct"/>
            <w:tcBorders>
              <w:top w:val="single" w:sz="8" w:space="0" w:color="ECEDE9"/>
              <w:bottom w:val="single" w:sz="8" w:space="0" w:color="ECEDE9"/>
            </w:tcBorders>
          </w:tcPr>
          <w:p w14:paraId="3E510C84" w14:textId="77777777" w:rsidR="004933F5" w:rsidRDefault="004933F5" w:rsidP="00F22AE5">
            <w:r>
              <w:t>1.2</w:t>
            </w:r>
          </w:p>
        </w:tc>
        <w:tc>
          <w:tcPr>
            <w:tcW w:w="4572" w:type="pct"/>
            <w:tcBorders>
              <w:top w:val="single" w:sz="8" w:space="0" w:color="ECEDE9"/>
              <w:bottom w:val="single" w:sz="8" w:space="0" w:color="ECEDE9"/>
            </w:tcBorders>
          </w:tcPr>
          <w:p w14:paraId="4659EDE8" w14:textId="77777777" w:rsidR="004933F5" w:rsidRDefault="004933F5" w:rsidP="00F22AE5">
            <w:r>
              <w:t>The</w:t>
            </w:r>
            <w:r>
              <w:rPr>
                <w:spacing w:val="-1"/>
              </w:rPr>
              <w:t xml:space="preserve"> </w:t>
            </w:r>
            <w:r>
              <w:t>Government should</w:t>
            </w:r>
            <w:r>
              <w:rPr>
                <w:spacing w:val="-1"/>
              </w:rPr>
              <w:t xml:space="preserve"> </w:t>
            </w:r>
            <w:r>
              <w:t>amend the</w:t>
            </w:r>
            <w:r>
              <w:rPr>
                <w:spacing w:val="-1"/>
              </w:rPr>
              <w:t xml:space="preserve"> </w:t>
            </w:r>
            <w:r>
              <w:rPr>
                <w:i/>
              </w:rPr>
              <w:t>Reserve Bank</w:t>
            </w:r>
            <w:r>
              <w:rPr>
                <w:i/>
                <w:spacing w:val="-1"/>
              </w:rPr>
              <w:t xml:space="preserve"> </w:t>
            </w:r>
            <w:r>
              <w:rPr>
                <w:i/>
              </w:rPr>
              <w:t>Act 1959</w:t>
            </w:r>
            <w:r>
              <w:rPr>
                <w:i/>
                <w:spacing w:val="-1"/>
              </w:rPr>
              <w:t xml:space="preserve"> </w:t>
            </w:r>
            <w:r>
              <w:t xml:space="preserve">such </w:t>
            </w:r>
            <w:r>
              <w:rPr>
                <w:spacing w:val="-2"/>
              </w:rPr>
              <w:t>that:</w:t>
            </w:r>
          </w:p>
          <w:p w14:paraId="0308C1D7" w14:textId="77777777" w:rsidR="004933F5" w:rsidRDefault="004933F5" w:rsidP="0000278A">
            <w:pPr>
              <w:pStyle w:val="Bullet"/>
            </w:pPr>
            <w:r>
              <w:t>The</w:t>
            </w:r>
            <w:r>
              <w:rPr>
                <w:spacing w:val="-5"/>
              </w:rPr>
              <w:t xml:space="preserve"> </w:t>
            </w:r>
            <w:r>
              <w:t>RBA</w:t>
            </w:r>
            <w:r>
              <w:rPr>
                <w:spacing w:val="-2"/>
              </w:rPr>
              <w:t xml:space="preserve"> </w:t>
            </w:r>
            <w:r>
              <w:t>has</w:t>
            </w:r>
            <w:r>
              <w:rPr>
                <w:spacing w:val="-2"/>
              </w:rPr>
              <w:t xml:space="preserve"> </w:t>
            </w:r>
            <w:r>
              <w:t>dual</w:t>
            </w:r>
            <w:r>
              <w:rPr>
                <w:spacing w:val="-3"/>
              </w:rPr>
              <w:t xml:space="preserve"> </w:t>
            </w:r>
            <w:r>
              <w:t>monetary</w:t>
            </w:r>
            <w:r>
              <w:rPr>
                <w:spacing w:val="-2"/>
              </w:rPr>
              <w:t xml:space="preserve"> </w:t>
            </w:r>
            <w:r>
              <w:t>policy</w:t>
            </w:r>
            <w:r>
              <w:rPr>
                <w:spacing w:val="-2"/>
              </w:rPr>
              <w:t xml:space="preserve"> </w:t>
            </w:r>
            <w:r>
              <w:t>objectives</w:t>
            </w:r>
            <w:r>
              <w:rPr>
                <w:spacing w:val="-3"/>
              </w:rPr>
              <w:t xml:space="preserve"> </w:t>
            </w:r>
            <w:r>
              <w:t>of</w:t>
            </w:r>
            <w:r>
              <w:rPr>
                <w:spacing w:val="-2"/>
              </w:rPr>
              <w:t xml:space="preserve"> </w:t>
            </w:r>
            <w:r>
              <w:t>price</w:t>
            </w:r>
            <w:r>
              <w:rPr>
                <w:spacing w:val="-2"/>
              </w:rPr>
              <w:t xml:space="preserve"> </w:t>
            </w:r>
            <w:r>
              <w:t>stability</w:t>
            </w:r>
            <w:r>
              <w:rPr>
                <w:spacing w:val="-3"/>
              </w:rPr>
              <w:t xml:space="preserve"> </w:t>
            </w:r>
            <w:r>
              <w:t>and</w:t>
            </w:r>
            <w:r>
              <w:rPr>
                <w:spacing w:val="-2"/>
              </w:rPr>
              <w:t xml:space="preserve"> </w:t>
            </w:r>
            <w:r>
              <w:t>full</w:t>
            </w:r>
            <w:r>
              <w:rPr>
                <w:spacing w:val="-2"/>
              </w:rPr>
              <w:t xml:space="preserve"> employment.</w:t>
            </w:r>
          </w:p>
          <w:p w14:paraId="0200FF72" w14:textId="77777777" w:rsidR="004933F5" w:rsidRDefault="004933F5" w:rsidP="0000278A">
            <w:pPr>
              <w:pStyle w:val="Bullet"/>
            </w:pPr>
            <w:r>
              <w:t>The ‘economic prosperity and welfare of the people of Australia now and in the future’ is an overarching purpose for the RBA rather than a separate objective for monetary policy.</w:t>
            </w:r>
          </w:p>
        </w:tc>
      </w:tr>
      <w:tr w:rsidR="004933F5" w14:paraId="11AB6BFC" w14:textId="77777777" w:rsidTr="00F22AE5">
        <w:trPr>
          <w:trHeight w:val="923"/>
        </w:trPr>
        <w:tc>
          <w:tcPr>
            <w:tcW w:w="428" w:type="pct"/>
            <w:tcBorders>
              <w:top w:val="single" w:sz="8" w:space="0" w:color="ECEDE9"/>
            </w:tcBorders>
          </w:tcPr>
          <w:p w14:paraId="6E96EB32" w14:textId="77777777" w:rsidR="004933F5" w:rsidRDefault="004933F5" w:rsidP="00F22AE5">
            <w:r>
              <w:t>1.3</w:t>
            </w:r>
          </w:p>
        </w:tc>
        <w:tc>
          <w:tcPr>
            <w:tcW w:w="4572" w:type="pct"/>
            <w:tcBorders>
              <w:top w:val="single" w:sz="8" w:space="0" w:color="ECEDE9"/>
            </w:tcBorders>
          </w:tcPr>
          <w:p w14:paraId="2EC9E037" w14:textId="77777777" w:rsidR="004933F5" w:rsidRDefault="004933F5" w:rsidP="00F22AE5">
            <w:r>
              <w:t>The</w:t>
            </w:r>
            <w:r>
              <w:rPr>
                <w:spacing w:val="-3"/>
              </w:rPr>
              <w:t xml:space="preserve"> </w:t>
            </w:r>
            <w:r>
              <w:t>Government</w:t>
            </w:r>
            <w:r>
              <w:rPr>
                <w:spacing w:val="-3"/>
              </w:rPr>
              <w:t xml:space="preserve"> </w:t>
            </w:r>
            <w:r>
              <w:t>should</w:t>
            </w:r>
            <w:r>
              <w:rPr>
                <w:spacing w:val="-3"/>
              </w:rPr>
              <w:t xml:space="preserve"> </w:t>
            </w:r>
            <w:r>
              <w:t>remove</w:t>
            </w:r>
            <w:r>
              <w:rPr>
                <w:spacing w:val="-3"/>
              </w:rPr>
              <w:t xml:space="preserve"> </w:t>
            </w:r>
            <w:r>
              <w:t>the</w:t>
            </w:r>
            <w:r>
              <w:rPr>
                <w:spacing w:val="-3"/>
              </w:rPr>
              <w:t xml:space="preserve"> </w:t>
            </w:r>
            <w:r>
              <w:t>RBA’s</w:t>
            </w:r>
            <w:r>
              <w:rPr>
                <w:spacing w:val="-3"/>
              </w:rPr>
              <w:t xml:space="preserve"> </w:t>
            </w:r>
            <w:r>
              <w:t>power</w:t>
            </w:r>
            <w:r>
              <w:rPr>
                <w:spacing w:val="-3"/>
              </w:rPr>
              <w:t xml:space="preserve"> </w:t>
            </w:r>
            <w:r>
              <w:t>(in</w:t>
            </w:r>
            <w:r>
              <w:rPr>
                <w:spacing w:val="-3"/>
              </w:rPr>
              <w:t xml:space="preserve"> </w:t>
            </w:r>
            <w:r>
              <w:t>the</w:t>
            </w:r>
            <w:r>
              <w:rPr>
                <w:spacing w:val="-4"/>
              </w:rPr>
              <w:t xml:space="preserve"> </w:t>
            </w:r>
            <w:r>
              <w:rPr>
                <w:i/>
              </w:rPr>
              <w:t>Banking</w:t>
            </w:r>
            <w:r>
              <w:rPr>
                <w:i/>
                <w:spacing w:val="-3"/>
              </w:rPr>
              <w:t xml:space="preserve"> </w:t>
            </w:r>
            <w:r>
              <w:rPr>
                <w:i/>
              </w:rPr>
              <w:t>Act</w:t>
            </w:r>
            <w:r>
              <w:rPr>
                <w:i/>
                <w:spacing w:val="-3"/>
              </w:rPr>
              <w:t xml:space="preserve"> </w:t>
            </w:r>
            <w:r>
              <w:rPr>
                <w:i/>
              </w:rPr>
              <w:t>1959</w:t>
            </w:r>
            <w:r>
              <w:t>)</w:t>
            </w:r>
            <w:r>
              <w:rPr>
                <w:spacing w:val="-3"/>
              </w:rPr>
              <w:t xml:space="preserve"> </w:t>
            </w:r>
            <w:r>
              <w:t>to determine the lending policy of banks.</w:t>
            </w:r>
          </w:p>
        </w:tc>
      </w:tr>
    </w:tbl>
    <w:p w14:paraId="7DE42B41" w14:textId="79DC0AA6" w:rsidR="003F19F0" w:rsidRDefault="003F19F0" w:rsidP="003F19F0">
      <w:r>
        <w:t>The Government should clarify the RBA’s role through updates to the RBA Act</w:t>
      </w:r>
      <w:r w:rsidR="0068598E">
        <w:rPr>
          <w:spacing w:val="-19"/>
        </w:rPr>
        <w:t>.</w:t>
      </w:r>
      <w:r>
        <w:t xml:space="preserve"> By making the</w:t>
      </w:r>
      <w:r>
        <w:rPr>
          <w:spacing w:val="40"/>
        </w:rPr>
        <w:t xml:space="preserve"> </w:t>
      </w:r>
      <w:r>
        <w:t>RBA’s objectives for monetary policy more specific, these changes help make the link between policy decisions and objectives clearer than the existing legislation and improve the ability of the Parliament and the public to hold the RBA to account</w:t>
      </w:r>
      <w:r w:rsidR="0068598E">
        <w:rPr>
          <w:spacing w:val="-20"/>
        </w:rPr>
        <w:t>.</w:t>
      </w:r>
      <w:r>
        <w:rPr>
          <w:w w:val="85"/>
        </w:rPr>
        <w:t xml:space="preserve"> </w:t>
      </w:r>
      <w:r>
        <w:t>The RBA Act would remain an enduring guide to the objectives of monetary policy and the RBA’s other operations, with finer details of the RBA’s</w:t>
      </w:r>
      <w:r>
        <w:rPr>
          <w:spacing w:val="-1"/>
        </w:rPr>
        <w:t xml:space="preserve"> </w:t>
      </w:r>
      <w:r>
        <w:t>approach to be</w:t>
      </w:r>
      <w:r>
        <w:rPr>
          <w:spacing w:val="-1"/>
        </w:rPr>
        <w:t xml:space="preserve"> </w:t>
      </w:r>
      <w:r>
        <w:t>outlined periodically in</w:t>
      </w:r>
      <w:r>
        <w:rPr>
          <w:spacing w:val="-1"/>
        </w:rPr>
        <w:t xml:space="preserve"> </w:t>
      </w:r>
      <w:r>
        <w:t>the Statement on</w:t>
      </w:r>
      <w:r>
        <w:rPr>
          <w:spacing w:val="-1"/>
        </w:rPr>
        <w:t xml:space="preserve"> </w:t>
      </w:r>
      <w:r>
        <w:t>Conduct</w:t>
      </w:r>
      <w:r w:rsidR="0068598E">
        <w:rPr>
          <w:spacing w:val="-24"/>
        </w:rPr>
        <w:t>.</w:t>
      </w:r>
      <w:r>
        <w:t xml:space="preserve"> Recommendations for</w:t>
      </w:r>
      <w:r>
        <w:rPr>
          <w:spacing w:val="-1"/>
        </w:rPr>
        <w:t xml:space="preserve"> </w:t>
      </w:r>
      <w:r>
        <w:rPr>
          <w:spacing w:val="-5"/>
        </w:rPr>
        <w:t xml:space="preserve">the </w:t>
      </w:r>
      <w:r>
        <w:t>Statement on Conduct</w:t>
      </w:r>
      <w:r>
        <w:rPr>
          <w:spacing w:val="1"/>
        </w:rPr>
        <w:t xml:space="preserve"> </w:t>
      </w:r>
      <w:r>
        <w:t>are discussed</w:t>
      </w:r>
      <w:r>
        <w:rPr>
          <w:spacing w:val="1"/>
        </w:rPr>
        <w:t xml:space="preserve"> </w:t>
      </w:r>
      <w:r>
        <w:t>in Recommendation</w:t>
      </w:r>
      <w:r>
        <w:rPr>
          <w:spacing w:val="1"/>
        </w:rPr>
        <w:t xml:space="preserve"> </w:t>
      </w:r>
      <w:r>
        <w:rPr>
          <w:spacing w:val="-5"/>
        </w:rPr>
        <w:t>2.</w:t>
      </w:r>
    </w:p>
    <w:p w14:paraId="7996B1FD" w14:textId="0255E1FF" w:rsidR="003F19F0" w:rsidRDefault="003F19F0" w:rsidP="00FC0177">
      <w:r>
        <w:t>These improvements</w:t>
      </w:r>
      <w:r>
        <w:rPr>
          <w:spacing w:val="2"/>
        </w:rPr>
        <w:t xml:space="preserve"> </w:t>
      </w:r>
      <w:r>
        <w:t>to</w:t>
      </w:r>
      <w:r>
        <w:rPr>
          <w:spacing w:val="2"/>
        </w:rPr>
        <w:t xml:space="preserve"> </w:t>
      </w:r>
      <w:r>
        <w:t>the</w:t>
      </w:r>
      <w:r>
        <w:rPr>
          <w:spacing w:val="3"/>
        </w:rPr>
        <w:t xml:space="preserve"> </w:t>
      </w:r>
      <w:r>
        <w:t>job</w:t>
      </w:r>
      <w:r>
        <w:rPr>
          <w:spacing w:val="2"/>
        </w:rPr>
        <w:t xml:space="preserve"> </w:t>
      </w:r>
      <w:r>
        <w:t>description</w:t>
      </w:r>
      <w:r>
        <w:rPr>
          <w:spacing w:val="2"/>
        </w:rPr>
        <w:t xml:space="preserve"> </w:t>
      </w:r>
      <w:r>
        <w:t>for</w:t>
      </w:r>
      <w:r>
        <w:rPr>
          <w:spacing w:val="2"/>
        </w:rPr>
        <w:t xml:space="preserve"> </w:t>
      </w:r>
      <w:r>
        <w:t>monetary</w:t>
      </w:r>
      <w:r>
        <w:rPr>
          <w:spacing w:val="3"/>
        </w:rPr>
        <w:t xml:space="preserve"> </w:t>
      </w:r>
      <w:r>
        <w:t>policy</w:t>
      </w:r>
      <w:r>
        <w:rPr>
          <w:spacing w:val="2"/>
        </w:rPr>
        <w:t xml:space="preserve"> </w:t>
      </w:r>
      <w:r>
        <w:t>are</w:t>
      </w:r>
      <w:r>
        <w:rPr>
          <w:spacing w:val="2"/>
        </w:rPr>
        <w:t xml:space="preserve"> </w:t>
      </w:r>
      <w:r>
        <w:t>complemented</w:t>
      </w:r>
      <w:r>
        <w:rPr>
          <w:spacing w:val="3"/>
        </w:rPr>
        <w:t xml:space="preserve"> </w:t>
      </w:r>
      <w:r>
        <w:rPr>
          <w:spacing w:val="-5"/>
        </w:rPr>
        <w:t>by</w:t>
      </w:r>
      <w:r>
        <w:t xml:space="preserve"> Recommendation</w:t>
      </w:r>
      <w:r>
        <w:rPr>
          <w:spacing w:val="-12"/>
        </w:rPr>
        <w:t xml:space="preserve"> </w:t>
      </w:r>
      <w:r>
        <w:t>5,</w:t>
      </w:r>
      <w:r>
        <w:rPr>
          <w:spacing w:val="-9"/>
        </w:rPr>
        <w:t xml:space="preserve"> </w:t>
      </w:r>
      <w:r>
        <w:t>which</w:t>
      </w:r>
      <w:r>
        <w:rPr>
          <w:spacing w:val="-9"/>
        </w:rPr>
        <w:t xml:space="preserve"> </w:t>
      </w:r>
      <w:r>
        <w:t>establishes</w:t>
      </w:r>
      <w:r>
        <w:rPr>
          <w:spacing w:val="-10"/>
        </w:rPr>
        <w:t xml:space="preserve"> </w:t>
      </w:r>
      <w:r>
        <w:t>a</w:t>
      </w:r>
      <w:r>
        <w:rPr>
          <w:spacing w:val="-9"/>
        </w:rPr>
        <w:t xml:space="preserve"> </w:t>
      </w:r>
      <w:r>
        <w:t>clear</w:t>
      </w:r>
      <w:r>
        <w:rPr>
          <w:spacing w:val="-10"/>
        </w:rPr>
        <w:t xml:space="preserve"> </w:t>
      </w:r>
      <w:r>
        <w:t>legislative</w:t>
      </w:r>
      <w:r>
        <w:rPr>
          <w:spacing w:val="-9"/>
        </w:rPr>
        <w:t xml:space="preserve"> </w:t>
      </w:r>
      <w:r>
        <w:t>basis</w:t>
      </w:r>
      <w:r>
        <w:rPr>
          <w:spacing w:val="-9"/>
        </w:rPr>
        <w:t xml:space="preserve"> </w:t>
      </w:r>
      <w:r>
        <w:t>for</w:t>
      </w:r>
      <w:r>
        <w:rPr>
          <w:spacing w:val="-11"/>
        </w:rPr>
        <w:t xml:space="preserve"> </w:t>
      </w:r>
      <w:r>
        <w:t>the</w:t>
      </w:r>
      <w:r>
        <w:rPr>
          <w:spacing w:val="-9"/>
        </w:rPr>
        <w:t xml:space="preserve"> </w:t>
      </w:r>
      <w:r>
        <w:t>RBA’s</w:t>
      </w:r>
      <w:r>
        <w:rPr>
          <w:spacing w:val="-9"/>
        </w:rPr>
        <w:t xml:space="preserve"> </w:t>
      </w:r>
      <w:r>
        <w:t>financial</w:t>
      </w:r>
      <w:r>
        <w:rPr>
          <w:spacing w:val="-10"/>
        </w:rPr>
        <w:t xml:space="preserve"> </w:t>
      </w:r>
      <w:r>
        <w:t>stability</w:t>
      </w:r>
      <w:r>
        <w:rPr>
          <w:spacing w:val="-9"/>
        </w:rPr>
        <w:t xml:space="preserve"> </w:t>
      </w:r>
      <w:r>
        <w:rPr>
          <w:spacing w:val="-2"/>
        </w:rPr>
        <w:t>role.</w:t>
      </w:r>
    </w:p>
    <w:p w14:paraId="61CFDDCE" w14:textId="2003F1CE" w:rsidR="004063EA" w:rsidRPr="003F56DA" w:rsidRDefault="004063EA" w:rsidP="003F56DA">
      <w:pPr>
        <w:pStyle w:val="Heading3"/>
      </w:pPr>
      <w:r w:rsidRPr="003F56DA">
        <w:t xml:space="preserve">Recommendation 1.1: An independent RBA </w:t>
      </w:r>
    </w:p>
    <w:p w14:paraId="7E7D14DA" w14:textId="77777777" w:rsidR="004063EA" w:rsidRDefault="004063EA" w:rsidP="00A0633B">
      <w:pPr>
        <w:pStyle w:val="Heading4"/>
      </w:pPr>
      <w:r>
        <w:t>Operational</w:t>
      </w:r>
      <w:r>
        <w:rPr>
          <w:spacing w:val="-1"/>
        </w:rPr>
        <w:t xml:space="preserve"> </w:t>
      </w:r>
      <w:r>
        <w:t>independence</w:t>
      </w:r>
      <w:r>
        <w:rPr>
          <w:spacing w:val="1"/>
        </w:rPr>
        <w:t xml:space="preserve"> </w:t>
      </w:r>
      <w:r>
        <w:t>of</w:t>
      </w:r>
      <w:r>
        <w:rPr>
          <w:spacing w:val="1"/>
        </w:rPr>
        <w:t xml:space="preserve"> </w:t>
      </w:r>
      <w:r>
        <w:t>the</w:t>
      </w:r>
      <w:r>
        <w:rPr>
          <w:spacing w:val="1"/>
        </w:rPr>
        <w:t xml:space="preserve"> </w:t>
      </w:r>
      <w:r>
        <w:rPr>
          <w:spacing w:val="-5"/>
        </w:rPr>
        <w:t>RBA</w:t>
      </w:r>
    </w:p>
    <w:p w14:paraId="1F95FA6A" w14:textId="74AA8BEE" w:rsidR="004063EA" w:rsidRDefault="004063EA" w:rsidP="004063EA">
      <w:r>
        <w:t>The Review strongly supports the ongoing operational independence of the RBA</w:t>
      </w:r>
      <w:r w:rsidR="0068598E">
        <w:rPr>
          <w:spacing w:val="-23"/>
        </w:rPr>
        <w:t>.</w:t>
      </w:r>
      <w:r>
        <w:rPr>
          <w:w w:val="85"/>
        </w:rPr>
        <w:t xml:space="preserve"> </w:t>
      </w:r>
      <w:r>
        <w:t>There is a strong case for separating monetary policy decision making from shorter-run government priorities</w:t>
      </w:r>
      <w:r w:rsidR="0068598E">
        <w:rPr>
          <w:spacing w:val="-20"/>
        </w:rPr>
        <w:t>.</w:t>
      </w:r>
      <w:r>
        <w:rPr>
          <w:w w:val="85"/>
        </w:rPr>
        <w:t xml:space="preserve"> </w:t>
      </w:r>
      <w:r>
        <w:t>The consultation and submission process showed widespread support for this independence</w:t>
      </w:r>
      <w:r w:rsidR="0068598E">
        <w:rPr>
          <w:spacing w:val="-24"/>
        </w:rPr>
        <w:t>.</w:t>
      </w:r>
      <w:r>
        <w:rPr>
          <w:w w:val="85"/>
        </w:rPr>
        <w:t xml:space="preserve"> </w:t>
      </w:r>
      <w:r>
        <w:t>There is scope for this to be bolstered through removing the Treasurer’s power to overrule decisions</w:t>
      </w:r>
      <w:r w:rsidR="0068598E">
        <w:rPr>
          <w:spacing w:val="-19"/>
        </w:rPr>
        <w:t>.</w:t>
      </w:r>
    </w:p>
    <w:p w14:paraId="57B47ADD" w14:textId="6C2EB528" w:rsidR="004063EA" w:rsidRDefault="004063EA" w:rsidP="004063EA">
      <w:r>
        <w:t>Independence allows central banks to credibly commit to their objectives</w:t>
      </w:r>
      <w:r w:rsidR="0068598E">
        <w:rPr>
          <w:spacing w:val="-24"/>
        </w:rPr>
        <w:t>.</w:t>
      </w:r>
      <w:r>
        <w:rPr>
          <w:w w:val="85"/>
        </w:rPr>
        <w:t xml:space="preserve"> </w:t>
      </w:r>
      <w:r>
        <w:t>If an elected government controls monetary policy there are risks that it may try to push the economy to run above its capacity, resulting in higher inflation but with no lasting impact on employment. Or it could more easily choose to finance budget deficits by printing money. In either case, government control of monetary policy limits the credibility of any commitment to delivering low and stable inflation.</w:t>
      </w:r>
    </w:p>
    <w:p w14:paraId="41DA5FA1" w14:textId="508641AD" w:rsidR="004063EA" w:rsidRDefault="004063EA" w:rsidP="004063EA">
      <w:r>
        <w:t>The evidence and consensus internationally support these arguments for an operationally independent central bank</w:t>
      </w:r>
      <w:r w:rsidR="0068598E">
        <w:rPr>
          <w:spacing w:val="-17"/>
        </w:rPr>
        <w:t>.</w:t>
      </w:r>
      <w:r>
        <w:t xml:space="preserve"> The independence of monetary policy and the application of</w:t>
      </w:r>
      <w:r>
        <w:rPr>
          <w:spacing w:val="40"/>
        </w:rPr>
        <w:t xml:space="preserve"> </w:t>
      </w:r>
      <w:r>
        <w:t>inflation targeting frameworks have coincided with an increase in the credibility of central</w:t>
      </w:r>
      <w:r>
        <w:rPr>
          <w:spacing w:val="80"/>
        </w:rPr>
        <w:t xml:space="preserve"> </w:t>
      </w:r>
      <w:r>
        <w:t>banks’ commitment to price stability and lower inflation outcomes (Balls, Howat and Stansbury 2016)</w:t>
      </w:r>
      <w:r w:rsidR="0068598E">
        <w:rPr>
          <w:spacing w:val="-25"/>
        </w:rPr>
        <w:t>.</w:t>
      </w:r>
      <w:r>
        <w:rPr>
          <w:w w:val="85"/>
        </w:rPr>
        <w:t xml:space="preserve"> </w:t>
      </w:r>
      <w:r>
        <w:t>There</w:t>
      </w:r>
      <w:r>
        <w:rPr>
          <w:spacing w:val="-2"/>
        </w:rPr>
        <w:t xml:space="preserve"> </w:t>
      </w:r>
      <w:r>
        <w:t>is</w:t>
      </w:r>
      <w:r>
        <w:rPr>
          <w:spacing w:val="-2"/>
        </w:rPr>
        <w:t xml:space="preserve"> </w:t>
      </w:r>
      <w:r>
        <w:t>evidence</w:t>
      </w:r>
      <w:r>
        <w:rPr>
          <w:spacing w:val="-2"/>
        </w:rPr>
        <w:t xml:space="preserve"> </w:t>
      </w:r>
      <w:r>
        <w:t>of</w:t>
      </w:r>
      <w:r>
        <w:rPr>
          <w:spacing w:val="-2"/>
        </w:rPr>
        <w:t xml:space="preserve"> </w:t>
      </w:r>
      <w:r>
        <w:t>this</w:t>
      </w:r>
      <w:r>
        <w:rPr>
          <w:spacing w:val="-2"/>
        </w:rPr>
        <w:t xml:space="preserve"> </w:t>
      </w:r>
      <w:r>
        <w:t>at</w:t>
      </w:r>
      <w:r>
        <w:rPr>
          <w:spacing w:val="-2"/>
        </w:rPr>
        <w:t xml:space="preserve"> </w:t>
      </w:r>
      <w:r>
        <w:t>present</w:t>
      </w:r>
      <w:r>
        <w:rPr>
          <w:spacing w:val="-2"/>
        </w:rPr>
        <w:t xml:space="preserve"> </w:t>
      </w:r>
      <w:r>
        <w:t>across</w:t>
      </w:r>
      <w:r>
        <w:rPr>
          <w:spacing w:val="-2"/>
        </w:rPr>
        <w:t xml:space="preserve"> </w:t>
      </w:r>
      <w:r>
        <w:t>a</w:t>
      </w:r>
      <w:r>
        <w:rPr>
          <w:spacing w:val="-2"/>
        </w:rPr>
        <w:t xml:space="preserve"> </w:t>
      </w:r>
      <w:r>
        <w:t>range</w:t>
      </w:r>
      <w:r>
        <w:rPr>
          <w:spacing w:val="-2"/>
        </w:rPr>
        <w:t xml:space="preserve"> </w:t>
      </w:r>
      <w:r>
        <w:t>of</w:t>
      </w:r>
      <w:r>
        <w:rPr>
          <w:spacing w:val="-2"/>
        </w:rPr>
        <w:t xml:space="preserve"> </w:t>
      </w:r>
      <w:r>
        <w:t>countries</w:t>
      </w:r>
      <w:r>
        <w:rPr>
          <w:spacing w:val="-2"/>
        </w:rPr>
        <w:t xml:space="preserve"> </w:t>
      </w:r>
      <w:r>
        <w:t>including</w:t>
      </w:r>
      <w:r>
        <w:rPr>
          <w:spacing w:val="-2"/>
        </w:rPr>
        <w:t xml:space="preserve"> </w:t>
      </w:r>
      <w:r>
        <w:t>Australia,</w:t>
      </w:r>
      <w:r>
        <w:rPr>
          <w:spacing w:val="-2"/>
        </w:rPr>
        <w:t xml:space="preserve"> </w:t>
      </w:r>
      <w:r>
        <w:t xml:space="preserve">where market-based indicators suggest </w:t>
      </w:r>
      <w:r>
        <w:lastRenderedPageBreak/>
        <w:t>that inflation is expected to return to low levels, even in the face of dramatic economic events</w:t>
      </w:r>
      <w:r w:rsidR="0068598E">
        <w:rPr>
          <w:spacing w:val="-19"/>
        </w:rPr>
        <w:t>.</w:t>
      </w:r>
      <w:r>
        <w:rPr>
          <w:w w:val="85"/>
        </w:rPr>
        <w:t xml:space="preserve"> </w:t>
      </w:r>
      <w:r>
        <w:t>This is not causal evidence, but it is certainly supportive</w:t>
      </w:r>
      <w:r w:rsidR="0068598E">
        <w:rPr>
          <w:spacing w:val="-19"/>
        </w:rPr>
        <w:t>.</w:t>
      </w:r>
    </w:p>
    <w:p w14:paraId="71937A2D" w14:textId="0FB98C1B" w:rsidR="004063EA" w:rsidRDefault="004063EA" w:rsidP="004063EA">
      <w:r>
        <w:t>Conversely, where governments have asserted influence over monetary policy settings, such as in Argentina and Turkey in recent years, this has contributed to persistently high inflation and poor macroeconomic outcomes more generally</w:t>
      </w:r>
      <w:r w:rsidR="0068598E">
        <w:rPr>
          <w:spacing w:val="-9"/>
        </w:rPr>
        <w:t>.</w:t>
      </w:r>
    </w:p>
    <w:p w14:paraId="7447986B" w14:textId="77777777" w:rsidR="004063EA" w:rsidRDefault="004063EA" w:rsidP="00A0633B">
      <w:pPr>
        <w:pStyle w:val="Heading4"/>
      </w:pPr>
      <w:r>
        <w:t>Removing</w:t>
      </w:r>
      <w:r>
        <w:rPr>
          <w:spacing w:val="-1"/>
        </w:rPr>
        <w:t xml:space="preserve"> </w:t>
      </w:r>
      <w:r>
        <w:t xml:space="preserve">the Treasurer’s power to overrule RBA </w:t>
      </w:r>
      <w:r>
        <w:rPr>
          <w:spacing w:val="-2"/>
        </w:rPr>
        <w:t>decisions</w:t>
      </w:r>
    </w:p>
    <w:p w14:paraId="79AF25B9" w14:textId="2D0E6DEC" w:rsidR="004063EA" w:rsidRDefault="004063EA" w:rsidP="00A0633B">
      <w:r>
        <w:t>To further enhance the RBA’s monetary policy independence the Review recommends the repeal</w:t>
      </w:r>
      <w:r>
        <w:rPr>
          <w:spacing w:val="80"/>
        </w:rPr>
        <w:t xml:space="preserve"> </w:t>
      </w:r>
      <w:r>
        <w:t>of s 11 (2)-(7) of the RBA Act, which sets out a procedure for the Government to override decisions of the Reserve Bank Board</w:t>
      </w:r>
      <w:r w:rsidR="0068598E">
        <w:rPr>
          <w:spacing w:val="-18"/>
        </w:rPr>
        <w:t>.</w:t>
      </w:r>
      <w:r>
        <w:t xml:space="preserve"> While no Australian Government has used these override powers,</w:t>
      </w:r>
      <w:r>
        <w:rPr>
          <w:spacing w:val="40"/>
        </w:rPr>
        <w:t xml:space="preserve"> </w:t>
      </w:r>
      <w:r>
        <w:t>there is the possibility that established conventions cease to be observed</w:t>
      </w:r>
      <w:r w:rsidR="0068598E">
        <w:rPr>
          <w:spacing w:val="-18"/>
        </w:rPr>
        <w:t>.</w:t>
      </w:r>
      <w:r>
        <w:rPr>
          <w:w w:val="85"/>
        </w:rPr>
        <w:t xml:space="preserve"> </w:t>
      </w:r>
      <w:r>
        <w:t>The current legislation creates the risk that the Government wields, or threatens to wield, power in a way that undermines the independent operation of monetary policy. Parliament should define the RBA’s objectives and independence through the underlying legislation, without the option for overrule by executive Government</w:t>
      </w:r>
      <w:r w:rsidR="0068598E">
        <w:rPr>
          <w:spacing w:val="-25"/>
        </w:rPr>
        <w:t>.</w:t>
      </w:r>
    </w:p>
    <w:p w14:paraId="4F4716ED" w14:textId="7DCFF85E" w:rsidR="004063EA" w:rsidRDefault="004063EA" w:rsidP="00A0633B">
      <w:r>
        <w:t>One area in which the RBA is not independent is in its obligation to act as ‘banker and financial agent’</w:t>
      </w:r>
      <w:r>
        <w:rPr>
          <w:spacing w:val="-10"/>
        </w:rPr>
        <w:t xml:space="preserve"> </w:t>
      </w:r>
      <w:r>
        <w:t>of the Government as required in s 27 of the RBA Act</w:t>
      </w:r>
      <w:r w:rsidR="0068598E">
        <w:rPr>
          <w:spacing w:val="-12"/>
        </w:rPr>
        <w:t>.</w:t>
      </w:r>
      <w:r>
        <w:rPr>
          <w:w w:val="85"/>
        </w:rPr>
        <w:t xml:space="preserve"> </w:t>
      </w:r>
      <w:r>
        <w:t>The repeal of s 11 (2)-(7) does not affect this obligation, which the Review considers as compelling the RBA to provide the banking services necessary for the Government to implement its policies</w:t>
      </w:r>
      <w:r w:rsidR="0068598E">
        <w:rPr>
          <w:spacing w:val="-14"/>
        </w:rPr>
        <w:t>.</w:t>
      </w:r>
    </w:p>
    <w:p w14:paraId="548EC896" w14:textId="77777777" w:rsidR="00DB3D7D" w:rsidRDefault="00DB3D7D">
      <w:pPr>
        <w:spacing w:before="0" w:after="160" w:line="259" w:lineRule="auto"/>
      </w:pPr>
      <w:r>
        <w:br w:type="page"/>
      </w: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5A759B" w14:paraId="61EA4C9E" w14:textId="77777777" w:rsidTr="003E1B2F">
        <w:tc>
          <w:tcPr>
            <w:tcW w:w="5000" w:type="pct"/>
            <w:tcBorders>
              <w:top w:val="nil"/>
              <w:left w:val="nil"/>
              <w:bottom w:val="nil"/>
              <w:right w:val="nil"/>
            </w:tcBorders>
            <w:shd w:val="clear" w:color="auto" w:fill="F9EEDB" w:themeFill="accent6"/>
          </w:tcPr>
          <w:p w14:paraId="4F080307" w14:textId="77777777" w:rsidR="005A759B" w:rsidRDefault="005A759B" w:rsidP="005A759B">
            <w:pPr>
              <w:pStyle w:val="BoxText"/>
              <w:rPr>
                <w:rFonts w:ascii="Open Sans"/>
                <w:b/>
                <w:color w:val="204160"/>
                <w:sz w:val="18"/>
              </w:rPr>
            </w:pPr>
            <w:r>
              <w:rPr>
                <w:rFonts w:ascii="Open Sans"/>
                <w:b/>
                <w:color w:val="204160"/>
                <w:sz w:val="18"/>
              </w:rPr>
              <w:lastRenderedPageBreak/>
              <w:t>Box 2.3: The current monetary policy environment and alternative tools for managing inflation</w:t>
            </w:r>
          </w:p>
          <w:p w14:paraId="64D90F4B" w14:textId="1797C998" w:rsidR="00951F9B" w:rsidRDefault="00951F9B" w:rsidP="00DE7B89">
            <w:pPr>
              <w:pStyle w:val="BoxText"/>
            </w:pPr>
            <w:r>
              <w:t>Monetary</w:t>
            </w:r>
            <w:r>
              <w:rPr>
                <w:spacing w:val="-4"/>
              </w:rPr>
              <w:t xml:space="preserve"> </w:t>
            </w:r>
            <w:r>
              <w:t>policy</w:t>
            </w:r>
            <w:r>
              <w:rPr>
                <w:spacing w:val="-4"/>
              </w:rPr>
              <w:t xml:space="preserve"> </w:t>
            </w:r>
            <w:r>
              <w:t>has</w:t>
            </w:r>
            <w:r>
              <w:rPr>
                <w:spacing w:val="-4"/>
              </w:rPr>
              <w:t xml:space="preserve"> </w:t>
            </w:r>
            <w:r>
              <w:t>had</w:t>
            </w:r>
            <w:r>
              <w:rPr>
                <w:spacing w:val="-4"/>
              </w:rPr>
              <w:t xml:space="preserve"> </w:t>
            </w:r>
            <w:r>
              <w:t>primary</w:t>
            </w:r>
            <w:r>
              <w:rPr>
                <w:spacing w:val="-4"/>
              </w:rPr>
              <w:t xml:space="preserve"> </w:t>
            </w:r>
            <w:r>
              <w:t>responsibility</w:t>
            </w:r>
            <w:r>
              <w:rPr>
                <w:spacing w:val="-4"/>
              </w:rPr>
              <w:t xml:space="preserve"> </w:t>
            </w:r>
            <w:r>
              <w:t>for</w:t>
            </w:r>
            <w:r>
              <w:rPr>
                <w:spacing w:val="-4"/>
              </w:rPr>
              <w:t xml:space="preserve"> </w:t>
            </w:r>
            <w:r>
              <w:t>active</w:t>
            </w:r>
            <w:r>
              <w:rPr>
                <w:spacing w:val="-4"/>
              </w:rPr>
              <w:t xml:space="preserve"> </w:t>
            </w:r>
            <w:r>
              <w:t>management</w:t>
            </w:r>
            <w:r>
              <w:rPr>
                <w:spacing w:val="-4"/>
              </w:rPr>
              <w:t xml:space="preserve"> </w:t>
            </w:r>
            <w:r>
              <w:t>of</w:t>
            </w:r>
            <w:r>
              <w:rPr>
                <w:spacing w:val="-4"/>
              </w:rPr>
              <w:t xml:space="preserve"> </w:t>
            </w:r>
            <w:r>
              <w:t>the</w:t>
            </w:r>
            <w:r>
              <w:rPr>
                <w:spacing w:val="-4"/>
              </w:rPr>
              <w:t xml:space="preserve"> </w:t>
            </w:r>
            <w:r>
              <w:t>macroeconomic cycle over recent decades, seeking to stabilise inflation and contribute to full employment. By contrast,</w:t>
            </w:r>
            <w:r>
              <w:rPr>
                <w:spacing w:val="-1"/>
              </w:rPr>
              <w:t xml:space="preserve"> </w:t>
            </w:r>
            <w:r>
              <w:t>fiscal</w:t>
            </w:r>
            <w:r>
              <w:rPr>
                <w:spacing w:val="-1"/>
              </w:rPr>
              <w:t xml:space="preserve"> </w:t>
            </w:r>
            <w:r>
              <w:t>and</w:t>
            </w:r>
            <w:r>
              <w:rPr>
                <w:spacing w:val="-1"/>
              </w:rPr>
              <w:t xml:space="preserve"> </w:t>
            </w:r>
            <w:r>
              <w:t>regulatory</w:t>
            </w:r>
            <w:r>
              <w:rPr>
                <w:spacing w:val="-1"/>
              </w:rPr>
              <w:t xml:space="preserve"> </w:t>
            </w:r>
            <w:r>
              <w:t>policies</w:t>
            </w:r>
            <w:r>
              <w:rPr>
                <w:spacing w:val="-1"/>
              </w:rPr>
              <w:t xml:space="preserve"> </w:t>
            </w:r>
            <w:r>
              <w:t>have</w:t>
            </w:r>
            <w:r>
              <w:rPr>
                <w:spacing w:val="-1"/>
              </w:rPr>
              <w:t xml:space="preserve"> </w:t>
            </w:r>
            <w:r>
              <w:t>tended</w:t>
            </w:r>
            <w:r>
              <w:rPr>
                <w:spacing w:val="-1"/>
              </w:rPr>
              <w:t xml:space="preserve"> </w:t>
            </w:r>
            <w:r>
              <w:t>to</w:t>
            </w:r>
            <w:r>
              <w:rPr>
                <w:spacing w:val="-1"/>
              </w:rPr>
              <w:t xml:space="preserve"> </w:t>
            </w:r>
            <w:r>
              <w:t>focus</w:t>
            </w:r>
            <w:r>
              <w:rPr>
                <w:spacing w:val="-1"/>
              </w:rPr>
              <w:t xml:space="preserve"> </w:t>
            </w:r>
            <w:r>
              <w:t>on</w:t>
            </w:r>
            <w:r>
              <w:rPr>
                <w:spacing w:val="-1"/>
              </w:rPr>
              <w:t xml:space="preserve"> </w:t>
            </w:r>
            <w:r>
              <w:t>other</w:t>
            </w:r>
            <w:r>
              <w:rPr>
                <w:spacing w:val="-1"/>
              </w:rPr>
              <w:t xml:space="preserve"> </w:t>
            </w:r>
            <w:r>
              <w:t>priorities,</w:t>
            </w:r>
            <w:r>
              <w:rPr>
                <w:spacing w:val="-1"/>
              </w:rPr>
              <w:t xml:space="preserve"> </w:t>
            </w:r>
            <w:r>
              <w:t>except</w:t>
            </w:r>
            <w:r>
              <w:rPr>
                <w:spacing w:val="-1"/>
              </w:rPr>
              <w:t xml:space="preserve"> </w:t>
            </w:r>
            <w:r>
              <w:t>for</w:t>
            </w:r>
            <w:r>
              <w:rPr>
                <w:spacing w:val="-1"/>
              </w:rPr>
              <w:t xml:space="preserve"> </w:t>
            </w:r>
            <w:r>
              <w:t>the operation of ‘automatic stabilisers’ in the tax and transfer system or the stimulus packages implemented during severe disruptions like the Global Financial Crisis or the COVID-19 pandemic</w:t>
            </w:r>
            <w:r w:rsidR="0068598E">
              <w:rPr>
                <w:spacing w:val="-20"/>
              </w:rPr>
              <w:t>.</w:t>
            </w:r>
            <w:r>
              <w:rPr>
                <w:w w:val="85"/>
              </w:rPr>
              <w:t xml:space="preserve"> </w:t>
            </w:r>
            <w:r>
              <w:t>This policy dynamic has existed in Australia and comparable economies</w:t>
            </w:r>
            <w:r w:rsidR="0068598E">
              <w:rPr>
                <w:spacing w:val="-20"/>
              </w:rPr>
              <w:t>.</w:t>
            </w:r>
            <w:r>
              <w:rPr>
                <w:w w:val="85"/>
              </w:rPr>
              <w:t xml:space="preserve"> </w:t>
            </w:r>
            <w:r>
              <w:t>For substantial periods of the last century, the opposite dynamic – with a more passive monetary policy, and more activist fiscal policy – prevailed.</w:t>
            </w:r>
          </w:p>
          <w:p w14:paraId="762C8DC1" w14:textId="77777777" w:rsidR="00951F9B" w:rsidRDefault="00951F9B" w:rsidP="00DE7B89">
            <w:pPr>
              <w:pStyle w:val="BoxText"/>
            </w:pPr>
            <w:r>
              <w:t>The recent steep increase in interest rates, in response to high inflation and a strong labour market, has drawn considerable attention on monetary policy, its objectives, and the broader public policy response to stabilising inflation. Australians are raising important questions: is the best approach to reducing inflation to increase the interest rate? Is this the only way to address this issue? Can we do better? These questions are important to the Review.</w:t>
            </w:r>
          </w:p>
          <w:p w14:paraId="26471954" w14:textId="49706D8C" w:rsidR="00951F9B" w:rsidRDefault="00951F9B" w:rsidP="00DE7B89">
            <w:pPr>
              <w:pStyle w:val="BoxText"/>
            </w:pPr>
            <w:r>
              <w:t>There</w:t>
            </w:r>
            <w:r>
              <w:rPr>
                <w:spacing w:val="1"/>
              </w:rPr>
              <w:t xml:space="preserve"> </w:t>
            </w:r>
            <w:r>
              <w:t>are</w:t>
            </w:r>
            <w:r>
              <w:rPr>
                <w:spacing w:val="2"/>
              </w:rPr>
              <w:t xml:space="preserve"> </w:t>
            </w:r>
            <w:r>
              <w:t>two</w:t>
            </w:r>
            <w:r>
              <w:rPr>
                <w:spacing w:val="2"/>
              </w:rPr>
              <w:t xml:space="preserve"> </w:t>
            </w:r>
            <w:r>
              <w:t>elements</w:t>
            </w:r>
            <w:r>
              <w:rPr>
                <w:spacing w:val="2"/>
              </w:rPr>
              <w:t xml:space="preserve"> </w:t>
            </w:r>
            <w:r>
              <w:t>that</w:t>
            </w:r>
            <w:r>
              <w:rPr>
                <w:spacing w:val="2"/>
              </w:rPr>
              <w:t xml:space="preserve"> </w:t>
            </w:r>
            <w:r>
              <w:t>are</w:t>
            </w:r>
            <w:r>
              <w:rPr>
                <w:spacing w:val="1"/>
              </w:rPr>
              <w:t xml:space="preserve"> </w:t>
            </w:r>
            <w:r>
              <w:t>helpful</w:t>
            </w:r>
            <w:r>
              <w:rPr>
                <w:spacing w:val="2"/>
              </w:rPr>
              <w:t xml:space="preserve"> </w:t>
            </w:r>
            <w:r>
              <w:t>in</w:t>
            </w:r>
            <w:r>
              <w:rPr>
                <w:spacing w:val="2"/>
              </w:rPr>
              <w:t xml:space="preserve"> </w:t>
            </w:r>
            <w:r>
              <w:t>working</w:t>
            </w:r>
            <w:r>
              <w:rPr>
                <w:spacing w:val="2"/>
              </w:rPr>
              <w:t xml:space="preserve"> </w:t>
            </w:r>
            <w:r>
              <w:t>through</w:t>
            </w:r>
            <w:r>
              <w:rPr>
                <w:spacing w:val="2"/>
              </w:rPr>
              <w:t xml:space="preserve"> </w:t>
            </w:r>
            <w:r>
              <w:t>these</w:t>
            </w:r>
            <w:r>
              <w:rPr>
                <w:spacing w:val="2"/>
              </w:rPr>
              <w:t xml:space="preserve"> </w:t>
            </w:r>
            <w:r>
              <w:t>questions</w:t>
            </w:r>
            <w:r w:rsidR="0068598E">
              <w:rPr>
                <w:spacing w:val="-23"/>
              </w:rPr>
              <w:t>.</w:t>
            </w:r>
          </w:p>
          <w:p w14:paraId="10A37ADE" w14:textId="7BD5B919" w:rsidR="00951F9B" w:rsidRDefault="00951F9B" w:rsidP="00DE7B89">
            <w:pPr>
              <w:pStyle w:val="BoxText"/>
            </w:pPr>
            <w:r>
              <w:t>The first element is the nature of the shocks. Recent high inflation has been caused by a combination of supply disruptions and strong demand. On the supply side, Russia’s invasion of Ukraine has disrupted global supplies of food and energy commodities. This came in addition to the supply chain disruptions that followed the COVID-19 pandemic and recent extreme weather events</w:t>
            </w:r>
            <w:r w:rsidR="0068598E">
              <w:rPr>
                <w:spacing w:val="-17"/>
              </w:rPr>
              <w:t>.</w:t>
            </w:r>
            <w:r>
              <w:rPr>
                <w:w w:val="85"/>
              </w:rPr>
              <w:t xml:space="preserve"> </w:t>
            </w:r>
            <w:r>
              <w:t>RBA analysis suggests that disruptions to supply account for between half and three-quarters of the recent increase in inflation in Australia (RBA 2023). Strong demand has also contributed to high inflation, especially for goods, driven by changes in consumption patterns and the significant fiscal and monetary policy stimulus that followed the outbreak of COVID-19.</w:t>
            </w:r>
          </w:p>
          <w:p w14:paraId="6AAD57D5" w14:textId="758EC16C" w:rsidR="00951F9B" w:rsidRDefault="00951F9B" w:rsidP="00DE7B89">
            <w:pPr>
              <w:pStyle w:val="BoxText"/>
            </w:pPr>
            <w:r>
              <w:t>The RBA, like other central banks in advanced economies, has responded to these conditions by raising interest rates</w:t>
            </w:r>
            <w:r w:rsidR="0068598E">
              <w:rPr>
                <w:spacing w:val="-21"/>
              </w:rPr>
              <w:t>.</w:t>
            </w:r>
            <w:r>
              <w:t xml:space="preserve"> The Governor has said that the Reserve Bank Board hopes to tread</w:t>
            </w:r>
            <w:r>
              <w:rPr>
                <w:spacing w:val="80"/>
              </w:rPr>
              <w:t xml:space="preserve"> </w:t>
            </w:r>
            <w:r>
              <w:t>a ‘narrow path’ in moderating demand and keeping expectations for inflation consistent with the inflation target without causing a sharp contraction in employment (Lowe 2022b).</w:t>
            </w:r>
          </w:p>
          <w:p w14:paraId="170F87A2" w14:textId="77777777" w:rsidR="00951F9B" w:rsidRDefault="00951F9B" w:rsidP="00DE7B89">
            <w:pPr>
              <w:pStyle w:val="BoxText"/>
            </w:pPr>
            <w:r>
              <w:t>The second element is to understand how monetary and fiscal policies work and what they affect.</w:t>
            </w:r>
          </w:p>
          <w:p w14:paraId="49D311FD" w14:textId="57ED57DC" w:rsidR="00951F9B" w:rsidRDefault="00951F9B" w:rsidP="00DE7B89">
            <w:pPr>
              <w:pStyle w:val="BoxText"/>
            </w:pPr>
            <w:r>
              <w:t>Monetary policy affects inflation and economic activity in multiple ways (for example, Atkin</w:t>
            </w:r>
            <w:r>
              <w:rPr>
                <w:spacing w:val="40"/>
              </w:rPr>
              <w:t xml:space="preserve"> </w:t>
            </w:r>
            <w:r>
              <w:t>and La Cava 2017)</w:t>
            </w:r>
            <w:r w:rsidR="0068598E">
              <w:rPr>
                <w:spacing w:val="-20"/>
              </w:rPr>
              <w:t>.</w:t>
            </w:r>
            <w:r>
              <w:rPr>
                <w:w w:val="85"/>
              </w:rPr>
              <w:t xml:space="preserve"> </w:t>
            </w:r>
            <w:r>
              <w:t>Higher interest rates curb household spending by increasing the cost of new and existing borrowing, reducing the disposable income available after debt repayments and increasing the return to savers</w:t>
            </w:r>
            <w:r w:rsidR="0068598E">
              <w:rPr>
                <w:spacing w:val="-19"/>
              </w:rPr>
              <w:t>.</w:t>
            </w:r>
            <w:r>
              <w:t xml:space="preserve"> Lower asset prices, including house prices, in turn</w:t>
            </w:r>
            <w:r>
              <w:rPr>
                <w:spacing w:val="80"/>
              </w:rPr>
              <w:t xml:space="preserve"> </w:t>
            </w:r>
            <w:r>
              <w:t>reduce household spending and housing investment</w:t>
            </w:r>
            <w:r w:rsidR="0068598E">
              <w:rPr>
                <w:spacing w:val="-17"/>
              </w:rPr>
              <w:t>.</w:t>
            </w:r>
            <w:r>
              <w:rPr>
                <w:w w:val="85"/>
              </w:rPr>
              <w:t xml:space="preserve"> </w:t>
            </w:r>
            <w:r>
              <w:t>Less spending and investment lead businesses to raise their prices by less, so inflation falls.</w:t>
            </w:r>
          </w:p>
          <w:p w14:paraId="61AB139B" w14:textId="303CB938" w:rsidR="00951F9B" w:rsidRDefault="00951F9B" w:rsidP="00DE7B89">
            <w:pPr>
              <w:pStyle w:val="BoxText"/>
              <w:rPr>
                <w:w w:val="85"/>
              </w:rPr>
            </w:pPr>
            <w:r>
              <w:t>Businesses employ fewer people than otherwise, so there is less demand for labour which puts downward pressure on wages growth</w:t>
            </w:r>
            <w:r w:rsidR="0068598E">
              <w:rPr>
                <w:spacing w:val="-17"/>
              </w:rPr>
              <w:t>.</w:t>
            </w:r>
            <w:r>
              <w:rPr>
                <w:w w:val="85"/>
              </w:rPr>
              <w:t xml:space="preserve"> </w:t>
            </w:r>
            <w:r>
              <w:t>Higher Australian interest rates cause the Australian dollar to be more expensive than otherwise, which leads to lower net exports and less inflation imported from overseas. The monetary transmission mechanism can vary over time as the structure of the economy changes</w:t>
            </w:r>
            <w:r w:rsidR="0068598E">
              <w:rPr>
                <w:spacing w:val="-14"/>
              </w:rPr>
              <w:t>.</w:t>
            </w:r>
          </w:p>
          <w:p w14:paraId="0D27521A" w14:textId="3ABB8210" w:rsidR="00DE7B89" w:rsidRDefault="00DE7B89" w:rsidP="00DE7B89">
            <w:pPr>
              <w:pStyle w:val="BoxText"/>
            </w:pPr>
            <w:r>
              <w:rPr>
                <w:w w:val="85"/>
              </w:rPr>
              <w:t xml:space="preserve">In </w:t>
            </w:r>
            <w:r>
              <w:t>these ways, higher interest rates mainly affect inflation by reducing demand. Monetary policy cannot address supply disruptions directly. It is often said that under a flexible inflation target monetary policy should ‘look through’ temporary disruptions to supply</w:t>
            </w:r>
            <w:r w:rsidR="0068598E">
              <w:rPr>
                <w:spacing w:val="-20"/>
              </w:rPr>
              <w:t>.</w:t>
            </w:r>
            <w:r>
              <w:rPr>
                <w:w w:val="85"/>
              </w:rPr>
              <w:t xml:space="preserve"> </w:t>
            </w:r>
            <w:r>
              <w:t xml:space="preserve">To respond to </w:t>
            </w:r>
            <w:r>
              <w:lastRenderedPageBreak/>
              <w:t>temporary disruptions would reduce demand and employment unnecessarily, given inflation should be expected to fall quickly on its own account</w:t>
            </w:r>
            <w:r w:rsidR="0068598E">
              <w:rPr>
                <w:spacing w:val="-16"/>
              </w:rPr>
              <w:t>.</w:t>
            </w:r>
          </w:p>
          <w:p w14:paraId="38856C24" w14:textId="418CACF3" w:rsidR="00DE7B89" w:rsidRDefault="00DE7B89" w:rsidP="00DE7B89">
            <w:pPr>
              <w:pStyle w:val="BoxText"/>
            </w:pPr>
            <w:r>
              <w:t>However, current high inflation is being driven by strong demand as well as supply disruptions</w:t>
            </w:r>
            <w:r w:rsidR="0068598E">
              <w:rPr>
                <w:spacing w:val="-16"/>
              </w:rPr>
              <w:t>.</w:t>
            </w:r>
            <w:r>
              <w:rPr>
                <w:w w:val="85"/>
              </w:rPr>
              <w:t xml:space="preserve"> </w:t>
            </w:r>
            <w:r>
              <w:t>Another complication is that recent supply disruptions have been persistent, contributing to a sustained period of high inflation that risks becoming entrenched if expectations change, and high inflation seems normal. These are the two key arguments for restrictive monetary policy at present</w:t>
            </w:r>
            <w:r w:rsidR="0068598E">
              <w:rPr>
                <w:spacing w:val="-8"/>
              </w:rPr>
              <w:t>.</w:t>
            </w:r>
          </w:p>
          <w:p w14:paraId="7192707D" w14:textId="0F065CCC" w:rsidR="00DE7B89" w:rsidRDefault="00DE7B89" w:rsidP="00DE7B89">
            <w:pPr>
              <w:pStyle w:val="BoxText"/>
            </w:pPr>
            <w:r>
              <w:t>Monetary policy has important distributive effects. Higher interest rates benefit savers over borrowers and disadvantage a small proportion of workers for the benefit of sustainable economic outcomes for Australians as a whole</w:t>
            </w:r>
            <w:r w:rsidR="0068598E">
              <w:rPr>
                <w:spacing w:val="-24"/>
              </w:rPr>
              <w:t>.</w:t>
            </w:r>
            <w:r>
              <w:rPr>
                <w:w w:val="85"/>
              </w:rPr>
              <w:t xml:space="preserve"> </w:t>
            </w:r>
            <w:r>
              <w:t>When interest rates fall, the opposite occurs</w:t>
            </w:r>
            <w:r w:rsidR="0068598E">
              <w:rPr>
                <w:spacing w:val="-24"/>
              </w:rPr>
              <w:t>.</w:t>
            </w:r>
            <w:r>
              <w:t xml:space="preserve"> Also, by working to keep inflation low and stable, central banks contribute to more stable growth in incomes and employment, reducing the risk of the kind of economic instability that is most harmful to those that can least afford it.</w:t>
            </w:r>
          </w:p>
          <w:p w14:paraId="19F27103" w14:textId="3DC74FA1" w:rsidR="00DE7B89" w:rsidRDefault="00DE7B89" w:rsidP="00DE7B89">
            <w:pPr>
              <w:pStyle w:val="BoxText"/>
            </w:pPr>
            <w:r>
              <w:t>Fiscal policy is much better placed than monetary policy to directly address distributional issues</w:t>
            </w:r>
            <w:r w:rsidR="0068598E">
              <w:rPr>
                <w:spacing w:val="-21"/>
              </w:rPr>
              <w:t>.</w:t>
            </w:r>
            <w:r>
              <w:rPr>
                <w:w w:val="85"/>
              </w:rPr>
              <w:t xml:space="preserve"> </w:t>
            </w:r>
            <w:r>
              <w:t>Monetary policy is sometimes described as a blunt instrument because its distributive effects cannot be calibrated to change their relative impacts. In delegating power to an independent institution, the public and government must understand the distributional</w:t>
            </w:r>
            <w:r>
              <w:rPr>
                <w:spacing w:val="40"/>
              </w:rPr>
              <w:t xml:space="preserve"> </w:t>
            </w:r>
            <w:r>
              <w:t>impact</w:t>
            </w:r>
            <w:r>
              <w:rPr>
                <w:spacing w:val="-3"/>
              </w:rPr>
              <w:t xml:space="preserve"> </w:t>
            </w:r>
            <w:r>
              <w:t>of</w:t>
            </w:r>
            <w:r>
              <w:rPr>
                <w:spacing w:val="-3"/>
              </w:rPr>
              <w:t xml:space="preserve"> </w:t>
            </w:r>
            <w:r>
              <w:t>monetary</w:t>
            </w:r>
            <w:r>
              <w:rPr>
                <w:spacing w:val="-3"/>
              </w:rPr>
              <w:t xml:space="preserve"> </w:t>
            </w:r>
            <w:r>
              <w:t>policy</w:t>
            </w:r>
            <w:r>
              <w:rPr>
                <w:spacing w:val="-3"/>
              </w:rPr>
              <w:t xml:space="preserve"> </w:t>
            </w:r>
            <w:r>
              <w:t>decisions</w:t>
            </w:r>
            <w:r>
              <w:rPr>
                <w:spacing w:val="-3"/>
              </w:rPr>
              <w:t xml:space="preserve"> </w:t>
            </w:r>
            <w:r>
              <w:t>(Tucker</w:t>
            </w:r>
            <w:r>
              <w:rPr>
                <w:spacing w:val="-3"/>
              </w:rPr>
              <w:t xml:space="preserve"> </w:t>
            </w:r>
            <w:r>
              <w:t>2019)</w:t>
            </w:r>
            <w:r w:rsidR="0068598E">
              <w:rPr>
                <w:spacing w:val="-25"/>
              </w:rPr>
              <w:t>.</w:t>
            </w:r>
            <w:r>
              <w:rPr>
                <w:w w:val="85"/>
              </w:rPr>
              <w:t xml:space="preserve"> </w:t>
            </w:r>
            <w:r>
              <w:t>Fiscal</w:t>
            </w:r>
            <w:r>
              <w:rPr>
                <w:spacing w:val="-3"/>
              </w:rPr>
              <w:t xml:space="preserve"> </w:t>
            </w:r>
            <w:r>
              <w:t>policy’s</w:t>
            </w:r>
            <w:r>
              <w:rPr>
                <w:spacing w:val="-3"/>
              </w:rPr>
              <w:t xml:space="preserve"> </w:t>
            </w:r>
            <w:r>
              <w:t>diverse</w:t>
            </w:r>
            <w:r>
              <w:rPr>
                <w:spacing w:val="-3"/>
              </w:rPr>
              <w:t xml:space="preserve"> </w:t>
            </w:r>
            <w:r>
              <w:t>set</w:t>
            </w:r>
            <w:r>
              <w:rPr>
                <w:spacing w:val="-3"/>
              </w:rPr>
              <w:t xml:space="preserve"> </w:t>
            </w:r>
            <w:r>
              <w:t>of</w:t>
            </w:r>
            <w:r>
              <w:rPr>
                <w:spacing w:val="-3"/>
              </w:rPr>
              <w:t xml:space="preserve"> </w:t>
            </w:r>
            <w:r>
              <w:t>tools</w:t>
            </w:r>
            <w:r>
              <w:rPr>
                <w:spacing w:val="-3"/>
              </w:rPr>
              <w:t xml:space="preserve"> </w:t>
            </w:r>
            <w:r>
              <w:t>are</w:t>
            </w:r>
            <w:r>
              <w:rPr>
                <w:spacing w:val="-3"/>
              </w:rPr>
              <w:t xml:space="preserve"> </w:t>
            </w:r>
            <w:r>
              <w:t>better placed to contribute to offsetting undesirable distributional implications of monetary policy.</w:t>
            </w:r>
          </w:p>
          <w:p w14:paraId="04E62E79" w14:textId="77777777" w:rsidR="00DE7B89" w:rsidRDefault="00DE7B89" w:rsidP="00DE7B89">
            <w:pPr>
              <w:pStyle w:val="BoxText"/>
            </w:pPr>
            <w:r>
              <w:t>The Review received several suggestions for using fiscal and regulatory policies instead</w:t>
            </w:r>
            <w:r>
              <w:rPr>
                <w:spacing w:val="80"/>
              </w:rPr>
              <w:t xml:space="preserve"> </w:t>
            </w:r>
            <w:r>
              <w:t>of monetary policy to manage economic cycles. Proposals included constraining inflation</w:t>
            </w:r>
          </w:p>
          <w:p w14:paraId="261FF629" w14:textId="7E7C3F9E" w:rsidR="00DE7B89" w:rsidRDefault="00DE7B89" w:rsidP="00DE7B89">
            <w:pPr>
              <w:pStyle w:val="BoxText"/>
            </w:pPr>
            <w:r>
              <w:t>through regulations to support market competition, increased use of price controls, financial regulation, or intervention in supply chains</w:t>
            </w:r>
            <w:r w:rsidR="0068598E">
              <w:rPr>
                <w:spacing w:val="-19"/>
              </w:rPr>
              <w:t>.</w:t>
            </w:r>
            <w:r>
              <w:rPr>
                <w:w w:val="85"/>
              </w:rPr>
              <w:t xml:space="preserve"> </w:t>
            </w:r>
            <w:r>
              <w:t>There were also proposals for delegating some fiscal and regulatory policy powers to an independent institution with</w:t>
            </w:r>
            <w:r w:rsidR="003353F3">
              <w:t xml:space="preserve"> </w:t>
            </w:r>
            <w:r>
              <w:t>a</w:t>
            </w:r>
            <w:r>
              <w:rPr>
                <w:spacing w:val="1"/>
              </w:rPr>
              <w:t xml:space="preserve"> </w:t>
            </w:r>
            <w:r>
              <w:t>mandate</w:t>
            </w:r>
            <w:r>
              <w:rPr>
                <w:spacing w:val="2"/>
              </w:rPr>
              <w:t xml:space="preserve"> </w:t>
            </w:r>
            <w:r>
              <w:t>for</w:t>
            </w:r>
            <w:r>
              <w:rPr>
                <w:spacing w:val="2"/>
              </w:rPr>
              <w:t xml:space="preserve"> </w:t>
            </w:r>
            <w:r>
              <w:t>macroeconomic</w:t>
            </w:r>
            <w:r>
              <w:rPr>
                <w:spacing w:val="2"/>
              </w:rPr>
              <w:t xml:space="preserve"> </w:t>
            </w:r>
            <w:r>
              <w:t>stabilisation</w:t>
            </w:r>
            <w:r w:rsidR="0068598E">
              <w:rPr>
                <w:spacing w:val="-23"/>
              </w:rPr>
              <w:t>.</w:t>
            </w:r>
          </w:p>
          <w:p w14:paraId="333337A5" w14:textId="3C9D5451" w:rsidR="00DE7B89" w:rsidRDefault="00DE7B89" w:rsidP="00DE7B89">
            <w:pPr>
              <w:pStyle w:val="BoxText"/>
            </w:pPr>
            <w:r>
              <w:t>Fiscal policy is an important part of managing macroeconomic cycles, but it has limitations</w:t>
            </w:r>
            <w:r w:rsidR="0068598E">
              <w:rPr>
                <w:spacing w:val="-20"/>
              </w:rPr>
              <w:t>.</w:t>
            </w:r>
            <w:r>
              <w:t xml:space="preserve"> Automatic stabilisers play an important role, and discretionary fiscal policy has been particularly important during recent crises. However, fiscal policy generally faces limitations relative to monetary policy as an active tool for managing the macroeconomic cycle</w:t>
            </w:r>
            <w:r w:rsidR="0068598E">
              <w:rPr>
                <w:spacing w:val="-20"/>
              </w:rPr>
              <w:t>.</w:t>
            </w:r>
            <w:r>
              <w:rPr>
                <w:w w:val="85"/>
              </w:rPr>
              <w:t xml:space="preserve"> </w:t>
            </w:r>
            <w:r>
              <w:t>It may not be as nimble as monetary policy in either the speed of decisions, or ease of withdrawal</w:t>
            </w:r>
            <w:r w:rsidR="0068598E">
              <w:rPr>
                <w:spacing w:val="-23"/>
              </w:rPr>
              <w:t>.</w:t>
            </w:r>
            <w:r>
              <w:t xml:space="preserve"> Fiscal and regulatory policies can also have undesired impacts, such as on competition or the efficient operation of the economy. Fiscal policy cannot commit as credibly to delivering low and stable inflation, relative to an independent central bank, if still operated directly by the Government</w:t>
            </w:r>
            <w:r w:rsidR="0068598E">
              <w:rPr>
                <w:spacing w:val="-23"/>
              </w:rPr>
              <w:t>.</w:t>
            </w:r>
            <w:r>
              <w:rPr>
                <w:w w:val="85"/>
              </w:rPr>
              <w:t xml:space="preserve"> </w:t>
            </w:r>
            <w:r>
              <w:t>Moreover, monetary policy can be especially important in helping stabilise expectations of future inflation.</w:t>
            </w:r>
          </w:p>
          <w:p w14:paraId="4EEA89FC" w14:textId="67DA2F20" w:rsidR="00DE7B89" w:rsidRDefault="00DE7B89" w:rsidP="00DE7B89">
            <w:pPr>
              <w:pStyle w:val="BoxText"/>
            </w:pPr>
            <w:r>
              <w:t>Fiscal and regulatory tools also help support a non-inflationary growth environment in ways that</w:t>
            </w:r>
            <w:r>
              <w:rPr>
                <w:spacing w:val="-6"/>
              </w:rPr>
              <w:t xml:space="preserve"> </w:t>
            </w:r>
            <w:r>
              <w:t>extend beyond managing macroeconomic cycles</w:t>
            </w:r>
            <w:r w:rsidR="0068598E">
              <w:rPr>
                <w:spacing w:val="-12"/>
              </w:rPr>
              <w:t>.</w:t>
            </w:r>
            <w:r>
              <w:rPr>
                <w:w w:val="85"/>
              </w:rPr>
              <w:t xml:space="preserve"> </w:t>
            </w:r>
            <w:r>
              <w:t>For example, the Government can set regulations and make investments that support competition, productivity growth and supply chain resilience</w:t>
            </w:r>
            <w:r w:rsidR="0068598E">
              <w:rPr>
                <w:spacing w:val="-17"/>
              </w:rPr>
              <w:t>.</w:t>
            </w:r>
          </w:p>
          <w:p w14:paraId="0DADDC54" w14:textId="231FEA82" w:rsidR="00DE7B89" w:rsidRPr="005073DA" w:rsidRDefault="00DE7B89" w:rsidP="00DE7B89">
            <w:pPr>
              <w:pStyle w:val="BoxText"/>
            </w:pPr>
            <w:r>
              <w:t>Monetary policy remains a key tool in the economic toolkit for price stability and full employment. Monetary, fiscal and regulatory tools all remain part of the solution to the complex economic challenges that Australia faces</w:t>
            </w:r>
            <w:r w:rsidR="0068598E">
              <w:rPr>
                <w:spacing w:val="-19"/>
              </w:rPr>
              <w:t>.</w:t>
            </w:r>
            <w:r>
              <w:t xml:space="preserve"> What is especially important at this time</w:t>
            </w:r>
            <w:r>
              <w:rPr>
                <w:spacing w:val="80"/>
              </w:rPr>
              <w:t xml:space="preserve"> </w:t>
            </w:r>
            <w:r>
              <w:t>is understanding the interaction of these different elements and ensuring that the best outcomes for price stability, full employment and fairness are achieved</w:t>
            </w:r>
            <w:r w:rsidR="0068598E">
              <w:rPr>
                <w:spacing w:val="-18"/>
              </w:rPr>
              <w:t>.</w:t>
            </w:r>
            <w:r>
              <w:rPr>
                <w:w w:val="85"/>
              </w:rPr>
              <w:t xml:space="preserve"> </w:t>
            </w:r>
            <w:r>
              <w:t xml:space="preserve">That means good information, analysis and clear objectives that are shared between different decision makers in the public </w:t>
            </w:r>
            <w:r>
              <w:lastRenderedPageBreak/>
              <w:t>sector and with the public</w:t>
            </w:r>
            <w:r w:rsidR="0068598E">
              <w:rPr>
                <w:spacing w:val="-19"/>
              </w:rPr>
              <w:t>.</w:t>
            </w:r>
            <w:r>
              <w:rPr>
                <w:w w:val="85"/>
              </w:rPr>
              <w:t xml:space="preserve"> </w:t>
            </w:r>
            <w:r>
              <w:t>Whatever the case, the central bank’s mandate for monetary policy setting, as an independent body, should remain clear</w:t>
            </w:r>
          </w:p>
        </w:tc>
      </w:tr>
    </w:tbl>
    <w:p w14:paraId="540095B2" w14:textId="62EB2F95" w:rsidR="00DA7CCB" w:rsidRPr="003F56DA" w:rsidRDefault="00DA7CCB" w:rsidP="003F56DA">
      <w:pPr>
        <w:pStyle w:val="Heading3"/>
      </w:pPr>
      <w:r w:rsidRPr="003F56DA">
        <w:lastRenderedPageBreak/>
        <w:t>Recommendation 1.2: Amend the RBA Act to set dual monetary policy objectives</w:t>
      </w:r>
    </w:p>
    <w:p w14:paraId="357BA9D4" w14:textId="7ACD0966" w:rsidR="00DA7CCB" w:rsidRDefault="00DA7CCB" w:rsidP="00DA7CCB">
      <w:r>
        <w:t>Independence for policy makers is most appropriate when their objectives and tools are well defined, and there is a sound approach to ensuring their accountability to the public. The Review’s recommendations seek to support each of these</w:t>
      </w:r>
      <w:r w:rsidR="0068598E">
        <w:rPr>
          <w:spacing w:val="-13"/>
        </w:rPr>
        <w:t>.</w:t>
      </w:r>
    </w:p>
    <w:p w14:paraId="642EED86" w14:textId="27531D0E" w:rsidR="00DA7CCB" w:rsidRDefault="00DA7CCB" w:rsidP="00DA7CCB">
      <w:r>
        <w:t>The</w:t>
      </w:r>
      <w:r>
        <w:rPr>
          <w:spacing w:val="16"/>
        </w:rPr>
        <w:t xml:space="preserve"> </w:t>
      </w:r>
      <w:r>
        <w:t>Review</w:t>
      </w:r>
      <w:r>
        <w:rPr>
          <w:spacing w:val="16"/>
        </w:rPr>
        <w:t xml:space="preserve"> </w:t>
      </w:r>
      <w:r>
        <w:t>recommends</w:t>
      </w:r>
      <w:r>
        <w:rPr>
          <w:spacing w:val="16"/>
        </w:rPr>
        <w:t xml:space="preserve"> </w:t>
      </w:r>
      <w:r>
        <w:t>clarifying</w:t>
      </w:r>
      <w:r>
        <w:rPr>
          <w:spacing w:val="16"/>
        </w:rPr>
        <w:t xml:space="preserve"> </w:t>
      </w:r>
      <w:r>
        <w:t>the</w:t>
      </w:r>
      <w:r>
        <w:rPr>
          <w:spacing w:val="16"/>
        </w:rPr>
        <w:t xml:space="preserve"> </w:t>
      </w:r>
      <w:r>
        <w:t>legislative</w:t>
      </w:r>
      <w:r>
        <w:rPr>
          <w:spacing w:val="16"/>
        </w:rPr>
        <w:t xml:space="preserve"> </w:t>
      </w:r>
      <w:r>
        <w:t>objectives</w:t>
      </w:r>
      <w:r>
        <w:rPr>
          <w:spacing w:val="16"/>
        </w:rPr>
        <w:t xml:space="preserve"> </w:t>
      </w:r>
      <w:r>
        <w:t>for</w:t>
      </w:r>
      <w:r>
        <w:rPr>
          <w:spacing w:val="16"/>
        </w:rPr>
        <w:t xml:space="preserve"> </w:t>
      </w:r>
      <w:r>
        <w:t>the</w:t>
      </w:r>
      <w:r>
        <w:rPr>
          <w:spacing w:val="16"/>
        </w:rPr>
        <w:t xml:space="preserve"> </w:t>
      </w:r>
      <w:r>
        <w:t>RBA’s</w:t>
      </w:r>
      <w:r>
        <w:rPr>
          <w:spacing w:val="16"/>
        </w:rPr>
        <w:t xml:space="preserve"> </w:t>
      </w:r>
      <w:r>
        <w:t>monetary</w:t>
      </w:r>
      <w:r>
        <w:rPr>
          <w:spacing w:val="16"/>
        </w:rPr>
        <w:t xml:space="preserve"> </w:t>
      </w:r>
      <w:r>
        <w:t>policy</w:t>
      </w:r>
      <w:r>
        <w:rPr>
          <w:spacing w:val="16"/>
        </w:rPr>
        <w:t xml:space="preserve"> </w:t>
      </w:r>
      <w:r>
        <w:t>as</w:t>
      </w:r>
      <w:r>
        <w:rPr>
          <w:spacing w:val="16"/>
        </w:rPr>
        <w:t xml:space="preserve"> </w:t>
      </w:r>
      <w:r>
        <w:t>a dual</w:t>
      </w:r>
      <w:r>
        <w:rPr>
          <w:spacing w:val="-1"/>
        </w:rPr>
        <w:t xml:space="preserve"> </w:t>
      </w:r>
      <w:r>
        <w:t>mandate</w:t>
      </w:r>
      <w:r>
        <w:rPr>
          <w:spacing w:val="-1"/>
        </w:rPr>
        <w:t xml:space="preserve"> </w:t>
      </w:r>
      <w:r>
        <w:t>to</w:t>
      </w:r>
      <w:r>
        <w:rPr>
          <w:spacing w:val="-1"/>
        </w:rPr>
        <w:t xml:space="preserve"> </w:t>
      </w:r>
      <w:r>
        <w:t>contribute</w:t>
      </w:r>
      <w:r>
        <w:rPr>
          <w:spacing w:val="-1"/>
        </w:rPr>
        <w:t xml:space="preserve"> </w:t>
      </w:r>
      <w:r>
        <w:t>to</w:t>
      </w:r>
      <w:r>
        <w:rPr>
          <w:spacing w:val="-1"/>
        </w:rPr>
        <w:t xml:space="preserve"> </w:t>
      </w:r>
      <w:r>
        <w:t>price</w:t>
      </w:r>
      <w:r>
        <w:rPr>
          <w:spacing w:val="-1"/>
        </w:rPr>
        <w:t xml:space="preserve"> </w:t>
      </w:r>
      <w:r>
        <w:t>stability</w:t>
      </w:r>
      <w:r>
        <w:rPr>
          <w:spacing w:val="-1"/>
        </w:rPr>
        <w:t xml:space="preserve"> </w:t>
      </w:r>
      <w:r>
        <w:t>and</w:t>
      </w:r>
      <w:r>
        <w:rPr>
          <w:spacing w:val="-1"/>
        </w:rPr>
        <w:t xml:space="preserve"> </w:t>
      </w:r>
      <w:r>
        <w:t>full</w:t>
      </w:r>
      <w:r>
        <w:rPr>
          <w:spacing w:val="-1"/>
        </w:rPr>
        <w:t xml:space="preserve"> </w:t>
      </w:r>
      <w:r>
        <w:t>employment</w:t>
      </w:r>
      <w:r w:rsidR="0068598E">
        <w:rPr>
          <w:spacing w:val="-24"/>
        </w:rPr>
        <w:t>.</w:t>
      </w:r>
      <w:r>
        <w:rPr>
          <w:w w:val="85"/>
        </w:rPr>
        <w:t xml:space="preserve"> </w:t>
      </w:r>
      <w:r>
        <w:t>A</w:t>
      </w:r>
      <w:r>
        <w:rPr>
          <w:spacing w:val="-1"/>
        </w:rPr>
        <w:t xml:space="preserve"> </w:t>
      </w:r>
      <w:r>
        <w:t>dual</w:t>
      </w:r>
      <w:r>
        <w:rPr>
          <w:spacing w:val="-1"/>
        </w:rPr>
        <w:t xml:space="preserve"> </w:t>
      </w:r>
      <w:r>
        <w:t>mandate</w:t>
      </w:r>
      <w:r>
        <w:rPr>
          <w:spacing w:val="-1"/>
        </w:rPr>
        <w:t xml:space="preserve"> </w:t>
      </w:r>
      <w:r>
        <w:t>provides</w:t>
      </w:r>
      <w:r>
        <w:rPr>
          <w:spacing w:val="-1"/>
        </w:rPr>
        <w:t xml:space="preserve"> </w:t>
      </w:r>
      <w:r>
        <w:t>a</w:t>
      </w:r>
      <w:r>
        <w:rPr>
          <w:spacing w:val="-1"/>
        </w:rPr>
        <w:t xml:space="preserve"> </w:t>
      </w:r>
      <w:r>
        <w:t>more specific basis for monetary policy decisions than the current set of three objectives. It also gives appropriate prominence to full employment alongside inflation while providing flexibility for the</w:t>
      </w:r>
      <w:r>
        <w:rPr>
          <w:spacing w:val="40"/>
        </w:rPr>
        <w:t xml:space="preserve"> </w:t>
      </w:r>
      <w:r>
        <w:t>RBA to make trade-offs in the best interests of Australians.</w:t>
      </w:r>
    </w:p>
    <w:p w14:paraId="775B20C4" w14:textId="28B6D8FF" w:rsidR="00DA7CCB" w:rsidRDefault="00DA7CCB" w:rsidP="00DA7CCB">
      <w:r>
        <w:t>In practice a dual mandate is not a substantial departure from the status quo</w:t>
      </w:r>
      <w:r w:rsidR="0068598E">
        <w:rPr>
          <w:spacing w:val="-22"/>
        </w:rPr>
        <w:t>.</w:t>
      </w:r>
      <w:r>
        <w:rPr>
          <w:w w:val="85"/>
        </w:rPr>
        <w:t xml:space="preserve"> </w:t>
      </w:r>
      <w:r>
        <w:t>RBA executives have indicated, at times, that they already consider the objectives of monetary policy in these terms</w:t>
      </w:r>
      <w:r w:rsidR="0068598E">
        <w:rPr>
          <w:spacing w:val="-18"/>
        </w:rPr>
        <w:t>.</w:t>
      </w:r>
      <w:r>
        <w:rPr>
          <w:w w:val="85"/>
        </w:rPr>
        <w:t xml:space="preserve"> </w:t>
      </w:r>
      <w:r>
        <w:t>A dual mandate would make it clearer that these objectives are the central focus of monetary policy and that the RBA Monetary Policy Board is accountable for delivering both</w:t>
      </w:r>
      <w:r w:rsidR="0068598E">
        <w:rPr>
          <w:spacing w:val="-21"/>
        </w:rPr>
        <w:t>.</w:t>
      </w:r>
      <w:r w:rsidR="00D50CA6">
        <w:rPr>
          <w:rStyle w:val="FootnoteReference"/>
          <w:w w:val="71"/>
        </w:rPr>
        <w:footnoteReference w:id="4"/>
      </w:r>
      <w:r>
        <w:rPr>
          <w:w w:val="99"/>
          <w:position w:val="6"/>
          <w:sz w:val="10"/>
        </w:rPr>
        <w:t xml:space="preserve"> </w:t>
      </w:r>
      <w:r>
        <w:t>However, this requires specifying that the Board’s current third objective – the economic prosperity of Australians – is restated within the RBA Act as the overarching purpose of monetary policy that is achieved through price stability and full employment</w:t>
      </w:r>
      <w:r w:rsidR="0068598E">
        <w:rPr>
          <w:spacing w:val="-8"/>
        </w:rPr>
        <w:t>.</w:t>
      </w:r>
    </w:p>
    <w:p w14:paraId="20C70A88" w14:textId="77777777" w:rsidR="00DA7CCB" w:rsidRDefault="00DA7CCB" w:rsidP="00DA7CCB">
      <w:pPr>
        <w:pStyle w:val="Heading4"/>
      </w:pPr>
      <w:r>
        <w:t>The</w:t>
      </w:r>
      <w:r>
        <w:rPr>
          <w:spacing w:val="-6"/>
        </w:rPr>
        <w:t xml:space="preserve"> </w:t>
      </w:r>
      <w:r>
        <w:t>stability</w:t>
      </w:r>
      <w:r>
        <w:rPr>
          <w:spacing w:val="-6"/>
        </w:rPr>
        <w:t xml:space="preserve"> </w:t>
      </w:r>
      <w:r>
        <w:t>of</w:t>
      </w:r>
      <w:r>
        <w:rPr>
          <w:spacing w:val="-5"/>
        </w:rPr>
        <w:t xml:space="preserve"> </w:t>
      </w:r>
      <w:r>
        <w:t>prices</w:t>
      </w:r>
      <w:r>
        <w:rPr>
          <w:spacing w:val="-6"/>
        </w:rPr>
        <w:t xml:space="preserve"> </w:t>
      </w:r>
      <w:r>
        <w:t>and</w:t>
      </w:r>
      <w:r>
        <w:rPr>
          <w:spacing w:val="-5"/>
        </w:rPr>
        <w:t xml:space="preserve"> </w:t>
      </w:r>
      <w:r>
        <w:t>employment</w:t>
      </w:r>
      <w:r>
        <w:rPr>
          <w:spacing w:val="-6"/>
        </w:rPr>
        <w:t xml:space="preserve"> </w:t>
      </w:r>
      <w:r>
        <w:t>levels</w:t>
      </w:r>
      <w:r>
        <w:rPr>
          <w:spacing w:val="-5"/>
        </w:rPr>
        <w:t xml:space="preserve"> </w:t>
      </w:r>
      <w:r>
        <w:t>are</w:t>
      </w:r>
      <w:r>
        <w:rPr>
          <w:spacing w:val="-6"/>
        </w:rPr>
        <w:t xml:space="preserve"> </w:t>
      </w:r>
      <w:r>
        <w:t>critical</w:t>
      </w:r>
      <w:r>
        <w:rPr>
          <w:spacing w:val="-5"/>
        </w:rPr>
        <w:t xml:space="preserve"> </w:t>
      </w:r>
      <w:r>
        <w:t>to</w:t>
      </w:r>
      <w:r>
        <w:rPr>
          <w:spacing w:val="-6"/>
        </w:rPr>
        <w:t xml:space="preserve"> </w:t>
      </w:r>
      <w:r>
        <w:t>the</w:t>
      </w:r>
      <w:r>
        <w:rPr>
          <w:spacing w:val="-5"/>
        </w:rPr>
        <w:t xml:space="preserve"> </w:t>
      </w:r>
      <w:r>
        <w:t>welfare</w:t>
      </w:r>
      <w:r>
        <w:rPr>
          <w:spacing w:val="-6"/>
        </w:rPr>
        <w:t xml:space="preserve"> </w:t>
      </w:r>
      <w:r>
        <w:t>of</w:t>
      </w:r>
      <w:r>
        <w:rPr>
          <w:spacing w:val="-5"/>
        </w:rPr>
        <w:t xml:space="preserve"> </w:t>
      </w:r>
      <w:r>
        <w:rPr>
          <w:spacing w:val="-2"/>
        </w:rPr>
        <w:t>Australians</w:t>
      </w:r>
    </w:p>
    <w:p w14:paraId="0EEBBD7B" w14:textId="3676F3C5" w:rsidR="00DA7CCB" w:rsidRDefault="00DA7CCB" w:rsidP="00DA7CCB">
      <w:r>
        <w:t>The availability of quality employment is fundamental to the wellbeing of Australians</w:t>
      </w:r>
      <w:r w:rsidR="0068598E">
        <w:rPr>
          <w:spacing w:val="-23"/>
        </w:rPr>
        <w:t>.</w:t>
      </w:r>
      <w:r>
        <w:rPr>
          <w:w w:val="85"/>
        </w:rPr>
        <w:t xml:space="preserve"> </w:t>
      </w:r>
      <w:r>
        <w:t>Beyond the financial benefits to individuals and the broader economic benefits to society, employment can provide substantial psychological benefits. It is clear that unemployment and underemployment are detrimental to people’s life satisfaction and happiness (Krueger and Mueller 2012, Wilkins 2007)</w:t>
      </w:r>
      <w:r w:rsidR="0068598E">
        <w:rPr>
          <w:spacing w:val="-21"/>
        </w:rPr>
        <w:t>.</w:t>
      </w:r>
      <w:r>
        <w:rPr>
          <w:w w:val="85"/>
        </w:rPr>
        <w:t xml:space="preserve"> </w:t>
      </w:r>
      <w:r>
        <w:t>Moreover, beyond these, other factors such as job security and conditions are important to Australians, but less directly affected by monetary policy. Employment is of more tangible and direct importance to Australians than economic activity, even though the two are closely related</w:t>
      </w:r>
      <w:r w:rsidR="0068598E">
        <w:rPr>
          <w:spacing w:val="-23"/>
        </w:rPr>
        <w:t>.</w:t>
      </w:r>
      <w:r>
        <w:t xml:space="preserve"> For this reason, the Review supports full employment as an objective for monetary policy rather than an objective related to the level of economic activity</w:t>
      </w:r>
      <w:r w:rsidR="0068598E">
        <w:rPr>
          <w:spacing w:val="-16"/>
        </w:rPr>
        <w:t>.</w:t>
      </w:r>
    </w:p>
    <w:p w14:paraId="04D0C266" w14:textId="15581B28" w:rsidR="00DA7CCB" w:rsidRDefault="00DA7CCB" w:rsidP="00DA7CCB">
      <w:r>
        <w:t>Price stability also confers significant benefits. Price stability reduces inflation to a second–order issue in people’s lives. As a result, the benefits of price stability are easier to demonstrate by the costs of price instability</w:t>
      </w:r>
      <w:r w:rsidR="0068598E">
        <w:rPr>
          <w:spacing w:val="-22"/>
        </w:rPr>
        <w:t>.</w:t>
      </w:r>
      <w:r>
        <w:rPr>
          <w:w w:val="85"/>
        </w:rPr>
        <w:t xml:space="preserve"> </w:t>
      </w:r>
      <w:r>
        <w:t>In focus groups with the community conducted for the Review, it was clear that current inflation rates represent a concerning rise in the cost of living for many Australians (see Box 2.4). High, variable and unexpected inflation increases uncertainty, erodes households’ savings, and distorts incentives to invest. High inflation damaged many economies in the 1970s and 1980s, leading to a prioritisation of price stability as a macroeconomic policy objective</w:t>
      </w:r>
      <w:r w:rsidR="0068598E">
        <w:rPr>
          <w:spacing w:val="-17"/>
        </w:rPr>
        <w:t>.</w:t>
      </w:r>
    </w:p>
    <w:p w14:paraId="3E29EFDC" w14:textId="77777777" w:rsidR="00DA7CCB" w:rsidRDefault="00DA7CCB" w:rsidP="00DA7CCB">
      <w:pPr>
        <w:pStyle w:val="Heading4"/>
      </w:pPr>
      <w:r>
        <w:lastRenderedPageBreak/>
        <w:t>Monetary</w:t>
      </w:r>
      <w:r>
        <w:rPr>
          <w:spacing w:val="-1"/>
        </w:rPr>
        <w:t xml:space="preserve"> </w:t>
      </w:r>
      <w:r>
        <w:t>policy</w:t>
      </w:r>
      <w:r>
        <w:rPr>
          <w:spacing w:val="1"/>
        </w:rPr>
        <w:t xml:space="preserve"> </w:t>
      </w:r>
      <w:r>
        <w:t>is</w:t>
      </w:r>
      <w:r>
        <w:rPr>
          <w:spacing w:val="1"/>
        </w:rPr>
        <w:t xml:space="preserve"> </w:t>
      </w:r>
      <w:r>
        <w:t>well</w:t>
      </w:r>
      <w:r>
        <w:rPr>
          <w:spacing w:val="2"/>
        </w:rPr>
        <w:t xml:space="preserve"> </w:t>
      </w:r>
      <w:r>
        <w:t>placed</w:t>
      </w:r>
      <w:r>
        <w:rPr>
          <w:spacing w:val="1"/>
        </w:rPr>
        <w:t xml:space="preserve"> </w:t>
      </w:r>
      <w:r>
        <w:t>to</w:t>
      </w:r>
      <w:r>
        <w:rPr>
          <w:spacing w:val="1"/>
        </w:rPr>
        <w:t xml:space="preserve"> </w:t>
      </w:r>
      <w:r>
        <w:t>contribute</w:t>
      </w:r>
      <w:r>
        <w:rPr>
          <w:spacing w:val="1"/>
        </w:rPr>
        <w:t xml:space="preserve"> </w:t>
      </w:r>
      <w:r>
        <w:t>to</w:t>
      </w:r>
      <w:r>
        <w:rPr>
          <w:spacing w:val="2"/>
        </w:rPr>
        <w:t xml:space="preserve"> </w:t>
      </w:r>
      <w:r>
        <w:t>price</w:t>
      </w:r>
      <w:r>
        <w:rPr>
          <w:spacing w:val="1"/>
        </w:rPr>
        <w:t xml:space="preserve"> </w:t>
      </w:r>
      <w:r>
        <w:t>stability</w:t>
      </w:r>
      <w:r>
        <w:rPr>
          <w:spacing w:val="1"/>
        </w:rPr>
        <w:t xml:space="preserve"> </w:t>
      </w:r>
      <w:r>
        <w:t>and</w:t>
      </w:r>
      <w:r>
        <w:rPr>
          <w:spacing w:val="1"/>
        </w:rPr>
        <w:t xml:space="preserve"> </w:t>
      </w:r>
      <w:r>
        <w:t>full</w:t>
      </w:r>
      <w:r>
        <w:rPr>
          <w:spacing w:val="2"/>
        </w:rPr>
        <w:t xml:space="preserve"> </w:t>
      </w:r>
      <w:r>
        <w:rPr>
          <w:spacing w:val="-2"/>
        </w:rPr>
        <w:t>employment</w:t>
      </w:r>
    </w:p>
    <w:p w14:paraId="5AA53BFF" w14:textId="296306C8" w:rsidR="00DA7CCB" w:rsidRDefault="00DA7CCB" w:rsidP="00DA7CCB">
      <w:r>
        <w:t>Monetary policy has a material impact on inflation in both the short-to-medium and the long</w:t>
      </w:r>
      <w:r>
        <w:rPr>
          <w:spacing w:val="80"/>
        </w:rPr>
        <w:t xml:space="preserve"> </w:t>
      </w:r>
      <w:r>
        <w:t>run. There are of course other factors that influence inflation, including fiscal and other policies and domestic and international economic circumstances</w:t>
      </w:r>
      <w:r w:rsidR="0068598E">
        <w:rPr>
          <w:spacing w:val="-23"/>
        </w:rPr>
        <w:t>.</w:t>
      </w:r>
      <w:r>
        <w:rPr>
          <w:w w:val="85"/>
        </w:rPr>
        <w:t xml:space="preserve"> </w:t>
      </w:r>
      <w:r>
        <w:t>Consequently, monetary policy cannot control</w:t>
      </w:r>
      <w:r>
        <w:rPr>
          <w:spacing w:val="-1"/>
        </w:rPr>
        <w:t xml:space="preserve"> </w:t>
      </w:r>
      <w:r>
        <w:t>inflation</w:t>
      </w:r>
      <w:r>
        <w:rPr>
          <w:spacing w:val="-1"/>
        </w:rPr>
        <w:t xml:space="preserve"> </w:t>
      </w:r>
      <w:r>
        <w:t>precisely.</w:t>
      </w:r>
      <w:r>
        <w:rPr>
          <w:spacing w:val="-1"/>
        </w:rPr>
        <w:t xml:space="preserve"> </w:t>
      </w:r>
      <w:r>
        <w:t>However,</w:t>
      </w:r>
      <w:r>
        <w:rPr>
          <w:spacing w:val="-1"/>
        </w:rPr>
        <w:t xml:space="preserve"> </w:t>
      </w:r>
      <w:r>
        <w:t>an</w:t>
      </w:r>
      <w:r>
        <w:rPr>
          <w:spacing w:val="-1"/>
        </w:rPr>
        <w:t xml:space="preserve"> </w:t>
      </w:r>
      <w:r>
        <w:t>independent</w:t>
      </w:r>
      <w:r>
        <w:rPr>
          <w:spacing w:val="-1"/>
        </w:rPr>
        <w:t xml:space="preserve"> </w:t>
      </w:r>
      <w:r>
        <w:t>central</w:t>
      </w:r>
      <w:r>
        <w:rPr>
          <w:spacing w:val="-1"/>
        </w:rPr>
        <w:t xml:space="preserve"> </w:t>
      </w:r>
      <w:r>
        <w:t>bank</w:t>
      </w:r>
      <w:r>
        <w:rPr>
          <w:spacing w:val="-1"/>
        </w:rPr>
        <w:t xml:space="preserve"> </w:t>
      </w:r>
      <w:r>
        <w:t>can</w:t>
      </w:r>
      <w:r>
        <w:rPr>
          <w:spacing w:val="-1"/>
        </w:rPr>
        <w:t xml:space="preserve"> </w:t>
      </w:r>
      <w:r>
        <w:t>generally</w:t>
      </w:r>
      <w:r>
        <w:rPr>
          <w:spacing w:val="-1"/>
        </w:rPr>
        <w:t xml:space="preserve"> </w:t>
      </w:r>
      <w:r>
        <w:t>provide</w:t>
      </w:r>
      <w:r>
        <w:rPr>
          <w:spacing w:val="-1"/>
        </w:rPr>
        <w:t xml:space="preserve"> </w:t>
      </w:r>
      <w:r>
        <w:t>a</w:t>
      </w:r>
      <w:r>
        <w:rPr>
          <w:spacing w:val="-1"/>
        </w:rPr>
        <w:t xml:space="preserve"> </w:t>
      </w:r>
      <w:r>
        <w:t>credible commitment to low and relatively stable inflation.</w:t>
      </w:r>
    </w:p>
    <w:p w14:paraId="0FFB91E9" w14:textId="65D77E89" w:rsidR="00DA7CCB" w:rsidRDefault="00DA7CCB" w:rsidP="00DA7CCB">
      <w:r>
        <w:t>Similarly, monetary policy also has a material impact on real economic activity and labour market outcomes in the short-to-medium run, while not being the sole determining factor</w:t>
      </w:r>
      <w:r w:rsidR="0068598E">
        <w:rPr>
          <w:spacing w:val="-18"/>
        </w:rPr>
        <w:t>.</w:t>
      </w:r>
    </w:p>
    <w:p w14:paraId="59E77628" w14:textId="754590A2" w:rsidR="00101378" w:rsidRPr="00101378" w:rsidRDefault="00101378" w:rsidP="00101378">
      <w:pPr>
        <w:pStyle w:val="Heading4"/>
      </w:pPr>
      <w:r>
        <w:t>There</w:t>
      </w:r>
      <w:r>
        <w:rPr>
          <w:spacing w:val="1"/>
        </w:rPr>
        <w:t xml:space="preserve"> </w:t>
      </w:r>
      <w:r>
        <w:t>are</w:t>
      </w:r>
      <w:r>
        <w:rPr>
          <w:spacing w:val="2"/>
        </w:rPr>
        <w:t xml:space="preserve"> </w:t>
      </w:r>
      <w:r>
        <w:t>limits</w:t>
      </w:r>
      <w:r>
        <w:rPr>
          <w:spacing w:val="1"/>
        </w:rPr>
        <w:t xml:space="preserve"> </w:t>
      </w:r>
      <w:r>
        <w:t>to</w:t>
      </w:r>
      <w:r>
        <w:rPr>
          <w:spacing w:val="2"/>
        </w:rPr>
        <w:t xml:space="preserve"> </w:t>
      </w:r>
      <w:r>
        <w:t>the</w:t>
      </w:r>
      <w:r>
        <w:rPr>
          <w:spacing w:val="1"/>
        </w:rPr>
        <w:t xml:space="preserve"> </w:t>
      </w:r>
      <w:r>
        <w:t>effect</w:t>
      </w:r>
      <w:r>
        <w:rPr>
          <w:spacing w:val="2"/>
        </w:rPr>
        <w:t xml:space="preserve"> </w:t>
      </w:r>
      <w:r>
        <w:t>of</w:t>
      </w:r>
      <w:r>
        <w:rPr>
          <w:spacing w:val="1"/>
        </w:rPr>
        <w:t xml:space="preserve"> </w:t>
      </w:r>
      <w:r>
        <w:t>monetary</w:t>
      </w:r>
      <w:r>
        <w:rPr>
          <w:spacing w:val="2"/>
        </w:rPr>
        <w:t xml:space="preserve"> </w:t>
      </w:r>
      <w:r>
        <w:t>policy</w:t>
      </w:r>
      <w:r>
        <w:rPr>
          <w:spacing w:val="1"/>
        </w:rPr>
        <w:t xml:space="preserve"> </w:t>
      </w:r>
      <w:r>
        <w:t>on</w:t>
      </w:r>
      <w:r>
        <w:rPr>
          <w:spacing w:val="2"/>
        </w:rPr>
        <w:t xml:space="preserve"> </w:t>
      </w:r>
      <w:r>
        <w:t>real</w:t>
      </w:r>
      <w:r>
        <w:rPr>
          <w:spacing w:val="1"/>
        </w:rPr>
        <w:t xml:space="preserve"> </w:t>
      </w:r>
      <w:r>
        <w:t>economic</w:t>
      </w:r>
      <w:r>
        <w:rPr>
          <w:spacing w:val="2"/>
        </w:rPr>
        <w:t xml:space="preserve"> </w:t>
      </w:r>
      <w:r>
        <w:t>activity</w:t>
      </w:r>
      <w:r>
        <w:rPr>
          <w:spacing w:val="1"/>
        </w:rPr>
        <w:t xml:space="preserve"> </w:t>
      </w:r>
      <w:r>
        <w:t>and</w:t>
      </w:r>
      <w:r>
        <w:rPr>
          <w:spacing w:val="2"/>
        </w:rPr>
        <w:t xml:space="preserve"> </w:t>
      </w:r>
      <w:r>
        <w:t>the</w:t>
      </w:r>
      <w:r>
        <w:rPr>
          <w:spacing w:val="1"/>
        </w:rPr>
        <w:t xml:space="preserve"> </w:t>
      </w:r>
      <w:r>
        <w:rPr>
          <w:spacing w:val="-2"/>
        </w:rPr>
        <w:t xml:space="preserve">labour </w:t>
      </w:r>
      <w:r w:rsidRPr="00101378">
        <w:t>market, particularly in the longer run</w:t>
      </w:r>
    </w:p>
    <w:p w14:paraId="1FACD17F" w14:textId="1401753A" w:rsidR="00101378" w:rsidRDefault="00101378" w:rsidP="00101378">
      <w:r>
        <w:t>Monetary policy largely takes the productive capacity of the economy as determined mainly by other factors</w:t>
      </w:r>
      <w:r w:rsidR="0068598E">
        <w:rPr>
          <w:spacing w:val="-23"/>
        </w:rPr>
        <w:t>.</w:t>
      </w:r>
      <w:r>
        <w:rPr>
          <w:w w:val="85"/>
        </w:rPr>
        <w:t xml:space="preserve"> </w:t>
      </w:r>
      <w:r>
        <w:t>These include the extent of skill mismatch in the labour market and other ‘structural’ factors that determine longer-run employment outcomes</w:t>
      </w:r>
      <w:r w:rsidR="0068598E">
        <w:rPr>
          <w:spacing w:val="-11"/>
        </w:rPr>
        <w:t>.</w:t>
      </w:r>
    </w:p>
    <w:p w14:paraId="43EDBD5E" w14:textId="77777777" w:rsidR="00101378" w:rsidRDefault="00101378" w:rsidP="00101378">
      <w:r>
        <w:t>Monetary policy cannot generate, as a matter of course, better longer-run real economy or labour market outcomes by pursuing a higher rate of inflation on average. The only material advantage to a policy of higher inflation could be lowering the probability of the RBA being constrained by the effective lower bound on the policy rate.</w:t>
      </w:r>
    </w:p>
    <w:p w14:paraId="12869CE3" w14:textId="57D0FB0A" w:rsidR="00101378" w:rsidRDefault="00101378" w:rsidP="00101378">
      <w:r>
        <w:t>However, because price stability is an important foundation for a strong economy, a central bank can contribute indirectly to good real economic outcomes in the longer run</w:t>
      </w:r>
      <w:r w:rsidR="0068598E">
        <w:rPr>
          <w:spacing w:val="-19"/>
        </w:rPr>
        <w:t>.</w:t>
      </w:r>
      <w:r>
        <w:rPr>
          <w:w w:val="85"/>
        </w:rPr>
        <w:t xml:space="preserve"> </w:t>
      </w:r>
      <w:r>
        <w:t>In addition, when monetary policy provides stimulus to moderate an economic downturn, it reduces the scarring</w:t>
      </w:r>
      <w:r>
        <w:rPr>
          <w:spacing w:val="80"/>
        </w:rPr>
        <w:t xml:space="preserve"> </w:t>
      </w:r>
      <w:r>
        <w:t>in the labour market that tends to occur</w:t>
      </w:r>
      <w:r w:rsidR="0068598E">
        <w:rPr>
          <w:spacing w:val="-21"/>
        </w:rPr>
        <w:t>.</w:t>
      </w:r>
      <w:r>
        <w:rPr>
          <w:w w:val="85"/>
        </w:rPr>
        <w:t xml:space="preserve"> </w:t>
      </w:r>
      <w:r>
        <w:t>In this way, monetary policy may have some additional positive effects on employment outcomes beyond the short term.</w:t>
      </w:r>
    </w:p>
    <w:p w14:paraId="3C85F6D5" w14:textId="77777777" w:rsidR="00101378" w:rsidRDefault="00101378" w:rsidP="00101378">
      <w:pPr>
        <w:pStyle w:val="Heading4"/>
      </w:pPr>
      <w:r>
        <w:t>An objective for full employment provides balance to monetary policy’s objective for price stability</w:t>
      </w:r>
    </w:p>
    <w:p w14:paraId="4A0CFA70" w14:textId="5F7E2EC5" w:rsidR="00101378" w:rsidRPr="003353F3" w:rsidRDefault="00101378" w:rsidP="00101378">
      <w:r>
        <w:t>An objective for price stability alone may incentivise monetary policy to generate substantial and undesirable volatility in the real economy and the labour market</w:t>
      </w:r>
      <w:r w:rsidR="0068598E">
        <w:rPr>
          <w:spacing w:val="-21"/>
        </w:rPr>
        <w:t>.</w:t>
      </w:r>
      <w:r>
        <w:rPr>
          <w:w w:val="85"/>
        </w:rPr>
        <w:t xml:space="preserve"> </w:t>
      </w:r>
      <w:r>
        <w:t>This is best demonstrated by a scenario in which there is a prolonged disruption to the economy’s supply of goods and services</w:t>
      </w:r>
      <w:r w:rsidR="0068598E">
        <w:rPr>
          <w:spacing w:val="-23"/>
        </w:rPr>
        <w:t>.</w:t>
      </w:r>
      <w:r>
        <w:t xml:space="preserve"> Disruptions to supply cause inflation to rise, while economic activity and employment decline or</w:t>
      </w:r>
      <w:r>
        <w:rPr>
          <w:spacing w:val="80"/>
        </w:rPr>
        <w:t xml:space="preserve"> </w:t>
      </w:r>
      <w:r>
        <w:t>at least increase less quickly than would otherwise be the case</w:t>
      </w:r>
      <w:r w:rsidR="0068598E">
        <w:rPr>
          <w:spacing w:val="-21"/>
        </w:rPr>
        <w:t>.</w:t>
      </w:r>
      <w:r>
        <w:rPr>
          <w:w w:val="85"/>
        </w:rPr>
        <w:t xml:space="preserve"> </w:t>
      </w:r>
      <w:r>
        <w:t>A central bank focused solely on inflation might increase its policy rate and exacerbate the employment decline. To the extent that scarring occurs in the labour market, employment may be persistently lower as a result</w:t>
      </w:r>
      <w:r w:rsidR="0068598E">
        <w:rPr>
          <w:spacing w:val="-19"/>
        </w:rPr>
        <w:t>.</w:t>
      </w:r>
      <w:r>
        <w:rPr>
          <w:w w:val="85"/>
        </w:rPr>
        <w:t xml:space="preserve"> </w:t>
      </w:r>
      <w:r>
        <w:t>In that scenario,</w:t>
      </w:r>
      <w:r>
        <w:rPr>
          <w:spacing w:val="-2"/>
        </w:rPr>
        <w:t xml:space="preserve"> </w:t>
      </w:r>
      <w:r>
        <w:t>an approach that</w:t>
      </w:r>
      <w:r>
        <w:rPr>
          <w:spacing w:val="1"/>
        </w:rPr>
        <w:t xml:space="preserve"> </w:t>
      </w:r>
      <w:r>
        <w:t>pursued low inflation as</w:t>
      </w:r>
      <w:r>
        <w:rPr>
          <w:spacing w:val="1"/>
        </w:rPr>
        <w:t xml:space="preserve"> </w:t>
      </w:r>
      <w:r>
        <w:t>soon as possible and</w:t>
      </w:r>
      <w:r>
        <w:rPr>
          <w:spacing w:val="1"/>
        </w:rPr>
        <w:t xml:space="preserve"> </w:t>
      </w:r>
      <w:r>
        <w:t>at any cost would</w:t>
      </w:r>
      <w:r>
        <w:rPr>
          <w:spacing w:val="1"/>
        </w:rPr>
        <w:t xml:space="preserve"> </w:t>
      </w:r>
      <w:r>
        <w:rPr>
          <w:spacing w:val="-2"/>
        </w:rPr>
        <w:t>damage</w:t>
      </w:r>
      <w:r w:rsidR="003353F3">
        <w:t xml:space="preserve"> </w:t>
      </w:r>
      <w:r>
        <w:t>overall</w:t>
      </w:r>
      <w:r>
        <w:rPr>
          <w:spacing w:val="2"/>
        </w:rPr>
        <w:t xml:space="preserve"> </w:t>
      </w:r>
      <w:r>
        <w:t>wellbeing</w:t>
      </w:r>
      <w:r w:rsidR="0068598E">
        <w:rPr>
          <w:spacing w:val="-23"/>
        </w:rPr>
        <w:t>.</w:t>
      </w:r>
    </w:p>
    <w:p w14:paraId="67496877" w14:textId="5A7D3AAE" w:rsidR="00200297" w:rsidRDefault="00200297" w:rsidP="00200297">
      <w:r>
        <w:t>In contrast, a central bank with a dual mandate will seek to strike a balance between reining in inflation and minimising the cost to employment, in the short and longer term. Thus, the dual mandate allows the central bank necessary flexibility to adjust its approach to match the nature of the challenges facing the economy</w:t>
      </w:r>
      <w:r w:rsidR="0068598E">
        <w:rPr>
          <w:spacing w:val="-9"/>
        </w:rPr>
        <w:t>.</w:t>
      </w:r>
    </w:p>
    <w:p w14:paraId="06399904" w14:textId="09D255DE" w:rsidR="00200297" w:rsidRDefault="00200297" w:rsidP="00200297">
      <w:r>
        <w:t>There is a risk that the Australian economy will face more frequent disruptions to supply in the period ahead, presenting trade-offs between price stability and employment outcomes (see</w:t>
      </w:r>
      <w:r>
        <w:rPr>
          <w:spacing w:val="40"/>
        </w:rPr>
        <w:t xml:space="preserve"> </w:t>
      </w:r>
      <w:r>
        <w:t>Box 2.2). This makes flexibility in the approach to monetary policy more important, even as the trade-offs</w:t>
      </w:r>
      <w:r>
        <w:rPr>
          <w:spacing w:val="4"/>
        </w:rPr>
        <w:t xml:space="preserve"> </w:t>
      </w:r>
      <w:r>
        <w:t>make</w:t>
      </w:r>
      <w:r>
        <w:rPr>
          <w:spacing w:val="6"/>
        </w:rPr>
        <w:t xml:space="preserve"> </w:t>
      </w:r>
      <w:r>
        <w:t>monetary</w:t>
      </w:r>
      <w:r>
        <w:rPr>
          <w:spacing w:val="6"/>
        </w:rPr>
        <w:t xml:space="preserve"> </w:t>
      </w:r>
      <w:r>
        <w:t>policy</w:t>
      </w:r>
      <w:r>
        <w:rPr>
          <w:spacing w:val="6"/>
        </w:rPr>
        <w:t xml:space="preserve"> </w:t>
      </w:r>
      <w:r>
        <w:t>decision</w:t>
      </w:r>
      <w:r>
        <w:rPr>
          <w:spacing w:val="6"/>
        </w:rPr>
        <w:t xml:space="preserve"> </w:t>
      </w:r>
      <w:r>
        <w:t>making</w:t>
      </w:r>
      <w:r>
        <w:rPr>
          <w:spacing w:val="6"/>
        </w:rPr>
        <w:t xml:space="preserve"> </w:t>
      </w:r>
      <w:r>
        <w:t>more</w:t>
      </w:r>
      <w:r>
        <w:rPr>
          <w:spacing w:val="6"/>
        </w:rPr>
        <w:t xml:space="preserve"> </w:t>
      </w:r>
      <w:r>
        <w:t>difficult.</w:t>
      </w:r>
      <w:r>
        <w:rPr>
          <w:spacing w:val="6"/>
        </w:rPr>
        <w:t xml:space="preserve"> </w:t>
      </w:r>
      <w:r>
        <w:t>By</w:t>
      </w:r>
      <w:r>
        <w:rPr>
          <w:spacing w:val="6"/>
        </w:rPr>
        <w:t xml:space="preserve"> </w:t>
      </w:r>
      <w:r>
        <w:t>contrast,</w:t>
      </w:r>
      <w:r>
        <w:rPr>
          <w:spacing w:val="6"/>
        </w:rPr>
        <w:t xml:space="preserve"> </w:t>
      </w:r>
      <w:r>
        <w:t>price</w:t>
      </w:r>
      <w:r>
        <w:rPr>
          <w:spacing w:val="6"/>
        </w:rPr>
        <w:t xml:space="preserve"> </w:t>
      </w:r>
      <w:r>
        <w:t>stability</w:t>
      </w:r>
      <w:r>
        <w:rPr>
          <w:spacing w:val="6"/>
        </w:rPr>
        <w:t xml:space="preserve"> </w:t>
      </w:r>
      <w:r>
        <w:rPr>
          <w:spacing w:val="-5"/>
        </w:rPr>
        <w:t xml:space="preserve">and </w:t>
      </w:r>
      <w:r>
        <w:t xml:space="preserve">employment objectives have been aligned for much of the inflation-targeting period. For example, inflation, economic activity and employment rates were likely to be low at times of subdued demand for goods and services. Here, there is no trade-off between the dual mandate objectives. The RBA can lower its policy rate in </w:t>
      </w:r>
      <w:r>
        <w:lastRenderedPageBreak/>
        <w:t>order to move both inflation towards target and employment rates towards their maximum sustainable level or ‘full employment’</w:t>
      </w:r>
      <w:r w:rsidR="0068598E">
        <w:rPr>
          <w:spacing w:val="-15"/>
        </w:rPr>
        <w:t>.</w:t>
      </w:r>
    </w:p>
    <w:p w14:paraId="2002BC58" w14:textId="77777777" w:rsidR="0057604C" w:rsidRDefault="0057604C" w:rsidP="0057604C">
      <w:pPr>
        <w:pStyle w:val="Heading4"/>
      </w:pPr>
      <w:r>
        <w:t>Defining</w:t>
      </w:r>
      <w:r>
        <w:rPr>
          <w:spacing w:val="1"/>
        </w:rPr>
        <w:t xml:space="preserve"> </w:t>
      </w:r>
      <w:r>
        <w:t>a</w:t>
      </w:r>
      <w:r>
        <w:rPr>
          <w:spacing w:val="1"/>
        </w:rPr>
        <w:t xml:space="preserve"> </w:t>
      </w:r>
      <w:r>
        <w:t>legislative</w:t>
      </w:r>
      <w:r>
        <w:rPr>
          <w:spacing w:val="2"/>
        </w:rPr>
        <w:t xml:space="preserve"> </w:t>
      </w:r>
      <w:r>
        <w:t>objective</w:t>
      </w:r>
      <w:r>
        <w:rPr>
          <w:spacing w:val="1"/>
        </w:rPr>
        <w:t xml:space="preserve"> </w:t>
      </w:r>
      <w:r>
        <w:t>for</w:t>
      </w:r>
      <w:r>
        <w:rPr>
          <w:spacing w:val="2"/>
        </w:rPr>
        <w:t xml:space="preserve"> </w:t>
      </w:r>
      <w:r>
        <w:t>price</w:t>
      </w:r>
      <w:r>
        <w:rPr>
          <w:spacing w:val="1"/>
        </w:rPr>
        <w:t xml:space="preserve"> </w:t>
      </w:r>
      <w:r>
        <w:rPr>
          <w:spacing w:val="-2"/>
        </w:rPr>
        <w:t>stability</w:t>
      </w:r>
    </w:p>
    <w:p w14:paraId="240037FD" w14:textId="0AA9B936" w:rsidR="0057604C" w:rsidRDefault="0057604C" w:rsidP="0057604C">
      <w:r>
        <w:t>Price stability is measurable and so lends itself to a numerical target</w:t>
      </w:r>
      <w:r w:rsidR="0068598E">
        <w:rPr>
          <w:spacing w:val="-22"/>
        </w:rPr>
        <w:t>.</w:t>
      </w:r>
      <w:r>
        <w:rPr>
          <w:w w:val="85"/>
        </w:rPr>
        <w:t xml:space="preserve"> </w:t>
      </w:r>
      <w:r>
        <w:t>This promotes accountability for</w:t>
      </w:r>
      <w:r>
        <w:rPr>
          <w:spacing w:val="-7"/>
        </w:rPr>
        <w:t xml:space="preserve"> </w:t>
      </w:r>
      <w:r>
        <w:t>the</w:t>
      </w:r>
      <w:r>
        <w:rPr>
          <w:spacing w:val="-7"/>
        </w:rPr>
        <w:t xml:space="preserve"> </w:t>
      </w:r>
      <w:r>
        <w:t>performance</w:t>
      </w:r>
      <w:r>
        <w:rPr>
          <w:spacing w:val="-7"/>
        </w:rPr>
        <w:t xml:space="preserve"> </w:t>
      </w:r>
      <w:r>
        <w:t>of</w:t>
      </w:r>
      <w:r>
        <w:rPr>
          <w:spacing w:val="-7"/>
        </w:rPr>
        <w:t xml:space="preserve"> </w:t>
      </w:r>
      <w:r>
        <w:t>monetary</w:t>
      </w:r>
      <w:r>
        <w:rPr>
          <w:spacing w:val="-7"/>
        </w:rPr>
        <w:t xml:space="preserve"> </w:t>
      </w:r>
      <w:r>
        <w:t>policy.</w:t>
      </w:r>
      <w:r>
        <w:rPr>
          <w:spacing w:val="-7"/>
        </w:rPr>
        <w:t xml:space="preserve"> </w:t>
      </w:r>
      <w:r>
        <w:t>Part</w:t>
      </w:r>
      <w:r>
        <w:rPr>
          <w:spacing w:val="-7"/>
        </w:rPr>
        <w:t xml:space="preserve"> </w:t>
      </w:r>
      <w:r>
        <w:t>of</w:t>
      </w:r>
      <w:r>
        <w:rPr>
          <w:spacing w:val="-7"/>
        </w:rPr>
        <w:t xml:space="preserve"> </w:t>
      </w:r>
      <w:r>
        <w:t>the</w:t>
      </w:r>
      <w:r>
        <w:rPr>
          <w:spacing w:val="-7"/>
        </w:rPr>
        <w:t xml:space="preserve"> </w:t>
      </w:r>
      <w:r>
        <w:t>success</w:t>
      </w:r>
      <w:r>
        <w:rPr>
          <w:spacing w:val="-7"/>
        </w:rPr>
        <w:t xml:space="preserve"> </w:t>
      </w:r>
      <w:r>
        <w:t>of</w:t>
      </w:r>
      <w:r>
        <w:rPr>
          <w:spacing w:val="-7"/>
        </w:rPr>
        <w:t xml:space="preserve"> </w:t>
      </w:r>
      <w:r>
        <w:t>inflation</w:t>
      </w:r>
      <w:r>
        <w:rPr>
          <w:spacing w:val="-7"/>
        </w:rPr>
        <w:t xml:space="preserve"> </w:t>
      </w:r>
      <w:r>
        <w:t>targets</w:t>
      </w:r>
      <w:r>
        <w:rPr>
          <w:spacing w:val="-7"/>
        </w:rPr>
        <w:t xml:space="preserve"> </w:t>
      </w:r>
      <w:r>
        <w:t>over</w:t>
      </w:r>
      <w:r>
        <w:rPr>
          <w:spacing w:val="-7"/>
        </w:rPr>
        <w:t xml:space="preserve"> </w:t>
      </w:r>
      <w:r>
        <w:t>the</w:t>
      </w:r>
      <w:r>
        <w:rPr>
          <w:spacing w:val="-7"/>
        </w:rPr>
        <w:t xml:space="preserve"> </w:t>
      </w:r>
      <w:r>
        <w:t>past</w:t>
      </w:r>
      <w:r>
        <w:rPr>
          <w:spacing w:val="-7"/>
        </w:rPr>
        <w:t xml:space="preserve"> </w:t>
      </w:r>
      <w:r>
        <w:t>30</w:t>
      </w:r>
      <w:r>
        <w:rPr>
          <w:spacing w:val="-7"/>
        </w:rPr>
        <w:t xml:space="preserve"> </w:t>
      </w:r>
      <w:r>
        <w:t>years has come from central banks’ demonstration of a track record of meeting a clear numerical target</w:t>
      </w:r>
      <w:r w:rsidR="0068598E">
        <w:rPr>
          <w:spacing w:val="-22"/>
        </w:rPr>
        <w:t>.</w:t>
      </w:r>
    </w:p>
    <w:p w14:paraId="786A1EEA" w14:textId="35633FBF" w:rsidR="0057604C" w:rsidRDefault="0057604C" w:rsidP="0057604C">
      <w:r>
        <w:t>The RBA Act currently prescribes an objective of ‘stability of the currency’ but the Statement on Conduct suggests the modern interpretation of this is ‘price stability’</w:t>
      </w:r>
      <w:r w:rsidR="0068598E">
        <w:rPr>
          <w:spacing w:val="-18"/>
        </w:rPr>
        <w:t>.</w:t>
      </w:r>
      <w:r>
        <w:rPr>
          <w:w w:val="85"/>
        </w:rPr>
        <w:t xml:space="preserve"> </w:t>
      </w:r>
      <w:r>
        <w:t>The Review recommends updating the legislation to match the modern interpretation of this objective, without precluding changes to the flexible inflation targeting framework if appropriate. The RBA Act was written at a time when the Australian currency was pegged to the British pound as part of the Bretton Woods system</w:t>
      </w:r>
      <w:r w:rsidR="0068598E">
        <w:rPr>
          <w:spacing w:val="-18"/>
        </w:rPr>
        <w:t>.</w:t>
      </w:r>
      <w:r>
        <w:rPr>
          <w:w w:val="85"/>
        </w:rPr>
        <w:t xml:space="preserve"> </w:t>
      </w:r>
      <w:r>
        <w:t>The operation of Australian monetary policy has evolved since that time, and it is appropriate that the RBA Act reflects the importance of internal price stability rather than external (exchange rate) stability</w:t>
      </w:r>
      <w:r w:rsidR="0068598E">
        <w:rPr>
          <w:spacing w:val="-11"/>
        </w:rPr>
        <w:t>.</w:t>
      </w:r>
    </w:p>
    <w:p w14:paraId="6271D0FB" w14:textId="77777777" w:rsidR="0057604C" w:rsidRDefault="0057604C" w:rsidP="0057604C">
      <w:pPr>
        <w:pStyle w:val="Heading4"/>
      </w:pPr>
      <w:r>
        <w:t>Defining</w:t>
      </w:r>
      <w:r>
        <w:rPr>
          <w:spacing w:val="1"/>
        </w:rPr>
        <w:t xml:space="preserve"> </w:t>
      </w:r>
      <w:r>
        <w:t>a</w:t>
      </w:r>
      <w:r>
        <w:rPr>
          <w:spacing w:val="1"/>
        </w:rPr>
        <w:t xml:space="preserve"> </w:t>
      </w:r>
      <w:r>
        <w:t>legislative</w:t>
      </w:r>
      <w:r>
        <w:rPr>
          <w:spacing w:val="2"/>
        </w:rPr>
        <w:t xml:space="preserve"> </w:t>
      </w:r>
      <w:r>
        <w:t>objective</w:t>
      </w:r>
      <w:r>
        <w:rPr>
          <w:spacing w:val="1"/>
        </w:rPr>
        <w:t xml:space="preserve"> </w:t>
      </w:r>
      <w:r>
        <w:t>for</w:t>
      </w:r>
      <w:r>
        <w:rPr>
          <w:spacing w:val="2"/>
        </w:rPr>
        <w:t xml:space="preserve"> </w:t>
      </w:r>
      <w:r>
        <w:t>full</w:t>
      </w:r>
      <w:r>
        <w:rPr>
          <w:spacing w:val="1"/>
        </w:rPr>
        <w:t xml:space="preserve"> </w:t>
      </w:r>
      <w:r>
        <w:rPr>
          <w:spacing w:val="-2"/>
        </w:rPr>
        <w:t>employment</w:t>
      </w:r>
    </w:p>
    <w:p w14:paraId="436B249F" w14:textId="4E89D3EA" w:rsidR="0057604C" w:rsidRDefault="0057604C" w:rsidP="00F3484C">
      <w:r>
        <w:t>In contrast to price stability, full employment is a complex concept that is not directly measurable</w:t>
      </w:r>
      <w:r w:rsidR="0068598E">
        <w:rPr>
          <w:spacing w:val="-24"/>
        </w:rPr>
        <w:t>.</w:t>
      </w:r>
      <w:r>
        <w:t xml:space="preserve"> Consistent with this, our focus groups of a cross-section of Australians found the full employment objective relatively difficult to understand. It is also more difficult to operationalise for a number</w:t>
      </w:r>
      <w:r>
        <w:rPr>
          <w:spacing w:val="80"/>
        </w:rPr>
        <w:t xml:space="preserve"> </w:t>
      </w:r>
      <w:r>
        <w:t>of reasons:</w:t>
      </w:r>
    </w:p>
    <w:p w14:paraId="4B2BE165" w14:textId="5A9F57EC" w:rsidR="0057604C" w:rsidRDefault="0057604C" w:rsidP="0000278A">
      <w:pPr>
        <w:pStyle w:val="Bullet"/>
      </w:pPr>
      <w:r>
        <w:t>An economy is unlikely to be able to operate sustainably with zero unemployment</w:t>
      </w:r>
      <w:r w:rsidR="0068598E">
        <w:rPr>
          <w:spacing w:val="-20"/>
        </w:rPr>
        <w:t>.</w:t>
      </w:r>
      <w:r>
        <w:rPr>
          <w:w w:val="85"/>
        </w:rPr>
        <w:t xml:space="preserve"> </w:t>
      </w:r>
      <w:r>
        <w:t>A healthy economy is likely to have some small proportion of those participating in the labour market ‘between</w:t>
      </w:r>
      <w:r>
        <w:rPr>
          <w:spacing w:val="12"/>
        </w:rPr>
        <w:t xml:space="preserve"> </w:t>
      </w:r>
      <w:r>
        <w:t>jobs’</w:t>
      </w:r>
      <w:r>
        <w:rPr>
          <w:spacing w:val="12"/>
        </w:rPr>
        <w:t xml:space="preserve"> </w:t>
      </w:r>
      <w:r>
        <w:t>at</w:t>
      </w:r>
      <w:r>
        <w:rPr>
          <w:spacing w:val="12"/>
        </w:rPr>
        <w:t xml:space="preserve"> </w:t>
      </w:r>
      <w:r>
        <w:t>any</w:t>
      </w:r>
      <w:r>
        <w:rPr>
          <w:spacing w:val="12"/>
        </w:rPr>
        <w:t xml:space="preserve"> </w:t>
      </w:r>
      <w:r>
        <w:t>point,</w:t>
      </w:r>
      <w:r>
        <w:rPr>
          <w:spacing w:val="12"/>
        </w:rPr>
        <w:t xml:space="preserve"> </w:t>
      </w:r>
      <w:r>
        <w:t>because</w:t>
      </w:r>
      <w:r>
        <w:rPr>
          <w:spacing w:val="12"/>
        </w:rPr>
        <w:t xml:space="preserve"> </w:t>
      </w:r>
      <w:r>
        <w:t>the</w:t>
      </w:r>
      <w:r>
        <w:rPr>
          <w:spacing w:val="12"/>
        </w:rPr>
        <w:t xml:space="preserve"> </w:t>
      </w:r>
      <w:r>
        <w:t>process</w:t>
      </w:r>
      <w:r>
        <w:rPr>
          <w:spacing w:val="12"/>
        </w:rPr>
        <w:t xml:space="preserve"> </w:t>
      </w:r>
      <w:r>
        <w:t>of</w:t>
      </w:r>
      <w:r>
        <w:rPr>
          <w:spacing w:val="12"/>
        </w:rPr>
        <w:t xml:space="preserve"> </w:t>
      </w:r>
      <w:r>
        <w:t>matching</w:t>
      </w:r>
      <w:r>
        <w:rPr>
          <w:spacing w:val="12"/>
        </w:rPr>
        <w:t xml:space="preserve"> </w:t>
      </w:r>
      <w:r>
        <w:t>jobs</w:t>
      </w:r>
      <w:r>
        <w:rPr>
          <w:spacing w:val="12"/>
        </w:rPr>
        <w:t xml:space="preserve"> </w:t>
      </w:r>
      <w:r>
        <w:t>and</w:t>
      </w:r>
      <w:r>
        <w:rPr>
          <w:spacing w:val="12"/>
        </w:rPr>
        <w:t xml:space="preserve"> </w:t>
      </w:r>
      <w:r>
        <w:t>workers</w:t>
      </w:r>
      <w:r>
        <w:rPr>
          <w:spacing w:val="12"/>
        </w:rPr>
        <w:t xml:space="preserve"> </w:t>
      </w:r>
      <w:r>
        <w:t>takes</w:t>
      </w:r>
      <w:r>
        <w:rPr>
          <w:spacing w:val="12"/>
        </w:rPr>
        <w:t xml:space="preserve"> </w:t>
      </w:r>
      <w:r>
        <w:t>time and there may be mismatches between the skills, available hours or physical location of those</w:t>
      </w:r>
      <w:r w:rsidR="00F3484C">
        <w:t xml:space="preserve"> </w:t>
      </w:r>
      <w:r>
        <w:t>looking for work and available jobs</w:t>
      </w:r>
      <w:r w:rsidR="0068598E">
        <w:rPr>
          <w:spacing w:val="-23"/>
        </w:rPr>
        <w:t>.</w:t>
      </w:r>
      <w:r w:rsidRPr="00F3484C">
        <w:rPr>
          <w:w w:val="85"/>
        </w:rPr>
        <w:t xml:space="preserve"> </w:t>
      </w:r>
      <w:r>
        <w:t>A reasonable employment objective must take these factors into account</w:t>
      </w:r>
      <w:r w:rsidR="0068598E">
        <w:rPr>
          <w:spacing w:val="-17"/>
        </w:rPr>
        <w:t>.</w:t>
      </w:r>
    </w:p>
    <w:p w14:paraId="08DB663D" w14:textId="0892AC83" w:rsidR="0057604C" w:rsidRDefault="0057604C" w:rsidP="0000278A">
      <w:pPr>
        <w:pStyle w:val="Bullet"/>
      </w:pPr>
      <w:r>
        <w:t>Judging</w:t>
      </w:r>
      <w:r w:rsidRPr="00F3484C">
        <w:rPr>
          <w:spacing w:val="-1"/>
        </w:rPr>
        <w:t xml:space="preserve"> </w:t>
      </w:r>
      <w:r>
        <w:t>how</w:t>
      </w:r>
      <w:r w:rsidRPr="00F3484C">
        <w:rPr>
          <w:spacing w:val="2"/>
        </w:rPr>
        <w:t xml:space="preserve"> </w:t>
      </w:r>
      <w:r>
        <w:t>much</w:t>
      </w:r>
      <w:r w:rsidRPr="00F3484C">
        <w:rPr>
          <w:spacing w:val="2"/>
        </w:rPr>
        <w:t xml:space="preserve"> </w:t>
      </w:r>
      <w:r>
        <w:t>employment</w:t>
      </w:r>
      <w:r w:rsidRPr="00F3484C">
        <w:rPr>
          <w:spacing w:val="1"/>
        </w:rPr>
        <w:t xml:space="preserve"> </w:t>
      </w:r>
      <w:r>
        <w:t>can</w:t>
      </w:r>
      <w:r w:rsidRPr="00F3484C">
        <w:rPr>
          <w:spacing w:val="2"/>
        </w:rPr>
        <w:t xml:space="preserve"> </w:t>
      </w:r>
      <w:r>
        <w:t>be</w:t>
      </w:r>
      <w:r w:rsidRPr="00F3484C">
        <w:rPr>
          <w:spacing w:val="2"/>
        </w:rPr>
        <w:t xml:space="preserve"> </w:t>
      </w:r>
      <w:r>
        <w:t>achieved</w:t>
      </w:r>
      <w:r w:rsidRPr="00F3484C">
        <w:rPr>
          <w:spacing w:val="2"/>
        </w:rPr>
        <w:t xml:space="preserve"> </w:t>
      </w:r>
      <w:r>
        <w:t>without</w:t>
      </w:r>
      <w:r w:rsidRPr="00F3484C">
        <w:rPr>
          <w:spacing w:val="1"/>
        </w:rPr>
        <w:t xml:space="preserve"> </w:t>
      </w:r>
      <w:r>
        <w:t>causing</w:t>
      </w:r>
      <w:r w:rsidRPr="00F3484C">
        <w:rPr>
          <w:spacing w:val="2"/>
        </w:rPr>
        <w:t xml:space="preserve"> </w:t>
      </w:r>
      <w:r>
        <w:t>undue</w:t>
      </w:r>
      <w:r w:rsidRPr="00F3484C">
        <w:rPr>
          <w:spacing w:val="2"/>
        </w:rPr>
        <w:t xml:space="preserve"> </w:t>
      </w:r>
      <w:r>
        <w:t>inflation</w:t>
      </w:r>
      <w:r w:rsidRPr="00F3484C">
        <w:rPr>
          <w:spacing w:val="2"/>
        </w:rPr>
        <w:t xml:space="preserve"> </w:t>
      </w:r>
      <w:r w:rsidRPr="00F3484C">
        <w:rPr>
          <w:spacing w:val="-2"/>
        </w:rPr>
        <w:t>requires</w:t>
      </w:r>
      <w:r w:rsidR="00F3484C" w:rsidRPr="00F3484C">
        <w:rPr>
          <w:spacing w:val="-2"/>
        </w:rPr>
        <w:t xml:space="preserve"> </w:t>
      </w:r>
      <w:r>
        <w:t>complex</w:t>
      </w:r>
      <w:r w:rsidRPr="00F3484C">
        <w:rPr>
          <w:spacing w:val="1"/>
        </w:rPr>
        <w:t xml:space="preserve"> </w:t>
      </w:r>
      <w:r>
        <w:t>modelling</w:t>
      </w:r>
      <w:r w:rsidRPr="00F3484C">
        <w:rPr>
          <w:spacing w:val="2"/>
        </w:rPr>
        <w:t xml:space="preserve"> </w:t>
      </w:r>
      <w:r>
        <w:t>and</w:t>
      </w:r>
      <w:r w:rsidRPr="00F3484C">
        <w:rPr>
          <w:spacing w:val="1"/>
        </w:rPr>
        <w:t xml:space="preserve"> </w:t>
      </w:r>
      <w:r>
        <w:t>judgement,</w:t>
      </w:r>
      <w:r w:rsidRPr="00F3484C">
        <w:rPr>
          <w:spacing w:val="2"/>
        </w:rPr>
        <w:t xml:space="preserve"> </w:t>
      </w:r>
      <w:r>
        <w:t>as</w:t>
      </w:r>
      <w:r w:rsidRPr="00F3484C">
        <w:rPr>
          <w:spacing w:val="1"/>
        </w:rPr>
        <w:t xml:space="preserve"> </w:t>
      </w:r>
      <w:r>
        <w:t>it</w:t>
      </w:r>
      <w:r w:rsidRPr="00F3484C">
        <w:rPr>
          <w:spacing w:val="2"/>
        </w:rPr>
        <w:t xml:space="preserve"> </w:t>
      </w:r>
      <w:r>
        <w:t>cannot</w:t>
      </w:r>
      <w:r w:rsidRPr="00F3484C">
        <w:rPr>
          <w:spacing w:val="1"/>
        </w:rPr>
        <w:t xml:space="preserve"> </w:t>
      </w:r>
      <w:r>
        <w:t>be</w:t>
      </w:r>
      <w:r w:rsidRPr="00F3484C">
        <w:rPr>
          <w:spacing w:val="2"/>
        </w:rPr>
        <w:t xml:space="preserve"> </w:t>
      </w:r>
      <w:r>
        <w:t>directly</w:t>
      </w:r>
      <w:r w:rsidRPr="00F3484C">
        <w:rPr>
          <w:spacing w:val="2"/>
        </w:rPr>
        <w:t xml:space="preserve"> </w:t>
      </w:r>
      <w:r>
        <w:t>observed</w:t>
      </w:r>
      <w:r w:rsidRPr="00F3484C">
        <w:rPr>
          <w:spacing w:val="1"/>
        </w:rPr>
        <w:t xml:space="preserve"> </w:t>
      </w:r>
      <w:r>
        <w:t>and</w:t>
      </w:r>
      <w:r w:rsidRPr="00F3484C">
        <w:rPr>
          <w:spacing w:val="2"/>
        </w:rPr>
        <w:t xml:space="preserve"> </w:t>
      </w:r>
      <w:r>
        <w:t>changes</w:t>
      </w:r>
      <w:r w:rsidRPr="00F3484C">
        <w:rPr>
          <w:spacing w:val="1"/>
        </w:rPr>
        <w:t xml:space="preserve"> </w:t>
      </w:r>
      <w:r>
        <w:t>over</w:t>
      </w:r>
      <w:r w:rsidRPr="00F3484C">
        <w:rPr>
          <w:spacing w:val="2"/>
        </w:rPr>
        <w:t xml:space="preserve"> </w:t>
      </w:r>
      <w:r>
        <w:t>time</w:t>
      </w:r>
      <w:r w:rsidR="0068598E">
        <w:rPr>
          <w:spacing w:val="-23"/>
        </w:rPr>
        <w:t>.</w:t>
      </w:r>
      <w:r w:rsidR="00F3484C">
        <w:rPr>
          <w:spacing w:val="-10"/>
          <w:w w:val="85"/>
        </w:rPr>
        <w:t xml:space="preserve"> </w:t>
      </w:r>
      <w:r>
        <w:t>Central</w:t>
      </w:r>
      <w:r w:rsidRPr="00F3484C">
        <w:rPr>
          <w:spacing w:val="1"/>
        </w:rPr>
        <w:t xml:space="preserve"> </w:t>
      </w:r>
      <w:r>
        <w:t>banks</w:t>
      </w:r>
      <w:r w:rsidRPr="00F3484C">
        <w:rPr>
          <w:spacing w:val="1"/>
        </w:rPr>
        <w:t xml:space="preserve"> </w:t>
      </w:r>
      <w:r>
        <w:t>and</w:t>
      </w:r>
      <w:r w:rsidRPr="00F3484C">
        <w:rPr>
          <w:spacing w:val="2"/>
        </w:rPr>
        <w:t xml:space="preserve"> </w:t>
      </w:r>
      <w:r>
        <w:t>others</w:t>
      </w:r>
      <w:r w:rsidRPr="00F3484C">
        <w:rPr>
          <w:spacing w:val="1"/>
        </w:rPr>
        <w:t xml:space="preserve"> </w:t>
      </w:r>
      <w:r>
        <w:t>that</w:t>
      </w:r>
      <w:r w:rsidRPr="00F3484C">
        <w:rPr>
          <w:spacing w:val="1"/>
        </w:rPr>
        <w:t xml:space="preserve"> </w:t>
      </w:r>
      <w:r>
        <w:t>make</w:t>
      </w:r>
      <w:r w:rsidRPr="00F3484C">
        <w:rPr>
          <w:spacing w:val="2"/>
        </w:rPr>
        <w:t xml:space="preserve"> </w:t>
      </w:r>
      <w:r>
        <w:t>estimates</w:t>
      </w:r>
      <w:r w:rsidRPr="00F3484C">
        <w:rPr>
          <w:spacing w:val="1"/>
        </w:rPr>
        <w:t xml:space="preserve"> </w:t>
      </w:r>
      <w:r>
        <w:t>of</w:t>
      </w:r>
      <w:r w:rsidRPr="00F3484C">
        <w:rPr>
          <w:spacing w:val="2"/>
        </w:rPr>
        <w:t xml:space="preserve"> </w:t>
      </w:r>
      <w:r>
        <w:t>the</w:t>
      </w:r>
      <w:r w:rsidRPr="00F3484C">
        <w:rPr>
          <w:spacing w:val="1"/>
        </w:rPr>
        <w:t xml:space="preserve"> </w:t>
      </w:r>
      <w:r>
        <w:t>‘natural’</w:t>
      </w:r>
      <w:r w:rsidRPr="00F3484C">
        <w:rPr>
          <w:spacing w:val="1"/>
        </w:rPr>
        <w:t xml:space="preserve"> </w:t>
      </w:r>
      <w:r>
        <w:t>unemployment</w:t>
      </w:r>
      <w:r w:rsidRPr="00F3484C">
        <w:rPr>
          <w:spacing w:val="2"/>
        </w:rPr>
        <w:t xml:space="preserve"> </w:t>
      </w:r>
      <w:r>
        <w:t>rate</w:t>
      </w:r>
      <w:r w:rsidRPr="00F3484C">
        <w:rPr>
          <w:spacing w:val="1"/>
        </w:rPr>
        <w:t xml:space="preserve"> </w:t>
      </w:r>
      <w:r>
        <w:t>or</w:t>
      </w:r>
      <w:r w:rsidRPr="00F3484C">
        <w:rPr>
          <w:spacing w:val="2"/>
        </w:rPr>
        <w:t xml:space="preserve"> </w:t>
      </w:r>
      <w:r w:rsidRPr="00F3484C">
        <w:rPr>
          <w:spacing w:val="-5"/>
        </w:rPr>
        <w:t>the</w:t>
      </w:r>
      <w:r w:rsidR="00F3484C" w:rsidRPr="00F3484C">
        <w:rPr>
          <w:spacing w:val="-5"/>
        </w:rPr>
        <w:t xml:space="preserve"> </w:t>
      </w:r>
      <w:r>
        <w:t>non-accelerating</w:t>
      </w:r>
      <w:r w:rsidRPr="00F3484C">
        <w:rPr>
          <w:spacing w:val="-1"/>
        </w:rPr>
        <w:t xml:space="preserve"> </w:t>
      </w:r>
      <w:r>
        <w:t>inflation</w:t>
      </w:r>
      <w:r w:rsidRPr="00F3484C">
        <w:rPr>
          <w:spacing w:val="2"/>
        </w:rPr>
        <w:t xml:space="preserve"> </w:t>
      </w:r>
      <w:r>
        <w:t>rate</w:t>
      </w:r>
      <w:r w:rsidRPr="00F3484C">
        <w:rPr>
          <w:spacing w:val="1"/>
        </w:rPr>
        <w:t xml:space="preserve"> </w:t>
      </w:r>
      <w:r>
        <w:t>of</w:t>
      </w:r>
      <w:r w:rsidRPr="00F3484C">
        <w:rPr>
          <w:spacing w:val="2"/>
        </w:rPr>
        <w:t xml:space="preserve"> </w:t>
      </w:r>
      <w:r>
        <w:t>unemployment</w:t>
      </w:r>
      <w:r w:rsidRPr="00F3484C">
        <w:rPr>
          <w:spacing w:val="1"/>
        </w:rPr>
        <w:t xml:space="preserve"> </w:t>
      </w:r>
      <w:r>
        <w:t>point</w:t>
      </w:r>
      <w:r w:rsidRPr="00F3484C">
        <w:rPr>
          <w:spacing w:val="2"/>
        </w:rPr>
        <w:t xml:space="preserve"> </w:t>
      </w:r>
      <w:r>
        <w:t>out</w:t>
      </w:r>
      <w:r w:rsidRPr="00F3484C">
        <w:rPr>
          <w:spacing w:val="2"/>
        </w:rPr>
        <w:t xml:space="preserve"> </w:t>
      </w:r>
      <w:r>
        <w:t>that</w:t>
      </w:r>
      <w:r w:rsidRPr="00F3484C">
        <w:rPr>
          <w:spacing w:val="1"/>
        </w:rPr>
        <w:t xml:space="preserve"> </w:t>
      </w:r>
      <w:r>
        <w:t>these</w:t>
      </w:r>
      <w:r w:rsidRPr="00F3484C">
        <w:rPr>
          <w:spacing w:val="2"/>
        </w:rPr>
        <w:t xml:space="preserve"> </w:t>
      </w:r>
      <w:r>
        <w:t>estimates</w:t>
      </w:r>
      <w:r w:rsidRPr="00F3484C">
        <w:rPr>
          <w:spacing w:val="1"/>
        </w:rPr>
        <w:t xml:space="preserve"> </w:t>
      </w:r>
      <w:r>
        <w:t>are</w:t>
      </w:r>
      <w:r w:rsidRPr="00F3484C">
        <w:rPr>
          <w:spacing w:val="2"/>
        </w:rPr>
        <w:t xml:space="preserve"> </w:t>
      </w:r>
      <w:r>
        <w:t>subject</w:t>
      </w:r>
      <w:r w:rsidRPr="00F3484C">
        <w:rPr>
          <w:spacing w:val="2"/>
        </w:rPr>
        <w:t xml:space="preserve"> </w:t>
      </w:r>
      <w:r w:rsidRPr="00F3484C">
        <w:rPr>
          <w:spacing w:val="-5"/>
        </w:rPr>
        <w:t>to</w:t>
      </w:r>
      <w:r w:rsidR="00F3484C" w:rsidRPr="00F3484C">
        <w:rPr>
          <w:spacing w:val="-5"/>
        </w:rPr>
        <w:t xml:space="preserve"> </w:t>
      </w:r>
      <w:r>
        <w:t>substantial</w:t>
      </w:r>
      <w:r w:rsidRPr="00F3484C">
        <w:rPr>
          <w:spacing w:val="-7"/>
        </w:rPr>
        <w:t xml:space="preserve"> </w:t>
      </w:r>
      <w:r>
        <w:t>uncertainty</w:t>
      </w:r>
      <w:r w:rsidRPr="00F3484C">
        <w:rPr>
          <w:spacing w:val="-5"/>
        </w:rPr>
        <w:t xml:space="preserve"> </w:t>
      </w:r>
      <w:r>
        <w:t>(Chua</w:t>
      </w:r>
      <w:r w:rsidRPr="00F3484C">
        <w:rPr>
          <w:spacing w:val="-5"/>
        </w:rPr>
        <w:t xml:space="preserve"> </w:t>
      </w:r>
      <w:r>
        <w:t>and</w:t>
      </w:r>
      <w:r w:rsidRPr="00F3484C">
        <w:rPr>
          <w:spacing w:val="-5"/>
        </w:rPr>
        <w:t xml:space="preserve"> </w:t>
      </w:r>
      <w:r>
        <w:t>Robinson</w:t>
      </w:r>
      <w:r w:rsidRPr="00F3484C">
        <w:rPr>
          <w:spacing w:val="-5"/>
        </w:rPr>
        <w:t xml:space="preserve"> </w:t>
      </w:r>
      <w:r>
        <w:t>2018,</w:t>
      </w:r>
      <w:r w:rsidRPr="00F3484C">
        <w:rPr>
          <w:spacing w:val="-5"/>
        </w:rPr>
        <w:t xml:space="preserve"> </w:t>
      </w:r>
      <w:r>
        <w:t>Cusbert</w:t>
      </w:r>
      <w:r w:rsidRPr="00F3484C">
        <w:rPr>
          <w:spacing w:val="-5"/>
        </w:rPr>
        <w:t xml:space="preserve"> </w:t>
      </w:r>
      <w:r>
        <w:t>2017,</w:t>
      </w:r>
      <w:r w:rsidRPr="00F3484C">
        <w:rPr>
          <w:spacing w:val="-5"/>
        </w:rPr>
        <w:t xml:space="preserve"> </w:t>
      </w:r>
      <w:r>
        <w:t>Ellis</w:t>
      </w:r>
      <w:r w:rsidRPr="00F3484C">
        <w:rPr>
          <w:spacing w:val="-4"/>
        </w:rPr>
        <w:t xml:space="preserve"> </w:t>
      </w:r>
      <w:r>
        <w:t>2019)</w:t>
      </w:r>
      <w:r w:rsidR="0068598E">
        <w:rPr>
          <w:spacing w:val="-25"/>
        </w:rPr>
        <w:t>.</w:t>
      </w:r>
    </w:p>
    <w:p w14:paraId="3B66AF2B" w14:textId="7F6E4502" w:rsidR="0057604C" w:rsidRDefault="0057604C" w:rsidP="0000278A">
      <w:pPr>
        <w:pStyle w:val="Bullet"/>
      </w:pPr>
      <w:r>
        <w:t>Full</w:t>
      </w:r>
      <w:r w:rsidRPr="00F3484C">
        <w:rPr>
          <w:spacing w:val="-6"/>
        </w:rPr>
        <w:t xml:space="preserve"> </w:t>
      </w:r>
      <w:r>
        <w:t>employment</w:t>
      </w:r>
      <w:r w:rsidRPr="00F3484C">
        <w:rPr>
          <w:spacing w:val="-4"/>
        </w:rPr>
        <w:t xml:space="preserve"> </w:t>
      </w:r>
      <w:r>
        <w:t>should</w:t>
      </w:r>
      <w:r w:rsidRPr="00F3484C">
        <w:rPr>
          <w:spacing w:val="-5"/>
        </w:rPr>
        <w:t xml:space="preserve"> </w:t>
      </w:r>
      <w:r>
        <w:t>not</w:t>
      </w:r>
      <w:r w:rsidRPr="00F3484C">
        <w:rPr>
          <w:spacing w:val="-5"/>
        </w:rPr>
        <w:t xml:space="preserve"> </w:t>
      </w:r>
      <w:r>
        <w:t>be</w:t>
      </w:r>
      <w:r w:rsidRPr="00F3484C">
        <w:rPr>
          <w:spacing w:val="-5"/>
        </w:rPr>
        <w:t xml:space="preserve"> </w:t>
      </w:r>
      <w:r>
        <w:t>measured</w:t>
      </w:r>
      <w:r w:rsidRPr="00F3484C">
        <w:rPr>
          <w:spacing w:val="-5"/>
        </w:rPr>
        <w:t xml:space="preserve"> </w:t>
      </w:r>
      <w:r>
        <w:t>by</w:t>
      </w:r>
      <w:r w:rsidRPr="00F3484C">
        <w:rPr>
          <w:spacing w:val="-4"/>
        </w:rPr>
        <w:t xml:space="preserve"> </w:t>
      </w:r>
      <w:r>
        <w:t>one</w:t>
      </w:r>
      <w:r w:rsidRPr="00F3484C">
        <w:rPr>
          <w:spacing w:val="-5"/>
        </w:rPr>
        <w:t xml:space="preserve"> </w:t>
      </w:r>
      <w:r>
        <w:t>metric,</w:t>
      </w:r>
      <w:r w:rsidRPr="00F3484C">
        <w:rPr>
          <w:spacing w:val="-5"/>
        </w:rPr>
        <w:t xml:space="preserve"> </w:t>
      </w:r>
      <w:r>
        <w:t>but</w:t>
      </w:r>
      <w:r w:rsidRPr="00F3484C">
        <w:rPr>
          <w:spacing w:val="-5"/>
        </w:rPr>
        <w:t xml:space="preserve"> </w:t>
      </w:r>
      <w:r>
        <w:t>rather</w:t>
      </w:r>
      <w:r w:rsidRPr="00F3484C">
        <w:rPr>
          <w:spacing w:val="-4"/>
        </w:rPr>
        <w:t xml:space="preserve"> </w:t>
      </w:r>
      <w:r>
        <w:t>by</w:t>
      </w:r>
      <w:r w:rsidRPr="00F3484C">
        <w:rPr>
          <w:spacing w:val="-5"/>
        </w:rPr>
        <w:t xml:space="preserve"> </w:t>
      </w:r>
      <w:r>
        <w:t>a</w:t>
      </w:r>
      <w:r w:rsidRPr="00F3484C">
        <w:rPr>
          <w:spacing w:val="-5"/>
        </w:rPr>
        <w:t xml:space="preserve"> </w:t>
      </w:r>
      <w:r>
        <w:t>range</w:t>
      </w:r>
      <w:r w:rsidRPr="00F3484C">
        <w:rPr>
          <w:spacing w:val="-5"/>
        </w:rPr>
        <w:t xml:space="preserve"> </w:t>
      </w:r>
      <w:r>
        <w:t>of</w:t>
      </w:r>
      <w:r w:rsidRPr="00F3484C">
        <w:rPr>
          <w:spacing w:val="-4"/>
        </w:rPr>
        <w:t xml:space="preserve"> </w:t>
      </w:r>
      <w:r>
        <w:t>indicators</w:t>
      </w:r>
      <w:r w:rsidR="0068598E">
        <w:rPr>
          <w:spacing w:val="-25"/>
        </w:rPr>
        <w:t>.</w:t>
      </w:r>
      <w:r w:rsidR="00F3484C">
        <w:rPr>
          <w:spacing w:val="-10"/>
          <w:w w:val="85"/>
        </w:rPr>
        <w:t xml:space="preserve"> </w:t>
      </w:r>
      <w:r>
        <w:t>For instance, the extent of underemployment is both important for economic welfare and may have</w:t>
      </w:r>
      <w:r w:rsidRPr="00F3484C">
        <w:rPr>
          <w:spacing w:val="-6"/>
        </w:rPr>
        <w:t xml:space="preserve"> </w:t>
      </w:r>
      <w:r>
        <w:t>implications</w:t>
      </w:r>
      <w:r w:rsidRPr="00F3484C">
        <w:rPr>
          <w:spacing w:val="-6"/>
        </w:rPr>
        <w:t xml:space="preserve"> </w:t>
      </w:r>
      <w:r>
        <w:t>for</w:t>
      </w:r>
      <w:r w:rsidRPr="00F3484C">
        <w:rPr>
          <w:spacing w:val="-6"/>
        </w:rPr>
        <w:t xml:space="preserve"> </w:t>
      </w:r>
      <w:r>
        <w:t>inflation.</w:t>
      </w:r>
      <w:r w:rsidRPr="00F3484C">
        <w:rPr>
          <w:spacing w:val="-6"/>
        </w:rPr>
        <w:t xml:space="preserve"> </w:t>
      </w:r>
      <w:r>
        <w:t>Other</w:t>
      </w:r>
      <w:r w:rsidRPr="00F3484C">
        <w:rPr>
          <w:spacing w:val="-6"/>
        </w:rPr>
        <w:t xml:space="preserve"> </w:t>
      </w:r>
      <w:r>
        <w:t>indicators,</w:t>
      </w:r>
      <w:r w:rsidRPr="00F3484C">
        <w:rPr>
          <w:spacing w:val="-6"/>
        </w:rPr>
        <w:t xml:space="preserve"> </w:t>
      </w:r>
      <w:r>
        <w:t>like</w:t>
      </w:r>
      <w:r w:rsidRPr="00F3484C">
        <w:rPr>
          <w:spacing w:val="-6"/>
        </w:rPr>
        <w:t xml:space="preserve"> </w:t>
      </w:r>
      <w:r>
        <w:t>the</w:t>
      </w:r>
      <w:r w:rsidRPr="00F3484C">
        <w:rPr>
          <w:spacing w:val="-6"/>
        </w:rPr>
        <w:t xml:space="preserve"> </w:t>
      </w:r>
      <w:r>
        <w:t>tenure</w:t>
      </w:r>
      <w:r w:rsidRPr="00F3484C">
        <w:rPr>
          <w:spacing w:val="-6"/>
        </w:rPr>
        <w:t xml:space="preserve"> </w:t>
      </w:r>
      <w:r>
        <w:t>of</w:t>
      </w:r>
      <w:r w:rsidRPr="00F3484C">
        <w:rPr>
          <w:spacing w:val="-6"/>
        </w:rPr>
        <w:t xml:space="preserve"> </w:t>
      </w:r>
      <w:r>
        <w:t>unemployment</w:t>
      </w:r>
      <w:r w:rsidRPr="00F3484C">
        <w:rPr>
          <w:spacing w:val="-6"/>
        </w:rPr>
        <w:t xml:space="preserve"> </w:t>
      </w:r>
      <w:r>
        <w:t>and</w:t>
      </w:r>
      <w:r w:rsidRPr="00F3484C">
        <w:rPr>
          <w:spacing w:val="-6"/>
        </w:rPr>
        <w:t xml:space="preserve"> </w:t>
      </w:r>
      <w:r>
        <w:t>the</w:t>
      </w:r>
      <w:r w:rsidRPr="00F3484C">
        <w:rPr>
          <w:spacing w:val="-6"/>
        </w:rPr>
        <w:t xml:space="preserve"> </w:t>
      </w:r>
      <w:r>
        <w:t>rate</w:t>
      </w:r>
      <w:r w:rsidRPr="00F3484C">
        <w:rPr>
          <w:spacing w:val="-6"/>
        </w:rPr>
        <w:t xml:space="preserve"> </w:t>
      </w:r>
      <w:r>
        <w:t>of job separations, provide important perspectives</w:t>
      </w:r>
      <w:r w:rsidR="0068598E">
        <w:rPr>
          <w:spacing w:val="-19"/>
        </w:rPr>
        <w:t>.</w:t>
      </w:r>
      <w:r w:rsidRPr="00F3484C">
        <w:rPr>
          <w:w w:val="85"/>
        </w:rPr>
        <w:t xml:space="preserve"> </w:t>
      </w:r>
      <w:r>
        <w:t>Wage growth is an important indicator of the balance of supply and demand in the labour market</w:t>
      </w:r>
      <w:r w:rsidR="0068598E">
        <w:rPr>
          <w:spacing w:val="-17"/>
        </w:rPr>
        <w:t>.</w:t>
      </w:r>
    </w:p>
    <w:p w14:paraId="6D5AD731" w14:textId="77777777" w:rsidR="0057604C" w:rsidRDefault="0057604C" w:rsidP="00F3484C">
      <w:r>
        <w:t>Despite</w:t>
      </w:r>
      <w:r>
        <w:rPr>
          <w:spacing w:val="-3"/>
        </w:rPr>
        <w:t xml:space="preserve"> </w:t>
      </w:r>
      <w:r>
        <w:t>the</w:t>
      </w:r>
      <w:r>
        <w:rPr>
          <w:spacing w:val="-2"/>
        </w:rPr>
        <w:t xml:space="preserve"> </w:t>
      </w:r>
      <w:r>
        <w:t>difficulties</w:t>
      </w:r>
      <w:r>
        <w:rPr>
          <w:spacing w:val="-3"/>
        </w:rPr>
        <w:t xml:space="preserve"> </w:t>
      </w:r>
      <w:r>
        <w:t>in</w:t>
      </w:r>
      <w:r>
        <w:rPr>
          <w:spacing w:val="-2"/>
        </w:rPr>
        <w:t xml:space="preserve"> </w:t>
      </w:r>
      <w:r>
        <w:t>measuring</w:t>
      </w:r>
      <w:r>
        <w:rPr>
          <w:spacing w:val="-3"/>
        </w:rPr>
        <w:t xml:space="preserve"> </w:t>
      </w:r>
      <w:r>
        <w:t>it,</w:t>
      </w:r>
      <w:r>
        <w:rPr>
          <w:spacing w:val="-2"/>
        </w:rPr>
        <w:t xml:space="preserve"> </w:t>
      </w:r>
      <w:r>
        <w:t>full</w:t>
      </w:r>
      <w:r>
        <w:rPr>
          <w:spacing w:val="-3"/>
        </w:rPr>
        <w:t xml:space="preserve"> </w:t>
      </w:r>
      <w:r>
        <w:t>employment</w:t>
      </w:r>
      <w:r>
        <w:rPr>
          <w:spacing w:val="-2"/>
        </w:rPr>
        <w:t xml:space="preserve"> </w:t>
      </w:r>
      <w:r>
        <w:t>is</w:t>
      </w:r>
      <w:r>
        <w:rPr>
          <w:spacing w:val="-3"/>
        </w:rPr>
        <w:t xml:space="preserve"> </w:t>
      </w:r>
      <w:r>
        <w:t>a</w:t>
      </w:r>
      <w:r>
        <w:rPr>
          <w:spacing w:val="-2"/>
        </w:rPr>
        <w:t xml:space="preserve"> </w:t>
      </w:r>
      <w:r>
        <w:t>vital</w:t>
      </w:r>
      <w:r>
        <w:rPr>
          <w:spacing w:val="-3"/>
        </w:rPr>
        <w:t xml:space="preserve"> </w:t>
      </w:r>
      <w:r>
        <w:t>objective</w:t>
      </w:r>
      <w:r>
        <w:rPr>
          <w:spacing w:val="-2"/>
        </w:rPr>
        <w:t xml:space="preserve"> </w:t>
      </w:r>
      <w:r>
        <w:t>for</w:t>
      </w:r>
      <w:r>
        <w:rPr>
          <w:spacing w:val="-3"/>
        </w:rPr>
        <w:t xml:space="preserve"> </w:t>
      </w:r>
      <w:r>
        <w:t>good</w:t>
      </w:r>
      <w:r>
        <w:rPr>
          <w:spacing w:val="-2"/>
        </w:rPr>
        <w:t xml:space="preserve"> </w:t>
      </w:r>
      <w:r>
        <w:t>monetary</w:t>
      </w:r>
      <w:r>
        <w:rPr>
          <w:spacing w:val="-2"/>
        </w:rPr>
        <w:t xml:space="preserve"> policy.</w:t>
      </w:r>
    </w:p>
    <w:p w14:paraId="47C63634" w14:textId="56EF8685" w:rsidR="0057604C" w:rsidRDefault="0057604C" w:rsidP="00F3484C">
      <w:r>
        <w:t>In order to maintain the operational independence of monetary policy, it is important that the RBA retain independence to judge the specific labour market conditions that are consistent with full employment at any point in time. Nonetheless, it is appropriate for the Government to set</w:t>
      </w:r>
      <w:r w:rsidR="00F3484C">
        <w:t xml:space="preserve"> </w:t>
      </w:r>
      <w:r>
        <w:t>a full employment objective for monetary policy, and to reach agreement with the RBA in the Statement on</w:t>
      </w:r>
      <w:r>
        <w:rPr>
          <w:spacing w:val="-1"/>
        </w:rPr>
        <w:t xml:space="preserve"> </w:t>
      </w:r>
      <w:r>
        <w:t>Conduct on</w:t>
      </w:r>
      <w:r>
        <w:rPr>
          <w:spacing w:val="-1"/>
        </w:rPr>
        <w:t xml:space="preserve"> </w:t>
      </w:r>
      <w:r>
        <w:t>the broad</w:t>
      </w:r>
      <w:r>
        <w:rPr>
          <w:spacing w:val="-1"/>
        </w:rPr>
        <w:t xml:space="preserve"> </w:t>
      </w:r>
      <w:r>
        <w:t>considerations for</w:t>
      </w:r>
      <w:r>
        <w:rPr>
          <w:spacing w:val="-1"/>
        </w:rPr>
        <w:t xml:space="preserve"> </w:t>
      </w:r>
      <w:r>
        <w:t>the RBA’s</w:t>
      </w:r>
      <w:r>
        <w:rPr>
          <w:spacing w:val="-1"/>
        </w:rPr>
        <w:t xml:space="preserve"> </w:t>
      </w:r>
      <w:r>
        <w:t>assessment of</w:t>
      </w:r>
      <w:r>
        <w:rPr>
          <w:spacing w:val="-1"/>
        </w:rPr>
        <w:t xml:space="preserve"> </w:t>
      </w:r>
      <w:r>
        <w:t>full employment</w:t>
      </w:r>
      <w:r w:rsidR="0068598E">
        <w:rPr>
          <w:spacing w:val="-24"/>
        </w:rPr>
        <w:t>.</w:t>
      </w:r>
    </w:p>
    <w:p w14:paraId="06AB320B" w14:textId="656D50EB" w:rsidR="0057604C" w:rsidRDefault="0057604C" w:rsidP="0057604C">
      <w:r>
        <w:t>Recommendation 2 calls for some improvements to the RBA’s approach to meeting its full employment objective</w:t>
      </w:r>
      <w:r w:rsidR="0068598E">
        <w:rPr>
          <w:spacing w:val="-17"/>
        </w:rPr>
        <w:t>.</w:t>
      </w:r>
    </w:p>
    <w:p w14:paraId="058BD51B" w14:textId="77777777" w:rsidR="00820C8A" w:rsidRDefault="00820C8A" w:rsidP="00820C8A">
      <w:pPr>
        <w:pStyle w:val="Heading4"/>
      </w:pPr>
      <w:r>
        <w:lastRenderedPageBreak/>
        <w:t>Welfare</w:t>
      </w:r>
      <w:r>
        <w:rPr>
          <w:spacing w:val="-2"/>
        </w:rPr>
        <w:t xml:space="preserve"> </w:t>
      </w:r>
      <w:r>
        <w:t>of</w:t>
      </w:r>
      <w:r>
        <w:rPr>
          <w:spacing w:val="-1"/>
        </w:rPr>
        <w:t xml:space="preserve"> </w:t>
      </w:r>
      <w:r>
        <w:t>Australians</w:t>
      </w:r>
      <w:r>
        <w:rPr>
          <w:spacing w:val="-1"/>
        </w:rPr>
        <w:t xml:space="preserve"> </w:t>
      </w:r>
      <w:r>
        <w:t>as</w:t>
      </w:r>
      <w:r>
        <w:rPr>
          <w:spacing w:val="-1"/>
        </w:rPr>
        <w:t xml:space="preserve"> </w:t>
      </w:r>
      <w:r>
        <w:t>an</w:t>
      </w:r>
      <w:r>
        <w:rPr>
          <w:spacing w:val="-1"/>
        </w:rPr>
        <w:t xml:space="preserve"> </w:t>
      </w:r>
      <w:r>
        <w:t>overarching</w:t>
      </w:r>
      <w:r>
        <w:rPr>
          <w:spacing w:val="-1"/>
        </w:rPr>
        <w:t xml:space="preserve"> </w:t>
      </w:r>
      <w:r>
        <w:rPr>
          <w:spacing w:val="-2"/>
        </w:rPr>
        <w:t>purpose</w:t>
      </w:r>
    </w:p>
    <w:p w14:paraId="607B212F" w14:textId="08C33B01" w:rsidR="00820C8A" w:rsidRDefault="00820C8A" w:rsidP="00820C8A">
      <w:r>
        <w:t>The RBA Act s 10 should be updated so that the RBA’s objective to contribute to the ‘economic prosperity and welfare of the people of Australia now and in the future’ is moved to be the RBA’s overarching purpose</w:t>
      </w:r>
      <w:r w:rsidR="0068598E">
        <w:rPr>
          <w:spacing w:val="-18"/>
        </w:rPr>
        <w:t>.</w:t>
      </w:r>
      <w:r>
        <w:rPr>
          <w:w w:val="85"/>
        </w:rPr>
        <w:t xml:space="preserve"> </w:t>
      </w:r>
      <w:r>
        <w:t>This is the appropriate purpose for all the RBA’s activities, including its monetary policy, contributions to financial stability, and its roles in the payments system, note issue and as banker to the Government</w:t>
      </w:r>
      <w:r w:rsidR="0068598E">
        <w:rPr>
          <w:spacing w:val="-13"/>
        </w:rPr>
        <w:t>.</w:t>
      </w:r>
    </w:p>
    <w:p w14:paraId="6EB4E0A3" w14:textId="60CF074D" w:rsidR="00820C8A" w:rsidRDefault="00820C8A" w:rsidP="00820C8A">
      <w:r>
        <w:t>With regards to monetary policy, the Review recommends that the ‘economic prosperity and welfare of the people of Australia’ should not be a specific objective for monetary policy. The legislated objectives for the RBA’s monetary policy should be focused on a dual mandate of full employment and price stability, and the third objective should be removed</w:t>
      </w:r>
      <w:r w:rsidR="0068598E">
        <w:rPr>
          <w:spacing w:val="-16"/>
        </w:rPr>
        <w:t>.</w:t>
      </w:r>
    </w:p>
    <w:p w14:paraId="2C1AC1E1" w14:textId="2718003A" w:rsidR="00820C8A" w:rsidRDefault="00820C8A" w:rsidP="00820C8A">
      <w:r>
        <w:t>The Review heard a range of views on the existing ‘economic prosperity and welfare’ objective for monetary policy</w:t>
      </w:r>
      <w:r w:rsidR="0068598E">
        <w:rPr>
          <w:spacing w:val="-17"/>
        </w:rPr>
        <w:t>.</w:t>
      </w:r>
    </w:p>
    <w:p w14:paraId="198CA789" w14:textId="09B97EF9" w:rsidR="00820C8A" w:rsidRDefault="00820C8A" w:rsidP="0000278A">
      <w:pPr>
        <w:pStyle w:val="Bullet"/>
      </w:pPr>
      <w:r>
        <w:t>Some</w:t>
      </w:r>
      <w:r>
        <w:rPr>
          <w:spacing w:val="13"/>
        </w:rPr>
        <w:t xml:space="preserve"> </w:t>
      </w:r>
      <w:r>
        <w:t>in</w:t>
      </w:r>
      <w:r>
        <w:rPr>
          <w:spacing w:val="13"/>
        </w:rPr>
        <w:t xml:space="preserve"> </w:t>
      </w:r>
      <w:r>
        <w:t>favour</w:t>
      </w:r>
      <w:r>
        <w:rPr>
          <w:spacing w:val="13"/>
        </w:rPr>
        <w:t xml:space="preserve"> </w:t>
      </w:r>
      <w:r>
        <w:t>of</w:t>
      </w:r>
      <w:r>
        <w:rPr>
          <w:spacing w:val="13"/>
        </w:rPr>
        <w:t xml:space="preserve"> </w:t>
      </w:r>
      <w:r>
        <w:t>clarifying</w:t>
      </w:r>
      <w:r>
        <w:rPr>
          <w:spacing w:val="13"/>
        </w:rPr>
        <w:t xml:space="preserve"> </w:t>
      </w:r>
      <w:r>
        <w:t>that</w:t>
      </w:r>
      <w:r>
        <w:rPr>
          <w:spacing w:val="13"/>
        </w:rPr>
        <w:t xml:space="preserve"> </w:t>
      </w:r>
      <w:r>
        <w:t>it</w:t>
      </w:r>
      <w:r>
        <w:rPr>
          <w:spacing w:val="13"/>
        </w:rPr>
        <w:t xml:space="preserve"> </w:t>
      </w:r>
      <w:r>
        <w:t>is</w:t>
      </w:r>
      <w:r>
        <w:rPr>
          <w:spacing w:val="13"/>
        </w:rPr>
        <w:t xml:space="preserve"> </w:t>
      </w:r>
      <w:r>
        <w:t>not</w:t>
      </w:r>
      <w:r>
        <w:rPr>
          <w:spacing w:val="13"/>
        </w:rPr>
        <w:t xml:space="preserve"> </w:t>
      </w:r>
      <w:r>
        <w:t>an</w:t>
      </w:r>
      <w:r>
        <w:rPr>
          <w:spacing w:val="13"/>
        </w:rPr>
        <w:t xml:space="preserve"> </w:t>
      </w:r>
      <w:r>
        <w:t>objective</w:t>
      </w:r>
      <w:r>
        <w:rPr>
          <w:spacing w:val="13"/>
        </w:rPr>
        <w:t xml:space="preserve"> </w:t>
      </w:r>
      <w:r>
        <w:t>for</w:t>
      </w:r>
      <w:r>
        <w:rPr>
          <w:spacing w:val="13"/>
        </w:rPr>
        <w:t xml:space="preserve"> </w:t>
      </w:r>
      <w:r>
        <w:t>monetary</w:t>
      </w:r>
      <w:r>
        <w:rPr>
          <w:spacing w:val="13"/>
        </w:rPr>
        <w:t xml:space="preserve"> </w:t>
      </w:r>
      <w:r>
        <w:t>policy</w:t>
      </w:r>
      <w:r>
        <w:rPr>
          <w:spacing w:val="13"/>
        </w:rPr>
        <w:t xml:space="preserve"> </w:t>
      </w:r>
      <w:r>
        <w:t>suggested</w:t>
      </w:r>
      <w:r>
        <w:rPr>
          <w:spacing w:val="13"/>
        </w:rPr>
        <w:t xml:space="preserve"> </w:t>
      </w:r>
      <w:r>
        <w:t>that</w:t>
      </w:r>
      <w:r>
        <w:rPr>
          <w:spacing w:val="13"/>
        </w:rPr>
        <w:t xml:space="preserve"> </w:t>
      </w:r>
      <w:r>
        <w:t>it gave the RBA too much flexibility to determine, without input, what outcomes are in the best interests of Australians. They suggested that this gave the RBA much more flexibility in meeting its mandate than other central banks</w:t>
      </w:r>
      <w:r w:rsidR="0068598E">
        <w:rPr>
          <w:spacing w:val="-10"/>
        </w:rPr>
        <w:t>.</w:t>
      </w:r>
    </w:p>
    <w:p w14:paraId="68BE015A" w14:textId="027724F8" w:rsidR="00820C8A" w:rsidRDefault="00820C8A" w:rsidP="0000278A">
      <w:pPr>
        <w:pStyle w:val="Bullet"/>
      </w:pPr>
      <w:r>
        <w:t>Relatedly,</w:t>
      </w:r>
      <w:r w:rsidRPr="00820C8A">
        <w:rPr>
          <w:spacing w:val="-1"/>
        </w:rPr>
        <w:t xml:space="preserve"> </w:t>
      </w:r>
      <w:r>
        <w:t>some</w:t>
      </w:r>
      <w:r w:rsidRPr="00820C8A">
        <w:rPr>
          <w:spacing w:val="1"/>
        </w:rPr>
        <w:t xml:space="preserve"> </w:t>
      </w:r>
      <w:r>
        <w:t>suggested</w:t>
      </w:r>
      <w:r w:rsidRPr="00820C8A">
        <w:rPr>
          <w:spacing w:val="1"/>
        </w:rPr>
        <w:t xml:space="preserve"> </w:t>
      </w:r>
      <w:r>
        <w:t>that</w:t>
      </w:r>
      <w:r w:rsidRPr="00820C8A">
        <w:rPr>
          <w:spacing w:val="1"/>
        </w:rPr>
        <w:t xml:space="preserve"> </w:t>
      </w:r>
      <w:r>
        <w:t>such</w:t>
      </w:r>
      <w:r w:rsidRPr="00820C8A">
        <w:rPr>
          <w:spacing w:val="1"/>
        </w:rPr>
        <w:t xml:space="preserve"> </w:t>
      </w:r>
      <w:r>
        <w:t>a</w:t>
      </w:r>
      <w:r w:rsidRPr="00820C8A">
        <w:rPr>
          <w:spacing w:val="1"/>
        </w:rPr>
        <w:t xml:space="preserve"> </w:t>
      </w:r>
      <w:r>
        <w:t>broad</w:t>
      </w:r>
      <w:r w:rsidRPr="00820C8A">
        <w:rPr>
          <w:spacing w:val="1"/>
        </w:rPr>
        <w:t xml:space="preserve"> </w:t>
      </w:r>
      <w:r>
        <w:t>objective</w:t>
      </w:r>
      <w:r w:rsidRPr="00820C8A">
        <w:rPr>
          <w:spacing w:val="1"/>
        </w:rPr>
        <w:t xml:space="preserve"> </w:t>
      </w:r>
      <w:r>
        <w:t>made</w:t>
      </w:r>
      <w:r w:rsidRPr="00820C8A">
        <w:rPr>
          <w:spacing w:val="1"/>
        </w:rPr>
        <w:t xml:space="preserve"> </w:t>
      </w:r>
      <w:r>
        <w:t>it</w:t>
      </w:r>
      <w:r w:rsidRPr="00820C8A">
        <w:rPr>
          <w:spacing w:val="1"/>
        </w:rPr>
        <w:t xml:space="preserve"> </w:t>
      </w:r>
      <w:r>
        <w:t>difficult</w:t>
      </w:r>
      <w:r w:rsidRPr="00820C8A">
        <w:rPr>
          <w:spacing w:val="1"/>
        </w:rPr>
        <w:t xml:space="preserve"> </w:t>
      </w:r>
      <w:r>
        <w:t>to</w:t>
      </w:r>
      <w:r w:rsidRPr="00820C8A">
        <w:rPr>
          <w:spacing w:val="1"/>
        </w:rPr>
        <w:t xml:space="preserve"> </w:t>
      </w:r>
      <w:r>
        <w:t>hold</w:t>
      </w:r>
      <w:r w:rsidRPr="00820C8A">
        <w:rPr>
          <w:spacing w:val="1"/>
        </w:rPr>
        <w:t xml:space="preserve"> </w:t>
      </w:r>
      <w:r>
        <w:t>the</w:t>
      </w:r>
      <w:r w:rsidRPr="00820C8A">
        <w:rPr>
          <w:spacing w:val="1"/>
        </w:rPr>
        <w:t xml:space="preserve"> </w:t>
      </w:r>
      <w:r>
        <w:t>RBA</w:t>
      </w:r>
      <w:r w:rsidRPr="00820C8A">
        <w:rPr>
          <w:spacing w:val="2"/>
        </w:rPr>
        <w:t xml:space="preserve"> </w:t>
      </w:r>
      <w:r w:rsidRPr="00820C8A">
        <w:rPr>
          <w:spacing w:val="-5"/>
        </w:rPr>
        <w:t>to</w:t>
      </w:r>
      <w:r>
        <w:rPr>
          <w:spacing w:val="-5"/>
        </w:rPr>
        <w:t xml:space="preserve"> </w:t>
      </w:r>
      <w:r>
        <w:t>account</w:t>
      </w:r>
      <w:r w:rsidRPr="00820C8A">
        <w:rPr>
          <w:spacing w:val="6"/>
        </w:rPr>
        <w:t xml:space="preserve"> </w:t>
      </w:r>
      <w:r>
        <w:t>for</w:t>
      </w:r>
      <w:r w:rsidRPr="00820C8A">
        <w:rPr>
          <w:spacing w:val="6"/>
        </w:rPr>
        <w:t xml:space="preserve"> </w:t>
      </w:r>
      <w:r>
        <w:t>its</w:t>
      </w:r>
      <w:r w:rsidRPr="00820C8A">
        <w:rPr>
          <w:spacing w:val="6"/>
        </w:rPr>
        <w:t xml:space="preserve"> </w:t>
      </w:r>
      <w:r>
        <w:t>monetary</w:t>
      </w:r>
      <w:r w:rsidRPr="00820C8A">
        <w:rPr>
          <w:spacing w:val="6"/>
        </w:rPr>
        <w:t xml:space="preserve"> </w:t>
      </w:r>
      <w:r>
        <w:t>policy</w:t>
      </w:r>
      <w:r w:rsidRPr="00820C8A">
        <w:rPr>
          <w:spacing w:val="6"/>
        </w:rPr>
        <w:t xml:space="preserve"> </w:t>
      </w:r>
      <w:r>
        <w:t>performance</w:t>
      </w:r>
      <w:r w:rsidR="0068598E">
        <w:rPr>
          <w:spacing w:val="-21"/>
        </w:rPr>
        <w:t>.</w:t>
      </w:r>
    </w:p>
    <w:p w14:paraId="5C46D16E" w14:textId="4696AB95" w:rsidR="00820C8A" w:rsidRDefault="00820C8A" w:rsidP="0000278A">
      <w:pPr>
        <w:pStyle w:val="Bullet"/>
      </w:pPr>
      <w:r>
        <w:t>Others were keen to see greater emphasis on this objective in the monetary policy framework.</w:t>
      </w:r>
      <w:r>
        <w:rPr>
          <w:spacing w:val="40"/>
        </w:rPr>
        <w:t xml:space="preserve"> </w:t>
      </w:r>
      <w:r>
        <w:t>In particular, it was suggested that the RBA should play a larger role in the transition to a carbon neutral economy, including through an explicit legislative objective for this</w:t>
      </w:r>
      <w:r w:rsidR="0068598E">
        <w:rPr>
          <w:spacing w:val="-20"/>
        </w:rPr>
        <w:t>.</w:t>
      </w:r>
      <w:r>
        <w:rPr>
          <w:w w:val="85"/>
        </w:rPr>
        <w:t xml:space="preserve"> </w:t>
      </w:r>
      <w:r>
        <w:t>Recommendation 7 discusses central banks and climate change in more detail</w:t>
      </w:r>
      <w:r w:rsidR="0068598E">
        <w:rPr>
          <w:spacing w:val="-16"/>
        </w:rPr>
        <w:t>.</w:t>
      </w:r>
    </w:p>
    <w:p w14:paraId="23DD4CD8" w14:textId="6E9707BA" w:rsidR="00820C8A" w:rsidRDefault="00820C8A" w:rsidP="00820C8A">
      <w:r>
        <w:t>The Review’s recommendation reflects the importance of welfare in broad terms as a guide for the RBA’s work, while creating the necessary focus of monetary policy objectives that would best match central bank tools and support clear accountability</w:t>
      </w:r>
      <w:r w:rsidR="0068598E">
        <w:rPr>
          <w:spacing w:val="-21"/>
        </w:rPr>
        <w:t>.</w:t>
      </w:r>
      <w:r>
        <w:rPr>
          <w:w w:val="85"/>
        </w:rPr>
        <w:t xml:space="preserve"> </w:t>
      </w:r>
      <w:r>
        <w:t>Focusing monetary policy on price stability and full employment would not preclude the RBA considering a broad array of factors that influence economic outcomes, and from using flexibility in the monetary policy framework.</w:t>
      </w:r>
    </w:p>
    <w:p w14:paraId="7BD9B2D0" w14:textId="2FB528E4" w:rsidR="00820C8A" w:rsidRDefault="00820C8A" w:rsidP="00820C8A">
      <w:r>
        <w:t>The RBA Act is the best place to clarify the dual mandate for monetary policy and reposition ‘current and future economic prosperity and welfare’ as an overarching purpose for the RBA</w:t>
      </w:r>
      <w:r w:rsidR="0068598E">
        <w:rPr>
          <w:spacing w:val="-18"/>
        </w:rPr>
        <w:t>.</w:t>
      </w:r>
      <w:r>
        <w:t xml:space="preserve"> Chapter 7 discusses non-legislative approaches to implementation and the associated limitations</w:t>
      </w:r>
      <w:r w:rsidR="0068598E">
        <w:rPr>
          <w:spacing w:val="-23"/>
        </w:rPr>
        <w:t>.</w:t>
      </w:r>
    </w:p>
    <w:p w14:paraId="4A98ACD9" w14:textId="77777777" w:rsidR="00820C8A" w:rsidRDefault="00820C8A" w:rsidP="003D35BC">
      <w:pPr>
        <w:pStyle w:val="Heading4"/>
      </w:pPr>
      <w:r>
        <w:t>Additional</w:t>
      </w:r>
      <w:r>
        <w:rPr>
          <w:spacing w:val="3"/>
        </w:rPr>
        <w:t xml:space="preserve"> </w:t>
      </w:r>
      <w:r>
        <w:t>objectives</w:t>
      </w:r>
      <w:r>
        <w:rPr>
          <w:spacing w:val="4"/>
        </w:rPr>
        <w:t xml:space="preserve"> </w:t>
      </w:r>
      <w:r>
        <w:t>for</w:t>
      </w:r>
      <w:r>
        <w:rPr>
          <w:spacing w:val="4"/>
        </w:rPr>
        <w:t xml:space="preserve"> </w:t>
      </w:r>
      <w:r>
        <w:t>monetary</w:t>
      </w:r>
      <w:r>
        <w:rPr>
          <w:spacing w:val="4"/>
        </w:rPr>
        <w:t xml:space="preserve"> </w:t>
      </w:r>
      <w:r>
        <w:rPr>
          <w:spacing w:val="-2"/>
        </w:rPr>
        <w:t>policy</w:t>
      </w:r>
    </w:p>
    <w:p w14:paraId="5E2BEE60" w14:textId="56E7F4E0" w:rsidR="00820C8A" w:rsidRDefault="00820C8A" w:rsidP="003D35BC">
      <w:r>
        <w:t>Good monetary policy decisions are based on consideration of a wide range of evidence</w:t>
      </w:r>
      <w:r w:rsidR="0068598E">
        <w:rPr>
          <w:spacing w:val="-19"/>
        </w:rPr>
        <w:t>.</w:t>
      </w:r>
      <w:r>
        <w:rPr>
          <w:w w:val="85"/>
        </w:rPr>
        <w:t xml:space="preserve"> </w:t>
      </w:r>
      <w:r>
        <w:t>That includes some of society’s key issues – such as climate change, housing market developments or inequality – which have important implications for inflation and employment. Many of these issues have been discussed by the Reserve Bank Board in recent years</w:t>
      </w:r>
      <w:r w:rsidR="0068598E">
        <w:rPr>
          <w:spacing w:val="-17"/>
        </w:rPr>
        <w:t>.</w:t>
      </w:r>
    </w:p>
    <w:p w14:paraId="5664C824" w14:textId="2FD76D0A" w:rsidR="00820C8A" w:rsidRDefault="00820C8A" w:rsidP="003D35BC">
      <w:r>
        <w:t>While these are important considerations for monetary policy, the central bank is not well positioned to adopt these issues as additional legislative objectives for monetary policy. Other Government policies better target these issues</w:t>
      </w:r>
      <w:r w:rsidR="0068598E">
        <w:rPr>
          <w:spacing w:val="-22"/>
        </w:rPr>
        <w:t>.</w:t>
      </w:r>
      <w:r>
        <w:rPr>
          <w:w w:val="85"/>
        </w:rPr>
        <w:t xml:space="preserve"> </w:t>
      </w:r>
      <w:r>
        <w:t>In contrast, monetary policy is a ‘blunt instrument’ that cannot be targeted to these issues and any contribution it can make would likely come at too great a cost to monetary policy’s contribution to price stability and full employment</w:t>
      </w:r>
      <w:r w:rsidR="0068598E">
        <w:rPr>
          <w:spacing w:val="-16"/>
        </w:rPr>
        <w:t>.</w:t>
      </w:r>
    </w:p>
    <w:p w14:paraId="0E99E8AF" w14:textId="379BADF0" w:rsidR="003E1B2F" w:rsidRDefault="00820C8A" w:rsidP="00820C8A">
      <w:pPr>
        <w:spacing w:before="0" w:after="160" w:line="259" w:lineRule="auto"/>
        <w:rPr>
          <w:w w:val="85"/>
        </w:rPr>
      </w:pPr>
      <w:r>
        <w:t>Beyond monetary policy specifically, a broad overarching purpose for the RBA – to contribute to ‘current and future economic prosperity and welfare now and in the future’ – would support the</w:t>
      </w:r>
      <w:r>
        <w:rPr>
          <w:spacing w:val="40"/>
        </w:rPr>
        <w:t xml:space="preserve"> </w:t>
      </w:r>
      <w:r>
        <w:t>RBA to contribute on broader issues</w:t>
      </w:r>
      <w:r w:rsidR="0068598E">
        <w:rPr>
          <w:spacing w:val="-20"/>
        </w:rPr>
        <w:t>.</w:t>
      </w:r>
      <w:r>
        <w:rPr>
          <w:w w:val="85"/>
        </w:rPr>
        <w:t xml:space="preserve"> </w:t>
      </w:r>
      <w:r>
        <w:t>For instance, many of these issues are relevant to the RBA’s work on the financial system and the RBA has an important role in raising awareness of risks and working with other arms of government on potential policy responses in its public communications</w:t>
      </w:r>
      <w:r w:rsidR="0068598E">
        <w:rPr>
          <w:spacing w:val="-24"/>
        </w:rPr>
        <w:t>.</w:t>
      </w:r>
    </w:p>
    <w:p w14:paraId="04E0E021" w14:textId="77777777" w:rsidR="00D2347B" w:rsidRDefault="00D2347B" w:rsidP="00D2347B">
      <w:r>
        <w:lastRenderedPageBreak/>
        <w:t>Looking</w:t>
      </w:r>
      <w:r>
        <w:rPr>
          <w:spacing w:val="1"/>
        </w:rPr>
        <w:t xml:space="preserve"> </w:t>
      </w:r>
      <w:r>
        <w:t>at</w:t>
      </w:r>
      <w:r>
        <w:rPr>
          <w:spacing w:val="2"/>
        </w:rPr>
        <w:t xml:space="preserve"> </w:t>
      </w:r>
      <w:r>
        <w:t>the</w:t>
      </w:r>
      <w:r>
        <w:rPr>
          <w:spacing w:val="1"/>
        </w:rPr>
        <w:t xml:space="preserve"> </w:t>
      </w:r>
      <w:r>
        <w:t>Review’s</w:t>
      </w:r>
      <w:r>
        <w:rPr>
          <w:spacing w:val="2"/>
        </w:rPr>
        <w:t xml:space="preserve"> </w:t>
      </w:r>
      <w:r>
        <w:t>views</w:t>
      </w:r>
      <w:r>
        <w:rPr>
          <w:spacing w:val="1"/>
        </w:rPr>
        <w:t xml:space="preserve"> </w:t>
      </w:r>
      <w:r>
        <w:t>on</w:t>
      </w:r>
      <w:r>
        <w:rPr>
          <w:spacing w:val="2"/>
        </w:rPr>
        <w:t xml:space="preserve"> </w:t>
      </w:r>
      <w:r>
        <w:t>some</w:t>
      </w:r>
      <w:r>
        <w:rPr>
          <w:spacing w:val="1"/>
        </w:rPr>
        <w:t xml:space="preserve"> </w:t>
      </w:r>
      <w:r>
        <w:t>of</w:t>
      </w:r>
      <w:r>
        <w:rPr>
          <w:spacing w:val="2"/>
        </w:rPr>
        <w:t xml:space="preserve"> </w:t>
      </w:r>
      <w:r>
        <w:t>these</w:t>
      </w:r>
      <w:r>
        <w:rPr>
          <w:spacing w:val="1"/>
        </w:rPr>
        <w:t xml:space="preserve"> </w:t>
      </w:r>
      <w:r>
        <w:t>issues</w:t>
      </w:r>
      <w:r>
        <w:rPr>
          <w:spacing w:val="2"/>
        </w:rPr>
        <w:t xml:space="preserve"> </w:t>
      </w:r>
      <w:r>
        <w:t>in</w:t>
      </w:r>
      <w:r>
        <w:rPr>
          <w:spacing w:val="1"/>
        </w:rPr>
        <w:t xml:space="preserve"> </w:t>
      </w:r>
      <w:r>
        <w:t>more</w:t>
      </w:r>
      <w:r>
        <w:rPr>
          <w:spacing w:val="2"/>
        </w:rPr>
        <w:t xml:space="preserve"> </w:t>
      </w:r>
      <w:r>
        <w:rPr>
          <w:spacing w:val="-2"/>
        </w:rPr>
        <w:t>detail:</w:t>
      </w:r>
    </w:p>
    <w:p w14:paraId="1A6C3EA8" w14:textId="63EC356C" w:rsidR="00D2347B" w:rsidRPr="00D2347B" w:rsidRDefault="00D2347B" w:rsidP="0000278A">
      <w:pPr>
        <w:pStyle w:val="Bullet"/>
        <w:rPr>
          <w:rFonts w:cs="Calibri Light"/>
        </w:rPr>
      </w:pPr>
      <w:r w:rsidRPr="00D2347B">
        <w:rPr>
          <w:rFonts w:cs="Calibri Light"/>
          <w:b/>
        </w:rPr>
        <w:t xml:space="preserve">Housing prices: </w:t>
      </w:r>
      <w:r w:rsidRPr="00D2347B">
        <w:rPr>
          <w:rFonts w:cs="Calibri Light"/>
        </w:rPr>
        <w:t>The RBA should continue to monitor and communicate the implications of developments in the housing market for monetary policy. Housing prices are influenced by monetary policy but are also influenced by a range of other factors over which monetary policy has no control such as demographic trends, the policies of governments and councils on zoning, transport infrastructure and tax settings. Beyond the cyclical effects of monetary policy, the longer-run downward trend in interest rates – a global phenomenon over which the RBA has</w:t>
      </w:r>
      <w:r w:rsidRPr="00D2347B">
        <w:rPr>
          <w:rFonts w:cs="Calibri Light"/>
          <w:spacing w:val="40"/>
        </w:rPr>
        <w:t xml:space="preserve"> </w:t>
      </w:r>
      <w:r w:rsidRPr="00D2347B">
        <w:rPr>
          <w:rFonts w:cs="Calibri Light"/>
        </w:rPr>
        <w:t>little control – has also contributed to the longer-run upward trend in house prices</w:t>
      </w:r>
      <w:r w:rsidR="0068598E">
        <w:rPr>
          <w:rFonts w:cs="Calibri Light"/>
          <w:spacing w:val="-22"/>
        </w:rPr>
        <w:t>.</w:t>
      </w:r>
      <w:r w:rsidRPr="00D2347B">
        <w:rPr>
          <w:rFonts w:cs="Calibri Light"/>
          <w:w w:val="85"/>
        </w:rPr>
        <w:t xml:space="preserve"> </w:t>
      </w:r>
      <w:r w:rsidRPr="00D2347B">
        <w:rPr>
          <w:rFonts w:cs="Calibri Light"/>
        </w:rPr>
        <w:t>If monetary policy were to have an objective for lower or more stable housing prices, it would require the</w:t>
      </w:r>
      <w:r w:rsidRPr="00D2347B">
        <w:rPr>
          <w:rFonts w:cs="Calibri Light"/>
          <w:spacing w:val="40"/>
        </w:rPr>
        <w:t xml:space="preserve"> </w:t>
      </w:r>
      <w:r w:rsidRPr="00D2347B">
        <w:rPr>
          <w:rFonts w:cs="Calibri Light"/>
        </w:rPr>
        <w:t>RBA to deliver considerably more volatility in inflation and employment. The Review considers that other Government policies are better placed to manage housing affordability through the economic cycle by influencing the balance of supply and demand in the housing market.</w:t>
      </w:r>
      <w:r w:rsidRPr="00D2347B">
        <w:rPr>
          <w:rStyle w:val="FootnoteReference"/>
          <w:rFonts w:cs="Calibri Light"/>
        </w:rPr>
        <w:footnoteReference w:id="5"/>
      </w:r>
    </w:p>
    <w:p w14:paraId="09A4D004" w14:textId="13DF8421" w:rsidR="00D2347B" w:rsidRPr="00D2347B" w:rsidRDefault="00D2347B" w:rsidP="0000278A">
      <w:pPr>
        <w:pStyle w:val="Bullet"/>
        <w:rPr>
          <w:rFonts w:cs="Calibri Light"/>
        </w:rPr>
      </w:pPr>
      <w:r w:rsidRPr="00D2347B">
        <w:rPr>
          <w:rFonts w:cs="Calibri Light"/>
          <w:b/>
        </w:rPr>
        <w:t xml:space="preserve">Wealth and income inequality: </w:t>
      </w:r>
      <w:r w:rsidRPr="00D2347B">
        <w:rPr>
          <w:rFonts w:cs="Calibri Light"/>
        </w:rPr>
        <w:t>Monetary policy has cyclical distributional impacts – as discussed</w:t>
      </w:r>
      <w:r w:rsidRPr="00D2347B">
        <w:rPr>
          <w:rFonts w:cs="Calibri Light"/>
          <w:spacing w:val="-2"/>
        </w:rPr>
        <w:t xml:space="preserve"> </w:t>
      </w:r>
      <w:r w:rsidRPr="00D2347B">
        <w:rPr>
          <w:rFonts w:cs="Calibri Light"/>
        </w:rPr>
        <w:t>in</w:t>
      </w:r>
      <w:r w:rsidRPr="00D2347B">
        <w:rPr>
          <w:rFonts w:cs="Calibri Light"/>
          <w:spacing w:val="-2"/>
        </w:rPr>
        <w:t xml:space="preserve"> </w:t>
      </w:r>
      <w:r w:rsidRPr="00D2347B">
        <w:rPr>
          <w:rFonts w:cs="Calibri Light"/>
        </w:rPr>
        <w:t>Box</w:t>
      </w:r>
      <w:r w:rsidRPr="00D2347B">
        <w:rPr>
          <w:rFonts w:cs="Calibri Light"/>
          <w:spacing w:val="-2"/>
        </w:rPr>
        <w:t xml:space="preserve"> </w:t>
      </w:r>
      <w:r w:rsidRPr="00D2347B">
        <w:rPr>
          <w:rFonts w:cs="Calibri Light"/>
        </w:rPr>
        <w:t>2</w:t>
      </w:r>
      <w:r w:rsidR="0068598E">
        <w:rPr>
          <w:rFonts w:cs="Calibri Light"/>
          <w:spacing w:val="-25"/>
        </w:rPr>
        <w:t>.</w:t>
      </w:r>
      <w:r w:rsidRPr="00D2347B">
        <w:rPr>
          <w:rFonts w:cs="Calibri Light"/>
          <w:w w:val="126"/>
        </w:rPr>
        <w:t>3</w:t>
      </w:r>
      <w:r w:rsidRPr="00D2347B">
        <w:rPr>
          <w:rFonts w:cs="Calibri Light"/>
          <w:spacing w:val="-1"/>
          <w:w w:val="99"/>
        </w:rPr>
        <w:t xml:space="preserve"> </w:t>
      </w:r>
      <w:r w:rsidRPr="00D2347B">
        <w:rPr>
          <w:rFonts w:cs="Calibri Light"/>
        </w:rPr>
        <w:t>–</w:t>
      </w:r>
      <w:r w:rsidRPr="00D2347B">
        <w:rPr>
          <w:rFonts w:cs="Calibri Light"/>
          <w:spacing w:val="-2"/>
        </w:rPr>
        <w:t xml:space="preserve"> </w:t>
      </w:r>
      <w:r w:rsidRPr="00D2347B">
        <w:rPr>
          <w:rFonts w:cs="Calibri Light"/>
        </w:rPr>
        <w:t>but</w:t>
      </w:r>
      <w:r w:rsidRPr="00D2347B">
        <w:rPr>
          <w:rFonts w:cs="Calibri Light"/>
          <w:spacing w:val="-2"/>
        </w:rPr>
        <w:t xml:space="preserve"> </w:t>
      </w:r>
      <w:r w:rsidRPr="00D2347B">
        <w:rPr>
          <w:rFonts w:cs="Calibri Light"/>
        </w:rPr>
        <w:t>the</w:t>
      </w:r>
      <w:r w:rsidRPr="00D2347B">
        <w:rPr>
          <w:rFonts w:cs="Calibri Light"/>
          <w:spacing w:val="-2"/>
        </w:rPr>
        <w:t xml:space="preserve"> </w:t>
      </w:r>
      <w:r w:rsidRPr="00D2347B">
        <w:rPr>
          <w:rFonts w:cs="Calibri Light"/>
        </w:rPr>
        <w:t>Review</w:t>
      </w:r>
      <w:r w:rsidRPr="00D2347B">
        <w:rPr>
          <w:rFonts w:cs="Calibri Light"/>
          <w:spacing w:val="-2"/>
        </w:rPr>
        <w:t xml:space="preserve"> </w:t>
      </w:r>
      <w:r w:rsidRPr="00D2347B">
        <w:rPr>
          <w:rFonts w:cs="Calibri Light"/>
        </w:rPr>
        <w:t>considers</w:t>
      </w:r>
      <w:r w:rsidRPr="00D2347B">
        <w:rPr>
          <w:rFonts w:cs="Calibri Light"/>
          <w:spacing w:val="-2"/>
        </w:rPr>
        <w:t xml:space="preserve"> </w:t>
      </w:r>
      <w:r w:rsidRPr="00D2347B">
        <w:rPr>
          <w:rFonts w:cs="Calibri Light"/>
        </w:rPr>
        <w:t>that</w:t>
      </w:r>
      <w:r w:rsidRPr="00D2347B">
        <w:rPr>
          <w:rFonts w:cs="Calibri Light"/>
          <w:spacing w:val="-2"/>
        </w:rPr>
        <w:t xml:space="preserve"> </w:t>
      </w:r>
      <w:r w:rsidRPr="00D2347B">
        <w:rPr>
          <w:rFonts w:cs="Calibri Light"/>
        </w:rPr>
        <w:t>central</w:t>
      </w:r>
      <w:r w:rsidRPr="00D2347B">
        <w:rPr>
          <w:rFonts w:cs="Calibri Light"/>
          <w:spacing w:val="-2"/>
        </w:rPr>
        <w:t xml:space="preserve"> </w:t>
      </w:r>
      <w:r w:rsidRPr="00D2347B">
        <w:rPr>
          <w:rFonts w:cs="Calibri Light"/>
        </w:rPr>
        <w:t>banks</w:t>
      </w:r>
      <w:r w:rsidRPr="00D2347B">
        <w:rPr>
          <w:rFonts w:cs="Calibri Light"/>
          <w:spacing w:val="-2"/>
        </w:rPr>
        <w:t xml:space="preserve"> </w:t>
      </w:r>
      <w:r w:rsidRPr="00D2347B">
        <w:rPr>
          <w:rFonts w:cs="Calibri Light"/>
        </w:rPr>
        <w:t>are</w:t>
      </w:r>
      <w:r w:rsidRPr="00D2347B">
        <w:rPr>
          <w:rFonts w:cs="Calibri Light"/>
          <w:spacing w:val="-2"/>
        </w:rPr>
        <w:t xml:space="preserve"> </w:t>
      </w:r>
      <w:r w:rsidRPr="00D2347B">
        <w:rPr>
          <w:rFonts w:cs="Calibri Light"/>
        </w:rPr>
        <w:t>poorly</w:t>
      </w:r>
      <w:r w:rsidRPr="00D2347B">
        <w:rPr>
          <w:rFonts w:cs="Calibri Light"/>
          <w:spacing w:val="-2"/>
        </w:rPr>
        <w:t xml:space="preserve"> </w:t>
      </w:r>
      <w:r w:rsidRPr="00D2347B">
        <w:rPr>
          <w:rFonts w:cs="Calibri Light"/>
        </w:rPr>
        <w:t>placed</w:t>
      </w:r>
      <w:r w:rsidRPr="00D2347B">
        <w:rPr>
          <w:rFonts w:cs="Calibri Light"/>
          <w:spacing w:val="-2"/>
        </w:rPr>
        <w:t xml:space="preserve"> </w:t>
      </w:r>
      <w:r w:rsidRPr="00D2347B">
        <w:rPr>
          <w:rFonts w:cs="Calibri Light"/>
        </w:rPr>
        <w:t>to</w:t>
      </w:r>
      <w:r w:rsidRPr="00D2347B">
        <w:rPr>
          <w:rFonts w:cs="Calibri Light"/>
          <w:spacing w:val="-2"/>
        </w:rPr>
        <w:t xml:space="preserve"> </w:t>
      </w:r>
      <w:r w:rsidRPr="00D2347B">
        <w:rPr>
          <w:rFonts w:cs="Calibri Light"/>
        </w:rPr>
        <w:t>target</w:t>
      </w:r>
      <w:r w:rsidRPr="00D2347B">
        <w:rPr>
          <w:rFonts w:cs="Calibri Light"/>
          <w:spacing w:val="-2"/>
        </w:rPr>
        <w:t xml:space="preserve"> </w:t>
      </w:r>
      <w:r w:rsidRPr="00D2347B">
        <w:rPr>
          <w:rFonts w:cs="Calibri Light"/>
        </w:rPr>
        <w:t>an explicit objective for inequality. Monetary policy, unlike fiscal policy, does not have nuanced tools to influence the distribution of wealth and income. The Review supports an approach where monetary policy focuses on its dual macroeconomic objectives, for which it has appropriate</w:t>
      </w:r>
      <w:r w:rsidRPr="00D2347B">
        <w:rPr>
          <w:rFonts w:cs="Calibri Light"/>
          <w:spacing w:val="40"/>
        </w:rPr>
        <w:t xml:space="preserve"> </w:t>
      </w:r>
      <w:r w:rsidRPr="00D2347B">
        <w:rPr>
          <w:rFonts w:cs="Calibri Light"/>
        </w:rPr>
        <w:t>tools,</w:t>
      </w:r>
      <w:r w:rsidRPr="00D2347B">
        <w:rPr>
          <w:rFonts w:cs="Calibri Light"/>
          <w:spacing w:val="16"/>
        </w:rPr>
        <w:t xml:space="preserve"> </w:t>
      </w:r>
      <w:r w:rsidRPr="00D2347B">
        <w:rPr>
          <w:rFonts w:cs="Calibri Light"/>
        </w:rPr>
        <w:t>and</w:t>
      </w:r>
      <w:r w:rsidRPr="00D2347B">
        <w:rPr>
          <w:rFonts w:cs="Calibri Light"/>
          <w:spacing w:val="16"/>
        </w:rPr>
        <w:t xml:space="preserve"> </w:t>
      </w:r>
      <w:r w:rsidRPr="00D2347B">
        <w:rPr>
          <w:rFonts w:cs="Calibri Light"/>
        </w:rPr>
        <w:t>the</w:t>
      </w:r>
      <w:r w:rsidRPr="00D2347B">
        <w:rPr>
          <w:rFonts w:cs="Calibri Light"/>
          <w:spacing w:val="16"/>
        </w:rPr>
        <w:t xml:space="preserve"> </w:t>
      </w:r>
      <w:r w:rsidRPr="00D2347B">
        <w:rPr>
          <w:rFonts w:cs="Calibri Light"/>
        </w:rPr>
        <w:t>Government’s</w:t>
      </w:r>
      <w:r w:rsidRPr="00D2347B">
        <w:rPr>
          <w:rFonts w:cs="Calibri Light"/>
          <w:spacing w:val="16"/>
        </w:rPr>
        <w:t xml:space="preserve"> </w:t>
      </w:r>
      <w:r w:rsidRPr="00D2347B">
        <w:rPr>
          <w:rFonts w:cs="Calibri Light"/>
        </w:rPr>
        <w:t>fiscal</w:t>
      </w:r>
      <w:r w:rsidRPr="00D2347B">
        <w:rPr>
          <w:rFonts w:cs="Calibri Light"/>
          <w:spacing w:val="16"/>
        </w:rPr>
        <w:t xml:space="preserve"> </w:t>
      </w:r>
      <w:r w:rsidRPr="00D2347B">
        <w:rPr>
          <w:rFonts w:cs="Calibri Light"/>
        </w:rPr>
        <w:t>policy</w:t>
      </w:r>
      <w:r w:rsidRPr="00D2347B">
        <w:rPr>
          <w:rFonts w:cs="Calibri Light"/>
          <w:spacing w:val="16"/>
        </w:rPr>
        <w:t xml:space="preserve"> </w:t>
      </w:r>
      <w:r w:rsidRPr="00D2347B">
        <w:rPr>
          <w:rFonts w:cs="Calibri Light"/>
        </w:rPr>
        <w:t>takes</w:t>
      </w:r>
      <w:r w:rsidRPr="00D2347B">
        <w:rPr>
          <w:rFonts w:cs="Calibri Light"/>
          <w:spacing w:val="16"/>
        </w:rPr>
        <w:t xml:space="preserve"> </w:t>
      </w:r>
      <w:r w:rsidRPr="00D2347B">
        <w:rPr>
          <w:rFonts w:cs="Calibri Light"/>
        </w:rPr>
        <w:t>responsibility</w:t>
      </w:r>
      <w:r w:rsidRPr="00D2347B">
        <w:rPr>
          <w:rFonts w:cs="Calibri Light"/>
          <w:spacing w:val="16"/>
        </w:rPr>
        <w:t xml:space="preserve"> </w:t>
      </w:r>
      <w:r w:rsidRPr="00D2347B">
        <w:rPr>
          <w:rFonts w:cs="Calibri Light"/>
        </w:rPr>
        <w:t>for</w:t>
      </w:r>
      <w:r w:rsidRPr="00D2347B">
        <w:rPr>
          <w:rFonts w:cs="Calibri Light"/>
          <w:spacing w:val="16"/>
        </w:rPr>
        <w:t xml:space="preserve"> </w:t>
      </w:r>
      <w:r w:rsidRPr="00D2347B">
        <w:rPr>
          <w:rFonts w:cs="Calibri Light"/>
        </w:rPr>
        <w:t>achieving</w:t>
      </w:r>
      <w:r w:rsidRPr="00D2347B">
        <w:rPr>
          <w:rFonts w:cs="Calibri Light"/>
          <w:spacing w:val="16"/>
        </w:rPr>
        <w:t xml:space="preserve"> </w:t>
      </w:r>
      <w:r w:rsidRPr="00D2347B">
        <w:rPr>
          <w:rFonts w:cs="Calibri Light"/>
        </w:rPr>
        <w:t>any</w:t>
      </w:r>
      <w:r w:rsidRPr="00D2347B">
        <w:rPr>
          <w:rFonts w:cs="Calibri Light"/>
          <w:spacing w:val="16"/>
        </w:rPr>
        <w:t xml:space="preserve"> </w:t>
      </w:r>
      <w:r w:rsidRPr="00D2347B">
        <w:rPr>
          <w:rFonts w:cs="Calibri Light"/>
        </w:rPr>
        <w:t>desired</w:t>
      </w:r>
      <w:r w:rsidRPr="00D2347B">
        <w:rPr>
          <w:rFonts w:cs="Calibri Light"/>
          <w:spacing w:val="16"/>
        </w:rPr>
        <w:t xml:space="preserve"> </w:t>
      </w:r>
      <w:r w:rsidRPr="00D2347B">
        <w:rPr>
          <w:rFonts w:cs="Calibri Light"/>
        </w:rPr>
        <w:t>changes in the distribution of wealth and income</w:t>
      </w:r>
      <w:r w:rsidR="0068598E">
        <w:rPr>
          <w:rFonts w:cs="Calibri Light"/>
          <w:spacing w:val="-19"/>
        </w:rPr>
        <w:t>.</w:t>
      </w:r>
      <w:r w:rsidRPr="00D2347B">
        <w:rPr>
          <w:rFonts w:cs="Calibri Light"/>
          <w:w w:val="85"/>
        </w:rPr>
        <w:t xml:space="preserve"> </w:t>
      </w:r>
      <w:r w:rsidRPr="00D2347B">
        <w:rPr>
          <w:rFonts w:cs="Calibri Light"/>
        </w:rPr>
        <w:t>It is important that work on measuring and assessing income and wealth inequality, such as the work undertaken by the Productivity Commission in 2018, continues into the future</w:t>
      </w:r>
      <w:r w:rsidR="0068598E">
        <w:rPr>
          <w:rFonts w:cs="Calibri Light"/>
          <w:spacing w:val="-20"/>
        </w:rPr>
        <w:t>.</w:t>
      </w:r>
      <w:r w:rsidRPr="00D2347B">
        <w:rPr>
          <w:rFonts w:cs="Calibri Light"/>
        </w:rPr>
        <w:t xml:space="preserve"> There is merit in the RBA continuing its research into income</w:t>
      </w:r>
      <w:r w:rsidRPr="00D2347B">
        <w:rPr>
          <w:rFonts w:cs="Calibri Light"/>
          <w:spacing w:val="40"/>
        </w:rPr>
        <w:t xml:space="preserve"> </w:t>
      </w:r>
      <w:r w:rsidRPr="00D2347B">
        <w:rPr>
          <w:rFonts w:cs="Calibri Light"/>
        </w:rPr>
        <w:t>and wealth inequality in Australia and examining the distributional impact of monetary policy (Australian House of Representatives 2022)</w:t>
      </w:r>
      <w:r w:rsidR="0068598E">
        <w:rPr>
          <w:rFonts w:cs="Calibri Light"/>
          <w:spacing w:val="-8"/>
        </w:rPr>
        <w:t>.</w:t>
      </w:r>
    </w:p>
    <w:p w14:paraId="12CCEDA4" w14:textId="2C1A6355" w:rsidR="00D2347B" w:rsidRDefault="00D2347B" w:rsidP="0000278A">
      <w:pPr>
        <w:pStyle w:val="Bullet"/>
      </w:pPr>
      <w:r w:rsidRPr="00D2347B">
        <w:rPr>
          <w:rFonts w:cs="Calibri Light"/>
          <w:b/>
        </w:rPr>
        <w:t>The</w:t>
      </w:r>
      <w:r w:rsidRPr="00D2347B">
        <w:rPr>
          <w:rFonts w:cs="Calibri Light"/>
          <w:b/>
          <w:spacing w:val="-2"/>
        </w:rPr>
        <w:t xml:space="preserve"> </w:t>
      </w:r>
      <w:r w:rsidRPr="00D2347B">
        <w:rPr>
          <w:rFonts w:cs="Calibri Light"/>
          <w:b/>
        </w:rPr>
        <w:t>transition</w:t>
      </w:r>
      <w:r w:rsidRPr="00D2347B">
        <w:rPr>
          <w:rFonts w:cs="Calibri Light"/>
          <w:b/>
          <w:spacing w:val="-2"/>
        </w:rPr>
        <w:t xml:space="preserve"> </w:t>
      </w:r>
      <w:r w:rsidRPr="00D2347B">
        <w:rPr>
          <w:rFonts w:cs="Calibri Light"/>
          <w:b/>
        </w:rPr>
        <w:t>to</w:t>
      </w:r>
      <w:r w:rsidRPr="00D2347B">
        <w:rPr>
          <w:rFonts w:cs="Calibri Light"/>
          <w:b/>
          <w:spacing w:val="-2"/>
        </w:rPr>
        <w:t xml:space="preserve"> </w:t>
      </w:r>
      <w:r w:rsidRPr="00D2347B">
        <w:rPr>
          <w:rFonts w:cs="Calibri Light"/>
          <w:b/>
        </w:rPr>
        <w:t>a</w:t>
      </w:r>
      <w:r w:rsidRPr="00D2347B">
        <w:rPr>
          <w:rFonts w:cs="Calibri Light"/>
          <w:b/>
          <w:spacing w:val="-1"/>
        </w:rPr>
        <w:t xml:space="preserve"> </w:t>
      </w:r>
      <w:r w:rsidRPr="00D2347B">
        <w:rPr>
          <w:rFonts w:cs="Calibri Light"/>
          <w:b/>
        </w:rPr>
        <w:t>low</w:t>
      </w:r>
      <w:r w:rsidRPr="00D2347B">
        <w:rPr>
          <w:rFonts w:cs="Calibri Light"/>
          <w:b/>
          <w:spacing w:val="-2"/>
        </w:rPr>
        <w:t xml:space="preserve"> </w:t>
      </w:r>
      <w:r w:rsidRPr="00D2347B">
        <w:rPr>
          <w:rFonts w:cs="Calibri Light"/>
          <w:b/>
        </w:rPr>
        <w:t>carbon</w:t>
      </w:r>
      <w:r w:rsidRPr="00D2347B">
        <w:rPr>
          <w:rFonts w:cs="Calibri Light"/>
          <w:b/>
          <w:spacing w:val="-2"/>
        </w:rPr>
        <w:t xml:space="preserve"> </w:t>
      </w:r>
      <w:r w:rsidRPr="00D2347B">
        <w:rPr>
          <w:rFonts w:cs="Calibri Light"/>
          <w:b/>
        </w:rPr>
        <w:t>economy:</w:t>
      </w:r>
      <w:r w:rsidRPr="00D2347B">
        <w:rPr>
          <w:rFonts w:cs="Calibri Light"/>
          <w:b/>
          <w:spacing w:val="-1"/>
        </w:rPr>
        <w:t xml:space="preserve"> </w:t>
      </w:r>
      <w:r w:rsidRPr="00D2347B">
        <w:rPr>
          <w:rFonts w:cs="Calibri Light"/>
        </w:rPr>
        <w:t>This</w:t>
      </w:r>
      <w:r>
        <w:rPr>
          <w:spacing w:val="-2"/>
        </w:rPr>
        <w:t xml:space="preserve"> </w:t>
      </w:r>
      <w:r>
        <w:t>topic</w:t>
      </w:r>
      <w:r>
        <w:rPr>
          <w:spacing w:val="-2"/>
        </w:rPr>
        <w:t xml:space="preserve"> </w:t>
      </w:r>
      <w:r>
        <w:t>is</w:t>
      </w:r>
      <w:r>
        <w:rPr>
          <w:spacing w:val="-2"/>
        </w:rPr>
        <w:t xml:space="preserve"> </w:t>
      </w:r>
      <w:r>
        <w:t>examined</w:t>
      </w:r>
      <w:r>
        <w:rPr>
          <w:spacing w:val="-1"/>
        </w:rPr>
        <w:t xml:space="preserve"> </w:t>
      </w:r>
      <w:r>
        <w:t>in</w:t>
      </w:r>
      <w:r>
        <w:rPr>
          <w:spacing w:val="-2"/>
        </w:rPr>
        <w:t xml:space="preserve"> </w:t>
      </w:r>
      <w:r>
        <w:t>Recommendation</w:t>
      </w:r>
      <w:r>
        <w:rPr>
          <w:spacing w:val="-2"/>
        </w:rPr>
        <w:t xml:space="preserve"> </w:t>
      </w:r>
      <w:r>
        <w:t>7</w:t>
      </w:r>
      <w:r w:rsidR="0068598E">
        <w:rPr>
          <w:spacing w:val="-24"/>
        </w:rPr>
        <w:t>.</w:t>
      </w:r>
    </w:p>
    <w:p w14:paraId="606B5977" w14:textId="77777777" w:rsidR="00D2347B" w:rsidRDefault="00D2347B" w:rsidP="003D666B">
      <w:pPr>
        <w:pStyle w:val="Heading3"/>
      </w:pPr>
      <w:r>
        <w:t>Recommendation</w:t>
      </w:r>
      <w:r>
        <w:rPr>
          <w:spacing w:val="-10"/>
        </w:rPr>
        <w:t xml:space="preserve"> </w:t>
      </w:r>
      <w:r>
        <w:t>1.3:</w:t>
      </w:r>
      <w:r>
        <w:rPr>
          <w:spacing w:val="-10"/>
        </w:rPr>
        <w:t xml:space="preserve"> </w:t>
      </w:r>
      <w:r>
        <w:t>Removing</w:t>
      </w:r>
      <w:r>
        <w:rPr>
          <w:spacing w:val="-10"/>
        </w:rPr>
        <w:t xml:space="preserve"> </w:t>
      </w:r>
      <w:r>
        <w:t>the</w:t>
      </w:r>
      <w:r>
        <w:rPr>
          <w:spacing w:val="-10"/>
        </w:rPr>
        <w:t xml:space="preserve"> </w:t>
      </w:r>
      <w:r>
        <w:t>power</w:t>
      </w:r>
      <w:r>
        <w:rPr>
          <w:spacing w:val="-10"/>
        </w:rPr>
        <w:t xml:space="preserve"> </w:t>
      </w:r>
      <w:r>
        <w:t>to</w:t>
      </w:r>
      <w:r>
        <w:rPr>
          <w:spacing w:val="-10"/>
        </w:rPr>
        <w:t xml:space="preserve"> </w:t>
      </w:r>
      <w:r>
        <w:t>direct</w:t>
      </w:r>
      <w:r>
        <w:rPr>
          <w:spacing w:val="-10"/>
        </w:rPr>
        <w:t xml:space="preserve"> </w:t>
      </w:r>
      <w:r>
        <w:t>lending</w:t>
      </w:r>
      <w:r>
        <w:rPr>
          <w:spacing w:val="-10"/>
        </w:rPr>
        <w:t xml:space="preserve"> </w:t>
      </w:r>
      <w:r w:rsidRPr="00B62DB4">
        <w:t>policies</w:t>
      </w:r>
      <w:r>
        <w:rPr>
          <w:spacing w:val="-10"/>
        </w:rPr>
        <w:t xml:space="preserve"> </w:t>
      </w:r>
      <w:r>
        <w:t>of private banks</w:t>
      </w:r>
    </w:p>
    <w:p w14:paraId="11540A4B" w14:textId="3619C4F4" w:rsidR="00D2347B" w:rsidRDefault="00D2347B" w:rsidP="00B62DB4">
      <w:r>
        <w:t>The RBA Act includes broad powers for the RBA, including powers to transact in financial markets. These powers are fundamental to the smooth operation of monetary policy, and critical for the RBA to meet its objectives</w:t>
      </w:r>
      <w:r w:rsidR="0068598E">
        <w:rPr>
          <w:spacing w:val="-9"/>
        </w:rPr>
        <w:t>.</w:t>
      </w:r>
    </w:p>
    <w:p w14:paraId="601B8D7A" w14:textId="0B4992A7" w:rsidR="00D2347B" w:rsidRDefault="00D2347B" w:rsidP="00B62DB4">
      <w:r>
        <w:t>The RBA also has other powers in legislation, including the power to direct the lending activities of banks</w:t>
      </w:r>
      <w:r w:rsidR="0068598E">
        <w:rPr>
          <w:spacing w:val="-16"/>
        </w:rPr>
        <w:t>.</w:t>
      </w:r>
      <w:r>
        <w:rPr>
          <w:w w:val="85"/>
        </w:rPr>
        <w:t xml:space="preserve"> </w:t>
      </w:r>
      <w:r>
        <w:t xml:space="preserve">Section 36 of the </w:t>
      </w:r>
      <w:r>
        <w:rPr>
          <w:i/>
        </w:rPr>
        <w:t xml:space="preserve">Banking Act 1959 </w:t>
      </w:r>
      <w:r>
        <w:t>states:</w:t>
      </w:r>
    </w:p>
    <w:p w14:paraId="1C0F5DEF" w14:textId="77777777" w:rsidR="00D2347B" w:rsidRDefault="00D2347B" w:rsidP="00B62DB4">
      <w:pPr>
        <w:pStyle w:val="italicquote"/>
      </w:pPr>
      <w:r>
        <w:t>“Where the Reserve Bank is satisfied that it is necessary or expedient to do so in the public interest, the</w:t>
      </w:r>
      <w:r>
        <w:rPr>
          <w:spacing w:val="-4"/>
        </w:rPr>
        <w:t xml:space="preserve"> </w:t>
      </w:r>
      <w:r>
        <w:t>Reserve</w:t>
      </w:r>
      <w:r>
        <w:rPr>
          <w:spacing w:val="-1"/>
        </w:rPr>
        <w:t xml:space="preserve"> </w:t>
      </w:r>
      <w:r>
        <w:t>Bank</w:t>
      </w:r>
      <w:r>
        <w:rPr>
          <w:spacing w:val="-1"/>
        </w:rPr>
        <w:t xml:space="preserve"> </w:t>
      </w:r>
      <w:r>
        <w:t>may</w:t>
      </w:r>
      <w:r>
        <w:rPr>
          <w:spacing w:val="-1"/>
        </w:rPr>
        <w:t xml:space="preserve"> </w:t>
      </w:r>
      <w:r>
        <w:t>determine</w:t>
      </w:r>
      <w:r>
        <w:rPr>
          <w:spacing w:val="-1"/>
        </w:rPr>
        <w:t xml:space="preserve"> </w:t>
      </w:r>
      <w:r>
        <w:t>the</w:t>
      </w:r>
      <w:r>
        <w:rPr>
          <w:spacing w:val="-2"/>
        </w:rPr>
        <w:t xml:space="preserve"> </w:t>
      </w:r>
      <w:r>
        <w:t>policy</w:t>
      </w:r>
      <w:r>
        <w:rPr>
          <w:spacing w:val="-1"/>
        </w:rPr>
        <w:t xml:space="preserve"> </w:t>
      </w:r>
      <w:r>
        <w:t>in</w:t>
      </w:r>
      <w:r>
        <w:rPr>
          <w:spacing w:val="-1"/>
        </w:rPr>
        <w:t xml:space="preserve"> </w:t>
      </w:r>
      <w:r>
        <w:t>relation</w:t>
      </w:r>
      <w:r>
        <w:rPr>
          <w:spacing w:val="-1"/>
        </w:rPr>
        <w:t xml:space="preserve"> </w:t>
      </w:r>
      <w:r>
        <w:t>to</w:t>
      </w:r>
      <w:r>
        <w:rPr>
          <w:spacing w:val="-1"/>
        </w:rPr>
        <w:t xml:space="preserve"> </w:t>
      </w:r>
      <w:r>
        <w:t>advances</w:t>
      </w:r>
      <w:r>
        <w:rPr>
          <w:spacing w:val="-2"/>
        </w:rPr>
        <w:t xml:space="preserve"> </w:t>
      </w:r>
      <w:r>
        <w:t>to</w:t>
      </w:r>
      <w:r>
        <w:rPr>
          <w:spacing w:val="-1"/>
        </w:rPr>
        <w:t xml:space="preserve"> </w:t>
      </w:r>
      <w:r>
        <w:t>be</w:t>
      </w:r>
      <w:r>
        <w:rPr>
          <w:spacing w:val="-1"/>
        </w:rPr>
        <w:t xml:space="preserve"> </w:t>
      </w:r>
      <w:r>
        <w:t>followed</w:t>
      </w:r>
      <w:r>
        <w:rPr>
          <w:spacing w:val="-1"/>
        </w:rPr>
        <w:t xml:space="preserve"> </w:t>
      </w:r>
      <w:r>
        <w:t>by</w:t>
      </w:r>
      <w:r>
        <w:rPr>
          <w:spacing w:val="-1"/>
        </w:rPr>
        <w:t xml:space="preserve"> </w:t>
      </w:r>
      <w:r>
        <w:t>ADIs</w:t>
      </w:r>
      <w:r>
        <w:rPr>
          <w:spacing w:val="-1"/>
        </w:rPr>
        <w:t xml:space="preserve"> </w:t>
      </w:r>
      <w:r>
        <w:rPr>
          <w:spacing w:val="-2"/>
        </w:rPr>
        <w:t>[banks].”</w:t>
      </w:r>
    </w:p>
    <w:p w14:paraId="149360C9" w14:textId="32B45181" w:rsidR="00D2347B" w:rsidRDefault="00D2347B" w:rsidP="00B62DB4">
      <w:r>
        <w:t>This power was created when the RBA had responsibility for the supervision of the banking sector, a responsibility that was transferred to APRA in 1998</w:t>
      </w:r>
      <w:r w:rsidR="0068598E">
        <w:rPr>
          <w:spacing w:val="-21"/>
        </w:rPr>
        <w:t>.</w:t>
      </w:r>
      <w:r>
        <w:rPr>
          <w:w w:val="85"/>
        </w:rPr>
        <w:t xml:space="preserve"> </w:t>
      </w:r>
      <w:r>
        <w:t>In line with its mandate, APRA now has powers that allow it to influence the behaviour of financial institutions, including setting rules regarding banks’ lending activities for purposes of financial safety and financial stability. In recent years, APRA has introduced limits on higher-risk residential mortgage lending to reduce financial stability risks</w:t>
      </w:r>
      <w:r w:rsidR="0068598E">
        <w:rPr>
          <w:spacing w:val="-17"/>
        </w:rPr>
        <w:t>.</w:t>
      </w:r>
    </w:p>
    <w:p w14:paraId="74F4B304" w14:textId="554950CF" w:rsidR="00D2347B" w:rsidRDefault="00D2347B" w:rsidP="00B62DB4">
      <w:r>
        <w:lastRenderedPageBreak/>
        <w:t>The RBA does not need, nor should have access to, powers that enable it to direct the lending activities of banks</w:t>
      </w:r>
      <w:r w:rsidR="0068598E">
        <w:rPr>
          <w:spacing w:val="-17"/>
        </w:rPr>
        <w:t>.</w:t>
      </w:r>
      <w:r>
        <w:rPr>
          <w:w w:val="85"/>
        </w:rPr>
        <w:t xml:space="preserve"> </w:t>
      </w:r>
      <w:r>
        <w:t>The RBA no longer has supervisory responsibilities for the banking sector – banks are licensed and supervised by APRA</w:t>
      </w:r>
      <w:r w:rsidR="0068598E">
        <w:rPr>
          <w:spacing w:val="-23"/>
        </w:rPr>
        <w:t>.</w:t>
      </w:r>
      <w:r>
        <w:rPr>
          <w:w w:val="85"/>
        </w:rPr>
        <w:t xml:space="preserve"> </w:t>
      </w:r>
      <w:r>
        <w:t>APRA is accountable for maintaining financial safety and stability and has been provided with appropriate powers to do so</w:t>
      </w:r>
      <w:r w:rsidR="0068598E">
        <w:rPr>
          <w:spacing w:val="-21"/>
        </w:rPr>
        <w:t>.</w:t>
      </w:r>
      <w:r>
        <w:rPr>
          <w:w w:val="85"/>
        </w:rPr>
        <w:t xml:space="preserve"> </w:t>
      </w:r>
      <w:r>
        <w:t>The power under s 36 is significant for an independent body to wield without a clear link to its role.</w:t>
      </w:r>
    </w:p>
    <w:p w14:paraId="165452E3" w14:textId="42C6AF2B" w:rsidR="00364AEC" w:rsidRDefault="00364AEC" w:rsidP="00364AEC">
      <w:r>
        <w:t>While some stakeholders have suggested that banks should be directed to do ‘green lending’, this is not an appropriate power for the RBA to exercise independently</w:t>
      </w:r>
      <w:r w:rsidR="0068598E">
        <w:rPr>
          <w:spacing w:val="-20"/>
        </w:rPr>
        <w:t>.</w:t>
      </w:r>
      <w:r>
        <w:rPr>
          <w:w w:val="85"/>
        </w:rPr>
        <w:t xml:space="preserve"> </w:t>
      </w:r>
      <w:r>
        <w:t>This type of policy should be the responsibility of elected officials and be subject to legislative processes.</w:t>
      </w: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666EAC" w14:paraId="62CFE3AA" w14:textId="77777777" w:rsidTr="00E4144B">
        <w:tc>
          <w:tcPr>
            <w:tcW w:w="5000" w:type="pct"/>
            <w:tcBorders>
              <w:top w:val="nil"/>
              <w:left w:val="nil"/>
              <w:bottom w:val="nil"/>
              <w:right w:val="nil"/>
            </w:tcBorders>
            <w:shd w:val="clear" w:color="auto" w:fill="F9EEDB" w:themeFill="accent6"/>
          </w:tcPr>
          <w:p w14:paraId="28F4A3BC" w14:textId="77777777" w:rsidR="00666EAC" w:rsidRDefault="00666EAC" w:rsidP="00666EAC">
            <w:pPr>
              <w:pStyle w:val="BoxText"/>
              <w:rPr>
                <w:rFonts w:ascii="Open Sans" w:hAnsi="Open Sans"/>
                <w:b/>
                <w:color w:val="204160"/>
                <w:spacing w:val="-2"/>
                <w:sz w:val="18"/>
              </w:rPr>
            </w:pPr>
            <w:r>
              <w:rPr>
                <w:rFonts w:ascii="Open Sans" w:hAnsi="Open Sans"/>
                <w:b/>
                <w:color w:val="204160"/>
                <w:sz w:val="18"/>
              </w:rPr>
              <w:t>Box 2.4:</w:t>
            </w:r>
            <w:r>
              <w:rPr>
                <w:rFonts w:ascii="Open Sans" w:hAnsi="Open Sans"/>
                <w:b/>
                <w:color w:val="204160"/>
                <w:spacing w:val="1"/>
                <w:sz w:val="18"/>
              </w:rPr>
              <w:t xml:space="preserve"> </w:t>
            </w:r>
            <w:r>
              <w:rPr>
                <w:rFonts w:ascii="Open Sans" w:hAnsi="Open Sans"/>
                <w:b/>
                <w:color w:val="204160"/>
                <w:sz w:val="18"/>
              </w:rPr>
              <w:t>Views</w:t>
            </w:r>
            <w:r>
              <w:rPr>
                <w:rFonts w:ascii="Open Sans" w:hAnsi="Open Sans"/>
                <w:b/>
                <w:color w:val="204160"/>
                <w:spacing w:val="1"/>
                <w:sz w:val="18"/>
              </w:rPr>
              <w:t xml:space="preserve"> </w:t>
            </w:r>
            <w:r>
              <w:rPr>
                <w:rFonts w:ascii="Open Sans" w:hAnsi="Open Sans"/>
                <w:b/>
                <w:color w:val="204160"/>
                <w:sz w:val="18"/>
              </w:rPr>
              <w:t>on</w:t>
            </w:r>
            <w:r>
              <w:rPr>
                <w:rFonts w:ascii="Open Sans" w:hAnsi="Open Sans"/>
                <w:b/>
                <w:color w:val="204160"/>
                <w:spacing w:val="1"/>
                <w:sz w:val="18"/>
              </w:rPr>
              <w:t xml:space="preserve"> </w:t>
            </w:r>
            <w:r>
              <w:rPr>
                <w:rFonts w:ascii="Open Sans" w:hAnsi="Open Sans"/>
                <w:b/>
                <w:color w:val="204160"/>
                <w:sz w:val="18"/>
              </w:rPr>
              <w:t>the</w:t>
            </w:r>
            <w:r>
              <w:rPr>
                <w:rFonts w:ascii="Open Sans" w:hAnsi="Open Sans"/>
                <w:b/>
                <w:color w:val="204160"/>
                <w:spacing w:val="1"/>
                <w:sz w:val="18"/>
              </w:rPr>
              <w:t xml:space="preserve"> </w:t>
            </w:r>
            <w:r>
              <w:rPr>
                <w:rFonts w:ascii="Open Sans" w:hAnsi="Open Sans"/>
                <w:b/>
                <w:color w:val="204160"/>
                <w:sz w:val="18"/>
              </w:rPr>
              <w:t>RBA’s role</w:t>
            </w:r>
            <w:r>
              <w:rPr>
                <w:rFonts w:ascii="Open Sans" w:hAnsi="Open Sans"/>
                <w:b/>
                <w:color w:val="204160"/>
                <w:spacing w:val="1"/>
                <w:sz w:val="18"/>
              </w:rPr>
              <w:t xml:space="preserve"> </w:t>
            </w:r>
            <w:r>
              <w:rPr>
                <w:rFonts w:ascii="Open Sans" w:hAnsi="Open Sans"/>
                <w:b/>
                <w:color w:val="204160"/>
                <w:sz w:val="18"/>
              </w:rPr>
              <w:t>from</w:t>
            </w:r>
            <w:r>
              <w:rPr>
                <w:rFonts w:ascii="Open Sans" w:hAnsi="Open Sans"/>
                <w:b/>
                <w:color w:val="204160"/>
                <w:spacing w:val="1"/>
                <w:sz w:val="18"/>
              </w:rPr>
              <w:t xml:space="preserve"> </w:t>
            </w:r>
            <w:r>
              <w:rPr>
                <w:rFonts w:ascii="Open Sans" w:hAnsi="Open Sans"/>
                <w:b/>
                <w:color w:val="204160"/>
                <w:sz w:val="18"/>
              </w:rPr>
              <w:t>the</w:t>
            </w:r>
            <w:r>
              <w:rPr>
                <w:rFonts w:ascii="Open Sans" w:hAnsi="Open Sans"/>
                <w:b/>
                <w:color w:val="204160"/>
                <w:spacing w:val="1"/>
                <w:sz w:val="18"/>
              </w:rPr>
              <w:t xml:space="preserve"> </w:t>
            </w:r>
            <w:r>
              <w:rPr>
                <w:rFonts w:ascii="Open Sans" w:hAnsi="Open Sans"/>
                <w:b/>
                <w:color w:val="204160"/>
                <w:sz w:val="18"/>
              </w:rPr>
              <w:t>general</w:t>
            </w:r>
            <w:r>
              <w:rPr>
                <w:rFonts w:ascii="Open Sans" w:hAnsi="Open Sans"/>
                <w:b/>
                <w:color w:val="204160"/>
                <w:spacing w:val="1"/>
                <w:sz w:val="18"/>
              </w:rPr>
              <w:t xml:space="preserve"> </w:t>
            </w:r>
            <w:r>
              <w:rPr>
                <w:rFonts w:ascii="Open Sans" w:hAnsi="Open Sans"/>
                <w:b/>
                <w:color w:val="204160"/>
                <w:spacing w:val="-2"/>
                <w:sz w:val="18"/>
              </w:rPr>
              <w:t>public</w:t>
            </w:r>
          </w:p>
          <w:p w14:paraId="0909A6CC" w14:textId="19C4459B" w:rsidR="003C2737" w:rsidRDefault="003C2737" w:rsidP="003C2737">
            <w:pPr>
              <w:pStyle w:val="BoxText"/>
            </w:pPr>
            <w:r>
              <w:t>The Review undertook a series of focus groups with members of the public</w:t>
            </w:r>
            <w:r w:rsidR="0068598E">
              <w:rPr>
                <w:spacing w:val="-18"/>
              </w:rPr>
              <w:t>.</w:t>
            </w:r>
            <w:r>
              <w:rPr>
                <w:w w:val="85"/>
              </w:rPr>
              <w:t xml:space="preserve"> </w:t>
            </w:r>
            <w:r>
              <w:t>These conversations ensured that the voices of a cross-section of Australians were heard by the Review, with a particular focus on the public’s understanding and perceptions of the RBA</w:t>
            </w:r>
            <w:r w:rsidR="0068598E">
              <w:rPr>
                <w:spacing w:val="-18"/>
              </w:rPr>
              <w:t>.</w:t>
            </w:r>
            <w:r>
              <w:t xml:space="preserve"> Separately,</w:t>
            </w:r>
            <w:r>
              <w:rPr>
                <w:spacing w:val="-1"/>
              </w:rPr>
              <w:t xml:space="preserve"> </w:t>
            </w:r>
            <w:r>
              <w:t>the</w:t>
            </w:r>
            <w:r>
              <w:rPr>
                <w:spacing w:val="-1"/>
              </w:rPr>
              <w:t xml:space="preserve"> </w:t>
            </w:r>
            <w:r>
              <w:t>Review</w:t>
            </w:r>
            <w:r>
              <w:rPr>
                <w:spacing w:val="-1"/>
              </w:rPr>
              <w:t xml:space="preserve"> </w:t>
            </w:r>
            <w:r>
              <w:t>received</w:t>
            </w:r>
            <w:r>
              <w:rPr>
                <w:spacing w:val="-1"/>
              </w:rPr>
              <w:t xml:space="preserve"> </w:t>
            </w:r>
            <w:r>
              <w:t>submissions</w:t>
            </w:r>
            <w:r>
              <w:rPr>
                <w:spacing w:val="-1"/>
              </w:rPr>
              <w:t xml:space="preserve"> </w:t>
            </w:r>
            <w:r>
              <w:t>from</w:t>
            </w:r>
            <w:r>
              <w:rPr>
                <w:spacing w:val="-1"/>
              </w:rPr>
              <w:t xml:space="preserve"> </w:t>
            </w:r>
            <w:r>
              <w:t>members</w:t>
            </w:r>
            <w:r>
              <w:rPr>
                <w:spacing w:val="-1"/>
              </w:rPr>
              <w:t xml:space="preserve"> </w:t>
            </w:r>
            <w:r>
              <w:t>of</w:t>
            </w:r>
            <w:r>
              <w:rPr>
                <w:spacing w:val="-1"/>
              </w:rPr>
              <w:t xml:space="preserve"> </w:t>
            </w:r>
            <w:r>
              <w:t>the</w:t>
            </w:r>
            <w:r>
              <w:rPr>
                <w:spacing w:val="-1"/>
              </w:rPr>
              <w:t xml:space="preserve"> </w:t>
            </w:r>
            <w:r>
              <w:t>public</w:t>
            </w:r>
            <w:r>
              <w:rPr>
                <w:spacing w:val="-1"/>
              </w:rPr>
              <w:t xml:space="preserve"> </w:t>
            </w:r>
            <w:r>
              <w:t>on</w:t>
            </w:r>
            <w:r>
              <w:rPr>
                <w:spacing w:val="-1"/>
              </w:rPr>
              <w:t xml:space="preserve"> </w:t>
            </w:r>
            <w:r>
              <w:t>a</w:t>
            </w:r>
            <w:r>
              <w:rPr>
                <w:spacing w:val="-1"/>
              </w:rPr>
              <w:t xml:space="preserve"> </w:t>
            </w:r>
            <w:r>
              <w:t>range</w:t>
            </w:r>
            <w:r>
              <w:rPr>
                <w:spacing w:val="-1"/>
              </w:rPr>
              <w:t xml:space="preserve"> </w:t>
            </w:r>
            <w:r>
              <w:t>of</w:t>
            </w:r>
            <w:r>
              <w:rPr>
                <w:spacing w:val="-1"/>
              </w:rPr>
              <w:t xml:space="preserve"> </w:t>
            </w:r>
            <w:r>
              <w:t>issues within the Review’s Terms of Reference.</w:t>
            </w:r>
          </w:p>
          <w:p w14:paraId="52508799" w14:textId="77777777" w:rsidR="003C2737" w:rsidRDefault="003C2737" w:rsidP="003C2737">
            <w:pPr>
              <w:pStyle w:val="BoxText"/>
            </w:pPr>
            <w:r>
              <w:t>The public round</w:t>
            </w:r>
            <w:r>
              <w:rPr>
                <w:spacing w:val="1"/>
              </w:rPr>
              <w:t xml:space="preserve"> </w:t>
            </w:r>
            <w:r>
              <w:t>tables raised</w:t>
            </w:r>
            <w:r>
              <w:rPr>
                <w:spacing w:val="1"/>
              </w:rPr>
              <w:t xml:space="preserve"> </w:t>
            </w:r>
            <w:r>
              <w:t>four key</w:t>
            </w:r>
            <w:r>
              <w:rPr>
                <w:spacing w:val="1"/>
              </w:rPr>
              <w:t xml:space="preserve"> </w:t>
            </w:r>
            <w:r>
              <w:rPr>
                <w:spacing w:val="-2"/>
              </w:rPr>
              <w:t>themes:</w:t>
            </w:r>
          </w:p>
          <w:p w14:paraId="766EC7DA" w14:textId="69E71163" w:rsidR="003C2737" w:rsidRDefault="003C2737" w:rsidP="0000278A">
            <w:pPr>
              <w:pStyle w:val="OutlineNumbered1"/>
              <w:numPr>
                <w:ilvl w:val="0"/>
                <w:numId w:val="12"/>
              </w:numPr>
              <w:tabs>
                <w:tab w:val="clear" w:pos="851"/>
                <w:tab w:val="num" w:pos="563"/>
              </w:tabs>
              <w:ind w:left="279" w:hanging="279"/>
            </w:pPr>
            <w:r>
              <w:t>The</w:t>
            </w:r>
            <w:r w:rsidRPr="00E4144B">
              <w:rPr>
                <w:spacing w:val="-3"/>
              </w:rPr>
              <w:t xml:space="preserve"> </w:t>
            </w:r>
            <w:r>
              <w:t>current</w:t>
            </w:r>
            <w:r w:rsidRPr="00E4144B">
              <w:rPr>
                <w:spacing w:val="-3"/>
              </w:rPr>
              <w:t xml:space="preserve"> </w:t>
            </w:r>
            <w:r>
              <w:t>economic</w:t>
            </w:r>
            <w:r w:rsidRPr="00E4144B">
              <w:rPr>
                <w:spacing w:val="-3"/>
              </w:rPr>
              <w:t xml:space="preserve"> </w:t>
            </w:r>
            <w:r>
              <w:t>context</w:t>
            </w:r>
            <w:r w:rsidRPr="00E4144B">
              <w:rPr>
                <w:spacing w:val="-3"/>
              </w:rPr>
              <w:t xml:space="preserve"> </w:t>
            </w:r>
            <w:r>
              <w:t>is</w:t>
            </w:r>
            <w:r w:rsidRPr="00E4144B">
              <w:rPr>
                <w:spacing w:val="-3"/>
              </w:rPr>
              <w:t xml:space="preserve"> </w:t>
            </w:r>
            <w:r>
              <w:t>challenging</w:t>
            </w:r>
            <w:r w:rsidRPr="00E4144B">
              <w:rPr>
                <w:i/>
              </w:rPr>
              <w:t>.</w:t>
            </w:r>
            <w:r w:rsidRPr="00E4144B">
              <w:rPr>
                <w:i/>
                <w:spacing w:val="-3"/>
              </w:rPr>
              <w:t xml:space="preserve"> </w:t>
            </w:r>
            <w:r>
              <w:t>Australians</w:t>
            </w:r>
            <w:r w:rsidRPr="00E4144B">
              <w:rPr>
                <w:spacing w:val="-3"/>
              </w:rPr>
              <w:t xml:space="preserve"> </w:t>
            </w:r>
            <w:r>
              <w:t>are</w:t>
            </w:r>
            <w:r w:rsidRPr="00E4144B">
              <w:rPr>
                <w:spacing w:val="-3"/>
              </w:rPr>
              <w:t xml:space="preserve"> </w:t>
            </w:r>
            <w:r>
              <w:t>facing</w:t>
            </w:r>
            <w:r w:rsidRPr="00E4144B">
              <w:rPr>
                <w:spacing w:val="-3"/>
              </w:rPr>
              <w:t xml:space="preserve"> </w:t>
            </w:r>
            <w:r>
              <w:t>pressure</w:t>
            </w:r>
            <w:r w:rsidRPr="00E4144B">
              <w:rPr>
                <w:spacing w:val="-3"/>
              </w:rPr>
              <w:t xml:space="preserve"> </w:t>
            </w:r>
            <w:r>
              <w:t>from</w:t>
            </w:r>
            <w:r w:rsidRPr="00E4144B">
              <w:rPr>
                <w:spacing w:val="-3"/>
              </w:rPr>
              <w:t xml:space="preserve"> </w:t>
            </w:r>
            <w:r>
              <w:t>high inflation. Participants of the focus groups experienced this directly from higher prices</w:t>
            </w:r>
            <w:r w:rsidRPr="00E4144B">
              <w:rPr>
                <w:spacing w:val="-1"/>
              </w:rPr>
              <w:t xml:space="preserve"> </w:t>
            </w:r>
            <w:r>
              <w:t xml:space="preserve">and </w:t>
            </w:r>
            <w:r w:rsidRPr="00E4144B">
              <w:rPr>
                <w:spacing w:val="-2"/>
              </w:rPr>
              <w:t>higher</w:t>
            </w:r>
            <w:r w:rsidRPr="00E4144B">
              <w:rPr>
                <w:spacing w:val="-4"/>
              </w:rPr>
              <w:t xml:space="preserve"> </w:t>
            </w:r>
            <w:r w:rsidRPr="00E4144B">
              <w:rPr>
                <w:spacing w:val="-2"/>
              </w:rPr>
              <w:t>interest</w:t>
            </w:r>
            <w:r w:rsidRPr="00E4144B">
              <w:rPr>
                <w:spacing w:val="-4"/>
              </w:rPr>
              <w:t xml:space="preserve"> </w:t>
            </w:r>
            <w:r w:rsidRPr="00E4144B">
              <w:rPr>
                <w:spacing w:val="-2"/>
              </w:rPr>
              <w:t>rates.</w:t>
            </w:r>
            <w:r w:rsidRPr="00E4144B">
              <w:rPr>
                <w:spacing w:val="-4"/>
              </w:rPr>
              <w:t xml:space="preserve"> </w:t>
            </w:r>
            <w:r w:rsidRPr="00E4144B">
              <w:rPr>
                <w:spacing w:val="-2"/>
              </w:rPr>
              <w:t>Some</w:t>
            </w:r>
            <w:r w:rsidRPr="00E4144B">
              <w:rPr>
                <w:spacing w:val="-4"/>
              </w:rPr>
              <w:t xml:space="preserve"> </w:t>
            </w:r>
            <w:r w:rsidRPr="00E4144B">
              <w:rPr>
                <w:spacing w:val="-2"/>
              </w:rPr>
              <w:t>participants</w:t>
            </w:r>
            <w:r w:rsidRPr="00E4144B">
              <w:rPr>
                <w:spacing w:val="-4"/>
              </w:rPr>
              <w:t xml:space="preserve"> </w:t>
            </w:r>
            <w:r w:rsidRPr="00E4144B">
              <w:rPr>
                <w:spacing w:val="-2"/>
              </w:rPr>
              <w:t>identified</w:t>
            </w:r>
            <w:r w:rsidRPr="00E4144B">
              <w:rPr>
                <w:spacing w:val="-4"/>
              </w:rPr>
              <w:t xml:space="preserve"> </w:t>
            </w:r>
            <w:r w:rsidRPr="00E4144B">
              <w:rPr>
                <w:spacing w:val="-2"/>
              </w:rPr>
              <w:t>the</w:t>
            </w:r>
            <w:r w:rsidRPr="00E4144B">
              <w:rPr>
                <w:spacing w:val="-4"/>
              </w:rPr>
              <w:t xml:space="preserve"> </w:t>
            </w:r>
            <w:r w:rsidRPr="00E4144B">
              <w:rPr>
                <w:spacing w:val="-2"/>
              </w:rPr>
              <w:t>reasons</w:t>
            </w:r>
            <w:r w:rsidRPr="00E4144B">
              <w:rPr>
                <w:spacing w:val="-4"/>
              </w:rPr>
              <w:t xml:space="preserve"> </w:t>
            </w:r>
            <w:r w:rsidRPr="00E4144B">
              <w:rPr>
                <w:spacing w:val="-2"/>
              </w:rPr>
              <w:t>why</w:t>
            </w:r>
            <w:r w:rsidRPr="00E4144B">
              <w:rPr>
                <w:spacing w:val="-4"/>
              </w:rPr>
              <w:t xml:space="preserve"> </w:t>
            </w:r>
            <w:r w:rsidRPr="00E4144B">
              <w:rPr>
                <w:spacing w:val="-2"/>
              </w:rPr>
              <w:t>interest</w:t>
            </w:r>
            <w:r w:rsidRPr="00E4144B">
              <w:rPr>
                <w:spacing w:val="-4"/>
              </w:rPr>
              <w:t xml:space="preserve"> </w:t>
            </w:r>
            <w:r w:rsidRPr="00E4144B">
              <w:rPr>
                <w:spacing w:val="-2"/>
              </w:rPr>
              <w:t xml:space="preserve">rates were rising, </w:t>
            </w:r>
            <w:r>
              <w:t>while</w:t>
            </w:r>
            <w:r w:rsidRPr="00E4144B">
              <w:rPr>
                <w:spacing w:val="-1"/>
              </w:rPr>
              <w:t xml:space="preserve"> </w:t>
            </w:r>
            <w:r>
              <w:t>some</w:t>
            </w:r>
            <w:r w:rsidRPr="00E4144B">
              <w:rPr>
                <w:spacing w:val="-1"/>
              </w:rPr>
              <w:t xml:space="preserve"> </w:t>
            </w:r>
            <w:r>
              <w:t>were</w:t>
            </w:r>
            <w:r w:rsidRPr="00E4144B">
              <w:rPr>
                <w:spacing w:val="-1"/>
              </w:rPr>
              <w:t xml:space="preserve"> </w:t>
            </w:r>
            <w:r>
              <w:t>sceptical</w:t>
            </w:r>
            <w:r w:rsidRPr="00E4144B">
              <w:rPr>
                <w:spacing w:val="-1"/>
              </w:rPr>
              <w:t xml:space="preserve"> </w:t>
            </w:r>
            <w:r>
              <w:t>about</w:t>
            </w:r>
            <w:r w:rsidRPr="00E4144B">
              <w:rPr>
                <w:spacing w:val="-1"/>
              </w:rPr>
              <w:t xml:space="preserve"> </w:t>
            </w:r>
            <w:r>
              <w:t>the</w:t>
            </w:r>
            <w:r w:rsidRPr="00E4144B">
              <w:rPr>
                <w:spacing w:val="-1"/>
              </w:rPr>
              <w:t xml:space="preserve"> </w:t>
            </w:r>
            <w:r>
              <w:t>logic</w:t>
            </w:r>
            <w:r w:rsidRPr="00E4144B">
              <w:rPr>
                <w:spacing w:val="-1"/>
              </w:rPr>
              <w:t xml:space="preserve"> </w:t>
            </w:r>
            <w:r>
              <w:t>of</w:t>
            </w:r>
            <w:r w:rsidRPr="00E4144B">
              <w:rPr>
                <w:spacing w:val="-1"/>
              </w:rPr>
              <w:t xml:space="preserve"> </w:t>
            </w:r>
            <w:r>
              <w:t>raising</w:t>
            </w:r>
            <w:r w:rsidRPr="00E4144B">
              <w:rPr>
                <w:spacing w:val="-1"/>
              </w:rPr>
              <w:t xml:space="preserve"> </w:t>
            </w:r>
            <w:r>
              <w:t>interest</w:t>
            </w:r>
            <w:r w:rsidRPr="00E4144B">
              <w:rPr>
                <w:spacing w:val="-1"/>
              </w:rPr>
              <w:t xml:space="preserve"> </w:t>
            </w:r>
            <w:r>
              <w:t>rates</w:t>
            </w:r>
            <w:r w:rsidRPr="00E4144B">
              <w:rPr>
                <w:spacing w:val="-1"/>
              </w:rPr>
              <w:t xml:space="preserve"> </w:t>
            </w:r>
            <w:r>
              <w:t>to</w:t>
            </w:r>
            <w:r w:rsidRPr="00E4144B">
              <w:rPr>
                <w:spacing w:val="-1"/>
              </w:rPr>
              <w:t xml:space="preserve"> </w:t>
            </w:r>
            <w:r>
              <w:t>reduce</w:t>
            </w:r>
            <w:r w:rsidRPr="00E4144B">
              <w:rPr>
                <w:spacing w:val="-1"/>
              </w:rPr>
              <w:t xml:space="preserve"> </w:t>
            </w:r>
            <w:r>
              <w:t>high</w:t>
            </w:r>
            <w:r w:rsidRPr="00E4144B">
              <w:rPr>
                <w:spacing w:val="-1"/>
              </w:rPr>
              <w:t xml:space="preserve"> </w:t>
            </w:r>
            <w:r>
              <w:t>inflation. There were concerns that some households face a greater burden from higher interest rates than others</w:t>
            </w:r>
            <w:r w:rsidR="0068598E">
              <w:rPr>
                <w:spacing w:val="-20"/>
              </w:rPr>
              <w:t>.</w:t>
            </w:r>
            <w:r w:rsidRPr="00E4144B">
              <w:rPr>
                <w:w w:val="85"/>
              </w:rPr>
              <w:t xml:space="preserve"> </w:t>
            </w:r>
            <w:r>
              <w:t>For the Review, these conversations underscored that price stability is important for Australians and that the direct effects of the RBA’s tools (on borrowers and lenders)</w:t>
            </w:r>
            <w:r w:rsidRPr="00E4144B">
              <w:rPr>
                <w:spacing w:val="-7"/>
              </w:rPr>
              <w:t xml:space="preserve"> </w:t>
            </w:r>
            <w:r>
              <w:t>are</w:t>
            </w:r>
            <w:r w:rsidRPr="00E4144B">
              <w:rPr>
                <w:spacing w:val="-7"/>
              </w:rPr>
              <w:t xml:space="preserve"> </w:t>
            </w:r>
            <w:r>
              <w:t>more</w:t>
            </w:r>
            <w:r w:rsidRPr="00E4144B">
              <w:rPr>
                <w:spacing w:val="-7"/>
              </w:rPr>
              <w:t xml:space="preserve"> </w:t>
            </w:r>
            <w:r>
              <w:t>obvious</w:t>
            </w:r>
            <w:r w:rsidRPr="00E4144B">
              <w:rPr>
                <w:spacing w:val="-7"/>
              </w:rPr>
              <w:t xml:space="preserve"> </w:t>
            </w:r>
            <w:r>
              <w:t>than</w:t>
            </w:r>
            <w:r w:rsidRPr="00E4144B">
              <w:rPr>
                <w:spacing w:val="-7"/>
              </w:rPr>
              <w:t xml:space="preserve"> </w:t>
            </w:r>
            <w:r>
              <w:t>the</w:t>
            </w:r>
            <w:r w:rsidRPr="00E4144B">
              <w:rPr>
                <w:spacing w:val="-7"/>
              </w:rPr>
              <w:t xml:space="preserve"> </w:t>
            </w:r>
            <w:r>
              <w:t>less</w:t>
            </w:r>
            <w:r w:rsidRPr="00E4144B">
              <w:rPr>
                <w:spacing w:val="-7"/>
              </w:rPr>
              <w:t xml:space="preserve"> </w:t>
            </w:r>
            <w:r>
              <w:t>direct</w:t>
            </w:r>
            <w:r w:rsidRPr="00E4144B">
              <w:rPr>
                <w:spacing w:val="-7"/>
              </w:rPr>
              <w:t xml:space="preserve"> </w:t>
            </w:r>
            <w:r>
              <w:t>effects</w:t>
            </w:r>
            <w:r w:rsidRPr="00E4144B">
              <w:rPr>
                <w:spacing w:val="-7"/>
              </w:rPr>
              <w:t xml:space="preserve"> </w:t>
            </w:r>
            <w:r>
              <w:t>(on</w:t>
            </w:r>
            <w:r w:rsidRPr="00E4144B">
              <w:rPr>
                <w:spacing w:val="-7"/>
              </w:rPr>
              <w:t xml:space="preserve"> </w:t>
            </w:r>
            <w:r>
              <w:t>underlying</w:t>
            </w:r>
            <w:r w:rsidRPr="00E4144B">
              <w:rPr>
                <w:spacing w:val="-7"/>
              </w:rPr>
              <w:t xml:space="preserve"> </w:t>
            </w:r>
            <w:r>
              <w:t>economic</w:t>
            </w:r>
            <w:r w:rsidRPr="00E4144B">
              <w:rPr>
                <w:spacing w:val="-7"/>
              </w:rPr>
              <w:t xml:space="preserve"> </w:t>
            </w:r>
            <w:r>
              <w:t>conditions).</w:t>
            </w:r>
          </w:p>
          <w:p w14:paraId="12F5FD25" w14:textId="19D42063" w:rsidR="003C2737" w:rsidRDefault="003C2737" w:rsidP="0000278A">
            <w:pPr>
              <w:pStyle w:val="OutlineNumbered1"/>
              <w:tabs>
                <w:tab w:val="clear" w:pos="851"/>
                <w:tab w:val="num" w:pos="563"/>
              </w:tabs>
              <w:ind w:left="279" w:hanging="279"/>
            </w:pPr>
            <w:r>
              <w:t>There is broad trust in the RBA</w:t>
            </w:r>
            <w:r w:rsidR="0068598E">
              <w:rPr>
                <w:spacing w:val="-21"/>
              </w:rPr>
              <w:t>.</w:t>
            </w:r>
            <w:r>
              <w:rPr>
                <w:w w:val="85"/>
              </w:rPr>
              <w:t xml:space="preserve"> </w:t>
            </w:r>
            <w:r>
              <w:t>Some recognised that the RBA’s actions were successful during the Global Financial Crisis or other periods and indicated that this had helped develop trust</w:t>
            </w:r>
            <w:r w:rsidR="0068598E">
              <w:rPr>
                <w:spacing w:val="-16"/>
              </w:rPr>
              <w:t>.</w:t>
            </w:r>
            <w:r>
              <w:rPr>
                <w:w w:val="85"/>
              </w:rPr>
              <w:t xml:space="preserve"> </w:t>
            </w:r>
            <w:r>
              <w:t>Some comments were caveated that this trust was ‘blind’ trust or ‘hope’, given</w:t>
            </w:r>
            <w:r>
              <w:rPr>
                <w:spacing w:val="18"/>
              </w:rPr>
              <w:t xml:space="preserve"> </w:t>
            </w:r>
            <w:r>
              <w:t>the</w:t>
            </w:r>
            <w:r>
              <w:rPr>
                <w:spacing w:val="18"/>
              </w:rPr>
              <w:t xml:space="preserve"> </w:t>
            </w:r>
            <w:r>
              <w:t>complexity</w:t>
            </w:r>
            <w:r>
              <w:rPr>
                <w:spacing w:val="18"/>
              </w:rPr>
              <w:t xml:space="preserve"> </w:t>
            </w:r>
            <w:r>
              <w:t>of</w:t>
            </w:r>
            <w:r>
              <w:rPr>
                <w:spacing w:val="18"/>
              </w:rPr>
              <w:t xml:space="preserve"> </w:t>
            </w:r>
            <w:r>
              <w:t>the</w:t>
            </w:r>
            <w:r>
              <w:rPr>
                <w:spacing w:val="18"/>
              </w:rPr>
              <w:t xml:space="preserve"> </w:t>
            </w:r>
            <w:r>
              <w:t>issues</w:t>
            </w:r>
            <w:r>
              <w:rPr>
                <w:spacing w:val="18"/>
              </w:rPr>
              <w:t xml:space="preserve"> </w:t>
            </w:r>
            <w:r>
              <w:t>the</w:t>
            </w:r>
            <w:r>
              <w:rPr>
                <w:spacing w:val="18"/>
              </w:rPr>
              <w:t xml:space="preserve"> </w:t>
            </w:r>
            <w:r>
              <w:t>RBA</w:t>
            </w:r>
            <w:r>
              <w:rPr>
                <w:spacing w:val="18"/>
              </w:rPr>
              <w:t xml:space="preserve"> </w:t>
            </w:r>
            <w:r>
              <w:t>deals</w:t>
            </w:r>
            <w:r>
              <w:rPr>
                <w:spacing w:val="18"/>
              </w:rPr>
              <w:t xml:space="preserve"> </w:t>
            </w:r>
            <w:r>
              <w:t>with</w:t>
            </w:r>
            <w:r w:rsidR="0068598E">
              <w:rPr>
                <w:spacing w:val="-17"/>
              </w:rPr>
              <w:t>.</w:t>
            </w:r>
            <w:r>
              <w:rPr>
                <w:spacing w:val="18"/>
              </w:rPr>
              <w:t xml:space="preserve"> </w:t>
            </w:r>
            <w:r>
              <w:t>The</w:t>
            </w:r>
            <w:r>
              <w:rPr>
                <w:spacing w:val="18"/>
              </w:rPr>
              <w:t xml:space="preserve"> </w:t>
            </w:r>
            <w:r>
              <w:t>Review</w:t>
            </w:r>
            <w:r>
              <w:rPr>
                <w:spacing w:val="18"/>
              </w:rPr>
              <w:t xml:space="preserve"> </w:t>
            </w:r>
            <w:r>
              <w:t>saw</w:t>
            </w:r>
            <w:r>
              <w:rPr>
                <w:spacing w:val="18"/>
              </w:rPr>
              <w:t xml:space="preserve"> </w:t>
            </w:r>
            <w:r>
              <w:t>this</w:t>
            </w:r>
            <w:r>
              <w:rPr>
                <w:spacing w:val="18"/>
              </w:rPr>
              <w:t xml:space="preserve"> </w:t>
            </w:r>
            <w:r>
              <w:t>observation as</w:t>
            </w:r>
            <w:r>
              <w:rPr>
                <w:spacing w:val="21"/>
              </w:rPr>
              <w:t xml:space="preserve"> </w:t>
            </w:r>
            <w:r>
              <w:t>consistent</w:t>
            </w:r>
            <w:r>
              <w:rPr>
                <w:spacing w:val="21"/>
              </w:rPr>
              <w:t xml:space="preserve"> </w:t>
            </w:r>
            <w:r>
              <w:t>with</w:t>
            </w:r>
            <w:r>
              <w:rPr>
                <w:spacing w:val="21"/>
              </w:rPr>
              <w:t xml:space="preserve"> </w:t>
            </w:r>
            <w:r>
              <w:t>the</w:t>
            </w:r>
            <w:r>
              <w:rPr>
                <w:spacing w:val="21"/>
              </w:rPr>
              <w:t xml:space="preserve"> </w:t>
            </w:r>
            <w:r>
              <w:t>conclusion</w:t>
            </w:r>
            <w:r>
              <w:rPr>
                <w:spacing w:val="21"/>
              </w:rPr>
              <w:t xml:space="preserve"> </w:t>
            </w:r>
            <w:r>
              <w:t>that</w:t>
            </w:r>
            <w:r>
              <w:rPr>
                <w:spacing w:val="21"/>
              </w:rPr>
              <w:t xml:space="preserve"> </w:t>
            </w:r>
            <w:r>
              <w:t>the</w:t>
            </w:r>
            <w:r>
              <w:rPr>
                <w:spacing w:val="21"/>
              </w:rPr>
              <w:t xml:space="preserve"> </w:t>
            </w:r>
            <w:r>
              <w:t>RBA’s</w:t>
            </w:r>
            <w:r>
              <w:rPr>
                <w:spacing w:val="21"/>
              </w:rPr>
              <w:t xml:space="preserve"> </w:t>
            </w:r>
            <w:r>
              <w:t>monetary</w:t>
            </w:r>
            <w:r>
              <w:rPr>
                <w:spacing w:val="21"/>
              </w:rPr>
              <w:t xml:space="preserve"> </w:t>
            </w:r>
            <w:r>
              <w:t>policy</w:t>
            </w:r>
            <w:r>
              <w:rPr>
                <w:spacing w:val="21"/>
              </w:rPr>
              <w:t xml:space="preserve"> </w:t>
            </w:r>
            <w:r>
              <w:t>had</w:t>
            </w:r>
            <w:r>
              <w:rPr>
                <w:spacing w:val="21"/>
              </w:rPr>
              <w:t xml:space="preserve"> </w:t>
            </w:r>
            <w:r>
              <w:t>contributed</w:t>
            </w:r>
            <w:r>
              <w:rPr>
                <w:spacing w:val="21"/>
              </w:rPr>
              <w:t xml:space="preserve"> </w:t>
            </w:r>
            <w:r>
              <w:t>to good economic outcomes over recent decades</w:t>
            </w:r>
            <w:r w:rsidR="0068598E">
              <w:rPr>
                <w:spacing w:val="-22"/>
              </w:rPr>
              <w:t>.</w:t>
            </w:r>
            <w:r>
              <w:rPr>
                <w:w w:val="85"/>
              </w:rPr>
              <w:t xml:space="preserve"> </w:t>
            </w:r>
            <w:r>
              <w:t>These conversations also highlighted the importance of the RBA’s institutional reputation and the value of evaluating the RBA at regular intervals to support and enhance the institution and its reputation.</w:t>
            </w:r>
          </w:p>
          <w:p w14:paraId="01FD2D2B" w14:textId="4CA1D13B" w:rsidR="003C2737" w:rsidRDefault="003C2737" w:rsidP="0000278A">
            <w:pPr>
              <w:pStyle w:val="OutlineNumbered1"/>
              <w:tabs>
                <w:tab w:val="clear" w:pos="851"/>
                <w:tab w:val="num" w:pos="563"/>
              </w:tabs>
              <w:ind w:left="279" w:hanging="279"/>
            </w:pPr>
            <w:r>
              <w:t>The RBA’s inflation objective is better understood than the employment objective</w:t>
            </w:r>
            <w:r>
              <w:rPr>
                <w:i/>
              </w:rPr>
              <w:t xml:space="preserve">. </w:t>
            </w:r>
            <w:r>
              <w:t>Some participants identified that the RBA has an inflation target, while most were unfamiliar with the employment objective. This may reflect, in part, the current economic context in which high inflation is a pressing issue. It was unclear to some participants how the role of the RBA differed to that of the broader government. For others this distinction was clear, and the RBA’s independence was understood</w:t>
            </w:r>
            <w:r w:rsidR="0068598E">
              <w:rPr>
                <w:spacing w:val="-21"/>
              </w:rPr>
              <w:t>.</w:t>
            </w:r>
            <w:r>
              <w:rPr>
                <w:w w:val="85"/>
              </w:rPr>
              <w:t xml:space="preserve"> </w:t>
            </w:r>
            <w:r>
              <w:t>These conversations highlighted the challenges associated with communicating the RBA’s employment objective.</w:t>
            </w:r>
          </w:p>
          <w:p w14:paraId="78DDA062" w14:textId="7FA0D4CF" w:rsidR="003C2737" w:rsidRDefault="003C2737" w:rsidP="0000278A">
            <w:pPr>
              <w:pStyle w:val="OutlineNumbered1"/>
              <w:tabs>
                <w:tab w:val="clear" w:pos="851"/>
                <w:tab w:val="num" w:pos="563"/>
              </w:tabs>
              <w:ind w:left="279" w:hanging="279"/>
            </w:pPr>
            <w:r>
              <w:t>The</w:t>
            </w:r>
            <w:r>
              <w:rPr>
                <w:spacing w:val="-1"/>
              </w:rPr>
              <w:t xml:space="preserve"> </w:t>
            </w:r>
            <w:r>
              <w:t>public</w:t>
            </w:r>
            <w:r>
              <w:rPr>
                <w:spacing w:val="-2"/>
              </w:rPr>
              <w:t xml:space="preserve"> </w:t>
            </w:r>
            <w:r>
              <w:t>learns</w:t>
            </w:r>
            <w:r>
              <w:rPr>
                <w:spacing w:val="-1"/>
              </w:rPr>
              <w:t xml:space="preserve"> </w:t>
            </w:r>
            <w:r>
              <w:t>about</w:t>
            </w:r>
            <w:r>
              <w:rPr>
                <w:spacing w:val="-1"/>
              </w:rPr>
              <w:t xml:space="preserve"> </w:t>
            </w:r>
            <w:r>
              <w:t>the</w:t>
            </w:r>
            <w:r>
              <w:rPr>
                <w:spacing w:val="-1"/>
              </w:rPr>
              <w:t xml:space="preserve"> </w:t>
            </w:r>
            <w:r>
              <w:t>RBA</w:t>
            </w:r>
            <w:r>
              <w:rPr>
                <w:spacing w:val="-2"/>
              </w:rPr>
              <w:t xml:space="preserve"> </w:t>
            </w:r>
            <w:r>
              <w:t>through</w:t>
            </w:r>
            <w:r>
              <w:rPr>
                <w:spacing w:val="-1"/>
              </w:rPr>
              <w:t xml:space="preserve"> </w:t>
            </w:r>
            <w:r>
              <w:t>second-hand</w:t>
            </w:r>
            <w:r>
              <w:rPr>
                <w:spacing w:val="-2"/>
              </w:rPr>
              <w:t xml:space="preserve"> </w:t>
            </w:r>
            <w:r>
              <w:t>sources</w:t>
            </w:r>
            <w:r w:rsidR="0068598E">
              <w:rPr>
                <w:spacing w:val="-23"/>
              </w:rPr>
              <w:t>.</w:t>
            </w:r>
            <w:r>
              <w:rPr>
                <w:w w:val="85"/>
              </w:rPr>
              <w:t xml:space="preserve"> </w:t>
            </w:r>
            <w:r>
              <w:t>Media</w:t>
            </w:r>
            <w:r>
              <w:rPr>
                <w:spacing w:val="-1"/>
              </w:rPr>
              <w:t xml:space="preserve"> </w:t>
            </w:r>
            <w:r>
              <w:t>sources</w:t>
            </w:r>
            <w:r>
              <w:rPr>
                <w:spacing w:val="-1"/>
              </w:rPr>
              <w:t xml:space="preserve"> </w:t>
            </w:r>
            <w:r>
              <w:t>were</w:t>
            </w:r>
            <w:r>
              <w:rPr>
                <w:spacing w:val="-1"/>
              </w:rPr>
              <w:t xml:space="preserve"> </w:t>
            </w:r>
            <w:r>
              <w:t>the primary</w:t>
            </w:r>
            <w:r>
              <w:rPr>
                <w:spacing w:val="-11"/>
              </w:rPr>
              <w:t xml:space="preserve"> </w:t>
            </w:r>
            <w:r>
              <w:t>way</w:t>
            </w:r>
            <w:r>
              <w:rPr>
                <w:spacing w:val="-9"/>
              </w:rPr>
              <w:t xml:space="preserve"> </w:t>
            </w:r>
            <w:r>
              <w:t>participants</w:t>
            </w:r>
            <w:r>
              <w:rPr>
                <w:spacing w:val="-9"/>
              </w:rPr>
              <w:t xml:space="preserve"> </w:t>
            </w:r>
            <w:r>
              <w:t>received</w:t>
            </w:r>
            <w:r>
              <w:rPr>
                <w:spacing w:val="-10"/>
              </w:rPr>
              <w:t xml:space="preserve"> </w:t>
            </w:r>
            <w:r>
              <w:t>information</w:t>
            </w:r>
            <w:r>
              <w:rPr>
                <w:spacing w:val="-9"/>
              </w:rPr>
              <w:t xml:space="preserve"> </w:t>
            </w:r>
            <w:r>
              <w:t>regarding</w:t>
            </w:r>
            <w:r>
              <w:rPr>
                <w:spacing w:val="-9"/>
              </w:rPr>
              <w:t xml:space="preserve"> </w:t>
            </w:r>
            <w:r>
              <w:t>the</w:t>
            </w:r>
            <w:r>
              <w:rPr>
                <w:spacing w:val="-9"/>
              </w:rPr>
              <w:t xml:space="preserve"> </w:t>
            </w:r>
            <w:r>
              <w:t>RBA</w:t>
            </w:r>
            <w:r w:rsidR="0068598E">
              <w:rPr>
                <w:spacing w:val="-25"/>
              </w:rPr>
              <w:t>.</w:t>
            </w:r>
            <w:r>
              <w:rPr>
                <w:spacing w:val="-2"/>
                <w:w w:val="85"/>
              </w:rPr>
              <w:t xml:space="preserve"> </w:t>
            </w:r>
            <w:r>
              <w:t>Most</w:t>
            </w:r>
            <w:r>
              <w:rPr>
                <w:spacing w:val="-9"/>
              </w:rPr>
              <w:t xml:space="preserve"> </w:t>
            </w:r>
            <w:r>
              <w:t>noted</w:t>
            </w:r>
            <w:r>
              <w:rPr>
                <w:spacing w:val="-10"/>
              </w:rPr>
              <w:t xml:space="preserve"> </w:t>
            </w:r>
            <w:r>
              <w:t>they</w:t>
            </w:r>
            <w:r>
              <w:rPr>
                <w:spacing w:val="-9"/>
              </w:rPr>
              <w:t xml:space="preserve"> </w:t>
            </w:r>
            <w:r>
              <w:t>pay</w:t>
            </w:r>
            <w:r>
              <w:rPr>
                <w:spacing w:val="-9"/>
              </w:rPr>
              <w:t xml:space="preserve"> </w:t>
            </w:r>
            <w:r>
              <w:t>little attention</w:t>
            </w:r>
            <w:r>
              <w:rPr>
                <w:spacing w:val="-6"/>
              </w:rPr>
              <w:t xml:space="preserve"> </w:t>
            </w:r>
            <w:r>
              <w:t>to</w:t>
            </w:r>
            <w:r>
              <w:rPr>
                <w:spacing w:val="-6"/>
              </w:rPr>
              <w:t xml:space="preserve"> </w:t>
            </w:r>
            <w:r>
              <w:t>the</w:t>
            </w:r>
            <w:r>
              <w:rPr>
                <w:spacing w:val="-6"/>
              </w:rPr>
              <w:t xml:space="preserve"> </w:t>
            </w:r>
            <w:r>
              <w:t>RBA</w:t>
            </w:r>
            <w:r>
              <w:rPr>
                <w:spacing w:val="-6"/>
              </w:rPr>
              <w:t xml:space="preserve"> </w:t>
            </w:r>
            <w:r>
              <w:t>–</w:t>
            </w:r>
            <w:r>
              <w:rPr>
                <w:spacing w:val="-6"/>
              </w:rPr>
              <w:t xml:space="preserve"> </w:t>
            </w:r>
            <w:r>
              <w:t>or</w:t>
            </w:r>
            <w:r>
              <w:rPr>
                <w:spacing w:val="-6"/>
              </w:rPr>
              <w:t xml:space="preserve"> </w:t>
            </w:r>
            <w:r>
              <w:t>indeed</w:t>
            </w:r>
            <w:r>
              <w:rPr>
                <w:spacing w:val="-6"/>
              </w:rPr>
              <w:t xml:space="preserve"> </w:t>
            </w:r>
            <w:r>
              <w:t>the</w:t>
            </w:r>
            <w:r>
              <w:rPr>
                <w:spacing w:val="-6"/>
              </w:rPr>
              <w:t xml:space="preserve"> </w:t>
            </w:r>
            <w:r>
              <w:t>broader</w:t>
            </w:r>
            <w:r>
              <w:rPr>
                <w:spacing w:val="-6"/>
              </w:rPr>
              <w:t xml:space="preserve"> </w:t>
            </w:r>
            <w:r>
              <w:t>macroeconomy</w:t>
            </w:r>
            <w:r>
              <w:rPr>
                <w:spacing w:val="-6"/>
              </w:rPr>
              <w:t xml:space="preserve"> </w:t>
            </w:r>
            <w:r>
              <w:t>–</w:t>
            </w:r>
            <w:r>
              <w:rPr>
                <w:spacing w:val="-6"/>
              </w:rPr>
              <w:t xml:space="preserve"> </w:t>
            </w:r>
            <w:r>
              <w:t>except</w:t>
            </w:r>
            <w:r>
              <w:rPr>
                <w:spacing w:val="-6"/>
              </w:rPr>
              <w:t xml:space="preserve"> </w:t>
            </w:r>
            <w:r>
              <w:t>when</w:t>
            </w:r>
            <w:r>
              <w:rPr>
                <w:spacing w:val="-6"/>
              </w:rPr>
              <w:t xml:space="preserve"> </w:t>
            </w:r>
            <w:r>
              <w:t>developments influence</w:t>
            </w:r>
            <w:r>
              <w:rPr>
                <w:spacing w:val="-11"/>
              </w:rPr>
              <w:t xml:space="preserve"> </w:t>
            </w:r>
            <w:r>
              <w:t>them</w:t>
            </w:r>
            <w:r>
              <w:rPr>
                <w:spacing w:val="-10"/>
              </w:rPr>
              <w:t xml:space="preserve"> </w:t>
            </w:r>
            <w:r>
              <w:t>directly,</w:t>
            </w:r>
            <w:r>
              <w:rPr>
                <w:spacing w:val="-10"/>
              </w:rPr>
              <w:t xml:space="preserve"> </w:t>
            </w:r>
            <w:r>
              <w:t>for</w:t>
            </w:r>
            <w:r>
              <w:rPr>
                <w:spacing w:val="-11"/>
              </w:rPr>
              <w:t xml:space="preserve"> </w:t>
            </w:r>
            <w:r>
              <w:t>instance,</w:t>
            </w:r>
            <w:r>
              <w:rPr>
                <w:spacing w:val="-10"/>
              </w:rPr>
              <w:t xml:space="preserve"> </w:t>
            </w:r>
            <w:r>
              <w:t>when</w:t>
            </w:r>
            <w:r>
              <w:rPr>
                <w:spacing w:val="-10"/>
              </w:rPr>
              <w:t xml:space="preserve"> </w:t>
            </w:r>
            <w:r>
              <w:t>interest</w:t>
            </w:r>
            <w:r>
              <w:rPr>
                <w:spacing w:val="-10"/>
              </w:rPr>
              <w:t xml:space="preserve"> </w:t>
            </w:r>
            <w:r>
              <w:t>rates</w:t>
            </w:r>
            <w:r>
              <w:rPr>
                <w:spacing w:val="-10"/>
              </w:rPr>
              <w:t xml:space="preserve"> </w:t>
            </w:r>
            <w:r>
              <w:t>are</w:t>
            </w:r>
            <w:r>
              <w:rPr>
                <w:spacing w:val="-10"/>
              </w:rPr>
              <w:t xml:space="preserve"> </w:t>
            </w:r>
            <w:r>
              <w:t>moving</w:t>
            </w:r>
            <w:r>
              <w:rPr>
                <w:spacing w:val="-10"/>
              </w:rPr>
              <w:t xml:space="preserve"> </w:t>
            </w:r>
            <w:r>
              <w:t>or</w:t>
            </w:r>
            <w:r>
              <w:rPr>
                <w:spacing w:val="-11"/>
              </w:rPr>
              <w:t xml:space="preserve"> </w:t>
            </w:r>
            <w:r>
              <w:t>someone</w:t>
            </w:r>
            <w:r>
              <w:rPr>
                <w:spacing w:val="-10"/>
              </w:rPr>
              <w:t xml:space="preserve"> </w:t>
            </w:r>
            <w:r>
              <w:t>they</w:t>
            </w:r>
            <w:r>
              <w:rPr>
                <w:spacing w:val="-10"/>
              </w:rPr>
              <w:t xml:space="preserve"> </w:t>
            </w:r>
            <w:r>
              <w:t>know loses</w:t>
            </w:r>
            <w:r>
              <w:rPr>
                <w:spacing w:val="-5"/>
              </w:rPr>
              <w:t xml:space="preserve"> </w:t>
            </w:r>
            <w:r>
              <w:t>a</w:t>
            </w:r>
            <w:r>
              <w:rPr>
                <w:spacing w:val="-5"/>
              </w:rPr>
              <w:t xml:space="preserve"> </w:t>
            </w:r>
            <w:r>
              <w:t>job</w:t>
            </w:r>
            <w:r w:rsidR="0068598E">
              <w:rPr>
                <w:spacing w:val="-25"/>
              </w:rPr>
              <w:t>.</w:t>
            </w:r>
            <w:r>
              <w:rPr>
                <w:w w:val="85"/>
              </w:rPr>
              <w:t xml:space="preserve"> </w:t>
            </w:r>
            <w:r>
              <w:t>The</w:t>
            </w:r>
            <w:r>
              <w:rPr>
                <w:spacing w:val="-5"/>
              </w:rPr>
              <w:t xml:space="preserve"> </w:t>
            </w:r>
            <w:r>
              <w:t>RBA</w:t>
            </w:r>
            <w:r>
              <w:rPr>
                <w:spacing w:val="-6"/>
              </w:rPr>
              <w:t xml:space="preserve"> </w:t>
            </w:r>
            <w:r>
              <w:t>is</w:t>
            </w:r>
            <w:r>
              <w:rPr>
                <w:spacing w:val="-5"/>
              </w:rPr>
              <w:t xml:space="preserve"> </w:t>
            </w:r>
            <w:r>
              <w:t>generally</w:t>
            </w:r>
            <w:r>
              <w:rPr>
                <w:spacing w:val="-5"/>
              </w:rPr>
              <w:t xml:space="preserve"> </w:t>
            </w:r>
            <w:r>
              <w:t>seen</w:t>
            </w:r>
            <w:r>
              <w:rPr>
                <w:spacing w:val="-5"/>
              </w:rPr>
              <w:t xml:space="preserve"> </w:t>
            </w:r>
            <w:r>
              <w:t>as</w:t>
            </w:r>
            <w:r>
              <w:rPr>
                <w:spacing w:val="-5"/>
              </w:rPr>
              <w:t xml:space="preserve"> </w:t>
            </w:r>
            <w:r>
              <w:t>an</w:t>
            </w:r>
            <w:r>
              <w:rPr>
                <w:spacing w:val="-5"/>
              </w:rPr>
              <w:t xml:space="preserve"> </w:t>
            </w:r>
            <w:r>
              <w:t>organisation</w:t>
            </w:r>
            <w:r>
              <w:rPr>
                <w:spacing w:val="-5"/>
              </w:rPr>
              <w:t xml:space="preserve"> </w:t>
            </w:r>
            <w:r>
              <w:t>that</w:t>
            </w:r>
            <w:r>
              <w:rPr>
                <w:spacing w:val="-5"/>
              </w:rPr>
              <w:t xml:space="preserve"> </w:t>
            </w:r>
            <w:r>
              <w:t>is</w:t>
            </w:r>
            <w:r>
              <w:rPr>
                <w:spacing w:val="-5"/>
              </w:rPr>
              <w:t xml:space="preserve"> </w:t>
            </w:r>
            <w:r>
              <w:t>knowledgeable</w:t>
            </w:r>
            <w:r>
              <w:rPr>
                <w:spacing w:val="-5"/>
              </w:rPr>
              <w:t xml:space="preserve"> </w:t>
            </w:r>
            <w:r>
              <w:t>and</w:t>
            </w:r>
            <w:r>
              <w:rPr>
                <w:spacing w:val="-6"/>
              </w:rPr>
              <w:t xml:space="preserve"> </w:t>
            </w:r>
            <w:r>
              <w:t>expert</w:t>
            </w:r>
            <w:r w:rsidR="0068598E">
              <w:rPr>
                <w:spacing w:val="-25"/>
              </w:rPr>
              <w:t>.</w:t>
            </w:r>
            <w:r w:rsidR="00E4144B">
              <w:rPr>
                <w:w w:val="85"/>
              </w:rPr>
              <w:t xml:space="preserve"> </w:t>
            </w:r>
            <w:r>
              <w:t xml:space="preserve">Some </w:t>
            </w:r>
            <w:r w:rsidRPr="003C2737">
              <w:t>expressed</w:t>
            </w:r>
            <w:r>
              <w:t xml:space="preserve"> views that it is technical, faceless, and disconnected from the impact of its decisions. Others raised</w:t>
            </w:r>
            <w:r w:rsidRPr="003C2737">
              <w:rPr>
                <w:spacing w:val="-1"/>
              </w:rPr>
              <w:t xml:space="preserve"> </w:t>
            </w:r>
            <w:r>
              <w:t>that they would</w:t>
            </w:r>
            <w:r w:rsidRPr="003C2737">
              <w:rPr>
                <w:spacing w:val="-1"/>
              </w:rPr>
              <w:t xml:space="preserve"> </w:t>
            </w:r>
            <w:r>
              <w:t>like to see both more honest communication, as</w:t>
            </w:r>
            <w:r w:rsidRPr="003C2737">
              <w:rPr>
                <w:spacing w:val="-8"/>
              </w:rPr>
              <w:t xml:space="preserve"> </w:t>
            </w:r>
            <w:r>
              <w:t>well</w:t>
            </w:r>
            <w:r w:rsidRPr="003C2737">
              <w:rPr>
                <w:spacing w:val="-8"/>
              </w:rPr>
              <w:t xml:space="preserve"> </w:t>
            </w:r>
            <w:r>
              <w:t>as</w:t>
            </w:r>
            <w:r w:rsidRPr="003C2737">
              <w:rPr>
                <w:spacing w:val="-7"/>
              </w:rPr>
              <w:t xml:space="preserve"> </w:t>
            </w:r>
            <w:r>
              <w:t>a</w:t>
            </w:r>
            <w:r w:rsidRPr="003C2737">
              <w:rPr>
                <w:spacing w:val="-7"/>
              </w:rPr>
              <w:t xml:space="preserve"> </w:t>
            </w:r>
            <w:r>
              <w:t>clear</w:t>
            </w:r>
            <w:r w:rsidRPr="003C2737">
              <w:rPr>
                <w:spacing w:val="-8"/>
              </w:rPr>
              <w:t xml:space="preserve"> </w:t>
            </w:r>
            <w:r>
              <w:t>indication</w:t>
            </w:r>
            <w:r w:rsidRPr="003C2737">
              <w:rPr>
                <w:spacing w:val="-7"/>
              </w:rPr>
              <w:t xml:space="preserve"> </w:t>
            </w:r>
            <w:r>
              <w:t>of</w:t>
            </w:r>
            <w:r w:rsidRPr="003C2737">
              <w:rPr>
                <w:spacing w:val="-7"/>
              </w:rPr>
              <w:t xml:space="preserve"> </w:t>
            </w:r>
            <w:r>
              <w:t>where</w:t>
            </w:r>
            <w:r w:rsidRPr="003C2737">
              <w:rPr>
                <w:spacing w:val="-7"/>
              </w:rPr>
              <w:t xml:space="preserve"> </w:t>
            </w:r>
            <w:r>
              <w:t>there</w:t>
            </w:r>
            <w:r w:rsidRPr="003C2737">
              <w:rPr>
                <w:spacing w:val="-7"/>
              </w:rPr>
              <w:t xml:space="preserve"> </w:t>
            </w:r>
            <w:r>
              <w:t>is</w:t>
            </w:r>
            <w:r w:rsidRPr="003C2737">
              <w:rPr>
                <w:spacing w:val="-7"/>
              </w:rPr>
              <w:t xml:space="preserve"> </w:t>
            </w:r>
            <w:r>
              <w:t>uncertainty</w:t>
            </w:r>
            <w:r w:rsidR="0068598E">
              <w:rPr>
                <w:spacing w:val="-25"/>
              </w:rPr>
              <w:t>.</w:t>
            </w:r>
            <w:r w:rsidRPr="003C2737">
              <w:rPr>
                <w:w w:val="85"/>
              </w:rPr>
              <w:t xml:space="preserve"> </w:t>
            </w:r>
            <w:r>
              <w:t>The</w:t>
            </w:r>
            <w:r w:rsidRPr="003C2737">
              <w:rPr>
                <w:spacing w:val="-7"/>
              </w:rPr>
              <w:t xml:space="preserve"> </w:t>
            </w:r>
            <w:r>
              <w:t>Review</w:t>
            </w:r>
            <w:r w:rsidRPr="003C2737">
              <w:rPr>
                <w:spacing w:val="-8"/>
              </w:rPr>
              <w:t xml:space="preserve"> </w:t>
            </w:r>
            <w:r>
              <w:t>concluded</w:t>
            </w:r>
            <w:r w:rsidRPr="003C2737">
              <w:rPr>
                <w:spacing w:val="-8"/>
              </w:rPr>
              <w:t xml:space="preserve"> </w:t>
            </w:r>
            <w:r>
              <w:t>that</w:t>
            </w:r>
            <w:r w:rsidRPr="003C2737">
              <w:rPr>
                <w:spacing w:val="-7"/>
              </w:rPr>
              <w:t xml:space="preserve"> </w:t>
            </w:r>
            <w:r>
              <w:t xml:space="preserve">there are </w:t>
            </w:r>
            <w:r>
              <w:lastRenderedPageBreak/>
              <w:t>substantial challenges for the RBA to inform Australians about its policies, given the complexity</w:t>
            </w:r>
            <w:r w:rsidRPr="003C2737">
              <w:rPr>
                <w:spacing w:val="-10"/>
              </w:rPr>
              <w:t xml:space="preserve"> </w:t>
            </w:r>
            <w:r>
              <w:t>of</w:t>
            </w:r>
            <w:r w:rsidRPr="003C2737">
              <w:rPr>
                <w:spacing w:val="-10"/>
              </w:rPr>
              <w:t xml:space="preserve"> </w:t>
            </w:r>
            <w:r>
              <w:t>the</w:t>
            </w:r>
            <w:r w:rsidRPr="003C2737">
              <w:rPr>
                <w:spacing w:val="-10"/>
              </w:rPr>
              <w:t xml:space="preserve"> </w:t>
            </w:r>
            <w:r>
              <w:t>issues</w:t>
            </w:r>
            <w:r w:rsidRPr="003C2737">
              <w:rPr>
                <w:spacing w:val="-10"/>
              </w:rPr>
              <w:t xml:space="preserve"> </w:t>
            </w:r>
            <w:r>
              <w:t>and</w:t>
            </w:r>
            <w:r w:rsidRPr="003C2737">
              <w:rPr>
                <w:spacing w:val="-11"/>
              </w:rPr>
              <w:t xml:space="preserve"> </w:t>
            </w:r>
            <w:r>
              <w:t>the</w:t>
            </w:r>
            <w:r w:rsidRPr="003C2737">
              <w:rPr>
                <w:spacing w:val="-10"/>
              </w:rPr>
              <w:t xml:space="preserve"> </w:t>
            </w:r>
            <w:r>
              <w:t>public’s</w:t>
            </w:r>
            <w:r w:rsidRPr="003C2737">
              <w:rPr>
                <w:spacing w:val="-10"/>
              </w:rPr>
              <w:t xml:space="preserve"> </w:t>
            </w:r>
            <w:r>
              <w:t>narrow</w:t>
            </w:r>
            <w:r w:rsidRPr="003C2737">
              <w:rPr>
                <w:spacing w:val="-11"/>
              </w:rPr>
              <w:t xml:space="preserve"> </w:t>
            </w:r>
            <w:r>
              <w:t>bandwidth</w:t>
            </w:r>
            <w:r w:rsidRPr="003C2737">
              <w:rPr>
                <w:spacing w:val="-10"/>
              </w:rPr>
              <w:t xml:space="preserve"> </w:t>
            </w:r>
            <w:r>
              <w:t>to</w:t>
            </w:r>
            <w:r w:rsidRPr="003C2737">
              <w:rPr>
                <w:spacing w:val="-10"/>
              </w:rPr>
              <w:t xml:space="preserve"> </w:t>
            </w:r>
            <w:r>
              <w:t>engage</w:t>
            </w:r>
            <w:r w:rsidRPr="003C2737">
              <w:rPr>
                <w:spacing w:val="-10"/>
              </w:rPr>
              <w:t xml:space="preserve"> </w:t>
            </w:r>
            <w:r>
              <w:t>with</w:t>
            </w:r>
            <w:r w:rsidRPr="003C2737">
              <w:rPr>
                <w:spacing w:val="-10"/>
              </w:rPr>
              <w:t xml:space="preserve"> </w:t>
            </w:r>
            <w:r>
              <w:t>communication and</w:t>
            </w:r>
            <w:r>
              <w:rPr>
                <w:spacing w:val="-9"/>
              </w:rPr>
              <w:t xml:space="preserve"> </w:t>
            </w:r>
            <w:r>
              <w:t>that</w:t>
            </w:r>
            <w:r>
              <w:rPr>
                <w:spacing w:val="-7"/>
              </w:rPr>
              <w:t xml:space="preserve"> </w:t>
            </w:r>
            <w:r>
              <w:t>the</w:t>
            </w:r>
            <w:r>
              <w:rPr>
                <w:spacing w:val="-7"/>
              </w:rPr>
              <w:t xml:space="preserve"> </w:t>
            </w:r>
            <w:r>
              <w:t>news</w:t>
            </w:r>
            <w:r>
              <w:rPr>
                <w:spacing w:val="-7"/>
              </w:rPr>
              <w:t xml:space="preserve"> </w:t>
            </w:r>
            <w:r>
              <w:t>media</w:t>
            </w:r>
            <w:r>
              <w:rPr>
                <w:spacing w:val="-7"/>
              </w:rPr>
              <w:t xml:space="preserve"> </w:t>
            </w:r>
            <w:r>
              <w:t>plays</w:t>
            </w:r>
            <w:r>
              <w:rPr>
                <w:spacing w:val="-7"/>
              </w:rPr>
              <w:t xml:space="preserve"> </w:t>
            </w:r>
            <w:r>
              <w:t>a</w:t>
            </w:r>
            <w:r>
              <w:rPr>
                <w:spacing w:val="-7"/>
              </w:rPr>
              <w:t xml:space="preserve"> </w:t>
            </w:r>
            <w:r>
              <w:t>crucial</w:t>
            </w:r>
            <w:r>
              <w:rPr>
                <w:spacing w:val="-8"/>
              </w:rPr>
              <w:t xml:space="preserve"> </w:t>
            </w:r>
            <w:r>
              <w:rPr>
                <w:spacing w:val="-4"/>
              </w:rPr>
              <w:t>role.</w:t>
            </w:r>
          </w:p>
          <w:p w14:paraId="33587010" w14:textId="6A86A1E5" w:rsidR="00666EAC" w:rsidRPr="005073DA" w:rsidRDefault="003C2737" w:rsidP="003C2737">
            <w:pPr>
              <w:pStyle w:val="BoxText"/>
            </w:pPr>
            <w:r>
              <w:t>The</w:t>
            </w:r>
            <w:r>
              <w:rPr>
                <w:spacing w:val="-11"/>
              </w:rPr>
              <w:t xml:space="preserve"> </w:t>
            </w:r>
            <w:r>
              <w:t>full</w:t>
            </w:r>
            <w:r>
              <w:rPr>
                <w:spacing w:val="-5"/>
              </w:rPr>
              <w:t xml:space="preserve"> </w:t>
            </w:r>
            <w:r>
              <w:t>report</w:t>
            </w:r>
            <w:r>
              <w:rPr>
                <w:spacing w:val="-5"/>
              </w:rPr>
              <w:t xml:space="preserve"> </w:t>
            </w:r>
            <w:r>
              <w:t>on</w:t>
            </w:r>
            <w:r>
              <w:rPr>
                <w:spacing w:val="-5"/>
              </w:rPr>
              <w:t xml:space="preserve"> </w:t>
            </w:r>
            <w:r>
              <w:t>the</w:t>
            </w:r>
            <w:r>
              <w:rPr>
                <w:spacing w:val="-6"/>
              </w:rPr>
              <w:t xml:space="preserve"> </w:t>
            </w:r>
            <w:r>
              <w:t>focus</w:t>
            </w:r>
            <w:r>
              <w:rPr>
                <w:spacing w:val="-5"/>
              </w:rPr>
              <w:t xml:space="preserve"> </w:t>
            </w:r>
            <w:r w:rsidRPr="003C2737">
              <w:t>groups</w:t>
            </w:r>
            <w:r>
              <w:rPr>
                <w:spacing w:val="-5"/>
              </w:rPr>
              <w:t xml:space="preserve"> </w:t>
            </w:r>
            <w:r>
              <w:t>can</w:t>
            </w:r>
            <w:r>
              <w:rPr>
                <w:spacing w:val="-5"/>
              </w:rPr>
              <w:t xml:space="preserve"> </w:t>
            </w:r>
            <w:r>
              <w:t>be</w:t>
            </w:r>
            <w:r>
              <w:rPr>
                <w:spacing w:val="-6"/>
              </w:rPr>
              <w:t xml:space="preserve"> </w:t>
            </w:r>
            <w:r>
              <w:t>found</w:t>
            </w:r>
            <w:r>
              <w:rPr>
                <w:spacing w:val="-5"/>
              </w:rPr>
              <w:t xml:space="preserve"> </w:t>
            </w:r>
            <w:r>
              <w:t>at:</w:t>
            </w:r>
            <w:r>
              <w:rPr>
                <w:spacing w:val="-6"/>
              </w:rPr>
              <w:t xml:space="preserve"> </w:t>
            </w:r>
            <w:r>
              <w:rPr>
                <w:color w:val="214260"/>
                <w:u w:val="single" w:color="214260"/>
              </w:rPr>
              <w:t>www</w:t>
            </w:r>
            <w:r w:rsidR="0068598E">
              <w:rPr>
                <w:color w:val="214260"/>
                <w:spacing w:val="-25"/>
                <w:u w:val="single" w:color="214260"/>
              </w:rPr>
              <w:t>.</w:t>
            </w:r>
            <w:r>
              <w:rPr>
                <w:color w:val="214260"/>
                <w:w w:val="105"/>
                <w:u w:val="single" w:color="214260"/>
              </w:rPr>
              <w:t>R</w:t>
            </w:r>
            <w:r>
              <w:rPr>
                <w:color w:val="214260"/>
                <w:spacing w:val="1"/>
                <w:w w:val="105"/>
                <w:u w:val="single" w:color="214260"/>
              </w:rPr>
              <w:t>B</w:t>
            </w:r>
            <w:r>
              <w:rPr>
                <w:color w:val="214260"/>
                <w:spacing w:val="2"/>
                <w:w w:val="105"/>
                <w:u w:val="single" w:color="214260"/>
              </w:rPr>
              <w:t>A</w:t>
            </w:r>
            <w:r>
              <w:rPr>
                <w:color w:val="214260"/>
                <w:spacing w:val="-1"/>
                <w:w w:val="105"/>
                <w:u w:val="single" w:color="214260"/>
              </w:rPr>
              <w:t>R</w:t>
            </w:r>
            <w:r>
              <w:rPr>
                <w:color w:val="214260"/>
                <w:w w:val="105"/>
                <w:u w:val="single" w:color="214260"/>
              </w:rPr>
              <w:t>e</w:t>
            </w:r>
            <w:r>
              <w:rPr>
                <w:color w:val="214260"/>
                <w:spacing w:val="3"/>
                <w:w w:val="105"/>
                <w:u w:val="single" w:color="214260"/>
              </w:rPr>
              <w:t>v</w:t>
            </w:r>
            <w:r>
              <w:rPr>
                <w:color w:val="214260"/>
                <w:spacing w:val="-1"/>
                <w:w w:val="105"/>
                <w:u w:val="single" w:color="214260"/>
              </w:rPr>
              <w:t>i</w:t>
            </w:r>
            <w:r>
              <w:rPr>
                <w:color w:val="214260"/>
                <w:w w:val="105"/>
                <w:u w:val="single" w:color="214260"/>
              </w:rPr>
              <w:t>e</w:t>
            </w:r>
            <w:r>
              <w:rPr>
                <w:color w:val="214260"/>
                <w:spacing w:val="-5"/>
                <w:w w:val="105"/>
                <w:u w:val="single" w:color="214260"/>
              </w:rPr>
              <w:t>w</w:t>
            </w:r>
            <w:r w:rsidR="0068598E">
              <w:rPr>
                <w:color w:val="214260"/>
                <w:spacing w:val="-23"/>
                <w:w w:val="99"/>
                <w:u w:val="single" w:color="214260"/>
              </w:rPr>
              <w:t>.</w:t>
            </w:r>
            <w:r>
              <w:rPr>
                <w:color w:val="214260"/>
                <w:w w:val="113"/>
                <w:u w:val="single" w:color="214260"/>
              </w:rPr>
              <w:t>gov</w:t>
            </w:r>
            <w:r w:rsidR="0068598E">
              <w:rPr>
                <w:color w:val="214260"/>
                <w:spacing w:val="-26"/>
                <w:w w:val="99"/>
                <w:u w:val="single" w:color="214260"/>
              </w:rPr>
              <w:t>.</w:t>
            </w:r>
            <w:r>
              <w:rPr>
                <w:color w:val="214260"/>
                <w:spacing w:val="-5"/>
                <w:w w:val="117"/>
                <w:u w:val="single" w:color="214260"/>
              </w:rPr>
              <w:t>au</w:t>
            </w:r>
            <w:r w:rsidR="00E4144B">
              <w:rPr>
                <w:color w:val="214260"/>
                <w:spacing w:val="-5"/>
                <w:w w:val="117"/>
                <w:u w:val="single" w:color="214260"/>
              </w:rPr>
              <w:t xml:space="preserve">  </w:t>
            </w:r>
          </w:p>
        </w:tc>
      </w:tr>
    </w:tbl>
    <w:p w14:paraId="750B4EFD" w14:textId="77777777" w:rsidR="00D2347B" w:rsidRDefault="00D2347B" w:rsidP="00364AEC"/>
    <w:p w14:paraId="26B1518A" w14:textId="77777777" w:rsidR="009B5DFE" w:rsidRDefault="009B5DFE" w:rsidP="009B5DFE">
      <w:pPr>
        <w:pStyle w:val="Heading2"/>
      </w:pPr>
      <w:bookmarkStart w:id="38" w:name="_Toc134221008"/>
      <w:r w:rsidRPr="009B5DFE">
        <w:t>Recommendation</w:t>
      </w:r>
      <w:r>
        <w:rPr>
          <w:spacing w:val="-5"/>
        </w:rPr>
        <w:t xml:space="preserve"> </w:t>
      </w:r>
      <w:r>
        <w:t>2:</w:t>
      </w:r>
      <w:r>
        <w:rPr>
          <w:spacing w:val="-5"/>
        </w:rPr>
        <w:t xml:space="preserve"> </w:t>
      </w:r>
      <w:r>
        <w:t>Keep</w:t>
      </w:r>
      <w:r>
        <w:rPr>
          <w:spacing w:val="-5"/>
        </w:rPr>
        <w:t xml:space="preserve"> </w:t>
      </w:r>
      <w:r>
        <w:t>a</w:t>
      </w:r>
      <w:r>
        <w:rPr>
          <w:spacing w:val="-5"/>
        </w:rPr>
        <w:t xml:space="preserve"> </w:t>
      </w:r>
      <w:r>
        <w:t>flexible</w:t>
      </w:r>
      <w:r>
        <w:rPr>
          <w:spacing w:val="-5"/>
        </w:rPr>
        <w:t xml:space="preserve"> </w:t>
      </w:r>
      <w:r>
        <w:t>inflation targeting</w:t>
      </w:r>
      <w:r>
        <w:rPr>
          <w:spacing w:val="-19"/>
        </w:rPr>
        <w:t xml:space="preserve"> </w:t>
      </w:r>
      <w:r>
        <w:t>framework</w:t>
      </w:r>
      <w:r>
        <w:rPr>
          <w:spacing w:val="-19"/>
        </w:rPr>
        <w:t xml:space="preserve"> </w:t>
      </w:r>
      <w:r>
        <w:t>but</w:t>
      </w:r>
      <w:r>
        <w:rPr>
          <w:spacing w:val="-19"/>
        </w:rPr>
        <w:t xml:space="preserve"> </w:t>
      </w:r>
      <w:r>
        <w:t>clarify</w:t>
      </w:r>
      <w:r>
        <w:rPr>
          <w:spacing w:val="-19"/>
        </w:rPr>
        <w:t xml:space="preserve"> </w:t>
      </w:r>
      <w:r>
        <w:t>how</w:t>
      </w:r>
      <w:r>
        <w:rPr>
          <w:spacing w:val="-18"/>
        </w:rPr>
        <w:t xml:space="preserve"> </w:t>
      </w:r>
      <w:r>
        <w:t>it</w:t>
      </w:r>
      <w:r>
        <w:rPr>
          <w:spacing w:val="-19"/>
        </w:rPr>
        <w:t xml:space="preserve"> </w:t>
      </w:r>
      <w:r>
        <w:t>operates</w:t>
      </w:r>
      <w:bookmarkEnd w:id="38"/>
    </w:p>
    <w:tbl>
      <w:tblPr>
        <w:tblW w:w="5000" w:type="pct"/>
        <w:tblCellMar>
          <w:left w:w="0" w:type="dxa"/>
          <w:right w:w="0" w:type="dxa"/>
        </w:tblCellMar>
        <w:tblLook w:val="01E0" w:firstRow="1" w:lastRow="1" w:firstColumn="1" w:lastColumn="1" w:noHBand="0" w:noVBand="0"/>
      </w:tblPr>
      <w:tblGrid>
        <w:gridCol w:w="777"/>
        <w:gridCol w:w="7"/>
        <w:gridCol w:w="8286"/>
      </w:tblGrid>
      <w:tr w:rsidR="00E4144B" w14:paraId="57E3617A" w14:textId="77777777" w:rsidTr="00E4144B">
        <w:trPr>
          <w:trHeight w:val="925"/>
        </w:trPr>
        <w:tc>
          <w:tcPr>
            <w:tcW w:w="5000" w:type="pct"/>
            <w:gridSpan w:val="3"/>
            <w:tcBorders>
              <w:bottom w:val="single" w:sz="8" w:space="0" w:color="ECEDE9"/>
            </w:tcBorders>
          </w:tcPr>
          <w:p w14:paraId="025A28FF" w14:textId="77777777" w:rsidR="00E4144B" w:rsidRDefault="00E4144B" w:rsidP="00F22AE5">
            <w:pPr>
              <w:pStyle w:val="Heading4"/>
            </w:pPr>
            <w:r>
              <w:t>Recommendation 2: Keep a flexible inflation targeting framework but clarify how it operates</w:t>
            </w:r>
          </w:p>
        </w:tc>
      </w:tr>
      <w:tr w:rsidR="00E4144B" w14:paraId="330C92DB" w14:textId="77777777" w:rsidTr="00E4144B">
        <w:trPr>
          <w:trHeight w:val="3734"/>
        </w:trPr>
        <w:tc>
          <w:tcPr>
            <w:tcW w:w="428" w:type="pct"/>
            <w:tcBorders>
              <w:top w:val="single" w:sz="8" w:space="0" w:color="ECEDE9"/>
              <w:bottom w:val="single" w:sz="4" w:space="0" w:color="EEEEEE" w:themeColor="background2"/>
            </w:tcBorders>
          </w:tcPr>
          <w:p w14:paraId="491F70EB" w14:textId="77777777" w:rsidR="00E4144B" w:rsidRDefault="00E4144B" w:rsidP="00F22AE5">
            <w:r>
              <w:t>2.1</w:t>
            </w:r>
          </w:p>
        </w:tc>
        <w:tc>
          <w:tcPr>
            <w:tcW w:w="4572" w:type="pct"/>
            <w:gridSpan w:val="2"/>
            <w:tcBorders>
              <w:top w:val="single" w:sz="8" w:space="0" w:color="ECEDE9"/>
              <w:bottom w:val="single" w:sz="4" w:space="0" w:color="EEEEEE" w:themeColor="background2"/>
            </w:tcBorders>
          </w:tcPr>
          <w:p w14:paraId="563BD1EB" w14:textId="77777777" w:rsidR="00E4144B" w:rsidRPr="0052089D" w:rsidRDefault="00E4144B" w:rsidP="00F22AE5">
            <w:pPr>
              <w:rPr>
                <w:szCs w:val="22"/>
              </w:rPr>
            </w:pPr>
            <w:r w:rsidRPr="0052089D">
              <w:rPr>
                <w:szCs w:val="22"/>
              </w:rPr>
              <w:t>The</w:t>
            </w:r>
            <w:r w:rsidRPr="0052089D">
              <w:rPr>
                <w:spacing w:val="-1"/>
                <w:szCs w:val="22"/>
              </w:rPr>
              <w:t xml:space="preserve"> </w:t>
            </w:r>
            <w:r w:rsidRPr="0052089D">
              <w:rPr>
                <w:szCs w:val="22"/>
              </w:rPr>
              <w:t>RBA</w:t>
            </w:r>
            <w:r w:rsidRPr="0052089D">
              <w:rPr>
                <w:spacing w:val="2"/>
                <w:szCs w:val="22"/>
              </w:rPr>
              <w:t xml:space="preserve"> </w:t>
            </w:r>
            <w:r w:rsidRPr="0052089D">
              <w:rPr>
                <w:szCs w:val="22"/>
              </w:rPr>
              <w:t>Monetary</w:t>
            </w:r>
            <w:r w:rsidRPr="0052089D">
              <w:rPr>
                <w:spacing w:val="1"/>
                <w:szCs w:val="22"/>
              </w:rPr>
              <w:t xml:space="preserve"> </w:t>
            </w:r>
            <w:r w:rsidRPr="0052089D">
              <w:rPr>
                <w:szCs w:val="22"/>
              </w:rPr>
              <w:t>Policy</w:t>
            </w:r>
            <w:r w:rsidRPr="0052089D">
              <w:rPr>
                <w:spacing w:val="2"/>
                <w:szCs w:val="22"/>
              </w:rPr>
              <w:t xml:space="preserve"> </w:t>
            </w:r>
            <w:r w:rsidRPr="0052089D">
              <w:rPr>
                <w:szCs w:val="22"/>
              </w:rPr>
              <w:t>Board</w:t>
            </w:r>
            <w:r w:rsidRPr="0052089D">
              <w:rPr>
                <w:spacing w:val="1"/>
                <w:szCs w:val="22"/>
              </w:rPr>
              <w:t xml:space="preserve"> </w:t>
            </w:r>
            <w:r w:rsidRPr="0052089D">
              <w:rPr>
                <w:szCs w:val="22"/>
              </w:rPr>
              <w:t>(see</w:t>
            </w:r>
            <w:r w:rsidRPr="0052089D">
              <w:rPr>
                <w:spacing w:val="2"/>
                <w:szCs w:val="22"/>
              </w:rPr>
              <w:t xml:space="preserve"> </w:t>
            </w:r>
            <w:r w:rsidRPr="0052089D">
              <w:rPr>
                <w:szCs w:val="22"/>
              </w:rPr>
              <w:t>Recommendation</w:t>
            </w:r>
            <w:r w:rsidRPr="0052089D">
              <w:rPr>
                <w:spacing w:val="1"/>
                <w:szCs w:val="22"/>
              </w:rPr>
              <w:t xml:space="preserve"> </w:t>
            </w:r>
            <w:r w:rsidRPr="0052089D">
              <w:rPr>
                <w:szCs w:val="22"/>
              </w:rPr>
              <w:t>8)</w:t>
            </w:r>
            <w:r w:rsidRPr="0052089D">
              <w:rPr>
                <w:spacing w:val="2"/>
                <w:szCs w:val="22"/>
              </w:rPr>
              <w:t xml:space="preserve"> </w:t>
            </w:r>
            <w:r w:rsidRPr="0052089D">
              <w:rPr>
                <w:szCs w:val="22"/>
              </w:rPr>
              <w:t>and</w:t>
            </w:r>
            <w:r w:rsidRPr="0052089D">
              <w:rPr>
                <w:spacing w:val="1"/>
                <w:szCs w:val="22"/>
              </w:rPr>
              <w:t xml:space="preserve"> </w:t>
            </w:r>
            <w:r w:rsidRPr="0052089D">
              <w:rPr>
                <w:szCs w:val="22"/>
              </w:rPr>
              <w:t>the</w:t>
            </w:r>
            <w:r w:rsidRPr="0052089D">
              <w:rPr>
                <w:spacing w:val="2"/>
                <w:szCs w:val="22"/>
              </w:rPr>
              <w:t xml:space="preserve"> </w:t>
            </w:r>
            <w:r w:rsidRPr="0052089D">
              <w:rPr>
                <w:spacing w:val="-2"/>
                <w:szCs w:val="22"/>
              </w:rPr>
              <w:t xml:space="preserve">Government </w:t>
            </w:r>
            <w:r w:rsidRPr="0052089D">
              <w:rPr>
                <w:szCs w:val="22"/>
              </w:rPr>
              <w:t>should</w:t>
            </w:r>
            <w:r w:rsidRPr="0052089D">
              <w:rPr>
                <w:spacing w:val="-1"/>
                <w:szCs w:val="22"/>
              </w:rPr>
              <w:t xml:space="preserve"> </w:t>
            </w:r>
            <w:r w:rsidRPr="0052089D">
              <w:rPr>
                <w:szCs w:val="22"/>
              </w:rPr>
              <w:t>agree</w:t>
            </w:r>
            <w:r w:rsidRPr="0052089D">
              <w:rPr>
                <w:spacing w:val="-1"/>
                <w:szCs w:val="22"/>
              </w:rPr>
              <w:t xml:space="preserve"> </w:t>
            </w:r>
            <w:r w:rsidRPr="0052089D">
              <w:rPr>
                <w:szCs w:val="22"/>
              </w:rPr>
              <w:t>in the</w:t>
            </w:r>
            <w:r w:rsidRPr="0052089D">
              <w:rPr>
                <w:spacing w:val="-1"/>
                <w:szCs w:val="22"/>
              </w:rPr>
              <w:t xml:space="preserve"> </w:t>
            </w:r>
            <w:r w:rsidRPr="0052089D">
              <w:rPr>
                <w:i/>
                <w:szCs w:val="22"/>
              </w:rPr>
              <w:t>Statement</w:t>
            </w:r>
            <w:r w:rsidRPr="0052089D">
              <w:rPr>
                <w:i/>
                <w:spacing w:val="-1"/>
                <w:szCs w:val="22"/>
              </w:rPr>
              <w:t xml:space="preserve"> </w:t>
            </w:r>
            <w:r w:rsidRPr="0052089D">
              <w:rPr>
                <w:i/>
                <w:szCs w:val="22"/>
              </w:rPr>
              <w:t>on the</w:t>
            </w:r>
            <w:r w:rsidRPr="0052089D">
              <w:rPr>
                <w:i/>
                <w:spacing w:val="-1"/>
                <w:szCs w:val="22"/>
              </w:rPr>
              <w:t xml:space="preserve"> </w:t>
            </w:r>
            <w:r w:rsidRPr="0052089D">
              <w:rPr>
                <w:i/>
                <w:szCs w:val="22"/>
              </w:rPr>
              <w:t>Conduct</w:t>
            </w:r>
            <w:r w:rsidRPr="0052089D">
              <w:rPr>
                <w:i/>
                <w:spacing w:val="-1"/>
                <w:szCs w:val="22"/>
              </w:rPr>
              <w:t xml:space="preserve"> </w:t>
            </w:r>
            <w:r w:rsidRPr="0052089D">
              <w:rPr>
                <w:i/>
                <w:szCs w:val="22"/>
              </w:rPr>
              <w:t>of Monetary</w:t>
            </w:r>
            <w:r w:rsidRPr="0052089D">
              <w:rPr>
                <w:i/>
                <w:spacing w:val="-1"/>
                <w:szCs w:val="22"/>
              </w:rPr>
              <w:t xml:space="preserve"> </w:t>
            </w:r>
            <w:r w:rsidRPr="0052089D">
              <w:rPr>
                <w:i/>
                <w:szCs w:val="22"/>
              </w:rPr>
              <w:t xml:space="preserve">Policy </w:t>
            </w:r>
            <w:r w:rsidRPr="0052089D">
              <w:rPr>
                <w:spacing w:val="-2"/>
                <w:szCs w:val="22"/>
              </w:rPr>
              <w:t>that:</w:t>
            </w:r>
          </w:p>
          <w:p w14:paraId="4FF10973" w14:textId="77777777" w:rsidR="00E4144B" w:rsidRDefault="00E4144B" w:rsidP="0000278A">
            <w:pPr>
              <w:pStyle w:val="Bullet"/>
            </w:pPr>
            <w:r w:rsidRPr="0052089D">
              <w:t>Equal</w:t>
            </w:r>
            <w:r w:rsidRPr="0052089D">
              <w:rPr>
                <w:spacing w:val="2"/>
              </w:rPr>
              <w:t xml:space="preserve"> </w:t>
            </w:r>
            <w:r w:rsidRPr="0052089D">
              <w:t>consideration</w:t>
            </w:r>
            <w:r w:rsidRPr="0052089D">
              <w:rPr>
                <w:spacing w:val="2"/>
              </w:rPr>
              <w:t xml:space="preserve"> </w:t>
            </w:r>
            <w:r w:rsidRPr="0052089D">
              <w:t>should</w:t>
            </w:r>
            <w:r w:rsidRPr="0052089D">
              <w:rPr>
                <w:spacing w:val="2"/>
              </w:rPr>
              <w:t xml:space="preserve"> </w:t>
            </w:r>
            <w:r w:rsidRPr="0052089D">
              <w:t>be</w:t>
            </w:r>
            <w:r w:rsidRPr="0052089D">
              <w:rPr>
                <w:spacing w:val="2"/>
              </w:rPr>
              <w:t xml:space="preserve"> </w:t>
            </w:r>
            <w:r w:rsidRPr="0052089D">
              <w:t>given</w:t>
            </w:r>
            <w:r w:rsidRPr="0052089D">
              <w:rPr>
                <w:spacing w:val="2"/>
              </w:rPr>
              <w:t xml:space="preserve"> </w:t>
            </w:r>
            <w:r w:rsidRPr="0052089D">
              <w:t>to</w:t>
            </w:r>
            <w:r w:rsidRPr="0052089D">
              <w:rPr>
                <w:spacing w:val="3"/>
              </w:rPr>
              <w:t xml:space="preserve"> </w:t>
            </w:r>
            <w:r w:rsidRPr="0052089D">
              <w:t>price</w:t>
            </w:r>
            <w:r w:rsidRPr="0052089D">
              <w:rPr>
                <w:spacing w:val="2"/>
              </w:rPr>
              <w:t xml:space="preserve"> </w:t>
            </w:r>
            <w:r w:rsidRPr="0052089D">
              <w:t>stability</w:t>
            </w:r>
            <w:r w:rsidRPr="0052089D">
              <w:rPr>
                <w:spacing w:val="2"/>
              </w:rPr>
              <w:t xml:space="preserve"> </w:t>
            </w:r>
            <w:r w:rsidRPr="0052089D">
              <w:t>and</w:t>
            </w:r>
            <w:r w:rsidRPr="0052089D">
              <w:rPr>
                <w:spacing w:val="2"/>
              </w:rPr>
              <w:t xml:space="preserve"> </w:t>
            </w:r>
            <w:r w:rsidRPr="0052089D">
              <w:t>full</w:t>
            </w:r>
            <w:r w:rsidRPr="0052089D">
              <w:rPr>
                <w:spacing w:val="2"/>
              </w:rPr>
              <w:t xml:space="preserve"> </w:t>
            </w:r>
            <w:r w:rsidRPr="0052089D">
              <w:t>employment</w:t>
            </w:r>
            <w:r w:rsidRPr="0052089D">
              <w:rPr>
                <w:spacing w:val="3"/>
              </w:rPr>
              <w:t xml:space="preserve"> </w:t>
            </w:r>
            <w:r w:rsidRPr="0052089D">
              <w:rPr>
                <w:spacing w:val="-5"/>
              </w:rPr>
              <w:t>in</w:t>
            </w:r>
            <w:r>
              <w:rPr>
                <w:spacing w:val="-5"/>
              </w:rPr>
              <w:t xml:space="preserve"> </w:t>
            </w:r>
            <w:r>
              <w:t>setting</w:t>
            </w:r>
            <w:r w:rsidRPr="0052089D">
              <w:rPr>
                <w:spacing w:val="11"/>
              </w:rPr>
              <w:t xml:space="preserve"> </w:t>
            </w:r>
            <w:r>
              <w:t>monetary</w:t>
            </w:r>
            <w:r w:rsidRPr="0052089D">
              <w:rPr>
                <w:spacing w:val="12"/>
              </w:rPr>
              <w:t xml:space="preserve"> </w:t>
            </w:r>
            <w:r w:rsidRPr="0052089D">
              <w:rPr>
                <w:spacing w:val="-2"/>
              </w:rPr>
              <w:t>policy.</w:t>
            </w:r>
          </w:p>
          <w:p w14:paraId="6D045BE3" w14:textId="77777777" w:rsidR="00E4144B" w:rsidRDefault="00E4144B" w:rsidP="0000278A">
            <w:pPr>
              <w:pStyle w:val="Bullet"/>
            </w:pPr>
            <w:r>
              <w:t>There</w:t>
            </w:r>
            <w:r>
              <w:rPr>
                <w:spacing w:val="-2"/>
              </w:rPr>
              <w:t xml:space="preserve"> </w:t>
            </w:r>
            <w:r>
              <w:t>should</w:t>
            </w:r>
            <w:r>
              <w:rPr>
                <w:spacing w:val="-1"/>
              </w:rPr>
              <w:t xml:space="preserve"> </w:t>
            </w:r>
            <w:r>
              <w:t>be</w:t>
            </w:r>
            <w:r>
              <w:rPr>
                <w:spacing w:val="-1"/>
              </w:rPr>
              <w:t xml:space="preserve"> </w:t>
            </w:r>
            <w:r>
              <w:t>a</w:t>
            </w:r>
            <w:r>
              <w:rPr>
                <w:spacing w:val="-1"/>
              </w:rPr>
              <w:t xml:space="preserve"> </w:t>
            </w:r>
            <w:r>
              <w:t>flexible</w:t>
            </w:r>
            <w:r>
              <w:rPr>
                <w:spacing w:val="-1"/>
              </w:rPr>
              <w:t xml:space="preserve"> </w:t>
            </w:r>
            <w:r>
              <w:t>inflation</w:t>
            </w:r>
            <w:r>
              <w:rPr>
                <w:spacing w:val="-1"/>
              </w:rPr>
              <w:t xml:space="preserve"> </w:t>
            </w:r>
            <w:r>
              <w:t>target</w:t>
            </w:r>
            <w:r>
              <w:rPr>
                <w:spacing w:val="-1"/>
              </w:rPr>
              <w:t xml:space="preserve"> </w:t>
            </w:r>
            <w:r>
              <w:t>of</w:t>
            </w:r>
            <w:r>
              <w:rPr>
                <w:spacing w:val="-1"/>
              </w:rPr>
              <w:t xml:space="preserve"> </w:t>
            </w:r>
            <w:r>
              <w:t>2-3</w:t>
            </w:r>
            <w:r>
              <w:rPr>
                <w:spacing w:val="-1"/>
              </w:rPr>
              <w:t xml:space="preserve"> </w:t>
            </w:r>
            <w:r>
              <w:t>per</w:t>
            </w:r>
            <w:r>
              <w:rPr>
                <w:spacing w:val="-1"/>
              </w:rPr>
              <w:t xml:space="preserve"> </w:t>
            </w:r>
            <w:r>
              <w:rPr>
                <w:spacing w:val="-4"/>
              </w:rPr>
              <w:t>cent.</w:t>
            </w:r>
          </w:p>
          <w:p w14:paraId="5B460EDF" w14:textId="77777777" w:rsidR="00E4144B" w:rsidRDefault="00E4144B" w:rsidP="0000278A">
            <w:pPr>
              <w:pStyle w:val="Bullet"/>
            </w:pPr>
            <w:r>
              <w:t>The</w:t>
            </w:r>
            <w:r>
              <w:rPr>
                <w:spacing w:val="15"/>
              </w:rPr>
              <w:t xml:space="preserve"> </w:t>
            </w:r>
            <w:r>
              <w:t>Monetary</w:t>
            </w:r>
            <w:r>
              <w:rPr>
                <w:spacing w:val="15"/>
              </w:rPr>
              <w:t xml:space="preserve"> </w:t>
            </w:r>
            <w:r>
              <w:t>Policy</w:t>
            </w:r>
            <w:r>
              <w:rPr>
                <w:spacing w:val="15"/>
              </w:rPr>
              <w:t xml:space="preserve"> </w:t>
            </w:r>
            <w:r>
              <w:t>Board</w:t>
            </w:r>
            <w:r>
              <w:rPr>
                <w:spacing w:val="15"/>
              </w:rPr>
              <w:t xml:space="preserve"> </w:t>
            </w:r>
            <w:r>
              <w:t>should</w:t>
            </w:r>
            <w:r>
              <w:rPr>
                <w:spacing w:val="15"/>
              </w:rPr>
              <w:t xml:space="preserve"> </w:t>
            </w:r>
            <w:r>
              <w:t>aim</w:t>
            </w:r>
            <w:r>
              <w:rPr>
                <w:spacing w:val="15"/>
              </w:rPr>
              <w:t xml:space="preserve"> </w:t>
            </w:r>
            <w:r>
              <w:t>for</w:t>
            </w:r>
            <w:r>
              <w:rPr>
                <w:spacing w:val="15"/>
              </w:rPr>
              <w:t xml:space="preserve"> </w:t>
            </w:r>
            <w:r>
              <w:t>the</w:t>
            </w:r>
            <w:r>
              <w:rPr>
                <w:spacing w:val="15"/>
              </w:rPr>
              <w:t xml:space="preserve"> </w:t>
            </w:r>
            <w:r>
              <w:t>midpoint</w:t>
            </w:r>
            <w:r>
              <w:rPr>
                <w:spacing w:val="15"/>
              </w:rPr>
              <w:t xml:space="preserve"> </w:t>
            </w:r>
            <w:r>
              <w:t>of</w:t>
            </w:r>
            <w:r>
              <w:rPr>
                <w:spacing w:val="15"/>
              </w:rPr>
              <w:t xml:space="preserve"> </w:t>
            </w:r>
            <w:r>
              <w:t>the</w:t>
            </w:r>
            <w:r>
              <w:rPr>
                <w:spacing w:val="15"/>
              </w:rPr>
              <w:t xml:space="preserve"> </w:t>
            </w:r>
            <w:r>
              <w:t>inflation</w:t>
            </w:r>
            <w:r>
              <w:rPr>
                <w:spacing w:val="15"/>
              </w:rPr>
              <w:t xml:space="preserve"> </w:t>
            </w:r>
            <w:r>
              <w:t>target in</w:t>
            </w:r>
            <w:r>
              <w:rPr>
                <w:spacing w:val="-1"/>
              </w:rPr>
              <w:t xml:space="preserve"> </w:t>
            </w:r>
            <w:r>
              <w:t>order</w:t>
            </w:r>
            <w:r>
              <w:rPr>
                <w:spacing w:val="-1"/>
              </w:rPr>
              <w:t xml:space="preserve"> </w:t>
            </w:r>
            <w:r>
              <w:t>to</w:t>
            </w:r>
            <w:r>
              <w:rPr>
                <w:spacing w:val="-1"/>
              </w:rPr>
              <w:t xml:space="preserve"> </w:t>
            </w:r>
            <w:r>
              <w:t>maximise</w:t>
            </w:r>
            <w:r>
              <w:rPr>
                <w:spacing w:val="-1"/>
              </w:rPr>
              <w:t xml:space="preserve"> </w:t>
            </w:r>
            <w:r>
              <w:t>the</w:t>
            </w:r>
            <w:r>
              <w:rPr>
                <w:spacing w:val="-1"/>
              </w:rPr>
              <w:t xml:space="preserve"> </w:t>
            </w:r>
            <w:r>
              <w:t>chance</w:t>
            </w:r>
            <w:r>
              <w:rPr>
                <w:spacing w:val="-1"/>
              </w:rPr>
              <w:t xml:space="preserve"> </w:t>
            </w:r>
            <w:r>
              <w:t>that</w:t>
            </w:r>
            <w:r>
              <w:rPr>
                <w:spacing w:val="-1"/>
              </w:rPr>
              <w:t xml:space="preserve"> </w:t>
            </w:r>
            <w:r>
              <w:t>the</w:t>
            </w:r>
            <w:r>
              <w:rPr>
                <w:spacing w:val="-1"/>
              </w:rPr>
              <w:t xml:space="preserve"> </w:t>
            </w:r>
            <w:r>
              <w:t>target</w:t>
            </w:r>
            <w:r>
              <w:rPr>
                <w:spacing w:val="-1"/>
              </w:rPr>
              <w:t xml:space="preserve"> </w:t>
            </w:r>
            <w:r>
              <w:t>is</w:t>
            </w:r>
            <w:r>
              <w:rPr>
                <w:spacing w:val="-1"/>
              </w:rPr>
              <w:t xml:space="preserve"> </w:t>
            </w:r>
            <w:r>
              <w:t>met</w:t>
            </w:r>
            <w:r>
              <w:rPr>
                <w:spacing w:val="-1"/>
              </w:rPr>
              <w:t xml:space="preserve"> </w:t>
            </w:r>
            <w:r>
              <w:t>and</w:t>
            </w:r>
            <w:r>
              <w:rPr>
                <w:spacing w:val="-1"/>
              </w:rPr>
              <w:t xml:space="preserve"> </w:t>
            </w:r>
            <w:r>
              <w:t>best</w:t>
            </w:r>
            <w:r>
              <w:rPr>
                <w:spacing w:val="-1"/>
              </w:rPr>
              <w:t xml:space="preserve"> </w:t>
            </w:r>
            <w:r>
              <w:t>anchor</w:t>
            </w:r>
            <w:r>
              <w:rPr>
                <w:spacing w:val="-1"/>
              </w:rPr>
              <w:t xml:space="preserve"> </w:t>
            </w:r>
            <w:r>
              <w:t xml:space="preserve">inflation </w:t>
            </w:r>
            <w:r>
              <w:rPr>
                <w:spacing w:val="-2"/>
              </w:rPr>
              <w:t>expectations.</w:t>
            </w:r>
          </w:p>
          <w:p w14:paraId="29B56125" w14:textId="77777777" w:rsidR="00E4144B" w:rsidRPr="0052089D" w:rsidRDefault="00E4144B" w:rsidP="0000278A">
            <w:pPr>
              <w:pStyle w:val="Bullet"/>
            </w:pPr>
            <w:r w:rsidRPr="0052089D">
              <w:t>The</w:t>
            </w:r>
            <w:r w:rsidRPr="0052089D">
              <w:rPr>
                <w:spacing w:val="-1"/>
              </w:rPr>
              <w:t xml:space="preserve"> </w:t>
            </w:r>
            <w:r w:rsidRPr="0052089D">
              <w:t>Monetary</w:t>
            </w:r>
            <w:r w:rsidRPr="0052089D">
              <w:rPr>
                <w:spacing w:val="1"/>
              </w:rPr>
              <w:t xml:space="preserve"> </w:t>
            </w:r>
            <w:r w:rsidRPr="0052089D">
              <w:t>Policy</w:t>
            </w:r>
            <w:r w:rsidRPr="0052089D">
              <w:rPr>
                <w:spacing w:val="2"/>
              </w:rPr>
              <w:t xml:space="preserve"> </w:t>
            </w:r>
            <w:r w:rsidRPr="0052089D">
              <w:t>Board</w:t>
            </w:r>
            <w:r w:rsidRPr="0052089D">
              <w:rPr>
                <w:spacing w:val="1"/>
              </w:rPr>
              <w:t xml:space="preserve"> </w:t>
            </w:r>
            <w:r w:rsidRPr="0052089D">
              <w:t>should</w:t>
            </w:r>
            <w:r w:rsidRPr="0052089D">
              <w:rPr>
                <w:spacing w:val="1"/>
              </w:rPr>
              <w:t xml:space="preserve"> </w:t>
            </w:r>
            <w:r w:rsidRPr="0052089D">
              <w:t>set</w:t>
            </w:r>
            <w:r w:rsidRPr="0052089D">
              <w:rPr>
                <w:spacing w:val="2"/>
              </w:rPr>
              <w:t xml:space="preserve"> </w:t>
            </w:r>
            <w:r w:rsidRPr="0052089D">
              <w:t>out</w:t>
            </w:r>
            <w:r w:rsidRPr="0052089D">
              <w:rPr>
                <w:spacing w:val="1"/>
              </w:rPr>
              <w:t xml:space="preserve"> </w:t>
            </w:r>
            <w:r w:rsidRPr="0052089D">
              <w:t>its</w:t>
            </w:r>
            <w:r w:rsidRPr="0052089D">
              <w:rPr>
                <w:spacing w:val="1"/>
              </w:rPr>
              <w:t xml:space="preserve"> </w:t>
            </w:r>
            <w:r w:rsidRPr="0052089D">
              <w:t>assessment</w:t>
            </w:r>
            <w:r w:rsidRPr="0052089D">
              <w:rPr>
                <w:spacing w:val="2"/>
              </w:rPr>
              <w:t xml:space="preserve"> </w:t>
            </w:r>
            <w:r w:rsidRPr="0052089D">
              <w:t>of</w:t>
            </w:r>
            <w:r w:rsidRPr="0052089D">
              <w:rPr>
                <w:spacing w:val="1"/>
              </w:rPr>
              <w:t xml:space="preserve"> </w:t>
            </w:r>
            <w:r w:rsidRPr="0052089D">
              <w:t>its</w:t>
            </w:r>
            <w:r w:rsidRPr="0052089D">
              <w:rPr>
                <w:spacing w:val="1"/>
              </w:rPr>
              <w:t xml:space="preserve"> </w:t>
            </w:r>
            <w:r w:rsidRPr="0052089D">
              <w:t>full</w:t>
            </w:r>
            <w:r w:rsidRPr="0052089D">
              <w:rPr>
                <w:spacing w:val="2"/>
              </w:rPr>
              <w:t xml:space="preserve"> </w:t>
            </w:r>
            <w:r w:rsidRPr="0052089D">
              <w:rPr>
                <w:spacing w:val="-2"/>
              </w:rPr>
              <w:t>employment</w:t>
            </w:r>
            <w:r>
              <w:rPr>
                <w:spacing w:val="-2"/>
              </w:rPr>
              <w:t xml:space="preserve"> </w:t>
            </w:r>
            <w:r w:rsidRPr="0052089D">
              <w:t>objective,</w:t>
            </w:r>
            <w:r w:rsidRPr="0052089D">
              <w:rPr>
                <w:spacing w:val="-4"/>
              </w:rPr>
              <w:t xml:space="preserve"> </w:t>
            </w:r>
            <w:r w:rsidRPr="0052089D">
              <w:t>as</w:t>
            </w:r>
            <w:r w:rsidRPr="0052089D">
              <w:rPr>
                <w:spacing w:val="-1"/>
              </w:rPr>
              <w:t xml:space="preserve"> </w:t>
            </w:r>
            <w:r w:rsidRPr="0052089D">
              <w:t>reflected</w:t>
            </w:r>
            <w:r w:rsidRPr="0052089D">
              <w:rPr>
                <w:spacing w:val="-1"/>
              </w:rPr>
              <w:t xml:space="preserve"> </w:t>
            </w:r>
            <w:r w:rsidRPr="0052089D">
              <w:t>in</w:t>
            </w:r>
            <w:r w:rsidRPr="0052089D">
              <w:rPr>
                <w:spacing w:val="-1"/>
              </w:rPr>
              <w:t xml:space="preserve"> </w:t>
            </w:r>
            <w:r w:rsidRPr="0052089D">
              <w:t>a</w:t>
            </w:r>
            <w:r w:rsidRPr="0052089D">
              <w:rPr>
                <w:spacing w:val="-1"/>
              </w:rPr>
              <w:t xml:space="preserve"> </w:t>
            </w:r>
            <w:r w:rsidRPr="0052089D">
              <w:t>range</w:t>
            </w:r>
            <w:r w:rsidRPr="0052089D">
              <w:rPr>
                <w:spacing w:val="-1"/>
              </w:rPr>
              <w:t xml:space="preserve"> </w:t>
            </w:r>
            <w:r w:rsidRPr="0052089D">
              <w:t>of</w:t>
            </w:r>
            <w:r w:rsidRPr="0052089D">
              <w:rPr>
                <w:spacing w:val="-2"/>
              </w:rPr>
              <w:t xml:space="preserve"> </w:t>
            </w:r>
            <w:r w:rsidRPr="0052089D">
              <w:t>relevant</w:t>
            </w:r>
            <w:r w:rsidRPr="0052089D">
              <w:rPr>
                <w:spacing w:val="-1"/>
              </w:rPr>
              <w:t xml:space="preserve"> </w:t>
            </w:r>
            <w:r w:rsidRPr="0052089D">
              <w:t>indicators</w:t>
            </w:r>
            <w:r w:rsidRPr="0052089D">
              <w:rPr>
                <w:spacing w:val="-1"/>
              </w:rPr>
              <w:t xml:space="preserve"> </w:t>
            </w:r>
            <w:r w:rsidRPr="0052089D">
              <w:t>of</w:t>
            </w:r>
            <w:r w:rsidRPr="0052089D">
              <w:rPr>
                <w:spacing w:val="-1"/>
              </w:rPr>
              <w:t xml:space="preserve"> </w:t>
            </w:r>
            <w:r w:rsidRPr="0052089D">
              <w:t>labour</w:t>
            </w:r>
            <w:r w:rsidRPr="0052089D">
              <w:rPr>
                <w:spacing w:val="-1"/>
              </w:rPr>
              <w:t xml:space="preserve"> </w:t>
            </w:r>
            <w:r w:rsidRPr="0052089D">
              <w:t>market</w:t>
            </w:r>
            <w:r w:rsidRPr="0052089D">
              <w:rPr>
                <w:spacing w:val="-1"/>
              </w:rPr>
              <w:t xml:space="preserve"> </w:t>
            </w:r>
            <w:r w:rsidRPr="0052089D">
              <w:rPr>
                <w:spacing w:val="-2"/>
              </w:rPr>
              <w:t>conditions.</w:t>
            </w:r>
          </w:p>
          <w:p w14:paraId="2E5CA401" w14:textId="77777777" w:rsidR="00E4144B" w:rsidRDefault="00E4144B" w:rsidP="0000278A">
            <w:pPr>
              <w:pStyle w:val="Bullet"/>
            </w:pPr>
            <w:r>
              <w:t>The Monetary Policy Board has the flexibility to vary the timeframes over which it aims to bring inflation back to around the midpoint of the target, taking into account the full employment objective, when significant deviations occur.</w:t>
            </w:r>
          </w:p>
        </w:tc>
      </w:tr>
      <w:tr w:rsidR="00E4144B" w14:paraId="28063E8C" w14:textId="77777777" w:rsidTr="00E4144B">
        <w:trPr>
          <w:trHeight w:val="2598"/>
        </w:trPr>
        <w:tc>
          <w:tcPr>
            <w:tcW w:w="432" w:type="pct"/>
            <w:gridSpan w:val="2"/>
          </w:tcPr>
          <w:p w14:paraId="09F7DBAC" w14:textId="77777777" w:rsidR="00E4144B" w:rsidRDefault="00E4144B" w:rsidP="00F22AE5">
            <w:r>
              <w:t>2.2</w:t>
            </w:r>
          </w:p>
        </w:tc>
        <w:tc>
          <w:tcPr>
            <w:tcW w:w="4568" w:type="pct"/>
          </w:tcPr>
          <w:p w14:paraId="04B31CF8" w14:textId="77777777" w:rsidR="00E4144B" w:rsidRDefault="00E4144B" w:rsidP="00F22AE5">
            <w:r>
              <w:t xml:space="preserve">The </w:t>
            </w:r>
            <w:r>
              <w:rPr>
                <w:i/>
              </w:rPr>
              <w:t>Statement on the Conduct of Monetary Policy</w:t>
            </w:r>
            <w:r>
              <w:rPr>
                <w:i/>
                <w:spacing w:val="-1"/>
              </w:rPr>
              <w:t xml:space="preserve"> </w:t>
            </w:r>
            <w:r>
              <w:t>should outline how the RBA Monetary Policy Board will communicate its use of the framework’s flexibility including expectations that the RBA will, in its regular communications:</w:t>
            </w:r>
          </w:p>
          <w:p w14:paraId="666B1482" w14:textId="77777777" w:rsidR="00E4144B" w:rsidRDefault="00E4144B" w:rsidP="0000278A">
            <w:pPr>
              <w:pStyle w:val="Bullet"/>
            </w:pPr>
            <w:r>
              <w:t>explain</w:t>
            </w:r>
            <w:r>
              <w:rPr>
                <w:spacing w:val="-1"/>
              </w:rPr>
              <w:t xml:space="preserve"> </w:t>
            </w:r>
            <w:r>
              <w:t>how</w:t>
            </w:r>
            <w:r>
              <w:rPr>
                <w:spacing w:val="-1"/>
              </w:rPr>
              <w:t xml:space="preserve"> </w:t>
            </w:r>
            <w:r>
              <w:t>long</w:t>
            </w:r>
            <w:r>
              <w:rPr>
                <w:spacing w:val="-1"/>
              </w:rPr>
              <w:t xml:space="preserve"> </w:t>
            </w:r>
            <w:r>
              <w:t>inflation</w:t>
            </w:r>
            <w:r>
              <w:rPr>
                <w:spacing w:val="-1"/>
              </w:rPr>
              <w:t xml:space="preserve"> </w:t>
            </w:r>
            <w:r>
              <w:t>is</w:t>
            </w:r>
            <w:r>
              <w:rPr>
                <w:spacing w:val="-1"/>
              </w:rPr>
              <w:t xml:space="preserve"> </w:t>
            </w:r>
            <w:r>
              <w:t>expected</w:t>
            </w:r>
            <w:r>
              <w:rPr>
                <w:spacing w:val="-1"/>
              </w:rPr>
              <w:t xml:space="preserve"> </w:t>
            </w:r>
            <w:r>
              <w:t>to</w:t>
            </w:r>
            <w:r>
              <w:rPr>
                <w:spacing w:val="-1"/>
              </w:rPr>
              <w:t xml:space="preserve"> </w:t>
            </w:r>
            <w:r>
              <w:t>be</w:t>
            </w:r>
            <w:r>
              <w:rPr>
                <w:spacing w:val="-1"/>
              </w:rPr>
              <w:t xml:space="preserve"> </w:t>
            </w:r>
            <w:r>
              <w:t>materially</w:t>
            </w:r>
            <w:r>
              <w:rPr>
                <w:spacing w:val="-1"/>
              </w:rPr>
              <w:t xml:space="preserve"> </w:t>
            </w:r>
            <w:r>
              <w:t>away</w:t>
            </w:r>
            <w:r>
              <w:rPr>
                <w:spacing w:val="-1"/>
              </w:rPr>
              <w:t xml:space="preserve"> </w:t>
            </w:r>
            <w:r>
              <w:t>from</w:t>
            </w:r>
            <w:r>
              <w:rPr>
                <w:spacing w:val="-1"/>
              </w:rPr>
              <w:t xml:space="preserve"> </w:t>
            </w:r>
            <w:r>
              <w:t>the</w:t>
            </w:r>
            <w:r>
              <w:rPr>
                <w:spacing w:val="-1"/>
              </w:rPr>
              <w:t xml:space="preserve"> </w:t>
            </w:r>
            <w:r>
              <w:t>midpoint</w:t>
            </w:r>
            <w:r>
              <w:rPr>
                <w:spacing w:val="-1"/>
              </w:rPr>
              <w:t xml:space="preserve"> </w:t>
            </w:r>
            <w:r>
              <w:t>of the target and why, how long labour market conditions are expected to deviate from full employment and why, and how it is balancing its two objectives</w:t>
            </w:r>
          </w:p>
          <w:p w14:paraId="34FEA4D5" w14:textId="77777777" w:rsidR="00E4144B" w:rsidRDefault="00E4144B" w:rsidP="0000278A">
            <w:pPr>
              <w:pStyle w:val="Bullet"/>
            </w:pPr>
            <w:r>
              <w:t>explain the key factors affecting its decision making, such as financial stability risks which should be a consideration in monetary policy decisions to the extent that they may influence the price stability and full employment objectives.</w:t>
            </w:r>
          </w:p>
        </w:tc>
      </w:tr>
    </w:tbl>
    <w:p w14:paraId="6E779581" w14:textId="77777777" w:rsidR="001D710C" w:rsidRDefault="001D710C">
      <w:pPr>
        <w:spacing w:before="0" w:after="160" w:line="259" w:lineRule="auto"/>
      </w:pPr>
    </w:p>
    <w:p w14:paraId="12EE5403" w14:textId="237CEF98" w:rsidR="001D710C" w:rsidRDefault="001D710C" w:rsidP="001D710C">
      <w:r>
        <w:t>The operational framework used by the RBA to pursue its monetary policy objectives is broadly fit</w:t>
      </w:r>
      <w:r>
        <w:rPr>
          <w:spacing w:val="40"/>
        </w:rPr>
        <w:t xml:space="preserve"> </w:t>
      </w:r>
      <w:r>
        <w:t>for purpose. There is scope for the operational framework to be specified with greater clarity, which has the potential to improve monetary policy decision making, communication and accountability</w:t>
      </w:r>
      <w:r w:rsidR="0068598E">
        <w:rPr>
          <w:spacing w:val="-18"/>
        </w:rPr>
        <w:t>.</w:t>
      </w:r>
      <w:r>
        <w:t xml:space="preserve"> These changes do not require changes to legislation and can be implemented through changes to the Statement on Conduct</w:t>
      </w:r>
      <w:r w:rsidR="0068598E">
        <w:rPr>
          <w:spacing w:val="-9"/>
        </w:rPr>
        <w:t>.</w:t>
      </w:r>
    </w:p>
    <w:p w14:paraId="5E66BD38" w14:textId="77777777" w:rsidR="001D710C" w:rsidRDefault="001D710C" w:rsidP="001D710C">
      <w:pPr>
        <w:pStyle w:val="Heading3"/>
      </w:pPr>
      <w:r>
        <w:lastRenderedPageBreak/>
        <w:t>Recommendation</w:t>
      </w:r>
      <w:r>
        <w:rPr>
          <w:spacing w:val="-14"/>
        </w:rPr>
        <w:t xml:space="preserve"> </w:t>
      </w:r>
      <w:r>
        <w:t>2.1:</w:t>
      </w:r>
      <w:r>
        <w:rPr>
          <w:spacing w:val="-14"/>
        </w:rPr>
        <w:t xml:space="preserve"> </w:t>
      </w:r>
      <w:r>
        <w:t>Refining</w:t>
      </w:r>
      <w:r>
        <w:rPr>
          <w:spacing w:val="-13"/>
        </w:rPr>
        <w:t xml:space="preserve"> </w:t>
      </w:r>
      <w:r>
        <w:t>the</w:t>
      </w:r>
      <w:r>
        <w:rPr>
          <w:spacing w:val="-14"/>
        </w:rPr>
        <w:t xml:space="preserve"> </w:t>
      </w:r>
      <w:r>
        <w:t>flexible</w:t>
      </w:r>
      <w:r>
        <w:rPr>
          <w:spacing w:val="-13"/>
        </w:rPr>
        <w:t xml:space="preserve"> </w:t>
      </w:r>
      <w:r>
        <w:t>inflation</w:t>
      </w:r>
      <w:r>
        <w:rPr>
          <w:spacing w:val="-14"/>
        </w:rPr>
        <w:t xml:space="preserve"> </w:t>
      </w:r>
      <w:r>
        <w:t>targeting</w:t>
      </w:r>
      <w:r>
        <w:rPr>
          <w:spacing w:val="-13"/>
        </w:rPr>
        <w:t xml:space="preserve"> </w:t>
      </w:r>
      <w:r>
        <w:rPr>
          <w:spacing w:val="-2"/>
        </w:rPr>
        <w:t>framework</w:t>
      </w:r>
    </w:p>
    <w:p w14:paraId="67178DBB" w14:textId="77777777" w:rsidR="004C327F" w:rsidRDefault="001D710C" w:rsidP="001D710C">
      <w:r>
        <w:t>The Review supports the RBA’s flexible inflation target of 2-3 per cent. This recommendation proposes refinements to support stable expectations around the midpoint and clarify the use of flexibility.</w:t>
      </w:r>
    </w:p>
    <w:p w14:paraId="1FC9BB2E" w14:textId="77777777" w:rsidR="004C327F" w:rsidRDefault="004C327F" w:rsidP="004C327F">
      <w:pPr>
        <w:pStyle w:val="Heading4"/>
      </w:pPr>
      <w:r>
        <w:t xml:space="preserve">A flexible inflation targeting framework remains </w:t>
      </w:r>
      <w:r>
        <w:rPr>
          <w:spacing w:val="-2"/>
        </w:rPr>
        <w:t>suitable</w:t>
      </w:r>
    </w:p>
    <w:p w14:paraId="191E8BC3" w14:textId="77777777" w:rsidR="004C327F" w:rsidRDefault="004C327F" w:rsidP="004C327F">
      <w:r>
        <w:t>Retaining a flexible inflation targeting framework is supported by the balance of the evidence, including the Review’s assessment of the performance of the RBA in Chapter 1, and the research to date on inflation targeting and alternative frameworks.</w:t>
      </w:r>
    </w:p>
    <w:p w14:paraId="43E46638" w14:textId="27800F4E" w:rsidR="004C327F" w:rsidRDefault="004C327F" w:rsidP="004C327F">
      <w:r>
        <w:t>The success of, and broad understanding of, flexible inflation targeting means the bar is high</w:t>
      </w:r>
      <w:r>
        <w:rPr>
          <w:spacing w:val="80"/>
        </w:rPr>
        <w:t xml:space="preserve"> </w:t>
      </w:r>
      <w:r>
        <w:t>for adopting a different framework, especially given the risk that this could de-anchor inflation expectations</w:t>
      </w:r>
      <w:r>
        <w:rPr>
          <w:spacing w:val="20"/>
        </w:rPr>
        <w:t xml:space="preserve"> </w:t>
      </w:r>
      <w:r>
        <w:t>or</w:t>
      </w:r>
      <w:r>
        <w:rPr>
          <w:spacing w:val="20"/>
        </w:rPr>
        <w:t xml:space="preserve"> </w:t>
      </w:r>
      <w:r>
        <w:t>otherwise</w:t>
      </w:r>
      <w:r>
        <w:rPr>
          <w:spacing w:val="20"/>
        </w:rPr>
        <w:t xml:space="preserve"> </w:t>
      </w:r>
      <w:r>
        <w:t>confuse</w:t>
      </w:r>
      <w:r>
        <w:rPr>
          <w:spacing w:val="20"/>
        </w:rPr>
        <w:t xml:space="preserve"> </w:t>
      </w:r>
      <w:r>
        <w:t>understanding</w:t>
      </w:r>
      <w:r>
        <w:rPr>
          <w:spacing w:val="20"/>
        </w:rPr>
        <w:t xml:space="preserve"> </w:t>
      </w:r>
      <w:r>
        <w:t>of</w:t>
      </w:r>
      <w:r>
        <w:rPr>
          <w:spacing w:val="20"/>
        </w:rPr>
        <w:t xml:space="preserve"> </w:t>
      </w:r>
      <w:r>
        <w:t>monetary</w:t>
      </w:r>
      <w:r>
        <w:rPr>
          <w:spacing w:val="20"/>
        </w:rPr>
        <w:t xml:space="preserve"> </w:t>
      </w:r>
      <w:r>
        <w:t>policy</w:t>
      </w:r>
      <w:r w:rsidR="0068598E">
        <w:rPr>
          <w:spacing w:val="-14"/>
        </w:rPr>
        <w:t>.</w:t>
      </w:r>
      <w:r>
        <w:rPr>
          <w:spacing w:val="20"/>
        </w:rPr>
        <w:t xml:space="preserve"> </w:t>
      </w:r>
      <w:r>
        <w:t>The</w:t>
      </w:r>
      <w:r>
        <w:rPr>
          <w:spacing w:val="20"/>
        </w:rPr>
        <w:t xml:space="preserve"> </w:t>
      </w:r>
      <w:r>
        <w:t>Review</w:t>
      </w:r>
      <w:r>
        <w:rPr>
          <w:spacing w:val="20"/>
        </w:rPr>
        <w:t xml:space="preserve"> </w:t>
      </w:r>
      <w:r>
        <w:t>assessed the merits of alternative frameworks against this risk, based on how well they might achieve the monetary policy objectives of the RBA</w:t>
      </w:r>
      <w:r w:rsidR="0068598E">
        <w:rPr>
          <w:spacing w:val="-14"/>
        </w:rPr>
        <w:t>.</w:t>
      </w:r>
      <w:r>
        <w:rPr>
          <w:w w:val="85"/>
        </w:rPr>
        <w:t xml:space="preserve"> </w:t>
      </w:r>
      <w:r>
        <w:t>The factors considered included:</w:t>
      </w:r>
    </w:p>
    <w:p w14:paraId="2C325CE5" w14:textId="77777777" w:rsidR="004C327F" w:rsidRDefault="004C327F" w:rsidP="0000278A">
      <w:pPr>
        <w:pStyle w:val="Bullet"/>
      </w:pPr>
      <w:r>
        <w:t>how effectively it can be communicated to support the public’s understanding of monetary policy</w:t>
      </w:r>
    </w:p>
    <w:p w14:paraId="23227BE9" w14:textId="77777777" w:rsidR="004C327F" w:rsidRDefault="004C327F" w:rsidP="0000278A">
      <w:pPr>
        <w:pStyle w:val="Bullet"/>
      </w:pPr>
      <w:r>
        <w:t>whether</w:t>
      </w:r>
      <w:r>
        <w:rPr>
          <w:spacing w:val="5"/>
        </w:rPr>
        <w:t xml:space="preserve"> </w:t>
      </w:r>
      <w:r>
        <w:t>it</w:t>
      </w:r>
      <w:r>
        <w:rPr>
          <w:spacing w:val="6"/>
        </w:rPr>
        <w:t xml:space="preserve"> </w:t>
      </w:r>
      <w:r>
        <w:t>supports</w:t>
      </w:r>
      <w:r>
        <w:rPr>
          <w:spacing w:val="6"/>
        </w:rPr>
        <w:t xml:space="preserve"> </w:t>
      </w:r>
      <w:r>
        <w:t>stable</w:t>
      </w:r>
      <w:r>
        <w:rPr>
          <w:spacing w:val="6"/>
        </w:rPr>
        <w:t xml:space="preserve"> </w:t>
      </w:r>
      <w:r>
        <w:t>inflation</w:t>
      </w:r>
      <w:r>
        <w:rPr>
          <w:spacing w:val="6"/>
        </w:rPr>
        <w:t xml:space="preserve"> </w:t>
      </w:r>
      <w:r>
        <w:rPr>
          <w:spacing w:val="-2"/>
        </w:rPr>
        <w:t>expectations</w:t>
      </w:r>
    </w:p>
    <w:p w14:paraId="7CF84E64" w14:textId="77777777" w:rsidR="004C327F" w:rsidRDefault="004C327F" w:rsidP="0000278A">
      <w:pPr>
        <w:pStyle w:val="Bullet"/>
      </w:pPr>
      <w:r>
        <w:t>whether it is robust to the challenges posed by the economic outlook, particularly in terms of how it handles disruptions to supply</w:t>
      </w:r>
    </w:p>
    <w:p w14:paraId="5CE44DBC" w14:textId="77777777" w:rsidR="004C327F" w:rsidRDefault="004C327F" w:rsidP="0000278A">
      <w:pPr>
        <w:pStyle w:val="Bullet"/>
      </w:pPr>
      <w:r>
        <w:t>how</w:t>
      </w:r>
      <w:r>
        <w:rPr>
          <w:spacing w:val="-5"/>
        </w:rPr>
        <w:t xml:space="preserve"> </w:t>
      </w:r>
      <w:r>
        <w:t>trade-offs</w:t>
      </w:r>
      <w:r>
        <w:rPr>
          <w:spacing w:val="-2"/>
        </w:rPr>
        <w:t xml:space="preserve"> </w:t>
      </w:r>
      <w:r>
        <w:t>can</w:t>
      </w:r>
      <w:r>
        <w:rPr>
          <w:spacing w:val="-3"/>
        </w:rPr>
        <w:t xml:space="preserve"> </w:t>
      </w:r>
      <w:r>
        <w:t>be</w:t>
      </w:r>
      <w:r>
        <w:rPr>
          <w:spacing w:val="-2"/>
        </w:rPr>
        <w:t xml:space="preserve"> </w:t>
      </w:r>
      <w:r>
        <w:t>managed</w:t>
      </w:r>
      <w:r>
        <w:rPr>
          <w:spacing w:val="-3"/>
        </w:rPr>
        <w:t xml:space="preserve"> </w:t>
      </w:r>
      <w:r>
        <w:t>to</w:t>
      </w:r>
      <w:r>
        <w:rPr>
          <w:spacing w:val="-2"/>
        </w:rPr>
        <w:t xml:space="preserve"> </w:t>
      </w:r>
      <w:r>
        <w:t>support</w:t>
      </w:r>
      <w:r>
        <w:rPr>
          <w:spacing w:val="-3"/>
        </w:rPr>
        <w:t xml:space="preserve"> </w:t>
      </w:r>
      <w:r>
        <w:t>the</w:t>
      </w:r>
      <w:r>
        <w:rPr>
          <w:spacing w:val="-2"/>
        </w:rPr>
        <w:t xml:space="preserve"> </w:t>
      </w:r>
      <w:r>
        <w:t>achievement</w:t>
      </w:r>
      <w:r>
        <w:rPr>
          <w:spacing w:val="-3"/>
        </w:rPr>
        <w:t xml:space="preserve"> </w:t>
      </w:r>
      <w:r>
        <w:t>of</w:t>
      </w:r>
      <w:r>
        <w:rPr>
          <w:spacing w:val="-2"/>
        </w:rPr>
        <w:t xml:space="preserve"> </w:t>
      </w:r>
      <w:r>
        <w:t>both</w:t>
      </w:r>
      <w:r>
        <w:rPr>
          <w:spacing w:val="-3"/>
        </w:rPr>
        <w:t xml:space="preserve"> </w:t>
      </w:r>
      <w:r>
        <w:t>monetary</w:t>
      </w:r>
      <w:r>
        <w:rPr>
          <w:spacing w:val="-2"/>
        </w:rPr>
        <w:t xml:space="preserve"> </w:t>
      </w:r>
      <w:r>
        <w:t>policy</w:t>
      </w:r>
      <w:r>
        <w:rPr>
          <w:spacing w:val="-2"/>
        </w:rPr>
        <w:t xml:space="preserve"> objectives.</w:t>
      </w:r>
    </w:p>
    <w:p w14:paraId="3D87056E" w14:textId="61FCE14F" w:rsidR="004C327F" w:rsidRDefault="004C327F" w:rsidP="004C327F">
      <w:r>
        <w:t>There is a material body of research that has considered the merits of alternative frameworks</w:t>
      </w:r>
      <w:r w:rsidR="0068598E">
        <w:rPr>
          <w:spacing w:val="-21"/>
        </w:rPr>
        <w:t>.</w:t>
      </w:r>
      <w:r>
        <w:t xml:space="preserve"> Central banks overseas have assessed alternative approaches and generally supported flexible inflation targeting, noting that in 2020 the US Federal Reserve introduced a flexible average inflation</w:t>
      </w:r>
      <w:r>
        <w:rPr>
          <w:spacing w:val="-1"/>
        </w:rPr>
        <w:t xml:space="preserve"> </w:t>
      </w:r>
      <w:r>
        <w:t>target</w:t>
      </w:r>
      <w:r>
        <w:rPr>
          <w:spacing w:val="-1"/>
        </w:rPr>
        <w:t xml:space="preserve"> </w:t>
      </w:r>
      <w:r>
        <w:t>(Federal</w:t>
      </w:r>
      <w:r>
        <w:rPr>
          <w:spacing w:val="-1"/>
        </w:rPr>
        <w:t xml:space="preserve"> </w:t>
      </w:r>
      <w:r>
        <w:t>Reserve</w:t>
      </w:r>
      <w:r>
        <w:rPr>
          <w:spacing w:val="-1"/>
        </w:rPr>
        <w:t xml:space="preserve"> </w:t>
      </w:r>
      <w:r>
        <w:t>2020;</w:t>
      </w:r>
      <w:r>
        <w:rPr>
          <w:spacing w:val="-1"/>
        </w:rPr>
        <w:t xml:space="preserve"> </w:t>
      </w:r>
      <w:r>
        <w:t>Bank</w:t>
      </w:r>
      <w:r>
        <w:rPr>
          <w:spacing w:val="-1"/>
        </w:rPr>
        <w:t xml:space="preserve"> </w:t>
      </w:r>
      <w:r>
        <w:t>of</w:t>
      </w:r>
      <w:r>
        <w:rPr>
          <w:spacing w:val="-1"/>
        </w:rPr>
        <w:t xml:space="preserve"> </w:t>
      </w:r>
      <w:r>
        <w:t>Canada</w:t>
      </w:r>
      <w:r>
        <w:rPr>
          <w:spacing w:val="-1"/>
        </w:rPr>
        <w:t xml:space="preserve"> </w:t>
      </w:r>
      <w:r>
        <w:t>2021;</w:t>
      </w:r>
      <w:r>
        <w:rPr>
          <w:spacing w:val="-1"/>
        </w:rPr>
        <w:t xml:space="preserve"> </w:t>
      </w:r>
      <w:r>
        <w:t>European</w:t>
      </w:r>
      <w:r>
        <w:rPr>
          <w:spacing w:val="-1"/>
        </w:rPr>
        <w:t xml:space="preserve"> </w:t>
      </w:r>
      <w:r>
        <w:t>Central</w:t>
      </w:r>
      <w:r>
        <w:rPr>
          <w:spacing w:val="-1"/>
        </w:rPr>
        <w:t xml:space="preserve"> </w:t>
      </w:r>
      <w:r>
        <w:t>Bank</w:t>
      </w:r>
      <w:r>
        <w:rPr>
          <w:spacing w:val="-1"/>
        </w:rPr>
        <w:t xml:space="preserve"> </w:t>
      </w:r>
      <w:r>
        <w:t>2021).</w:t>
      </w:r>
      <w:r>
        <w:rPr>
          <w:spacing w:val="-1"/>
        </w:rPr>
        <w:t xml:space="preserve"> </w:t>
      </w:r>
      <w:r>
        <w:t>The supporting research included model simulations, surveys and focus groups run by the central bank, and some externally authored research</w:t>
      </w:r>
      <w:r w:rsidR="0068598E">
        <w:rPr>
          <w:spacing w:val="-10"/>
        </w:rPr>
        <w:t>.</w:t>
      </w:r>
    </w:p>
    <w:p w14:paraId="7FE82885" w14:textId="232A1C06" w:rsidR="004C327F" w:rsidRDefault="004C327F" w:rsidP="004C327F">
      <w:r>
        <w:t>In the Australian context, there is a small but growing body of research on the potential performance of alternative frameworks. For instance research around adopting the inflation target in the 1990s suggested that inflation targets or nominal income targets might perform similarly</w:t>
      </w:r>
      <w:r>
        <w:rPr>
          <w:spacing w:val="80"/>
        </w:rPr>
        <w:t xml:space="preserve"> </w:t>
      </w:r>
      <w:r>
        <w:t>well (including de Brouwer and O’Regan 1997; Edey 1997; McKibbin 1997). More recent Australian research has pointed to the successful anchoring of inflation expectations and the challenges and opportunities that presents for inflation targeting (for example Gillitzer and Simon 2015). Some research has pressed the case for a nominal income target including McKibbin and Panton (2018) and Kirchner (2021). Other research has suggested that nominal income targets perform poorly compared to a flexible inflation target, and that some variants of flexible inflation targeting may outperform others (Gross 2023)</w:t>
      </w:r>
      <w:r w:rsidR="0068598E">
        <w:rPr>
          <w:spacing w:val="-9"/>
        </w:rPr>
        <w:t>.</w:t>
      </w:r>
    </w:p>
    <w:p w14:paraId="16DB3A24" w14:textId="75E98BC9" w:rsidR="004C327F" w:rsidRDefault="004C327F" w:rsidP="004C327F">
      <w:r>
        <w:t>While some research suggests that alternative frameworks such as nominal income targets</w:t>
      </w:r>
      <w:r>
        <w:rPr>
          <w:spacing w:val="40"/>
        </w:rPr>
        <w:t xml:space="preserve"> </w:t>
      </w:r>
      <w:r>
        <w:t>would</w:t>
      </w:r>
      <w:r>
        <w:rPr>
          <w:spacing w:val="12"/>
        </w:rPr>
        <w:t xml:space="preserve"> </w:t>
      </w:r>
      <w:r>
        <w:t>be</w:t>
      </w:r>
      <w:r>
        <w:rPr>
          <w:spacing w:val="12"/>
        </w:rPr>
        <w:t xml:space="preserve"> </w:t>
      </w:r>
      <w:r>
        <w:t>better</w:t>
      </w:r>
      <w:r>
        <w:rPr>
          <w:spacing w:val="12"/>
        </w:rPr>
        <w:t xml:space="preserve"> </w:t>
      </w:r>
      <w:r>
        <w:t>suited,</w:t>
      </w:r>
      <w:r>
        <w:rPr>
          <w:spacing w:val="12"/>
        </w:rPr>
        <w:t xml:space="preserve"> </w:t>
      </w:r>
      <w:r>
        <w:t>the</w:t>
      </w:r>
      <w:r>
        <w:rPr>
          <w:spacing w:val="12"/>
        </w:rPr>
        <w:t xml:space="preserve"> </w:t>
      </w:r>
      <w:r>
        <w:t>Review</w:t>
      </w:r>
      <w:r>
        <w:rPr>
          <w:spacing w:val="12"/>
        </w:rPr>
        <w:t xml:space="preserve"> </w:t>
      </w:r>
      <w:r>
        <w:t>did</w:t>
      </w:r>
      <w:r>
        <w:rPr>
          <w:spacing w:val="12"/>
        </w:rPr>
        <w:t xml:space="preserve"> </w:t>
      </w:r>
      <w:r>
        <w:t>not</w:t>
      </w:r>
      <w:r>
        <w:rPr>
          <w:spacing w:val="12"/>
        </w:rPr>
        <w:t xml:space="preserve"> </w:t>
      </w:r>
      <w:r>
        <w:t>find</w:t>
      </w:r>
      <w:r>
        <w:rPr>
          <w:spacing w:val="12"/>
        </w:rPr>
        <w:t xml:space="preserve"> </w:t>
      </w:r>
      <w:r>
        <w:t>sufficiently</w:t>
      </w:r>
      <w:r>
        <w:rPr>
          <w:spacing w:val="12"/>
        </w:rPr>
        <w:t xml:space="preserve"> </w:t>
      </w:r>
      <w:r>
        <w:t>strong</w:t>
      </w:r>
      <w:r>
        <w:rPr>
          <w:spacing w:val="12"/>
        </w:rPr>
        <w:t xml:space="preserve"> </w:t>
      </w:r>
      <w:r>
        <w:t>evidence</w:t>
      </w:r>
      <w:r>
        <w:rPr>
          <w:spacing w:val="12"/>
        </w:rPr>
        <w:t xml:space="preserve"> </w:t>
      </w:r>
      <w:r>
        <w:t>to</w:t>
      </w:r>
      <w:r>
        <w:rPr>
          <w:spacing w:val="12"/>
        </w:rPr>
        <w:t xml:space="preserve"> </w:t>
      </w:r>
      <w:r>
        <w:t>support</w:t>
      </w:r>
      <w:r>
        <w:rPr>
          <w:spacing w:val="12"/>
        </w:rPr>
        <w:t xml:space="preserve"> </w:t>
      </w:r>
      <w:r>
        <w:t>a</w:t>
      </w:r>
      <w:r>
        <w:rPr>
          <w:spacing w:val="12"/>
        </w:rPr>
        <w:t xml:space="preserve"> </w:t>
      </w:r>
      <w:r>
        <w:t>switch to an alternative framework</w:t>
      </w:r>
      <w:r w:rsidR="0068598E">
        <w:rPr>
          <w:spacing w:val="-18"/>
        </w:rPr>
        <w:t>.</w:t>
      </w:r>
      <w:r>
        <w:rPr>
          <w:w w:val="85"/>
        </w:rPr>
        <w:t xml:space="preserve"> </w:t>
      </w:r>
      <w:r>
        <w:t>The bulk of the consultations conducted by the Review supported the flexible inflation target framework because it had performed well and was understood by the public</w:t>
      </w:r>
      <w:r w:rsidR="0068598E">
        <w:rPr>
          <w:spacing w:val="-23"/>
        </w:rPr>
        <w:t>.</w:t>
      </w:r>
      <w:r>
        <w:rPr>
          <w:spacing w:val="1"/>
        </w:rPr>
        <w:t xml:space="preserve"> </w:t>
      </w:r>
      <w:r>
        <w:t>Alternatives</w:t>
      </w:r>
      <w:r>
        <w:rPr>
          <w:spacing w:val="2"/>
        </w:rPr>
        <w:t xml:space="preserve"> </w:t>
      </w:r>
      <w:r>
        <w:t>that</w:t>
      </w:r>
      <w:r>
        <w:rPr>
          <w:spacing w:val="2"/>
        </w:rPr>
        <w:t xml:space="preserve"> </w:t>
      </w:r>
      <w:r>
        <w:t>introduce</w:t>
      </w:r>
      <w:r>
        <w:rPr>
          <w:spacing w:val="2"/>
        </w:rPr>
        <w:t xml:space="preserve"> </w:t>
      </w:r>
      <w:r>
        <w:t>‘make-up’</w:t>
      </w:r>
      <w:r>
        <w:rPr>
          <w:spacing w:val="2"/>
        </w:rPr>
        <w:t xml:space="preserve"> </w:t>
      </w:r>
      <w:r>
        <w:t>strategies</w:t>
      </w:r>
      <w:r>
        <w:rPr>
          <w:spacing w:val="2"/>
        </w:rPr>
        <w:t xml:space="preserve"> </w:t>
      </w:r>
      <w:r>
        <w:t>or</w:t>
      </w:r>
      <w:r>
        <w:rPr>
          <w:spacing w:val="1"/>
        </w:rPr>
        <w:t xml:space="preserve"> </w:t>
      </w:r>
      <w:r>
        <w:t>nominal</w:t>
      </w:r>
      <w:r>
        <w:rPr>
          <w:spacing w:val="2"/>
        </w:rPr>
        <w:t xml:space="preserve"> </w:t>
      </w:r>
      <w:r>
        <w:t>income</w:t>
      </w:r>
      <w:r>
        <w:rPr>
          <w:spacing w:val="2"/>
        </w:rPr>
        <w:t xml:space="preserve"> </w:t>
      </w:r>
      <w:r>
        <w:t>targets</w:t>
      </w:r>
      <w:r>
        <w:rPr>
          <w:spacing w:val="2"/>
        </w:rPr>
        <w:t xml:space="preserve"> </w:t>
      </w:r>
      <w:r>
        <w:t>may</w:t>
      </w:r>
      <w:r>
        <w:rPr>
          <w:spacing w:val="2"/>
        </w:rPr>
        <w:t xml:space="preserve"> </w:t>
      </w:r>
      <w:r>
        <w:t>perform</w:t>
      </w:r>
      <w:r>
        <w:rPr>
          <w:spacing w:val="1"/>
        </w:rPr>
        <w:t xml:space="preserve"> </w:t>
      </w:r>
      <w:r>
        <w:rPr>
          <w:spacing w:val="-4"/>
        </w:rPr>
        <w:t>well</w:t>
      </w:r>
      <w:r>
        <w:t xml:space="preserve"> in</w:t>
      </w:r>
      <w:r>
        <w:rPr>
          <w:spacing w:val="3"/>
        </w:rPr>
        <w:t xml:space="preserve"> </w:t>
      </w:r>
      <w:r>
        <w:t>particular</w:t>
      </w:r>
      <w:r>
        <w:rPr>
          <w:spacing w:val="3"/>
        </w:rPr>
        <w:t xml:space="preserve"> </w:t>
      </w:r>
      <w:r>
        <w:t>circumstances,</w:t>
      </w:r>
      <w:r>
        <w:rPr>
          <w:spacing w:val="3"/>
        </w:rPr>
        <w:t xml:space="preserve"> </w:t>
      </w:r>
      <w:r>
        <w:t>but</w:t>
      </w:r>
      <w:r>
        <w:rPr>
          <w:spacing w:val="3"/>
        </w:rPr>
        <w:t xml:space="preserve"> </w:t>
      </w:r>
      <w:r>
        <w:t>they</w:t>
      </w:r>
      <w:r>
        <w:rPr>
          <w:spacing w:val="3"/>
        </w:rPr>
        <w:t xml:space="preserve"> </w:t>
      </w:r>
      <w:r>
        <w:t>also</w:t>
      </w:r>
      <w:r>
        <w:rPr>
          <w:spacing w:val="3"/>
        </w:rPr>
        <w:t xml:space="preserve"> </w:t>
      </w:r>
      <w:r>
        <w:t>have</w:t>
      </w:r>
      <w:r>
        <w:rPr>
          <w:spacing w:val="3"/>
        </w:rPr>
        <w:t xml:space="preserve"> </w:t>
      </w:r>
      <w:r>
        <w:t>disadvantages</w:t>
      </w:r>
      <w:r>
        <w:rPr>
          <w:spacing w:val="3"/>
        </w:rPr>
        <w:t xml:space="preserve"> </w:t>
      </w:r>
      <w:r>
        <w:t>relative</w:t>
      </w:r>
      <w:r>
        <w:rPr>
          <w:spacing w:val="3"/>
        </w:rPr>
        <w:t xml:space="preserve"> </w:t>
      </w:r>
      <w:r>
        <w:t>to</w:t>
      </w:r>
      <w:r>
        <w:rPr>
          <w:spacing w:val="3"/>
        </w:rPr>
        <w:t xml:space="preserve"> </w:t>
      </w:r>
      <w:r>
        <w:t>flexible</w:t>
      </w:r>
      <w:r>
        <w:rPr>
          <w:spacing w:val="3"/>
        </w:rPr>
        <w:t xml:space="preserve"> </w:t>
      </w:r>
      <w:r>
        <w:t>inflation</w:t>
      </w:r>
      <w:r>
        <w:rPr>
          <w:spacing w:val="3"/>
        </w:rPr>
        <w:t xml:space="preserve"> </w:t>
      </w:r>
      <w:r>
        <w:rPr>
          <w:spacing w:val="-2"/>
        </w:rPr>
        <w:t>targeting.</w:t>
      </w:r>
    </w:p>
    <w:p w14:paraId="3498BFD7" w14:textId="161A39AA" w:rsidR="004C327F" w:rsidRDefault="004C327F" w:rsidP="004C327F">
      <w:r>
        <w:t>The Review</w:t>
      </w:r>
      <w:r>
        <w:rPr>
          <w:spacing w:val="2"/>
        </w:rPr>
        <w:t xml:space="preserve"> </w:t>
      </w:r>
      <w:r>
        <w:t>has</w:t>
      </w:r>
      <w:r>
        <w:rPr>
          <w:spacing w:val="2"/>
        </w:rPr>
        <w:t xml:space="preserve"> </w:t>
      </w:r>
      <w:r>
        <w:t>also</w:t>
      </w:r>
      <w:r>
        <w:rPr>
          <w:spacing w:val="2"/>
        </w:rPr>
        <w:t xml:space="preserve"> </w:t>
      </w:r>
      <w:r>
        <w:t>identified</w:t>
      </w:r>
      <w:r>
        <w:rPr>
          <w:spacing w:val="2"/>
        </w:rPr>
        <w:t xml:space="preserve"> </w:t>
      </w:r>
      <w:r>
        <w:t>opportunities</w:t>
      </w:r>
      <w:r>
        <w:rPr>
          <w:spacing w:val="3"/>
        </w:rPr>
        <w:t xml:space="preserve"> </w:t>
      </w:r>
      <w:r>
        <w:t>to</w:t>
      </w:r>
      <w:r>
        <w:rPr>
          <w:spacing w:val="2"/>
        </w:rPr>
        <w:t xml:space="preserve"> </w:t>
      </w:r>
      <w:r>
        <w:t>refine</w:t>
      </w:r>
      <w:r>
        <w:rPr>
          <w:spacing w:val="2"/>
        </w:rPr>
        <w:t xml:space="preserve"> </w:t>
      </w:r>
      <w:r>
        <w:t>the</w:t>
      </w:r>
      <w:r>
        <w:rPr>
          <w:spacing w:val="2"/>
        </w:rPr>
        <w:t xml:space="preserve"> </w:t>
      </w:r>
      <w:r>
        <w:t>flexible</w:t>
      </w:r>
      <w:r>
        <w:rPr>
          <w:spacing w:val="2"/>
        </w:rPr>
        <w:t xml:space="preserve"> </w:t>
      </w:r>
      <w:r>
        <w:t>inflation</w:t>
      </w:r>
      <w:r>
        <w:rPr>
          <w:spacing w:val="2"/>
        </w:rPr>
        <w:t xml:space="preserve"> </w:t>
      </w:r>
      <w:r>
        <w:t>targeting</w:t>
      </w:r>
      <w:r>
        <w:rPr>
          <w:spacing w:val="3"/>
        </w:rPr>
        <w:t xml:space="preserve"> </w:t>
      </w:r>
      <w:r>
        <w:rPr>
          <w:spacing w:val="-2"/>
        </w:rPr>
        <w:t>framework,</w:t>
      </w:r>
      <w:r>
        <w:t xml:space="preserve"> which</w:t>
      </w:r>
      <w:r>
        <w:rPr>
          <w:spacing w:val="2"/>
        </w:rPr>
        <w:t xml:space="preserve"> </w:t>
      </w:r>
      <w:r>
        <w:t>are</w:t>
      </w:r>
      <w:r>
        <w:rPr>
          <w:spacing w:val="2"/>
        </w:rPr>
        <w:t xml:space="preserve"> </w:t>
      </w:r>
      <w:r>
        <w:t>described</w:t>
      </w:r>
      <w:r>
        <w:rPr>
          <w:spacing w:val="2"/>
        </w:rPr>
        <w:t xml:space="preserve"> </w:t>
      </w:r>
      <w:r>
        <w:t>in</w:t>
      </w:r>
      <w:r>
        <w:rPr>
          <w:spacing w:val="2"/>
        </w:rPr>
        <w:t xml:space="preserve"> </w:t>
      </w:r>
      <w:r>
        <w:t>the</w:t>
      </w:r>
      <w:r>
        <w:rPr>
          <w:spacing w:val="2"/>
        </w:rPr>
        <w:t xml:space="preserve"> </w:t>
      </w:r>
      <w:r>
        <w:t>following</w:t>
      </w:r>
      <w:r>
        <w:rPr>
          <w:spacing w:val="2"/>
        </w:rPr>
        <w:t xml:space="preserve"> </w:t>
      </w:r>
      <w:r>
        <w:t>sections</w:t>
      </w:r>
      <w:r w:rsidR="0068598E">
        <w:rPr>
          <w:spacing w:val="-22"/>
        </w:rPr>
        <w:t>.</w:t>
      </w:r>
    </w:p>
    <w:p w14:paraId="7230265A" w14:textId="5F879264" w:rsidR="00CC1ACD" w:rsidRDefault="004C327F" w:rsidP="004C327F">
      <w:pPr>
        <w:rPr>
          <w:w w:val="85"/>
        </w:rPr>
      </w:pPr>
      <w:r>
        <w:t>Appendix 2 includes a summary of the possible benefits and limitations of alternative frameworks, including average inflation targeting, price level targeting, nominal income level targeting and nominal income growth targeting</w:t>
      </w:r>
      <w:r w:rsidR="0068598E">
        <w:rPr>
          <w:spacing w:val="-9"/>
        </w:rPr>
        <w:t>.</w:t>
      </w:r>
    </w:p>
    <w:p w14:paraId="514AD57D" w14:textId="77777777" w:rsidR="00CC1ACD" w:rsidRDefault="00CC1ACD" w:rsidP="00CC1ACD">
      <w:pPr>
        <w:pStyle w:val="Heading4"/>
      </w:pPr>
      <w:r>
        <w:lastRenderedPageBreak/>
        <w:t xml:space="preserve">Be clear that the framework gives the dual mandate objectives equal </w:t>
      </w:r>
      <w:r>
        <w:rPr>
          <w:spacing w:val="-2"/>
        </w:rPr>
        <w:t>consideration</w:t>
      </w:r>
    </w:p>
    <w:p w14:paraId="3EECF919" w14:textId="1E7CE8C9" w:rsidR="00CC1ACD" w:rsidRDefault="00CC1ACD" w:rsidP="00CC1ACD">
      <w:r>
        <w:t>The Review supports the equal consideration of monetary policy’s objectives for price stability and full employment and recommends this is emphasised in the Statement on Conduct</w:t>
      </w:r>
      <w:r w:rsidR="0068598E">
        <w:rPr>
          <w:spacing w:val="-18"/>
        </w:rPr>
        <w:t>.</w:t>
      </w:r>
    </w:p>
    <w:p w14:paraId="241D0202" w14:textId="14064DE1" w:rsidR="00CC1ACD" w:rsidRDefault="00CC1ACD" w:rsidP="00CC1ACD">
      <w:r>
        <w:t>A flexible inflation targeting framework presents to some as focusing on the price stability objective over the full employment objective</w:t>
      </w:r>
      <w:r w:rsidR="0068598E">
        <w:rPr>
          <w:spacing w:val="-20"/>
        </w:rPr>
        <w:t>.</w:t>
      </w:r>
      <w:r>
        <w:rPr>
          <w:w w:val="85"/>
        </w:rPr>
        <w:t xml:space="preserve"> </w:t>
      </w:r>
      <w:r>
        <w:t>However, a central bank is able to give equal consideration to both objectives within such a framework, when those objectives are considered over the medium run. In fact, other central banks with dual mandates also use flexible inflation targeting frameworks. This recognises two things:</w:t>
      </w:r>
    </w:p>
    <w:p w14:paraId="3ABD10F8" w14:textId="35AFF4D6" w:rsidR="00CC1ACD" w:rsidRDefault="00CC1ACD" w:rsidP="0000278A">
      <w:pPr>
        <w:pStyle w:val="Bullet"/>
      </w:pPr>
      <w:r>
        <w:t>That flexibility within the inflation targeting framework allows for both objectives to be weighed when they are in conflict in the short term. For example, if inflation is above target and employment below target following a protracted supply disruption, the RBA can seek to return inflation to target more gradually than otherwise in order to foster better employment outcomes.</w:t>
      </w:r>
      <w:r w:rsidRPr="00CC1ACD">
        <w:rPr>
          <w:spacing w:val="-1"/>
        </w:rPr>
        <w:t xml:space="preserve"> </w:t>
      </w:r>
      <w:r>
        <w:t>At</w:t>
      </w:r>
      <w:r w:rsidRPr="00CC1ACD">
        <w:rPr>
          <w:spacing w:val="1"/>
        </w:rPr>
        <w:t xml:space="preserve"> </w:t>
      </w:r>
      <w:r>
        <w:t>other</w:t>
      </w:r>
      <w:r w:rsidRPr="00CC1ACD">
        <w:rPr>
          <w:spacing w:val="1"/>
        </w:rPr>
        <w:t xml:space="preserve"> </w:t>
      </w:r>
      <w:r>
        <w:t>times,</w:t>
      </w:r>
      <w:r w:rsidRPr="00CC1ACD">
        <w:rPr>
          <w:spacing w:val="1"/>
        </w:rPr>
        <w:t xml:space="preserve"> </w:t>
      </w:r>
      <w:r>
        <w:t>the</w:t>
      </w:r>
      <w:r w:rsidRPr="00CC1ACD">
        <w:rPr>
          <w:spacing w:val="1"/>
        </w:rPr>
        <w:t xml:space="preserve"> </w:t>
      </w:r>
      <w:r>
        <w:t>two</w:t>
      </w:r>
      <w:r w:rsidRPr="00CC1ACD">
        <w:rPr>
          <w:spacing w:val="2"/>
        </w:rPr>
        <w:t xml:space="preserve"> </w:t>
      </w:r>
      <w:r>
        <w:t>objectives</w:t>
      </w:r>
      <w:r w:rsidRPr="00CC1ACD">
        <w:rPr>
          <w:spacing w:val="1"/>
        </w:rPr>
        <w:t xml:space="preserve"> </w:t>
      </w:r>
      <w:r>
        <w:t>will</w:t>
      </w:r>
      <w:r w:rsidRPr="00CC1ACD">
        <w:rPr>
          <w:spacing w:val="1"/>
        </w:rPr>
        <w:t xml:space="preserve"> </w:t>
      </w:r>
      <w:r>
        <w:t>not</w:t>
      </w:r>
      <w:r w:rsidRPr="00CC1ACD">
        <w:rPr>
          <w:spacing w:val="1"/>
        </w:rPr>
        <w:t xml:space="preserve"> </w:t>
      </w:r>
      <w:r>
        <w:t>be</w:t>
      </w:r>
      <w:r w:rsidRPr="00CC1ACD">
        <w:rPr>
          <w:spacing w:val="1"/>
        </w:rPr>
        <w:t xml:space="preserve"> </w:t>
      </w:r>
      <w:r>
        <w:t>in</w:t>
      </w:r>
      <w:r w:rsidRPr="00CC1ACD">
        <w:rPr>
          <w:spacing w:val="2"/>
        </w:rPr>
        <w:t xml:space="preserve"> </w:t>
      </w:r>
      <w:r>
        <w:t>conflict</w:t>
      </w:r>
      <w:r w:rsidRPr="00CC1ACD">
        <w:rPr>
          <w:spacing w:val="1"/>
        </w:rPr>
        <w:t xml:space="preserve"> </w:t>
      </w:r>
      <w:r>
        <w:t>and</w:t>
      </w:r>
      <w:r w:rsidRPr="00CC1ACD">
        <w:rPr>
          <w:spacing w:val="1"/>
        </w:rPr>
        <w:t xml:space="preserve"> </w:t>
      </w:r>
      <w:r>
        <w:t>it</w:t>
      </w:r>
      <w:r w:rsidRPr="00CC1ACD">
        <w:rPr>
          <w:spacing w:val="1"/>
        </w:rPr>
        <w:t xml:space="preserve"> </w:t>
      </w:r>
      <w:r>
        <w:t>is</w:t>
      </w:r>
      <w:r w:rsidRPr="00CC1ACD">
        <w:rPr>
          <w:spacing w:val="1"/>
        </w:rPr>
        <w:t xml:space="preserve"> </w:t>
      </w:r>
      <w:r>
        <w:t>more</w:t>
      </w:r>
      <w:r w:rsidRPr="00CC1ACD">
        <w:rPr>
          <w:spacing w:val="2"/>
        </w:rPr>
        <w:t xml:space="preserve"> </w:t>
      </w:r>
      <w:r w:rsidRPr="00CC1ACD">
        <w:rPr>
          <w:spacing w:val="-2"/>
        </w:rPr>
        <w:t>straightforward</w:t>
      </w:r>
      <w:r>
        <w:rPr>
          <w:spacing w:val="-2"/>
        </w:rPr>
        <w:t xml:space="preserve"> </w:t>
      </w:r>
      <w:r>
        <w:t>for</w:t>
      </w:r>
      <w:r w:rsidRPr="00CC1ACD">
        <w:rPr>
          <w:spacing w:val="2"/>
        </w:rPr>
        <w:t xml:space="preserve"> </w:t>
      </w:r>
      <w:r>
        <w:t>monetary</w:t>
      </w:r>
      <w:r w:rsidRPr="00CC1ACD">
        <w:rPr>
          <w:spacing w:val="3"/>
        </w:rPr>
        <w:t xml:space="preserve"> </w:t>
      </w:r>
      <w:r>
        <w:t>policy</w:t>
      </w:r>
      <w:r w:rsidRPr="00CC1ACD">
        <w:rPr>
          <w:spacing w:val="2"/>
        </w:rPr>
        <w:t xml:space="preserve"> </w:t>
      </w:r>
      <w:r>
        <w:t>to</w:t>
      </w:r>
      <w:r w:rsidRPr="00CC1ACD">
        <w:rPr>
          <w:spacing w:val="3"/>
        </w:rPr>
        <w:t xml:space="preserve"> </w:t>
      </w:r>
      <w:r>
        <w:t>contribute</w:t>
      </w:r>
      <w:r w:rsidRPr="00CC1ACD">
        <w:rPr>
          <w:spacing w:val="3"/>
        </w:rPr>
        <w:t xml:space="preserve"> </w:t>
      </w:r>
      <w:r>
        <w:t>to</w:t>
      </w:r>
      <w:r w:rsidRPr="00CC1ACD">
        <w:rPr>
          <w:spacing w:val="2"/>
        </w:rPr>
        <w:t xml:space="preserve"> </w:t>
      </w:r>
      <w:r>
        <w:t>both</w:t>
      </w:r>
      <w:r w:rsidR="0068598E">
        <w:rPr>
          <w:spacing w:val="-22"/>
        </w:rPr>
        <w:t>.</w:t>
      </w:r>
    </w:p>
    <w:p w14:paraId="0240DCB4" w14:textId="246DE515" w:rsidR="00CC1ACD" w:rsidRDefault="00CC1ACD" w:rsidP="0000278A">
      <w:pPr>
        <w:pStyle w:val="Bullet"/>
      </w:pPr>
      <w:r>
        <w:t>That price stability is an important foundation for a strong economy, including good employment outcomes over the medium run</w:t>
      </w:r>
      <w:r w:rsidR="0068598E">
        <w:rPr>
          <w:spacing w:val="-21"/>
        </w:rPr>
        <w:t>.</w:t>
      </w:r>
      <w:r>
        <w:rPr>
          <w:w w:val="85"/>
        </w:rPr>
        <w:t xml:space="preserve"> </w:t>
      </w:r>
      <w:r>
        <w:t>In the example of a protracted supply disruption, price stability may be emphasised in the short term, even as some weight is given to minimising the cost to employment</w:t>
      </w:r>
      <w:r w:rsidR="0068598E">
        <w:rPr>
          <w:spacing w:val="-22"/>
        </w:rPr>
        <w:t>.</w:t>
      </w:r>
      <w:r>
        <w:rPr>
          <w:w w:val="85"/>
        </w:rPr>
        <w:t xml:space="preserve"> </w:t>
      </w:r>
      <w:r>
        <w:t>In so doing, monetary policy is supporting good outcomes for both objectives over the medium run</w:t>
      </w:r>
      <w:r w:rsidR="0068598E">
        <w:rPr>
          <w:spacing w:val="-11"/>
        </w:rPr>
        <w:t>.</w:t>
      </w:r>
    </w:p>
    <w:p w14:paraId="0D5F9A5E" w14:textId="658A0FA1" w:rsidR="00CC1ACD" w:rsidRDefault="00CC1ACD" w:rsidP="00CC1ACD">
      <w:r>
        <w:t>Equal consideration of the objectives does not prescribe a fixed decision rule for how monetary policy should respond to all economic circumstances</w:t>
      </w:r>
      <w:r w:rsidR="0068598E">
        <w:rPr>
          <w:spacing w:val="-18"/>
        </w:rPr>
        <w:t>.</w:t>
      </w:r>
      <w:r>
        <w:rPr>
          <w:w w:val="85"/>
        </w:rPr>
        <w:t xml:space="preserve"> </w:t>
      </w:r>
      <w:r>
        <w:t>These decisions are complex and the Monetary Policy Board is best placed to determine the appropriate action in the face of deviations from the inflation and employment targets.</w:t>
      </w:r>
    </w:p>
    <w:p w14:paraId="6AE1D5FE" w14:textId="77777777" w:rsidR="00CC1ACD" w:rsidRDefault="00CC1ACD" w:rsidP="00BD37F8">
      <w:pPr>
        <w:pStyle w:val="Heading4"/>
      </w:pPr>
      <w:r>
        <w:t>A 2-3</w:t>
      </w:r>
      <w:r>
        <w:rPr>
          <w:spacing w:val="1"/>
        </w:rPr>
        <w:t xml:space="preserve"> </w:t>
      </w:r>
      <w:r>
        <w:t>per</w:t>
      </w:r>
      <w:r>
        <w:rPr>
          <w:spacing w:val="1"/>
        </w:rPr>
        <w:t xml:space="preserve"> </w:t>
      </w:r>
      <w:r>
        <w:t>cent target</w:t>
      </w:r>
      <w:r>
        <w:rPr>
          <w:spacing w:val="1"/>
        </w:rPr>
        <w:t xml:space="preserve"> </w:t>
      </w:r>
      <w:r>
        <w:t>is</w:t>
      </w:r>
      <w:r>
        <w:rPr>
          <w:spacing w:val="1"/>
        </w:rPr>
        <w:t xml:space="preserve"> </w:t>
      </w:r>
      <w:r>
        <w:rPr>
          <w:spacing w:val="-2"/>
        </w:rPr>
        <w:t>appropriate</w:t>
      </w:r>
    </w:p>
    <w:p w14:paraId="1FA33DD5" w14:textId="6F6F971F" w:rsidR="00CC1ACD" w:rsidRDefault="00CC1ACD" w:rsidP="00BD37F8">
      <w:r>
        <w:t>The</w:t>
      </w:r>
      <w:r>
        <w:rPr>
          <w:spacing w:val="-2"/>
        </w:rPr>
        <w:t xml:space="preserve"> </w:t>
      </w:r>
      <w:r>
        <w:t>Review</w:t>
      </w:r>
      <w:r>
        <w:rPr>
          <w:spacing w:val="1"/>
        </w:rPr>
        <w:t xml:space="preserve"> </w:t>
      </w:r>
      <w:r>
        <w:t>supports</w:t>
      </w:r>
      <w:r>
        <w:rPr>
          <w:spacing w:val="1"/>
        </w:rPr>
        <w:t xml:space="preserve"> </w:t>
      </w:r>
      <w:r>
        <w:t>a</w:t>
      </w:r>
      <w:r>
        <w:rPr>
          <w:spacing w:val="1"/>
        </w:rPr>
        <w:t xml:space="preserve"> </w:t>
      </w:r>
      <w:r>
        <w:t>flexible</w:t>
      </w:r>
      <w:r>
        <w:rPr>
          <w:spacing w:val="1"/>
        </w:rPr>
        <w:t xml:space="preserve"> </w:t>
      </w:r>
      <w:r>
        <w:t>inflation</w:t>
      </w:r>
      <w:r>
        <w:rPr>
          <w:spacing w:val="1"/>
        </w:rPr>
        <w:t xml:space="preserve"> </w:t>
      </w:r>
      <w:r>
        <w:t>target</w:t>
      </w:r>
      <w:r>
        <w:rPr>
          <w:spacing w:val="1"/>
        </w:rPr>
        <w:t xml:space="preserve"> </w:t>
      </w:r>
      <w:r>
        <w:t>of</w:t>
      </w:r>
      <w:r>
        <w:rPr>
          <w:spacing w:val="1"/>
        </w:rPr>
        <w:t xml:space="preserve"> </w:t>
      </w:r>
      <w:r>
        <w:t>2-3 per</w:t>
      </w:r>
      <w:r>
        <w:rPr>
          <w:spacing w:val="1"/>
        </w:rPr>
        <w:t xml:space="preserve"> </w:t>
      </w:r>
      <w:r>
        <w:t>cent.</w:t>
      </w:r>
      <w:r>
        <w:rPr>
          <w:spacing w:val="1"/>
        </w:rPr>
        <w:t xml:space="preserve"> </w:t>
      </w:r>
      <w:r>
        <w:t>It</w:t>
      </w:r>
      <w:r>
        <w:rPr>
          <w:spacing w:val="1"/>
        </w:rPr>
        <w:t xml:space="preserve"> </w:t>
      </w:r>
      <w:r>
        <w:t>is</w:t>
      </w:r>
      <w:r>
        <w:rPr>
          <w:spacing w:val="1"/>
        </w:rPr>
        <w:t xml:space="preserve"> </w:t>
      </w:r>
      <w:r>
        <w:t>well</w:t>
      </w:r>
      <w:r>
        <w:rPr>
          <w:spacing w:val="1"/>
        </w:rPr>
        <w:t xml:space="preserve"> </w:t>
      </w:r>
      <w:r>
        <w:t>understood,</w:t>
      </w:r>
      <w:r>
        <w:rPr>
          <w:spacing w:val="1"/>
        </w:rPr>
        <w:t xml:space="preserve"> </w:t>
      </w:r>
      <w:r>
        <w:t>it</w:t>
      </w:r>
      <w:r>
        <w:rPr>
          <w:spacing w:val="1"/>
        </w:rPr>
        <w:t xml:space="preserve"> </w:t>
      </w:r>
      <w:r>
        <w:t>is</w:t>
      </w:r>
      <w:r>
        <w:rPr>
          <w:spacing w:val="1"/>
        </w:rPr>
        <w:t xml:space="preserve"> </w:t>
      </w:r>
      <w:r>
        <w:rPr>
          <w:spacing w:val="-2"/>
        </w:rPr>
        <w:t>credible</w:t>
      </w:r>
      <w:r w:rsidR="00BD37F8">
        <w:rPr>
          <w:spacing w:val="-2"/>
        </w:rPr>
        <w:t xml:space="preserve"> </w:t>
      </w:r>
      <w:r>
        <w:t>to the public, and has supported good economic outcomes</w:t>
      </w:r>
      <w:r w:rsidR="0068598E">
        <w:rPr>
          <w:spacing w:val="-19"/>
        </w:rPr>
        <w:t>.</w:t>
      </w:r>
      <w:r>
        <w:rPr>
          <w:w w:val="85"/>
        </w:rPr>
        <w:t xml:space="preserve"> </w:t>
      </w:r>
      <w:r>
        <w:t>There is sound evidence that it has supported stable inflation expectations over the past three decades (see Chapter 1: Performance). It is appropriate in both its level and range</w:t>
      </w:r>
      <w:r w:rsidR="0068598E">
        <w:rPr>
          <w:spacing w:val="-16"/>
        </w:rPr>
        <w:t>.</w:t>
      </w:r>
    </w:p>
    <w:p w14:paraId="0B83FB7E" w14:textId="0BF763E0" w:rsidR="00E24EB5" w:rsidRDefault="00CC1ACD" w:rsidP="0000278A">
      <w:pPr>
        <w:pStyle w:val="Bullet"/>
      </w:pPr>
      <w:r w:rsidRPr="00E24EB5">
        <w:rPr>
          <w:rFonts w:ascii="Open Sans" w:hAnsi="Open Sans"/>
          <w:b/>
        </w:rPr>
        <w:t xml:space="preserve">Level of the target: </w:t>
      </w:r>
      <w:r>
        <w:t>The Review recommends that the level of the inflation target remain such that its midpoint is 2½ per cent</w:t>
      </w:r>
      <w:r w:rsidR="0068598E">
        <w:rPr>
          <w:spacing w:val="-20"/>
        </w:rPr>
        <w:t>.</w:t>
      </w:r>
      <w:r w:rsidRPr="00E24EB5">
        <w:rPr>
          <w:w w:val="85"/>
        </w:rPr>
        <w:t xml:space="preserve"> </w:t>
      </w:r>
      <w:r>
        <w:t>The Review heard arguments for both a higher and a lower target and has noted the mix of views in academic literature (Lockyer 2022)</w:t>
      </w:r>
      <w:r w:rsidR="0068598E">
        <w:rPr>
          <w:spacing w:val="-20"/>
        </w:rPr>
        <w:t>.</w:t>
      </w:r>
      <w:r w:rsidRPr="00E24EB5">
        <w:rPr>
          <w:w w:val="85"/>
        </w:rPr>
        <w:t xml:space="preserve"> </w:t>
      </w:r>
      <w:r>
        <w:t>A higher target would have the benefit of increasing distance between the nominal neutral interest rate and the effective lower bound on the policy rate, increasing the capacity of monetary policy to respond</w:t>
      </w:r>
      <w:r w:rsidRPr="00E24EB5">
        <w:rPr>
          <w:spacing w:val="40"/>
        </w:rPr>
        <w:t xml:space="preserve"> </w:t>
      </w:r>
      <w:r>
        <w:t>to downturns with the cash rate, before facing the effective lower bound. It would come at the cost of higher inflation on average, which would have redistributive effects on announcement (benefiting borrowers relative to savers) and increase bracket creep in the tax system.</w:t>
      </w:r>
    </w:p>
    <w:p w14:paraId="302455EF" w14:textId="6FDCFA87" w:rsidR="00E24EB5" w:rsidRDefault="00CC1ACD" w:rsidP="00E24EB5">
      <w:pPr>
        <w:pStyle w:val="Bullet"/>
        <w:numPr>
          <w:ilvl w:val="0"/>
          <w:numId w:val="0"/>
        </w:numPr>
        <w:ind w:left="284"/>
      </w:pPr>
      <w:r>
        <w:t>Regardless of the merits of higher inflation in general, the Review does not recommend increasing the inflation target during the present period of high inflation. To do so could undermine the credibility of the RBA in responding to future periods of above-target inflation.</w:t>
      </w:r>
      <w:r w:rsidR="00E24EB5">
        <w:t xml:space="preserve"> </w:t>
      </w:r>
    </w:p>
    <w:p w14:paraId="619C6189" w14:textId="77777777" w:rsidR="00E24EB5" w:rsidRDefault="00CC1ACD" w:rsidP="00E24EB5">
      <w:pPr>
        <w:pStyle w:val="Bullet"/>
        <w:numPr>
          <w:ilvl w:val="0"/>
          <w:numId w:val="0"/>
        </w:numPr>
        <w:ind w:left="284"/>
      </w:pPr>
      <w:r>
        <w:t>A lower target would also not be appropriate. It would exacerbate the constraint of the effective lower bound during downturns, and in the short run, would make it even more difficult for the RBA to balance its employment objective as it seeks to moderate current high inflation.</w:t>
      </w:r>
    </w:p>
    <w:p w14:paraId="5CDDD7B6" w14:textId="77777777" w:rsidR="00A919D8" w:rsidRDefault="00CC1ACD" w:rsidP="00A919D8">
      <w:pPr>
        <w:pStyle w:val="Bullet"/>
        <w:numPr>
          <w:ilvl w:val="0"/>
          <w:numId w:val="0"/>
        </w:numPr>
        <w:ind w:left="284"/>
        <w:rPr>
          <w:spacing w:val="-2"/>
        </w:rPr>
      </w:pPr>
      <w:r>
        <w:t>The</w:t>
      </w:r>
      <w:r>
        <w:rPr>
          <w:spacing w:val="-2"/>
        </w:rPr>
        <w:t xml:space="preserve"> </w:t>
      </w:r>
      <w:r>
        <w:t>Review</w:t>
      </w:r>
      <w:r>
        <w:rPr>
          <w:spacing w:val="1"/>
        </w:rPr>
        <w:t xml:space="preserve"> </w:t>
      </w:r>
      <w:r>
        <w:t>does</w:t>
      </w:r>
      <w:r>
        <w:rPr>
          <w:spacing w:val="1"/>
        </w:rPr>
        <w:t xml:space="preserve"> </w:t>
      </w:r>
      <w:r>
        <w:t>not</w:t>
      </w:r>
      <w:r>
        <w:rPr>
          <w:spacing w:val="1"/>
        </w:rPr>
        <w:t xml:space="preserve"> </w:t>
      </w:r>
      <w:r>
        <w:t>consider</w:t>
      </w:r>
      <w:r>
        <w:rPr>
          <w:spacing w:val="1"/>
        </w:rPr>
        <w:t xml:space="preserve"> </w:t>
      </w:r>
      <w:r>
        <w:t>there</w:t>
      </w:r>
      <w:r>
        <w:rPr>
          <w:spacing w:val="1"/>
        </w:rPr>
        <w:t xml:space="preserve"> </w:t>
      </w:r>
      <w:r>
        <w:t>to</w:t>
      </w:r>
      <w:r>
        <w:rPr>
          <w:spacing w:val="1"/>
        </w:rPr>
        <w:t xml:space="preserve"> </w:t>
      </w:r>
      <w:r>
        <w:t>be a</w:t>
      </w:r>
      <w:r>
        <w:rPr>
          <w:spacing w:val="1"/>
        </w:rPr>
        <w:t xml:space="preserve"> </w:t>
      </w:r>
      <w:r>
        <w:t>fundamental</w:t>
      </w:r>
      <w:r>
        <w:rPr>
          <w:spacing w:val="1"/>
        </w:rPr>
        <w:t xml:space="preserve"> </w:t>
      </w:r>
      <w:r>
        <w:t>issue</w:t>
      </w:r>
      <w:r>
        <w:rPr>
          <w:spacing w:val="1"/>
        </w:rPr>
        <w:t xml:space="preserve"> </w:t>
      </w:r>
      <w:r>
        <w:t>with</w:t>
      </w:r>
      <w:r>
        <w:rPr>
          <w:spacing w:val="1"/>
        </w:rPr>
        <w:t xml:space="preserve"> </w:t>
      </w:r>
      <w:r>
        <w:t>Australia</w:t>
      </w:r>
      <w:r>
        <w:rPr>
          <w:spacing w:val="1"/>
        </w:rPr>
        <w:t xml:space="preserve"> </w:t>
      </w:r>
      <w:r>
        <w:t>having</w:t>
      </w:r>
      <w:r>
        <w:rPr>
          <w:spacing w:val="1"/>
        </w:rPr>
        <w:t xml:space="preserve"> </w:t>
      </w:r>
      <w:r>
        <w:t>a</w:t>
      </w:r>
      <w:r>
        <w:rPr>
          <w:spacing w:val="1"/>
        </w:rPr>
        <w:t xml:space="preserve"> </w:t>
      </w:r>
      <w:r>
        <w:rPr>
          <w:spacing w:val="-2"/>
        </w:rPr>
        <w:t>slightly</w:t>
      </w:r>
      <w:r w:rsidR="00BD37F8">
        <w:rPr>
          <w:spacing w:val="-2"/>
        </w:rPr>
        <w:t xml:space="preserve"> </w:t>
      </w:r>
      <w:r>
        <w:t>higher</w:t>
      </w:r>
      <w:r>
        <w:rPr>
          <w:spacing w:val="-1"/>
        </w:rPr>
        <w:t xml:space="preserve"> </w:t>
      </w:r>
      <w:r>
        <w:t>average</w:t>
      </w:r>
      <w:r>
        <w:rPr>
          <w:spacing w:val="-1"/>
        </w:rPr>
        <w:t xml:space="preserve"> </w:t>
      </w:r>
      <w:r>
        <w:t>level</w:t>
      </w:r>
      <w:r>
        <w:rPr>
          <w:spacing w:val="-1"/>
        </w:rPr>
        <w:t xml:space="preserve"> </w:t>
      </w:r>
      <w:r>
        <w:t>of</w:t>
      </w:r>
      <w:r>
        <w:rPr>
          <w:spacing w:val="-1"/>
        </w:rPr>
        <w:t xml:space="preserve"> </w:t>
      </w:r>
      <w:r>
        <w:t>inflation</w:t>
      </w:r>
      <w:r>
        <w:rPr>
          <w:spacing w:val="-1"/>
        </w:rPr>
        <w:t xml:space="preserve"> </w:t>
      </w:r>
      <w:r>
        <w:t>to</w:t>
      </w:r>
      <w:r>
        <w:rPr>
          <w:spacing w:val="-1"/>
        </w:rPr>
        <w:t xml:space="preserve"> </w:t>
      </w:r>
      <w:r>
        <w:t>other</w:t>
      </w:r>
      <w:r>
        <w:rPr>
          <w:spacing w:val="-1"/>
        </w:rPr>
        <w:t xml:space="preserve"> </w:t>
      </w:r>
      <w:r>
        <w:t xml:space="preserve">similar </w:t>
      </w:r>
      <w:r>
        <w:rPr>
          <w:spacing w:val="-2"/>
        </w:rPr>
        <w:t>economies.</w:t>
      </w:r>
    </w:p>
    <w:p w14:paraId="2D5749C3" w14:textId="3F91F12B" w:rsidR="00A17B82" w:rsidRPr="00A919D8" w:rsidRDefault="00A17B82" w:rsidP="0000278A">
      <w:pPr>
        <w:pStyle w:val="Bullet"/>
        <w:rPr>
          <w:spacing w:val="-2"/>
        </w:rPr>
      </w:pPr>
      <w:r>
        <w:rPr>
          <w:rFonts w:ascii="Open Sans" w:hAnsi="Open Sans"/>
          <w:b/>
        </w:rPr>
        <w:lastRenderedPageBreak/>
        <w:t xml:space="preserve">Range of the target: </w:t>
      </w:r>
      <w:r>
        <w:t>The Review is comfortable with a target range of 2-3 per cent, since consultations suggested it was well understood and is consistent with the idea that it is not possible to control inflation with any great precision. A range target provides the RBA with reasonable leeway when being held accountable after the fact for inflation outcomes.</w:t>
      </w:r>
    </w:p>
    <w:p w14:paraId="36D11F2E" w14:textId="77777777" w:rsidR="00A17B82" w:rsidRDefault="00A17B82" w:rsidP="00A17B82">
      <w:pPr>
        <w:pStyle w:val="Heading4"/>
      </w:pPr>
      <w:r>
        <w:t>Aim</w:t>
      </w:r>
      <w:r>
        <w:rPr>
          <w:spacing w:val="-2"/>
        </w:rPr>
        <w:t xml:space="preserve"> </w:t>
      </w:r>
      <w:r>
        <w:t>to</w:t>
      </w:r>
      <w:r>
        <w:rPr>
          <w:spacing w:val="-1"/>
        </w:rPr>
        <w:t xml:space="preserve"> </w:t>
      </w:r>
      <w:r>
        <w:t>keep</w:t>
      </w:r>
      <w:r>
        <w:rPr>
          <w:spacing w:val="-2"/>
        </w:rPr>
        <w:t xml:space="preserve"> </w:t>
      </w:r>
      <w:r>
        <w:t>inflation</w:t>
      </w:r>
      <w:r>
        <w:rPr>
          <w:spacing w:val="-1"/>
        </w:rPr>
        <w:t xml:space="preserve"> </w:t>
      </w:r>
      <w:r>
        <w:t>at</w:t>
      </w:r>
      <w:r>
        <w:rPr>
          <w:spacing w:val="-1"/>
        </w:rPr>
        <w:t xml:space="preserve"> </w:t>
      </w:r>
      <w:r>
        <w:t>the</w:t>
      </w:r>
      <w:r>
        <w:rPr>
          <w:spacing w:val="-2"/>
        </w:rPr>
        <w:t xml:space="preserve"> midpoint</w:t>
      </w:r>
    </w:p>
    <w:p w14:paraId="6E7F50ED" w14:textId="3E4B58AC" w:rsidR="00A17B82" w:rsidRDefault="00A17B82" w:rsidP="00A17B82">
      <w:r>
        <w:t>In</w:t>
      </w:r>
      <w:r>
        <w:rPr>
          <w:spacing w:val="-1"/>
        </w:rPr>
        <w:t xml:space="preserve"> </w:t>
      </w:r>
      <w:r>
        <w:t>retaining</w:t>
      </w:r>
      <w:r>
        <w:rPr>
          <w:spacing w:val="2"/>
        </w:rPr>
        <w:t xml:space="preserve"> </w:t>
      </w:r>
      <w:r>
        <w:t>a</w:t>
      </w:r>
      <w:r>
        <w:rPr>
          <w:spacing w:val="1"/>
        </w:rPr>
        <w:t xml:space="preserve"> </w:t>
      </w:r>
      <w:r>
        <w:t>2-3</w:t>
      </w:r>
      <w:r>
        <w:rPr>
          <w:spacing w:val="2"/>
        </w:rPr>
        <w:t xml:space="preserve"> </w:t>
      </w:r>
      <w:r>
        <w:t>per</w:t>
      </w:r>
      <w:r>
        <w:rPr>
          <w:spacing w:val="2"/>
        </w:rPr>
        <w:t xml:space="preserve"> </w:t>
      </w:r>
      <w:r>
        <w:t>cent</w:t>
      </w:r>
      <w:r>
        <w:rPr>
          <w:spacing w:val="1"/>
        </w:rPr>
        <w:t xml:space="preserve"> </w:t>
      </w:r>
      <w:r>
        <w:t>target,</w:t>
      </w:r>
      <w:r>
        <w:rPr>
          <w:spacing w:val="2"/>
        </w:rPr>
        <w:t xml:space="preserve"> </w:t>
      </w:r>
      <w:r>
        <w:t>the</w:t>
      </w:r>
      <w:r>
        <w:rPr>
          <w:spacing w:val="2"/>
        </w:rPr>
        <w:t xml:space="preserve"> </w:t>
      </w:r>
      <w:r>
        <w:t>Monetary</w:t>
      </w:r>
      <w:r>
        <w:rPr>
          <w:spacing w:val="1"/>
        </w:rPr>
        <w:t xml:space="preserve"> </w:t>
      </w:r>
      <w:r>
        <w:t>Policy</w:t>
      </w:r>
      <w:r>
        <w:rPr>
          <w:spacing w:val="2"/>
        </w:rPr>
        <w:t xml:space="preserve"> </w:t>
      </w:r>
      <w:r>
        <w:t>Board</w:t>
      </w:r>
      <w:r>
        <w:rPr>
          <w:spacing w:val="1"/>
        </w:rPr>
        <w:t xml:space="preserve"> </w:t>
      </w:r>
      <w:r>
        <w:t>should</w:t>
      </w:r>
      <w:r>
        <w:rPr>
          <w:spacing w:val="2"/>
        </w:rPr>
        <w:t xml:space="preserve"> </w:t>
      </w:r>
      <w:r>
        <w:t>clarify</w:t>
      </w:r>
      <w:r>
        <w:rPr>
          <w:spacing w:val="2"/>
        </w:rPr>
        <w:t xml:space="preserve"> </w:t>
      </w:r>
      <w:r>
        <w:t>that</w:t>
      </w:r>
      <w:r>
        <w:rPr>
          <w:spacing w:val="1"/>
        </w:rPr>
        <w:t xml:space="preserve"> </w:t>
      </w:r>
      <w:r>
        <w:t>it</w:t>
      </w:r>
      <w:r>
        <w:rPr>
          <w:spacing w:val="2"/>
        </w:rPr>
        <w:t xml:space="preserve"> </w:t>
      </w:r>
      <w:r>
        <w:t>sets</w:t>
      </w:r>
      <w:r>
        <w:rPr>
          <w:spacing w:val="2"/>
        </w:rPr>
        <w:t xml:space="preserve"> </w:t>
      </w:r>
      <w:r>
        <w:rPr>
          <w:spacing w:val="-2"/>
        </w:rPr>
        <w:t xml:space="preserve">policy </w:t>
      </w:r>
      <w:r>
        <w:t>with the aim of keeping inflation around the midpoint of the target. Aiming for the midpoint will maximise</w:t>
      </w:r>
      <w:r>
        <w:rPr>
          <w:spacing w:val="-1"/>
        </w:rPr>
        <w:t xml:space="preserve"> </w:t>
      </w:r>
      <w:r>
        <w:t>the</w:t>
      </w:r>
      <w:r>
        <w:rPr>
          <w:spacing w:val="-1"/>
        </w:rPr>
        <w:t xml:space="preserve"> </w:t>
      </w:r>
      <w:r>
        <w:t>chance</w:t>
      </w:r>
      <w:r>
        <w:rPr>
          <w:spacing w:val="-1"/>
        </w:rPr>
        <w:t xml:space="preserve"> </w:t>
      </w:r>
      <w:r>
        <w:t>that</w:t>
      </w:r>
      <w:r>
        <w:rPr>
          <w:spacing w:val="-1"/>
        </w:rPr>
        <w:t xml:space="preserve"> </w:t>
      </w:r>
      <w:r>
        <w:t>the</w:t>
      </w:r>
      <w:r>
        <w:rPr>
          <w:spacing w:val="-1"/>
        </w:rPr>
        <w:t xml:space="preserve"> </w:t>
      </w:r>
      <w:r>
        <w:t>target</w:t>
      </w:r>
      <w:r>
        <w:rPr>
          <w:spacing w:val="-1"/>
        </w:rPr>
        <w:t xml:space="preserve"> </w:t>
      </w:r>
      <w:r>
        <w:t>is</w:t>
      </w:r>
      <w:r>
        <w:rPr>
          <w:spacing w:val="-1"/>
        </w:rPr>
        <w:t xml:space="preserve"> </w:t>
      </w:r>
      <w:r>
        <w:t>met</w:t>
      </w:r>
      <w:r w:rsidR="0068598E">
        <w:rPr>
          <w:spacing w:val="-24"/>
        </w:rPr>
        <w:t>.</w:t>
      </w:r>
      <w:r>
        <w:rPr>
          <w:w w:val="85"/>
        </w:rPr>
        <w:t xml:space="preserve"> </w:t>
      </w:r>
      <w:r>
        <w:t>In</w:t>
      </w:r>
      <w:r>
        <w:rPr>
          <w:spacing w:val="-1"/>
        </w:rPr>
        <w:t xml:space="preserve"> </w:t>
      </w:r>
      <w:r>
        <w:t>addition,</w:t>
      </w:r>
      <w:r>
        <w:rPr>
          <w:spacing w:val="-1"/>
        </w:rPr>
        <w:t xml:space="preserve"> </w:t>
      </w:r>
      <w:r>
        <w:t>providing</w:t>
      </w:r>
      <w:r>
        <w:rPr>
          <w:spacing w:val="-1"/>
        </w:rPr>
        <w:t xml:space="preserve"> </w:t>
      </w:r>
      <w:r>
        <w:t>a</w:t>
      </w:r>
      <w:r>
        <w:rPr>
          <w:spacing w:val="-1"/>
        </w:rPr>
        <w:t xml:space="preserve"> </w:t>
      </w:r>
      <w:r>
        <w:t>consistent</w:t>
      </w:r>
      <w:r>
        <w:rPr>
          <w:spacing w:val="-1"/>
        </w:rPr>
        <w:t xml:space="preserve"> </w:t>
      </w:r>
      <w:r>
        <w:t>focal</w:t>
      </w:r>
      <w:r>
        <w:rPr>
          <w:spacing w:val="-1"/>
        </w:rPr>
        <w:t xml:space="preserve"> </w:t>
      </w:r>
      <w:r>
        <w:t>point</w:t>
      </w:r>
      <w:r>
        <w:rPr>
          <w:spacing w:val="-1"/>
        </w:rPr>
        <w:t xml:space="preserve"> </w:t>
      </w:r>
      <w:r>
        <w:t>for</w:t>
      </w:r>
      <w:r>
        <w:rPr>
          <w:spacing w:val="-1"/>
        </w:rPr>
        <w:t xml:space="preserve"> </w:t>
      </w:r>
      <w:r>
        <w:t>future inflation should help to better anchor inflation expectations in the centre of the range.</w:t>
      </w:r>
    </w:p>
    <w:p w14:paraId="25508E75" w14:textId="42FD75F5" w:rsidR="00A17B82" w:rsidRDefault="00A17B82" w:rsidP="00A17B82">
      <w:r>
        <w:t>A focus on the midpoint of the target in setting policy will also support the communication of and accountability</w:t>
      </w:r>
      <w:r>
        <w:rPr>
          <w:spacing w:val="12"/>
        </w:rPr>
        <w:t xml:space="preserve"> </w:t>
      </w:r>
      <w:r>
        <w:t>for</w:t>
      </w:r>
      <w:r>
        <w:rPr>
          <w:spacing w:val="12"/>
        </w:rPr>
        <w:t xml:space="preserve"> </w:t>
      </w:r>
      <w:r>
        <w:t>the</w:t>
      </w:r>
      <w:r>
        <w:rPr>
          <w:spacing w:val="12"/>
        </w:rPr>
        <w:t xml:space="preserve"> </w:t>
      </w:r>
      <w:r>
        <w:t>RBA’s</w:t>
      </w:r>
      <w:r>
        <w:rPr>
          <w:spacing w:val="12"/>
        </w:rPr>
        <w:t xml:space="preserve"> </w:t>
      </w:r>
      <w:r>
        <w:t>monetary</w:t>
      </w:r>
      <w:r>
        <w:rPr>
          <w:spacing w:val="12"/>
        </w:rPr>
        <w:t xml:space="preserve"> </w:t>
      </w:r>
      <w:r>
        <w:t>policy</w:t>
      </w:r>
      <w:r>
        <w:rPr>
          <w:spacing w:val="12"/>
        </w:rPr>
        <w:t xml:space="preserve"> </w:t>
      </w:r>
      <w:r>
        <w:t>decisions</w:t>
      </w:r>
      <w:r w:rsidR="0068598E">
        <w:rPr>
          <w:spacing w:val="-18"/>
        </w:rPr>
        <w:t>.</w:t>
      </w:r>
      <w:r>
        <w:rPr>
          <w:spacing w:val="12"/>
        </w:rPr>
        <w:t xml:space="preserve"> </w:t>
      </w:r>
      <w:r>
        <w:t>This</w:t>
      </w:r>
      <w:r>
        <w:rPr>
          <w:spacing w:val="12"/>
        </w:rPr>
        <w:t xml:space="preserve"> </w:t>
      </w:r>
      <w:r>
        <w:t>is</w:t>
      </w:r>
      <w:r>
        <w:rPr>
          <w:spacing w:val="12"/>
        </w:rPr>
        <w:t xml:space="preserve"> </w:t>
      </w:r>
      <w:r>
        <w:t>particularly</w:t>
      </w:r>
      <w:r>
        <w:rPr>
          <w:spacing w:val="12"/>
        </w:rPr>
        <w:t xml:space="preserve"> </w:t>
      </w:r>
      <w:r>
        <w:t>the</w:t>
      </w:r>
      <w:r>
        <w:rPr>
          <w:spacing w:val="12"/>
        </w:rPr>
        <w:t xml:space="preserve"> </w:t>
      </w:r>
      <w:r>
        <w:t>case</w:t>
      </w:r>
      <w:r>
        <w:rPr>
          <w:spacing w:val="12"/>
        </w:rPr>
        <w:t xml:space="preserve"> </w:t>
      </w:r>
      <w:r>
        <w:t>where</w:t>
      </w:r>
      <w:r>
        <w:rPr>
          <w:spacing w:val="12"/>
        </w:rPr>
        <w:t xml:space="preserve"> </w:t>
      </w:r>
      <w:r>
        <w:t>the</w:t>
      </w:r>
      <w:r>
        <w:rPr>
          <w:spacing w:val="12"/>
        </w:rPr>
        <w:t xml:space="preserve"> </w:t>
      </w:r>
      <w:r>
        <w:t>RBA is making trade-offs between its dual objectives or making intertemporal judgements about how to contribute to its objectives (for example, by judging that more expansionary policy settings would stoke financial vulnerabilities and put at risk the dual objectives in the future). The increased clarity for close observers of the RBA can be achieved without changing the existing target range, which is familiar and well-established in public perception</w:t>
      </w:r>
      <w:r w:rsidR="0068598E">
        <w:rPr>
          <w:spacing w:val="-10"/>
        </w:rPr>
        <w:t>.</w:t>
      </w:r>
    </w:p>
    <w:p w14:paraId="1E75E9CF" w14:textId="7D4C2DF5" w:rsidR="00A17B82" w:rsidRDefault="00A17B82" w:rsidP="00A17B82">
      <w:r>
        <w:t>A range target without a focus on the centre provides a less clear guide to the direction of future policy. For example, markedly different policy paths might be required to bring inflation to 2 per</w:t>
      </w:r>
      <w:r>
        <w:rPr>
          <w:spacing w:val="40"/>
        </w:rPr>
        <w:t xml:space="preserve"> </w:t>
      </w:r>
      <w:r>
        <w:t>cent rather than 2½ per cent or 3 per cent, at a given horizon</w:t>
      </w:r>
      <w:r w:rsidR="0068598E">
        <w:rPr>
          <w:spacing w:val="-21"/>
        </w:rPr>
        <w:t>.</w:t>
      </w:r>
      <w:r>
        <w:rPr>
          <w:w w:val="85"/>
        </w:rPr>
        <w:t xml:space="preserve"> </w:t>
      </w:r>
      <w:r>
        <w:t>A range target without setting an emphasis</w:t>
      </w:r>
      <w:r>
        <w:rPr>
          <w:spacing w:val="-1"/>
        </w:rPr>
        <w:t xml:space="preserve"> </w:t>
      </w:r>
      <w:r>
        <w:t>on</w:t>
      </w:r>
      <w:r>
        <w:rPr>
          <w:spacing w:val="-1"/>
        </w:rPr>
        <w:t xml:space="preserve"> </w:t>
      </w:r>
      <w:r>
        <w:t>the</w:t>
      </w:r>
      <w:r>
        <w:rPr>
          <w:spacing w:val="-1"/>
        </w:rPr>
        <w:t xml:space="preserve"> </w:t>
      </w:r>
      <w:r>
        <w:t>midpoint</w:t>
      </w:r>
      <w:r>
        <w:rPr>
          <w:spacing w:val="-1"/>
        </w:rPr>
        <w:t xml:space="preserve"> </w:t>
      </w:r>
      <w:r>
        <w:t>implies</w:t>
      </w:r>
      <w:r>
        <w:rPr>
          <w:spacing w:val="-1"/>
        </w:rPr>
        <w:t xml:space="preserve"> </w:t>
      </w:r>
      <w:r>
        <w:t>the</w:t>
      </w:r>
      <w:r>
        <w:rPr>
          <w:spacing w:val="-1"/>
        </w:rPr>
        <w:t xml:space="preserve"> </w:t>
      </w:r>
      <w:r>
        <w:t>RBA</w:t>
      </w:r>
      <w:r>
        <w:rPr>
          <w:spacing w:val="-1"/>
        </w:rPr>
        <w:t xml:space="preserve"> </w:t>
      </w:r>
      <w:r>
        <w:t>is</w:t>
      </w:r>
      <w:r>
        <w:rPr>
          <w:spacing w:val="-1"/>
        </w:rPr>
        <w:t xml:space="preserve"> </w:t>
      </w:r>
      <w:r>
        <w:t>indifferent</w:t>
      </w:r>
      <w:r>
        <w:rPr>
          <w:spacing w:val="-1"/>
        </w:rPr>
        <w:t xml:space="preserve"> </w:t>
      </w:r>
      <w:r>
        <w:t>between</w:t>
      </w:r>
      <w:r>
        <w:rPr>
          <w:spacing w:val="-1"/>
        </w:rPr>
        <w:t xml:space="preserve"> </w:t>
      </w:r>
      <w:r>
        <w:t>these</w:t>
      </w:r>
      <w:r>
        <w:rPr>
          <w:spacing w:val="-1"/>
        </w:rPr>
        <w:t xml:space="preserve"> </w:t>
      </w:r>
      <w:r>
        <w:t>different</w:t>
      </w:r>
      <w:r>
        <w:rPr>
          <w:spacing w:val="-1"/>
        </w:rPr>
        <w:t xml:space="preserve"> </w:t>
      </w:r>
      <w:r>
        <w:t>outcomes,</w:t>
      </w:r>
      <w:r>
        <w:rPr>
          <w:spacing w:val="-1"/>
        </w:rPr>
        <w:t xml:space="preserve"> </w:t>
      </w:r>
      <w:r>
        <w:t>creating greater uncertainty among observers about the outlook for the policy rate and the economy</w:t>
      </w:r>
      <w:r w:rsidR="0068598E">
        <w:rPr>
          <w:spacing w:val="-18"/>
        </w:rPr>
        <w:t>.</w:t>
      </w:r>
    </w:p>
    <w:p w14:paraId="2C9772BB" w14:textId="57B3585A" w:rsidR="00A17B82" w:rsidRDefault="00A17B82" w:rsidP="00A17B82">
      <w:r>
        <w:t>It</w:t>
      </w:r>
      <w:r>
        <w:rPr>
          <w:spacing w:val="-1"/>
        </w:rPr>
        <w:t xml:space="preserve"> </w:t>
      </w:r>
      <w:r>
        <w:t>follows</w:t>
      </w:r>
      <w:r>
        <w:rPr>
          <w:spacing w:val="-1"/>
        </w:rPr>
        <w:t xml:space="preserve"> </w:t>
      </w:r>
      <w:r>
        <w:t>that</w:t>
      </w:r>
      <w:r>
        <w:rPr>
          <w:spacing w:val="-1"/>
        </w:rPr>
        <w:t xml:space="preserve"> </w:t>
      </w:r>
      <w:r>
        <w:t>where</w:t>
      </w:r>
      <w:r>
        <w:rPr>
          <w:spacing w:val="-1"/>
        </w:rPr>
        <w:t xml:space="preserve"> </w:t>
      </w:r>
      <w:r>
        <w:t>the</w:t>
      </w:r>
      <w:r>
        <w:rPr>
          <w:spacing w:val="-1"/>
        </w:rPr>
        <w:t xml:space="preserve"> </w:t>
      </w:r>
      <w:r>
        <w:t>RBA</w:t>
      </w:r>
      <w:r>
        <w:rPr>
          <w:spacing w:val="-1"/>
        </w:rPr>
        <w:t xml:space="preserve"> </w:t>
      </w:r>
      <w:r>
        <w:t>is</w:t>
      </w:r>
      <w:r>
        <w:rPr>
          <w:spacing w:val="-1"/>
        </w:rPr>
        <w:t xml:space="preserve"> </w:t>
      </w:r>
      <w:r>
        <w:t>close</w:t>
      </w:r>
      <w:r>
        <w:rPr>
          <w:spacing w:val="-1"/>
        </w:rPr>
        <w:t xml:space="preserve"> </w:t>
      </w:r>
      <w:r>
        <w:t>to</w:t>
      </w:r>
      <w:r>
        <w:rPr>
          <w:spacing w:val="-1"/>
        </w:rPr>
        <w:t xml:space="preserve"> </w:t>
      </w:r>
      <w:r>
        <w:t>the</w:t>
      </w:r>
      <w:r>
        <w:rPr>
          <w:spacing w:val="-1"/>
        </w:rPr>
        <w:t xml:space="preserve"> </w:t>
      </w:r>
      <w:r>
        <w:t>edges</w:t>
      </w:r>
      <w:r>
        <w:rPr>
          <w:spacing w:val="-1"/>
        </w:rPr>
        <w:t xml:space="preserve"> </w:t>
      </w:r>
      <w:r>
        <w:t>of</w:t>
      </w:r>
      <w:r>
        <w:rPr>
          <w:spacing w:val="-1"/>
        </w:rPr>
        <w:t xml:space="preserve"> </w:t>
      </w:r>
      <w:r>
        <w:t>its</w:t>
      </w:r>
      <w:r>
        <w:rPr>
          <w:spacing w:val="-1"/>
        </w:rPr>
        <w:t xml:space="preserve"> </w:t>
      </w:r>
      <w:r>
        <w:t>target</w:t>
      </w:r>
      <w:r>
        <w:rPr>
          <w:spacing w:val="-1"/>
        </w:rPr>
        <w:t xml:space="preserve"> </w:t>
      </w:r>
      <w:r>
        <w:t>range</w:t>
      </w:r>
      <w:r>
        <w:rPr>
          <w:spacing w:val="-1"/>
        </w:rPr>
        <w:t xml:space="preserve"> </w:t>
      </w:r>
      <w:r>
        <w:t>(as</w:t>
      </w:r>
      <w:r>
        <w:rPr>
          <w:spacing w:val="-1"/>
        </w:rPr>
        <w:t xml:space="preserve"> </w:t>
      </w:r>
      <w:r>
        <w:t>well</w:t>
      </w:r>
      <w:r>
        <w:rPr>
          <w:spacing w:val="-1"/>
        </w:rPr>
        <w:t xml:space="preserve"> </w:t>
      </w:r>
      <w:r>
        <w:t>as</w:t>
      </w:r>
      <w:r>
        <w:rPr>
          <w:spacing w:val="-1"/>
        </w:rPr>
        <w:t xml:space="preserve"> </w:t>
      </w:r>
      <w:r>
        <w:t>outside),</w:t>
      </w:r>
      <w:r>
        <w:rPr>
          <w:spacing w:val="-1"/>
        </w:rPr>
        <w:t xml:space="preserve"> </w:t>
      </w:r>
      <w:r>
        <w:t>it</w:t>
      </w:r>
      <w:r>
        <w:rPr>
          <w:spacing w:val="-1"/>
        </w:rPr>
        <w:t xml:space="preserve"> </w:t>
      </w:r>
      <w:r>
        <w:t>should aim for the middle – this should continue to negate any view that the band is a ‘zone of inaction’</w:t>
      </w:r>
      <w:r w:rsidR="0068598E">
        <w:rPr>
          <w:spacing w:val="-23"/>
        </w:rPr>
        <w:t>.</w:t>
      </w:r>
      <w:r>
        <w:t xml:space="preserve"> The consequence is that in practical terms, the RBA should be comfortable with inflation that is close to the midpoint</w:t>
      </w:r>
      <w:r w:rsidR="0068598E">
        <w:rPr>
          <w:spacing w:val="-9"/>
        </w:rPr>
        <w:t>.</w:t>
      </w:r>
    </w:p>
    <w:p w14:paraId="4919432E" w14:textId="073F55FA" w:rsidR="00A17B82" w:rsidRDefault="00A17B82" w:rsidP="00A17B82">
      <w:r>
        <w:t>Substantial flexibility would remain in the monetary policy framework, even with an approach of aiming for the midpoint of the target range</w:t>
      </w:r>
      <w:r w:rsidR="0068598E">
        <w:rPr>
          <w:spacing w:val="-19"/>
        </w:rPr>
        <w:t>.</w:t>
      </w:r>
      <w:r>
        <w:rPr>
          <w:w w:val="85"/>
        </w:rPr>
        <w:t xml:space="preserve"> </w:t>
      </w:r>
      <w:r>
        <w:t>The framework already provides the RBA with the flexibility to vary the horizon for bringing inflation back to target (to best meet its employment objective). The further degree of flexibility afforded by the target range is arguably unnecessary and reduces the clarity of the framework</w:t>
      </w:r>
      <w:r w:rsidR="0068598E">
        <w:rPr>
          <w:spacing w:val="-12"/>
        </w:rPr>
        <w:t>.</w:t>
      </w:r>
    </w:p>
    <w:p w14:paraId="69330DFB" w14:textId="3A9B981A" w:rsidR="00A17B82" w:rsidRDefault="00A17B82" w:rsidP="00A17B82">
      <w:r>
        <w:t>The existing target range remains the best way to judge the RBA’s performance ex post</w:t>
      </w:r>
      <w:r w:rsidR="0068598E">
        <w:rPr>
          <w:spacing w:val="-19"/>
        </w:rPr>
        <w:t>.</w:t>
      </w:r>
      <w:r>
        <w:rPr>
          <w:w w:val="85"/>
        </w:rPr>
        <w:t xml:space="preserve"> </w:t>
      </w:r>
      <w:r>
        <w:t>This appropriately recognises that attempts to control inflation will be imprecise, and that inflation is subject to unexpected fluctuations. All outcomes within the band should be considered a success ex post</w:t>
      </w:r>
      <w:r w:rsidR="0068598E">
        <w:rPr>
          <w:spacing w:val="-17"/>
        </w:rPr>
        <w:t>.</w:t>
      </w:r>
    </w:p>
    <w:p w14:paraId="7944CA9F" w14:textId="77777777" w:rsidR="00A17B82" w:rsidRDefault="00A17B82" w:rsidP="006003D3">
      <w:pPr>
        <w:pStyle w:val="Heading4"/>
      </w:pPr>
      <w:r>
        <w:t>Provide its</w:t>
      </w:r>
      <w:r>
        <w:rPr>
          <w:spacing w:val="1"/>
        </w:rPr>
        <w:t xml:space="preserve"> </w:t>
      </w:r>
      <w:r>
        <w:t>assessment</w:t>
      </w:r>
      <w:r>
        <w:rPr>
          <w:spacing w:val="1"/>
        </w:rPr>
        <w:t xml:space="preserve"> </w:t>
      </w:r>
      <w:r>
        <w:t>of</w:t>
      </w:r>
      <w:r>
        <w:rPr>
          <w:spacing w:val="1"/>
        </w:rPr>
        <w:t xml:space="preserve"> </w:t>
      </w:r>
      <w:r>
        <w:t>full</w:t>
      </w:r>
      <w:r>
        <w:rPr>
          <w:spacing w:val="1"/>
        </w:rPr>
        <w:t xml:space="preserve"> </w:t>
      </w:r>
      <w:r>
        <w:rPr>
          <w:spacing w:val="-2"/>
        </w:rPr>
        <w:t>employment</w:t>
      </w:r>
    </w:p>
    <w:p w14:paraId="235FA99F" w14:textId="2AFD75E3" w:rsidR="00A17B82" w:rsidRDefault="00A17B82" w:rsidP="006003D3">
      <w:r>
        <w:t>The</w:t>
      </w:r>
      <w:r>
        <w:rPr>
          <w:spacing w:val="3"/>
        </w:rPr>
        <w:t xml:space="preserve"> </w:t>
      </w:r>
      <w:r>
        <w:t>RBA</w:t>
      </w:r>
      <w:r>
        <w:rPr>
          <w:spacing w:val="3"/>
        </w:rPr>
        <w:t xml:space="preserve"> </w:t>
      </w:r>
      <w:r>
        <w:t>should</w:t>
      </w:r>
      <w:r>
        <w:rPr>
          <w:spacing w:val="3"/>
        </w:rPr>
        <w:t xml:space="preserve"> </w:t>
      </w:r>
      <w:r>
        <w:t>better</w:t>
      </w:r>
      <w:r>
        <w:rPr>
          <w:spacing w:val="3"/>
        </w:rPr>
        <w:t xml:space="preserve"> </w:t>
      </w:r>
      <w:r>
        <w:t>explain</w:t>
      </w:r>
      <w:r>
        <w:rPr>
          <w:spacing w:val="4"/>
        </w:rPr>
        <w:t xml:space="preserve"> </w:t>
      </w:r>
      <w:r>
        <w:t>its</w:t>
      </w:r>
      <w:r>
        <w:rPr>
          <w:spacing w:val="3"/>
        </w:rPr>
        <w:t xml:space="preserve"> </w:t>
      </w:r>
      <w:r>
        <w:t>understanding</w:t>
      </w:r>
      <w:r>
        <w:rPr>
          <w:spacing w:val="3"/>
        </w:rPr>
        <w:t xml:space="preserve"> </w:t>
      </w:r>
      <w:r>
        <w:t>of</w:t>
      </w:r>
      <w:r>
        <w:rPr>
          <w:spacing w:val="3"/>
        </w:rPr>
        <w:t xml:space="preserve"> </w:t>
      </w:r>
      <w:r>
        <w:t>the</w:t>
      </w:r>
      <w:r>
        <w:rPr>
          <w:spacing w:val="3"/>
        </w:rPr>
        <w:t xml:space="preserve"> </w:t>
      </w:r>
      <w:r>
        <w:t>employment</w:t>
      </w:r>
      <w:r>
        <w:rPr>
          <w:spacing w:val="4"/>
        </w:rPr>
        <w:t xml:space="preserve"> </w:t>
      </w:r>
      <w:r>
        <w:t>objective</w:t>
      </w:r>
      <w:r>
        <w:rPr>
          <w:spacing w:val="3"/>
        </w:rPr>
        <w:t xml:space="preserve"> </w:t>
      </w:r>
      <w:r>
        <w:t>and</w:t>
      </w:r>
      <w:r>
        <w:rPr>
          <w:spacing w:val="3"/>
        </w:rPr>
        <w:t xml:space="preserve"> </w:t>
      </w:r>
      <w:r>
        <w:t>how</w:t>
      </w:r>
      <w:r>
        <w:rPr>
          <w:spacing w:val="3"/>
        </w:rPr>
        <w:t xml:space="preserve"> </w:t>
      </w:r>
      <w:r>
        <w:t>it</w:t>
      </w:r>
      <w:r>
        <w:rPr>
          <w:spacing w:val="4"/>
        </w:rPr>
        <w:t xml:space="preserve"> </w:t>
      </w:r>
      <w:r>
        <w:rPr>
          <w:spacing w:val="-4"/>
        </w:rPr>
        <w:t>uses</w:t>
      </w:r>
      <w:r w:rsidR="006003D3">
        <w:t xml:space="preserve"> </w:t>
      </w:r>
      <w:r>
        <w:t>flexibility</w:t>
      </w:r>
      <w:r>
        <w:rPr>
          <w:spacing w:val="2"/>
        </w:rPr>
        <w:t xml:space="preserve"> </w:t>
      </w:r>
      <w:r>
        <w:t>to</w:t>
      </w:r>
      <w:r>
        <w:rPr>
          <w:spacing w:val="5"/>
        </w:rPr>
        <w:t xml:space="preserve"> </w:t>
      </w:r>
      <w:r>
        <w:t>balance</w:t>
      </w:r>
      <w:r>
        <w:rPr>
          <w:spacing w:val="4"/>
        </w:rPr>
        <w:t xml:space="preserve"> </w:t>
      </w:r>
      <w:r>
        <w:t>trade-offs</w:t>
      </w:r>
      <w:r>
        <w:rPr>
          <w:spacing w:val="5"/>
        </w:rPr>
        <w:t xml:space="preserve"> </w:t>
      </w:r>
      <w:r>
        <w:t>between</w:t>
      </w:r>
      <w:r>
        <w:rPr>
          <w:spacing w:val="5"/>
        </w:rPr>
        <w:t xml:space="preserve"> </w:t>
      </w:r>
      <w:r>
        <w:t>employment</w:t>
      </w:r>
      <w:r>
        <w:rPr>
          <w:spacing w:val="4"/>
        </w:rPr>
        <w:t xml:space="preserve"> </w:t>
      </w:r>
      <w:r>
        <w:t>and</w:t>
      </w:r>
      <w:r>
        <w:rPr>
          <w:spacing w:val="5"/>
        </w:rPr>
        <w:t xml:space="preserve"> </w:t>
      </w:r>
      <w:r>
        <w:t>price</w:t>
      </w:r>
      <w:r>
        <w:rPr>
          <w:spacing w:val="5"/>
        </w:rPr>
        <w:t xml:space="preserve"> </w:t>
      </w:r>
      <w:r>
        <w:rPr>
          <w:spacing w:val="-2"/>
        </w:rPr>
        <w:t>stability.</w:t>
      </w:r>
    </w:p>
    <w:p w14:paraId="27FAEEDD" w14:textId="068FE57A" w:rsidR="002B2790" w:rsidRDefault="00A17B82" w:rsidP="006003D3">
      <w:pPr>
        <w:rPr>
          <w:w w:val="85"/>
        </w:rPr>
      </w:pPr>
      <w:r>
        <w:t>At present, it is unclear how the RBA considers its full employment objective in monetary policy decisions which makes it difficult to assess the success of the RBA in achieving its full employment objective</w:t>
      </w:r>
      <w:r w:rsidR="0068598E">
        <w:rPr>
          <w:spacing w:val="-23"/>
        </w:rPr>
        <w:t>.</w:t>
      </w:r>
      <w:r>
        <w:rPr>
          <w:w w:val="85"/>
        </w:rPr>
        <w:t xml:space="preserve"> </w:t>
      </w:r>
      <w:r>
        <w:t>Full employment is inherently a more complex objective than price stability</w:t>
      </w:r>
      <w:r w:rsidR="0068598E">
        <w:rPr>
          <w:spacing w:val="-23"/>
        </w:rPr>
        <w:t>.</w:t>
      </w:r>
      <w:r>
        <w:rPr>
          <w:w w:val="85"/>
        </w:rPr>
        <w:t xml:space="preserve"> </w:t>
      </w:r>
      <w:r>
        <w:t>This means that the RBA should place more emphasis on communicating how it considers its employment objective</w:t>
      </w:r>
      <w:r w:rsidR="0068598E">
        <w:rPr>
          <w:spacing w:val="-25"/>
        </w:rPr>
        <w:t>.</w:t>
      </w:r>
    </w:p>
    <w:p w14:paraId="66482094" w14:textId="77777777" w:rsidR="002B2790" w:rsidRDefault="002B2790">
      <w:pPr>
        <w:spacing w:before="0" w:after="160" w:line="259" w:lineRule="auto"/>
        <w:rPr>
          <w:w w:val="85"/>
        </w:rPr>
      </w:pPr>
    </w:p>
    <w:p w14:paraId="4B9A7A59" w14:textId="77777777" w:rsidR="002B2790" w:rsidRDefault="002B2790" w:rsidP="00084A35">
      <w:r>
        <w:t>In</w:t>
      </w:r>
      <w:r>
        <w:rPr>
          <w:spacing w:val="-1"/>
        </w:rPr>
        <w:t xml:space="preserve"> </w:t>
      </w:r>
      <w:r>
        <w:t>particular,</w:t>
      </w:r>
      <w:r>
        <w:rPr>
          <w:spacing w:val="-1"/>
        </w:rPr>
        <w:t xml:space="preserve"> </w:t>
      </w:r>
      <w:r>
        <w:t>such communication</w:t>
      </w:r>
      <w:r>
        <w:rPr>
          <w:spacing w:val="-1"/>
        </w:rPr>
        <w:t xml:space="preserve"> </w:t>
      </w:r>
      <w:r>
        <w:t xml:space="preserve">should </w:t>
      </w:r>
      <w:r>
        <w:rPr>
          <w:spacing w:val="-2"/>
        </w:rPr>
        <w:t>include:</w:t>
      </w:r>
    </w:p>
    <w:p w14:paraId="42DC5D22" w14:textId="4B924D1A" w:rsidR="002B2790" w:rsidRDefault="002B2790" w:rsidP="0000278A">
      <w:pPr>
        <w:pStyle w:val="Bullet"/>
      </w:pPr>
      <w:r>
        <w:lastRenderedPageBreak/>
        <w:t>The role</w:t>
      </w:r>
      <w:r>
        <w:rPr>
          <w:spacing w:val="3"/>
        </w:rPr>
        <w:t xml:space="preserve"> </w:t>
      </w:r>
      <w:r>
        <w:t>in</w:t>
      </w:r>
      <w:r>
        <w:rPr>
          <w:spacing w:val="2"/>
        </w:rPr>
        <w:t xml:space="preserve"> </w:t>
      </w:r>
      <w:r>
        <w:t>general</w:t>
      </w:r>
      <w:r>
        <w:rPr>
          <w:spacing w:val="3"/>
        </w:rPr>
        <w:t xml:space="preserve"> </w:t>
      </w:r>
      <w:r>
        <w:t>of</w:t>
      </w:r>
      <w:r>
        <w:rPr>
          <w:spacing w:val="3"/>
        </w:rPr>
        <w:t xml:space="preserve"> </w:t>
      </w:r>
      <w:r>
        <w:t>the</w:t>
      </w:r>
      <w:r>
        <w:rPr>
          <w:spacing w:val="2"/>
        </w:rPr>
        <w:t xml:space="preserve"> </w:t>
      </w:r>
      <w:r>
        <w:t>employment</w:t>
      </w:r>
      <w:r>
        <w:rPr>
          <w:spacing w:val="3"/>
        </w:rPr>
        <w:t xml:space="preserve"> </w:t>
      </w:r>
      <w:r>
        <w:t>objective</w:t>
      </w:r>
      <w:r>
        <w:rPr>
          <w:spacing w:val="3"/>
        </w:rPr>
        <w:t xml:space="preserve"> </w:t>
      </w:r>
      <w:r>
        <w:t>within</w:t>
      </w:r>
      <w:r>
        <w:rPr>
          <w:spacing w:val="2"/>
        </w:rPr>
        <w:t xml:space="preserve"> </w:t>
      </w:r>
      <w:r>
        <w:t>its</w:t>
      </w:r>
      <w:r>
        <w:rPr>
          <w:spacing w:val="3"/>
        </w:rPr>
        <w:t xml:space="preserve"> </w:t>
      </w:r>
      <w:r>
        <w:t>framework,</w:t>
      </w:r>
      <w:r>
        <w:rPr>
          <w:spacing w:val="3"/>
        </w:rPr>
        <w:t xml:space="preserve"> </w:t>
      </w:r>
      <w:r>
        <w:t>affirming</w:t>
      </w:r>
      <w:r>
        <w:rPr>
          <w:spacing w:val="2"/>
        </w:rPr>
        <w:t xml:space="preserve"> </w:t>
      </w:r>
      <w:r>
        <w:t>that</w:t>
      </w:r>
      <w:r>
        <w:rPr>
          <w:spacing w:val="3"/>
        </w:rPr>
        <w:t xml:space="preserve"> </w:t>
      </w:r>
      <w:r>
        <w:t>it</w:t>
      </w:r>
      <w:r>
        <w:rPr>
          <w:spacing w:val="3"/>
        </w:rPr>
        <w:t xml:space="preserve"> </w:t>
      </w:r>
      <w:r>
        <w:rPr>
          <w:spacing w:val="-2"/>
        </w:rPr>
        <w:t>receives</w:t>
      </w:r>
      <w:r w:rsidR="00084A35">
        <w:rPr>
          <w:spacing w:val="-2"/>
        </w:rPr>
        <w:t xml:space="preserve"> </w:t>
      </w:r>
      <w:r>
        <w:t>equal</w:t>
      </w:r>
      <w:r w:rsidRPr="00084A35">
        <w:rPr>
          <w:spacing w:val="3"/>
        </w:rPr>
        <w:t xml:space="preserve"> </w:t>
      </w:r>
      <w:r>
        <w:t>consideration</w:t>
      </w:r>
      <w:r w:rsidRPr="00084A35">
        <w:rPr>
          <w:spacing w:val="3"/>
        </w:rPr>
        <w:t xml:space="preserve"> </w:t>
      </w:r>
      <w:r>
        <w:t>alongside</w:t>
      </w:r>
      <w:r w:rsidRPr="00084A35">
        <w:rPr>
          <w:spacing w:val="4"/>
        </w:rPr>
        <w:t xml:space="preserve"> </w:t>
      </w:r>
      <w:r>
        <w:t>price</w:t>
      </w:r>
      <w:r w:rsidRPr="00084A35">
        <w:rPr>
          <w:spacing w:val="3"/>
        </w:rPr>
        <w:t xml:space="preserve"> </w:t>
      </w:r>
      <w:r>
        <w:t>stability</w:t>
      </w:r>
      <w:r w:rsidR="0068598E">
        <w:rPr>
          <w:spacing w:val="-22"/>
        </w:rPr>
        <w:t>.</w:t>
      </w:r>
    </w:p>
    <w:p w14:paraId="2E107CE7" w14:textId="3932733F" w:rsidR="002B2790" w:rsidRDefault="002B2790" w:rsidP="0000278A">
      <w:pPr>
        <w:pStyle w:val="Bullet"/>
      </w:pPr>
      <w:r>
        <w:t>The</w:t>
      </w:r>
      <w:r>
        <w:rPr>
          <w:spacing w:val="1"/>
        </w:rPr>
        <w:t xml:space="preserve"> </w:t>
      </w:r>
      <w:r>
        <w:t>RBA’s</w:t>
      </w:r>
      <w:r>
        <w:rPr>
          <w:spacing w:val="1"/>
        </w:rPr>
        <w:t xml:space="preserve"> </w:t>
      </w:r>
      <w:r>
        <w:t>best</w:t>
      </w:r>
      <w:r>
        <w:rPr>
          <w:spacing w:val="1"/>
        </w:rPr>
        <w:t xml:space="preserve"> </w:t>
      </w:r>
      <w:r>
        <w:t>assessment</w:t>
      </w:r>
      <w:r>
        <w:rPr>
          <w:spacing w:val="2"/>
        </w:rPr>
        <w:t xml:space="preserve"> </w:t>
      </w:r>
      <w:r>
        <w:t>of</w:t>
      </w:r>
      <w:r>
        <w:rPr>
          <w:spacing w:val="1"/>
        </w:rPr>
        <w:t xml:space="preserve"> </w:t>
      </w:r>
      <w:r>
        <w:t>full</w:t>
      </w:r>
      <w:r>
        <w:rPr>
          <w:spacing w:val="1"/>
        </w:rPr>
        <w:t xml:space="preserve"> </w:t>
      </w:r>
      <w:r>
        <w:t>employment</w:t>
      </w:r>
      <w:r>
        <w:rPr>
          <w:spacing w:val="1"/>
        </w:rPr>
        <w:t xml:space="preserve"> </w:t>
      </w:r>
      <w:r>
        <w:t>at</w:t>
      </w:r>
      <w:r>
        <w:rPr>
          <w:spacing w:val="2"/>
        </w:rPr>
        <w:t xml:space="preserve"> </w:t>
      </w:r>
      <w:r>
        <w:t>any</w:t>
      </w:r>
      <w:r>
        <w:rPr>
          <w:spacing w:val="1"/>
        </w:rPr>
        <w:t xml:space="preserve"> </w:t>
      </w:r>
      <w:r>
        <w:t>point</w:t>
      </w:r>
      <w:r>
        <w:rPr>
          <w:spacing w:val="1"/>
        </w:rPr>
        <w:t xml:space="preserve"> </w:t>
      </w:r>
      <w:r>
        <w:t>time,</w:t>
      </w:r>
      <w:r>
        <w:rPr>
          <w:spacing w:val="1"/>
        </w:rPr>
        <w:t xml:space="preserve"> </w:t>
      </w:r>
      <w:r>
        <w:t>including</w:t>
      </w:r>
      <w:r>
        <w:rPr>
          <w:spacing w:val="2"/>
        </w:rPr>
        <w:t xml:space="preserve"> </w:t>
      </w:r>
      <w:r>
        <w:t>the</w:t>
      </w:r>
      <w:r>
        <w:rPr>
          <w:spacing w:val="1"/>
        </w:rPr>
        <w:t xml:space="preserve"> </w:t>
      </w:r>
      <w:r>
        <w:t>RBA’s</w:t>
      </w:r>
      <w:r>
        <w:rPr>
          <w:spacing w:val="1"/>
        </w:rPr>
        <w:t xml:space="preserve"> </w:t>
      </w:r>
      <w:r>
        <w:t>estimates</w:t>
      </w:r>
      <w:r>
        <w:rPr>
          <w:spacing w:val="2"/>
        </w:rPr>
        <w:t xml:space="preserve"> </w:t>
      </w:r>
      <w:r>
        <w:rPr>
          <w:spacing w:val="-5"/>
        </w:rPr>
        <w:t>of</w:t>
      </w:r>
      <w:r w:rsidR="00084A35">
        <w:t xml:space="preserve"> </w:t>
      </w:r>
      <w:r>
        <w:t>the non-accelerating</w:t>
      </w:r>
      <w:r w:rsidRPr="00084A35">
        <w:rPr>
          <w:spacing w:val="2"/>
        </w:rPr>
        <w:t xml:space="preserve"> </w:t>
      </w:r>
      <w:r>
        <w:t>inflation</w:t>
      </w:r>
      <w:r w:rsidRPr="00084A35">
        <w:rPr>
          <w:spacing w:val="2"/>
        </w:rPr>
        <w:t xml:space="preserve"> </w:t>
      </w:r>
      <w:r>
        <w:t>rate</w:t>
      </w:r>
      <w:r w:rsidRPr="00084A35">
        <w:rPr>
          <w:spacing w:val="2"/>
        </w:rPr>
        <w:t xml:space="preserve"> </w:t>
      </w:r>
      <w:r>
        <w:t>of</w:t>
      </w:r>
      <w:r w:rsidRPr="00084A35">
        <w:rPr>
          <w:spacing w:val="2"/>
        </w:rPr>
        <w:t xml:space="preserve"> </w:t>
      </w:r>
      <w:r>
        <w:t>unemployment,</w:t>
      </w:r>
      <w:r w:rsidRPr="00084A35">
        <w:rPr>
          <w:spacing w:val="2"/>
        </w:rPr>
        <w:t xml:space="preserve"> </w:t>
      </w:r>
      <w:r>
        <w:t>and</w:t>
      </w:r>
      <w:r w:rsidRPr="00084A35">
        <w:rPr>
          <w:spacing w:val="2"/>
        </w:rPr>
        <w:t xml:space="preserve"> </w:t>
      </w:r>
      <w:r>
        <w:t>other</w:t>
      </w:r>
      <w:r w:rsidRPr="00084A35">
        <w:rPr>
          <w:spacing w:val="2"/>
        </w:rPr>
        <w:t xml:space="preserve"> </w:t>
      </w:r>
      <w:r>
        <w:t>relevant</w:t>
      </w:r>
      <w:r w:rsidRPr="00084A35">
        <w:rPr>
          <w:spacing w:val="2"/>
        </w:rPr>
        <w:t xml:space="preserve"> </w:t>
      </w:r>
      <w:r>
        <w:t>factors,</w:t>
      </w:r>
      <w:r w:rsidRPr="00084A35">
        <w:rPr>
          <w:spacing w:val="2"/>
        </w:rPr>
        <w:t xml:space="preserve"> </w:t>
      </w:r>
      <w:r>
        <w:t>as</w:t>
      </w:r>
      <w:r w:rsidRPr="00084A35">
        <w:rPr>
          <w:spacing w:val="2"/>
        </w:rPr>
        <w:t xml:space="preserve"> </w:t>
      </w:r>
      <w:r w:rsidRPr="00084A35">
        <w:rPr>
          <w:spacing w:val="-2"/>
        </w:rPr>
        <w:t>appropriate.</w:t>
      </w:r>
    </w:p>
    <w:p w14:paraId="5F36B62D" w14:textId="388C36B3" w:rsidR="002B2790" w:rsidRDefault="002B2790" w:rsidP="0000278A">
      <w:pPr>
        <w:pStyle w:val="Bullet"/>
      </w:pPr>
      <w:r>
        <w:t>The</w:t>
      </w:r>
      <w:r>
        <w:rPr>
          <w:spacing w:val="3"/>
        </w:rPr>
        <w:t xml:space="preserve"> </w:t>
      </w:r>
      <w:r>
        <w:t>way</w:t>
      </w:r>
      <w:r>
        <w:rPr>
          <w:spacing w:val="4"/>
        </w:rPr>
        <w:t xml:space="preserve"> </w:t>
      </w:r>
      <w:r>
        <w:t>the</w:t>
      </w:r>
      <w:r>
        <w:rPr>
          <w:spacing w:val="4"/>
        </w:rPr>
        <w:t xml:space="preserve"> </w:t>
      </w:r>
      <w:r>
        <w:t>RBA</w:t>
      </w:r>
      <w:r>
        <w:rPr>
          <w:spacing w:val="4"/>
        </w:rPr>
        <w:t xml:space="preserve"> </w:t>
      </w:r>
      <w:r>
        <w:t>is</w:t>
      </w:r>
      <w:r>
        <w:rPr>
          <w:spacing w:val="4"/>
        </w:rPr>
        <w:t xml:space="preserve"> </w:t>
      </w:r>
      <w:r>
        <w:t>approaching</w:t>
      </w:r>
      <w:r>
        <w:rPr>
          <w:spacing w:val="4"/>
        </w:rPr>
        <w:t xml:space="preserve"> </w:t>
      </w:r>
      <w:r>
        <w:t>trade-offs</w:t>
      </w:r>
      <w:r>
        <w:rPr>
          <w:spacing w:val="3"/>
        </w:rPr>
        <w:t xml:space="preserve"> </w:t>
      </w:r>
      <w:r>
        <w:t>or</w:t>
      </w:r>
      <w:r>
        <w:rPr>
          <w:spacing w:val="4"/>
        </w:rPr>
        <w:t xml:space="preserve"> </w:t>
      </w:r>
      <w:r>
        <w:t>complementarities</w:t>
      </w:r>
      <w:r>
        <w:rPr>
          <w:spacing w:val="4"/>
        </w:rPr>
        <w:t xml:space="preserve"> </w:t>
      </w:r>
      <w:r>
        <w:t>of</w:t>
      </w:r>
      <w:r>
        <w:rPr>
          <w:spacing w:val="4"/>
        </w:rPr>
        <w:t xml:space="preserve"> </w:t>
      </w:r>
      <w:r>
        <w:t>its</w:t>
      </w:r>
      <w:r>
        <w:rPr>
          <w:spacing w:val="4"/>
        </w:rPr>
        <w:t xml:space="preserve"> </w:t>
      </w:r>
      <w:r>
        <w:t>two</w:t>
      </w:r>
      <w:r>
        <w:rPr>
          <w:spacing w:val="4"/>
        </w:rPr>
        <w:t xml:space="preserve"> </w:t>
      </w:r>
      <w:r>
        <w:t>monetary</w:t>
      </w:r>
      <w:r>
        <w:rPr>
          <w:spacing w:val="4"/>
        </w:rPr>
        <w:t xml:space="preserve"> </w:t>
      </w:r>
      <w:r>
        <w:rPr>
          <w:spacing w:val="-2"/>
        </w:rPr>
        <w:t>policy</w:t>
      </w:r>
      <w:r w:rsidR="00084A35">
        <w:rPr>
          <w:spacing w:val="-2"/>
        </w:rPr>
        <w:t xml:space="preserve"> </w:t>
      </w:r>
      <w:r>
        <w:t>objectives</w:t>
      </w:r>
      <w:r w:rsidRPr="00084A35">
        <w:rPr>
          <w:spacing w:val="5"/>
        </w:rPr>
        <w:t xml:space="preserve"> </w:t>
      </w:r>
      <w:r>
        <w:t>in</w:t>
      </w:r>
      <w:r w:rsidRPr="00084A35">
        <w:rPr>
          <w:spacing w:val="5"/>
        </w:rPr>
        <w:t xml:space="preserve"> </w:t>
      </w:r>
      <w:r>
        <w:t>making</w:t>
      </w:r>
      <w:r w:rsidRPr="00084A35">
        <w:rPr>
          <w:spacing w:val="6"/>
        </w:rPr>
        <w:t xml:space="preserve"> </w:t>
      </w:r>
      <w:r>
        <w:t>its</w:t>
      </w:r>
      <w:r w:rsidRPr="00084A35">
        <w:rPr>
          <w:spacing w:val="5"/>
        </w:rPr>
        <w:t xml:space="preserve"> </w:t>
      </w:r>
      <w:r>
        <w:t>decisions</w:t>
      </w:r>
      <w:r w:rsidR="0068598E">
        <w:rPr>
          <w:spacing w:val="-21"/>
        </w:rPr>
        <w:t>.</w:t>
      </w:r>
    </w:p>
    <w:p w14:paraId="7104B848" w14:textId="77777777" w:rsidR="00084A35" w:rsidRDefault="00084A35" w:rsidP="00084A35">
      <w:pPr>
        <w:pStyle w:val="Heading4"/>
      </w:pPr>
      <w:r>
        <w:t>Flexibility</w:t>
      </w:r>
      <w:r>
        <w:rPr>
          <w:spacing w:val="-1"/>
        </w:rPr>
        <w:t xml:space="preserve"> </w:t>
      </w:r>
      <w:r>
        <w:t>refers</w:t>
      </w:r>
      <w:r>
        <w:rPr>
          <w:spacing w:val="-1"/>
        </w:rPr>
        <w:t xml:space="preserve"> </w:t>
      </w:r>
      <w:r>
        <w:t>to the</w:t>
      </w:r>
      <w:r>
        <w:rPr>
          <w:spacing w:val="-1"/>
        </w:rPr>
        <w:t xml:space="preserve"> </w:t>
      </w:r>
      <w:r>
        <w:t>period</w:t>
      </w:r>
      <w:r>
        <w:rPr>
          <w:spacing w:val="-1"/>
        </w:rPr>
        <w:t xml:space="preserve"> </w:t>
      </w:r>
      <w:r>
        <w:t>to return</w:t>
      </w:r>
      <w:r>
        <w:rPr>
          <w:spacing w:val="-2"/>
        </w:rPr>
        <w:t xml:space="preserve"> </w:t>
      </w:r>
      <w:r>
        <w:t>inflation</w:t>
      </w:r>
      <w:r>
        <w:rPr>
          <w:spacing w:val="-2"/>
        </w:rPr>
        <w:t xml:space="preserve"> </w:t>
      </w:r>
      <w:r>
        <w:t>to</w:t>
      </w:r>
      <w:r>
        <w:rPr>
          <w:spacing w:val="-1"/>
        </w:rPr>
        <w:t xml:space="preserve"> </w:t>
      </w:r>
      <w:r>
        <w:t>target and</w:t>
      </w:r>
      <w:r>
        <w:rPr>
          <w:spacing w:val="-1"/>
        </w:rPr>
        <w:t xml:space="preserve"> </w:t>
      </w:r>
      <w:r>
        <w:t>reach</w:t>
      </w:r>
      <w:r>
        <w:rPr>
          <w:spacing w:val="-2"/>
        </w:rPr>
        <w:t xml:space="preserve"> </w:t>
      </w:r>
      <w:r>
        <w:t>full</w:t>
      </w:r>
      <w:r>
        <w:rPr>
          <w:spacing w:val="-2"/>
        </w:rPr>
        <w:t xml:space="preserve"> </w:t>
      </w:r>
      <w:r>
        <w:t>employment</w:t>
      </w:r>
    </w:p>
    <w:p w14:paraId="76B589BA" w14:textId="10955281" w:rsidR="00084A35" w:rsidRDefault="00084A35" w:rsidP="00084A35">
      <w:r>
        <w:t>The flexibility within the framework refers to the timeframe to pursue the inflation target and employment target in the face of significant deviations, rather than flexibility in the target itself. With greater focus on the midpoint of the inflation target, the RBA would still have substantial flexibility to decide on the best time frame to return inflation to around 2½ per cent. Equivalently, the RBA has flexibility in the time it takes to reach full employment where deviations occur, while noting that the RBA’s assessment of full employment is subject to change according to its assessment</w:t>
      </w:r>
      <w:r w:rsidR="0068598E">
        <w:rPr>
          <w:spacing w:val="-25"/>
        </w:rPr>
        <w:t>.</w:t>
      </w:r>
    </w:p>
    <w:p w14:paraId="7A1EC505" w14:textId="3DC55F85" w:rsidR="00084A35" w:rsidRDefault="00084A35" w:rsidP="00084A35">
      <w:r>
        <w:t>The current time frame for the inflation target, ‘on average, over time’ is unhelpfully imprecise (see for example Preston 2019). It offers little guide to monetary policy decision makers about the speed with which to return inflation to target and does not support either ex ante or ex post accountability for monetary policy decisions</w:t>
      </w:r>
      <w:r w:rsidR="0068598E">
        <w:rPr>
          <w:spacing w:val="-21"/>
        </w:rPr>
        <w:t>.</w:t>
      </w:r>
      <w:r>
        <w:rPr>
          <w:w w:val="85"/>
        </w:rPr>
        <w:t xml:space="preserve"> </w:t>
      </w:r>
      <w:r>
        <w:t>The Review recommends removing ‘on average, over time’ from the Statement, but does not recommend replacing it with a prescriptive time period</w:t>
      </w:r>
      <w:r>
        <w:rPr>
          <w:spacing w:val="40"/>
        </w:rPr>
        <w:t xml:space="preserve"> </w:t>
      </w:r>
      <w:r>
        <w:t>(say, 2 years). The RBA must retain flexibility in the time frame for how it pursues its two targets, so it can properly balance its dual objectives in the face of diverse economic circumstances</w:t>
      </w:r>
      <w:r w:rsidR="0068598E">
        <w:rPr>
          <w:spacing w:val="-22"/>
        </w:rPr>
        <w:t>.</w:t>
      </w:r>
      <w:r>
        <w:rPr>
          <w:w w:val="85"/>
        </w:rPr>
        <w:t xml:space="preserve"> </w:t>
      </w:r>
      <w:r>
        <w:t>The RBA has highlighted the value of this flexibility in recent speeches (Lowe 2022b).</w:t>
      </w:r>
    </w:p>
    <w:p w14:paraId="0A744931" w14:textId="6D6F7C0F" w:rsidR="00084A35" w:rsidRDefault="00084A35" w:rsidP="00084A35">
      <w:r>
        <w:t>The Review does not suggest prescribing a particular time frame over which to evaluate ex post performance against the inflation target range. Instead, the RBA should be held accountable for the plausibility of its policy strategy at each point in time, and for the validity of the</w:t>
      </w:r>
      <w:r>
        <w:rPr>
          <w:spacing w:val="1"/>
        </w:rPr>
        <w:t xml:space="preserve"> </w:t>
      </w:r>
      <w:r>
        <w:t>reasons for</w:t>
      </w:r>
      <w:r>
        <w:rPr>
          <w:spacing w:val="1"/>
        </w:rPr>
        <w:t xml:space="preserve"> </w:t>
      </w:r>
      <w:r>
        <w:t>ex</w:t>
      </w:r>
      <w:r>
        <w:rPr>
          <w:spacing w:val="1"/>
        </w:rPr>
        <w:t xml:space="preserve"> </w:t>
      </w:r>
      <w:r>
        <w:t>post deviations</w:t>
      </w:r>
      <w:r>
        <w:rPr>
          <w:spacing w:val="1"/>
        </w:rPr>
        <w:t xml:space="preserve"> </w:t>
      </w:r>
      <w:r>
        <w:t>from the</w:t>
      </w:r>
      <w:r>
        <w:rPr>
          <w:spacing w:val="1"/>
        </w:rPr>
        <w:t xml:space="preserve"> </w:t>
      </w:r>
      <w:r>
        <w:t>target</w:t>
      </w:r>
      <w:r>
        <w:rPr>
          <w:spacing w:val="1"/>
        </w:rPr>
        <w:t xml:space="preserve"> </w:t>
      </w:r>
      <w:r>
        <w:t>range over</w:t>
      </w:r>
      <w:r>
        <w:rPr>
          <w:spacing w:val="1"/>
        </w:rPr>
        <w:t xml:space="preserve"> </w:t>
      </w:r>
      <w:r>
        <w:t>any</w:t>
      </w:r>
      <w:r>
        <w:rPr>
          <w:spacing w:val="1"/>
        </w:rPr>
        <w:t xml:space="preserve"> </w:t>
      </w:r>
      <w:r>
        <w:t>given period</w:t>
      </w:r>
      <w:r w:rsidR="0068598E">
        <w:rPr>
          <w:spacing w:val="-23"/>
        </w:rPr>
        <w:t>.</w:t>
      </w:r>
    </w:p>
    <w:p w14:paraId="2A288484" w14:textId="77777777" w:rsidR="00084A35" w:rsidRDefault="00084A35" w:rsidP="00084A35">
      <w:pPr>
        <w:pStyle w:val="BodyText"/>
        <w:rPr>
          <w:sz w:val="24"/>
        </w:rPr>
      </w:pPr>
    </w:p>
    <w:p w14:paraId="48FC4EC9" w14:textId="707890A3" w:rsidR="00084A35" w:rsidRPr="00B22788" w:rsidRDefault="00084A35" w:rsidP="00B22788">
      <w:pPr>
        <w:pStyle w:val="Heading3"/>
      </w:pPr>
      <w:r w:rsidRPr="00B22788">
        <w:t>Recommendation 2.2: Explain how the RBA uses flexibility in the framework</w:t>
      </w:r>
    </w:p>
    <w:p w14:paraId="213A94BC" w14:textId="72A25177" w:rsidR="00084A35" w:rsidRDefault="00084A35" w:rsidP="00084A35">
      <w:r>
        <w:t>There</w:t>
      </w:r>
      <w:r>
        <w:rPr>
          <w:spacing w:val="-1"/>
        </w:rPr>
        <w:t xml:space="preserve"> </w:t>
      </w:r>
      <w:r>
        <w:t>are</w:t>
      </w:r>
      <w:r>
        <w:rPr>
          <w:spacing w:val="2"/>
        </w:rPr>
        <w:t xml:space="preserve"> </w:t>
      </w:r>
      <w:r>
        <w:t>two</w:t>
      </w:r>
      <w:r>
        <w:rPr>
          <w:spacing w:val="2"/>
        </w:rPr>
        <w:t xml:space="preserve"> </w:t>
      </w:r>
      <w:r>
        <w:t>areas</w:t>
      </w:r>
      <w:r>
        <w:rPr>
          <w:spacing w:val="2"/>
        </w:rPr>
        <w:t xml:space="preserve"> </w:t>
      </w:r>
      <w:r>
        <w:t>in</w:t>
      </w:r>
      <w:r>
        <w:rPr>
          <w:spacing w:val="2"/>
        </w:rPr>
        <w:t xml:space="preserve"> </w:t>
      </w:r>
      <w:r>
        <w:t>which</w:t>
      </w:r>
      <w:r>
        <w:rPr>
          <w:spacing w:val="2"/>
        </w:rPr>
        <w:t xml:space="preserve"> </w:t>
      </w:r>
      <w:r>
        <w:t>the</w:t>
      </w:r>
      <w:r>
        <w:rPr>
          <w:spacing w:val="2"/>
        </w:rPr>
        <w:t xml:space="preserve"> </w:t>
      </w:r>
      <w:r>
        <w:t>RBA</w:t>
      </w:r>
      <w:r>
        <w:rPr>
          <w:spacing w:val="2"/>
        </w:rPr>
        <w:t xml:space="preserve"> </w:t>
      </w:r>
      <w:r>
        <w:t>could</w:t>
      </w:r>
      <w:r>
        <w:rPr>
          <w:spacing w:val="2"/>
        </w:rPr>
        <w:t xml:space="preserve"> </w:t>
      </w:r>
      <w:r>
        <w:t>better</w:t>
      </w:r>
      <w:r>
        <w:rPr>
          <w:spacing w:val="2"/>
        </w:rPr>
        <w:t xml:space="preserve"> </w:t>
      </w:r>
      <w:r>
        <w:t>explain</w:t>
      </w:r>
      <w:r>
        <w:rPr>
          <w:spacing w:val="2"/>
        </w:rPr>
        <w:t xml:space="preserve"> </w:t>
      </w:r>
      <w:r>
        <w:t>the</w:t>
      </w:r>
      <w:r>
        <w:rPr>
          <w:spacing w:val="2"/>
        </w:rPr>
        <w:t xml:space="preserve"> </w:t>
      </w:r>
      <w:r>
        <w:t>flexibility</w:t>
      </w:r>
      <w:r>
        <w:rPr>
          <w:spacing w:val="2"/>
        </w:rPr>
        <w:t xml:space="preserve"> </w:t>
      </w:r>
      <w:r>
        <w:t>in</w:t>
      </w:r>
      <w:r>
        <w:rPr>
          <w:spacing w:val="2"/>
        </w:rPr>
        <w:t xml:space="preserve"> </w:t>
      </w:r>
      <w:r>
        <w:t>the</w:t>
      </w:r>
      <w:r>
        <w:rPr>
          <w:spacing w:val="2"/>
        </w:rPr>
        <w:t xml:space="preserve"> </w:t>
      </w:r>
      <w:r>
        <w:t>monetary</w:t>
      </w:r>
      <w:r>
        <w:rPr>
          <w:spacing w:val="2"/>
        </w:rPr>
        <w:t xml:space="preserve"> </w:t>
      </w:r>
      <w:r>
        <w:rPr>
          <w:spacing w:val="-2"/>
        </w:rPr>
        <w:t xml:space="preserve">policy </w:t>
      </w:r>
      <w:r>
        <w:t>framework,</w:t>
      </w:r>
      <w:r>
        <w:rPr>
          <w:spacing w:val="3"/>
        </w:rPr>
        <w:t xml:space="preserve"> </w:t>
      </w:r>
      <w:r>
        <w:t>and</w:t>
      </w:r>
      <w:r>
        <w:rPr>
          <w:spacing w:val="3"/>
        </w:rPr>
        <w:t xml:space="preserve"> </w:t>
      </w:r>
      <w:r>
        <w:t>in</w:t>
      </w:r>
      <w:r>
        <w:rPr>
          <w:spacing w:val="4"/>
        </w:rPr>
        <w:t xml:space="preserve"> </w:t>
      </w:r>
      <w:r>
        <w:t>doing</w:t>
      </w:r>
      <w:r>
        <w:rPr>
          <w:spacing w:val="3"/>
        </w:rPr>
        <w:t xml:space="preserve"> </w:t>
      </w:r>
      <w:r>
        <w:t>so</w:t>
      </w:r>
      <w:r>
        <w:rPr>
          <w:spacing w:val="4"/>
        </w:rPr>
        <w:t xml:space="preserve"> </w:t>
      </w:r>
      <w:r>
        <w:t>strengthen</w:t>
      </w:r>
      <w:r>
        <w:rPr>
          <w:spacing w:val="3"/>
        </w:rPr>
        <w:t xml:space="preserve"> </w:t>
      </w:r>
      <w:r>
        <w:t>its</w:t>
      </w:r>
      <w:r>
        <w:rPr>
          <w:spacing w:val="4"/>
        </w:rPr>
        <w:t xml:space="preserve"> </w:t>
      </w:r>
      <w:r>
        <w:t>communication</w:t>
      </w:r>
      <w:r w:rsidR="0068598E">
        <w:rPr>
          <w:spacing w:val="-22"/>
        </w:rPr>
        <w:t>.</w:t>
      </w:r>
    </w:p>
    <w:p w14:paraId="4C2BF6EE" w14:textId="77777777" w:rsidR="00084A35" w:rsidRDefault="00084A35" w:rsidP="00084A35">
      <w:pPr>
        <w:pStyle w:val="Heading4"/>
      </w:pPr>
      <w:r>
        <w:t>Explain</w:t>
      </w:r>
      <w:r>
        <w:rPr>
          <w:spacing w:val="-1"/>
        </w:rPr>
        <w:t xml:space="preserve"> </w:t>
      </w:r>
      <w:r>
        <w:t>the</w:t>
      </w:r>
      <w:r>
        <w:rPr>
          <w:spacing w:val="-1"/>
        </w:rPr>
        <w:t xml:space="preserve"> </w:t>
      </w:r>
      <w:r>
        <w:t>timeframe to</w:t>
      </w:r>
      <w:r>
        <w:rPr>
          <w:spacing w:val="-1"/>
        </w:rPr>
        <w:t xml:space="preserve"> </w:t>
      </w:r>
      <w:r>
        <w:t>return to</w:t>
      </w:r>
      <w:r>
        <w:rPr>
          <w:spacing w:val="-1"/>
        </w:rPr>
        <w:t xml:space="preserve"> </w:t>
      </w:r>
      <w:r>
        <w:t>inflation and</w:t>
      </w:r>
      <w:r>
        <w:rPr>
          <w:spacing w:val="-1"/>
        </w:rPr>
        <w:t xml:space="preserve"> </w:t>
      </w:r>
      <w:r>
        <w:t>employment to</w:t>
      </w:r>
      <w:r>
        <w:rPr>
          <w:spacing w:val="-1"/>
        </w:rPr>
        <w:t xml:space="preserve"> </w:t>
      </w:r>
      <w:r>
        <w:rPr>
          <w:spacing w:val="-2"/>
        </w:rPr>
        <w:t>target</w:t>
      </w:r>
    </w:p>
    <w:p w14:paraId="4DACDF4D" w14:textId="77777777" w:rsidR="00084A35" w:rsidRDefault="00084A35" w:rsidP="00084A35">
      <w:r>
        <w:t>Recommendation 2.1 set out that flexibility in the framework refers to the time frame for the RBA to return inflation to around the midpoint of the target and attain full employment. Where the RBA exercises its flexibility, it is appropriate that it explains this to the public.</w:t>
      </w:r>
    </w:p>
    <w:p w14:paraId="7BFF7AD0" w14:textId="77777777" w:rsidR="00084A35" w:rsidRDefault="00084A35" w:rsidP="00084A35">
      <w:r>
        <w:t>The RBA should commit to clearly explain how it is using this time-period flexibility at each decision point. When inflation moves significantly away from the midpoint of the target, the RBA should explain its plan to return inflation to around the midpoint including how long it expects this to take.</w:t>
      </w:r>
    </w:p>
    <w:p w14:paraId="1A041C0C" w14:textId="7F179D45" w:rsidR="004E3310" w:rsidRDefault="004E3310" w:rsidP="004E3310">
      <w:r>
        <w:t>Equivalent communication should occur regarding full employment</w:t>
      </w:r>
      <w:r w:rsidR="0068598E">
        <w:rPr>
          <w:spacing w:val="-17"/>
        </w:rPr>
        <w:t>.</w:t>
      </w:r>
      <w:r>
        <w:rPr>
          <w:w w:val="85"/>
        </w:rPr>
        <w:t xml:space="preserve"> </w:t>
      </w:r>
      <w:r>
        <w:t>Further to setting out its assessment</w:t>
      </w:r>
      <w:r>
        <w:rPr>
          <w:spacing w:val="-2"/>
        </w:rPr>
        <w:t xml:space="preserve"> </w:t>
      </w:r>
      <w:r>
        <w:t>of</w:t>
      </w:r>
      <w:r>
        <w:rPr>
          <w:spacing w:val="-2"/>
        </w:rPr>
        <w:t xml:space="preserve"> </w:t>
      </w:r>
      <w:r>
        <w:t>the</w:t>
      </w:r>
      <w:r>
        <w:rPr>
          <w:spacing w:val="-2"/>
        </w:rPr>
        <w:t xml:space="preserve"> </w:t>
      </w:r>
      <w:r>
        <w:t>full</w:t>
      </w:r>
      <w:r>
        <w:rPr>
          <w:spacing w:val="-2"/>
        </w:rPr>
        <w:t xml:space="preserve"> </w:t>
      </w:r>
      <w:r>
        <w:t>employment</w:t>
      </w:r>
      <w:r>
        <w:rPr>
          <w:spacing w:val="-2"/>
        </w:rPr>
        <w:t xml:space="preserve"> </w:t>
      </w:r>
      <w:r>
        <w:t>objective</w:t>
      </w:r>
      <w:r>
        <w:rPr>
          <w:spacing w:val="-2"/>
        </w:rPr>
        <w:t xml:space="preserve"> </w:t>
      </w:r>
      <w:r>
        <w:t>(Recommendation</w:t>
      </w:r>
      <w:r>
        <w:rPr>
          <w:spacing w:val="-2"/>
        </w:rPr>
        <w:t xml:space="preserve"> </w:t>
      </w:r>
      <w:r>
        <w:t>2</w:t>
      </w:r>
      <w:r w:rsidR="0068598E">
        <w:rPr>
          <w:spacing w:val="-25"/>
        </w:rPr>
        <w:t>.</w:t>
      </w:r>
      <w:r>
        <w:rPr>
          <w:w w:val="113"/>
        </w:rPr>
        <w:t>1),</w:t>
      </w:r>
      <w:r>
        <w:rPr>
          <w:spacing w:val="-2"/>
          <w:w w:val="99"/>
        </w:rPr>
        <w:t xml:space="preserve"> </w:t>
      </w:r>
      <w:r>
        <w:t>the</w:t>
      </w:r>
      <w:r>
        <w:rPr>
          <w:spacing w:val="-2"/>
        </w:rPr>
        <w:t xml:space="preserve"> </w:t>
      </w:r>
      <w:r>
        <w:t>RBA</w:t>
      </w:r>
      <w:r>
        <w:rPr>
          <w:spacing w:val="-2"/>
        </w:rPr>
        <w:t xml:space="preserve"> </w:t>
      </w:r>
      <w:r>
        <w:t>should</w:t>
      </w:r>
      <w:r>
        <w:rPr>
          <w:spacing w:val="-2"/>
        </w:rPr>
        <w:t xml:space="preserve"> </w:t>
      </w:r>
      <w:r>
        <w:t>explain</w:t>
      </w:r>
      <w:r>
        <w:rPr>
          <w:spacing w:val="-2"/>
        </w:rPr>
        <w:t xml:space="preserve"> </w:t>
      </w:r>
      <w:r>
        <w:t>how long employment will deviate from full employment and why</w:t>
      </w:r>
      <w:r w:rsidR="0068598E">
        <w:rPr>
          <w:spacing w:val="-19"/>
        </w:rPr>
        <w:t>.</w:t>
      </w:r>
      <w:r>
        <w:rPr>
          <w:w w:val="85"/>
        </w:rPr>
        <w:t xml:space="preserve"> </w:t>
      </w:r>
      <w:r>
        <w:t>The RBA should also note how its approach is balancing monetary policy’s dual objectives</w:t>
      </w:r>
      <w:r w:rsidR="0068598E">
        <w:rPr>
          <w:spacing w:val="-10"/>
        </w:rPr>
        <w:t>.</w:t>
      </w:r>
    </w:p>
    <w:p w14:paraId="73B799CE" w14:textId="77777777" w:rsidR="004E3310" w:rsidRDefault="004E3310" w:rsidP="004E3310">
      <w:pPr>
        <w:pStyle w:val="Heading4"/>
      </w:pPr>
      <w:r>
        <w:lastRenderedPageBreak/>
        <w:t>Explain</w:t>
      </w:r>
      <w:r>
        <w:rPr>
          <w:spacing w:val="1"/>
        </w:rPr>
        <w:t xml:space="preserve"> </w:t>
      </w:r>
      <w:r>
        <w:t>the</w:t>
      </w:r>
      <w:r>
        <w:rPr>
          <w:spacing w:val="2"/>
        </w:rPr>
        <w:t xml:space="preserve"> </w:t>
      </w:r>
      <w:r>
        <w:t>role</w:t>
      </w:r>
      <w:r>
        <w:rPr>
          <w:spacing w:val="2"/>
        </w:rPr>
        <w:t xml:space="preserve"> </w:t>
      </w:r>
      <w:r>
        <w:t>of</w:t>
      </w:r>
      <w:r>
        <w:rPr>
          <w:spacing w:val="2"/>
        </w:rPr>
        <w:t xml:space="preserve"> </w:t>
      </w:r>
      <w:r>
        <w:t>financial</w:t>
      </w:r>
      <w:r>
        <w:rPr>
          <w:spacing w:val="2"/>
        </w:rPr>
        <w:t xml:space="preserve"> </w:t>
      </w:r>
      <w:r>
        <w:t>stability</w:t>
      </w:r>
      <w:r>
        <w:rPr>
          <w:spacing w:val="2"/>
        </w:rPr>
        <w:t xml:space="preserve"> </w:t>
      </w:r>
      <w:r>
        <w:t>in</w:t>
      </w:r>
      <w:r>
        <w:rPr>
          <w:spacing w:val="1"/>
        </w:rPr>
        <w:t xml:space="preserve"> </w:t>
      </w:r>
      <w:r>
        <w:t>monetary</w:t>
      </w:r>
      <w:r>
        <w:rPr>
          <w:spacing w:val="2"/>
        </w:rPr>
        <w:t xml:space="preserve"> </w:t>
      </w:r>
      <w:r>
        <w:rPr>
          <w:spacing w:val="-2"/>
        </w:rPr>
        <w:t>policy</w:t>
      </w:r>
    </w:p>
    <w:p w14:paraId="65945790" w14:textId="77777777" w:rsidR="004E3310" w:rsidRDefault="004E3310" w:rsidP="004E3310">
      <w:r>
        <w:t>The role of financial stability in the monetary policy framework should be clarified. Financial vulnerabilities should be considered in monetary policy decision making to the extent they may influence the price stability and full employment objectives.</w:t>
      </w:r>
    </w:p>
    <w:p w14:paraId="06F02687" w14:textId="4608BC24" w:rsidR="004E3310" w:rsidRDefault="004E3310" w:rsidP="004E3310">
      <w:r>
        <w:t>A key area of focus in the Review’s consultations was how vulnerabilities in the financial system influence the RBA’s monetary policy decisions. A range of perspectives were put forward. Some suggested that the RBA’s monetary policy considered financial stability as part of its ‘economic prosperity and welfare’ objective; others thought that financial stability was considered via its expected impact on economic outcomes (including on price stability and employment)</w:t>
      </w:r>
      <w:r w:rsidR="0068598E">
        <w:rPr>
          <w:spacing w:val="-16"/>
        </w:rPr>
        <w:t>.</w:t>
      </w:r>
    </w:p>
    <w:p w14:paraId="4602BC25" w14:textId="579E22B5" w:rsidR="004E3310" w:rsidRDefault="004E3310" w:rsidP="004E3310">
      <w:r>
        <w:t>Greater clarity on this issue has the potential to improve the RBA’s decision making, communication and accountability, as well as improving the coordination of monetary policy and APRA’s macroprudential policy</w:t>
      </w:r>
      <w:r w:rsidR="0068598E">
        <w:rPr>
          <w:spacing w:val="-17"/>
        </w:rPr>
        <w:t>.</w:t>
      </w:r>
    </w:p>
    <w:p w14:paraId="71F8ACA2" w14:textId="1CAF50B0" w:rsidR="004E3310" w:rsidRDefault="004E3310" w:rsidP="004E3310">
      <w:r>
        <w:t>Financial instability and cycles in indebtedness can create significant economic instability that exacerbates economic downturns and impedes recovery</w:t>
      </w:r>
      <w:r w:rsidR="0068598E">
        <w:rPr>
          <w:spacing w:val="-18"/>
        </w:rPr>
        <w:t>.</w:t>
      </w:r>
      <w:r>
        <w:rPr>
          <w:w w:val="85"/>
        </w:rPr>
        <w:t xml:space="preserve"> </w:t>
      </w:r>
      <w:r>
        <w:t>The Asian Financial Crisis of the late 1990s, the Global Financial Crisis of the 2000s and European debt crisis of the 2010s are key examples. Clearly financial system stability is an important prerequisite to the RBA’s objectives of price stability and full employment</w:t>
      </w:r>
      <w:r w:rsidR="0068598E">
        <w:rPr>
          <w:spacing w:val="-8"/>
        </w:rPr>
        <w:t>.</w:t>
      </w:r>
    </w:p>
    <w:p w14:paraId="64A4412F" w14:textId="6A437AC1" w:rsidR="004E3310" w:rsidRDefault="004E3310" w:rsidP="004E3310">
      <w:r>
        <w:t>A more contentious issue is whether the RBA should seek to use the cash rate or other monetary policy tools to try to limit growth in vulnerabilities in the financial system (including on household</w:t>
      </w:r>
      <w:r>
        <w:rPr>
          <w:spacing w:val="40"/>
        </w:rPr>
        <w:t xml:space="preserve"> </w:t>
      </w:r>
      <w:r>
        <w:t>or business balance sheets). Evidence shows that monetary policy influences risk taking, growth in debt and asset prices and so can influence vulnerabilities in the financial system. However, easier monetary policy also promotes employment and economic activity. There is significant debate about both the efficacy and the trade-offs of using the policy rate to manage vulnerabilities to the financial system.</w:t>
      </w:r>
      <w:r>
        <w:rPr>
          <w:rStyle w:val="FootnoteReference"/>
        </w:rPr>
        <w:footnoteReference w:id="6"/>
      </w:r>
      <w:r>
        <w:t xml:space="preserve"> There is also debate about whether this was an important factor driving Australian monetary policy in 2016-2019 (see Chapter 1)</w:t>
      </w:r>
      <w:r w:rsidR="0068598E">
        <w:rPr>
          <w:spacing w:val="-17"/>
        </w:rPr>
        <w:t>.</w:t>
      </w:r>
    </w:p>
    <w:p w14:paraId="2DBFB979" w14:textId="06365643" w:rsidR="004E3310" w:rsidRDefault="004E3310" w:rsidP="004E3310">
      <w:r>
        <w:t>On balance the Review recommends that financial stability risks should be considered in setting monetary policy to the extent that they may affect the RBA’s dual monetary policy objectives.</w:t>
      </w:r>
      <w:r w:rsidR="00745BA9">
        <w:t xml:space="preserve"> </w:t>
      </w:r>
      <w:r>
        <w:t>Macroprudential policies, among other financial system safeguards, can provide a more targeted approach to mitigating risks to financial stability (see Recommendation 6 for further discussion of the coordination of monetary and macroprudential policies)</w:t>
      </w:r>
      <w:r w:rsidR="0068598E">
        <w:rPr>
          <w:spacing w:val="-19"/>
        </w:rPr>
        <w:t>.</w:t>
      </w:r>
      <w:r>
        <w:rPr>
          <w:w w:val="85"/>
        </w:rPr>
        <w:t xml:space="preserve"> </w:t>
      </w:r>
      <w:r>
        <w:t>The Council of Financial Regulators should be a forum to facilitate collaboration and coordination of financial stability policies among Australia’s financial regulators.</w:t>
      </w:r>
    </w:p>
    <w:p w14:paraId="1AC1BAEC" w14:textId="26EBAE8D" w:rsidR="00500849" w:rsidRDefault="00500849" w:rsidP="00500849">
      <w:r>
        <w:t>There are, however, limitations to what macroprudential policy can achieve, and it may not be appropriate in all instances. APRA’s actions can have direct impacts on financial institutions’ resilience and risk taking, but asset prices or indebtedness can only be impacted indirectly</w:t>
      </w:r>
      <w:r w:rsidR="0068598E">
        <w:rPr>
          <w:spacing w:val="-22"/>
        </w:rPr>
        <w:t>.</w:t>
      </w:r>
      <w:r>
        <w:rPr>
          <w:w w:val="85"/>
        </w:rPr>
        <w:t xml:space="preserve"> </w:t>
      </w:r>
      <w:r>
        <w:t>There can also be sources of risk outside APRA’s or other authorities’ regulatory perimeters</w:t>
      </w:r>
      <w:r w:rsidR="0068598E">
        <w:rPr>
          <w:spacing w:val="-19"/>
        </w:rPr>
        <w:t>.</w:t>
      </w:r>
      <w:r>
        <w:rPr>
          <w:w w:val="85"/>
        </w:rPr>
        <w:t xml:space="preserve"> </w:t>
      </w:r>
      <w:r>
        <w:t>Failing to account for these risks would be counterproductive to the RBA’s ability to meet its long-term objectives. It is important, therefore, that the RBA retains flexibility to set monetary policy in a way that accounts for the potential impacts of vulnerabilities in the financial system on price stability and full employment</w:t>
      </w:r>
      <w:r w:rsidR="0068598E">
        <w:rPr>
          <w:spacing w:val="-11"/>
        </w:rPr>
        <w:t>.</w:t>
      </w:r>
    </w:p>
    <w:p w14:paraId="6D1229A0" w14:textId="7A666A5D" w:rsidR="00500849" w:rsidRDefault="00500849" w:rsidP="00500849">
      <w:r>
        <w:t>The Review’s recommendation provides the RBA with flexibility to contribute to price stability</w:t>
      </w:r>
      <w:r>
        <w:rPr>
          <w:spacing w:val="40"/>
        </w:rPr>
        <w:t xml:space="preserve"> </w:t>
      </w:r>
      <w:r>
        <w:t>and full employment over the longer term as well as the shorter run. However, this flexibility requires careful analysis and greater transparency</w:t>
      </w:r>
      <w:r w:rsidR="0068598E">
        <w:rPr>
          <w:spacing w:val="-23"/>
        </w:rPr>
        <w:t>.</w:t>
      </w:r>
      <w:r>
        <w:rPr>
          <w:w w:val="85"/>
        </w:rPr>
        <w:t xml:space="preserve"> </w:t>
      </w:r>
      <w:r>
        <w:t>The RBA must ensure that its judgements in this</w:t>
      </w:r>
      <w:r>
        <w:rPr>
          <w:spacing w:val="-1"/>
        </w:rPr>
        <w:t xml:space="preserve"> </w:t>
      </w:r>
      <w:r>
        <w:t>regard,</w:t>
      </w:r>
      <w:r>
        <w:rPr>
          <w:spacing w:val="-1"/>
        </w:rPr>
        <w:t xml:space="preserve"> </w:t>
      </w:r>
      <w:r>
        <w:t>and</w:t>
      </w:r>
      <w:r>
        <w:rPr>
          <w:spacing w:val="-1"/>
        </w:rPr>
        <w:t xml:space="preserve"> </w:t>
      </w:r>
      <w:r>
        <w:t>the</w:t>
      </w:r>
      <w:r>
        <w:rPr>
          <w:spacing w:val="-1"/>
        </w:rPr>
        <w:t xml:space="preserve"> </w:t>
      </w:r>
      <w:r>
        <w:t>evidence</w:t>
      </w:r>
      <w:r>
        <w:rPr>
          <w:spacing w:val="-1"/>
        </w:rPr>
        <w:t xml:space="preserve"> </w:t>
      </w:r>
      <w:r>
        <w:t>it</w:t>
      </w:r>
      <w:r>
        <w:rPr>
          <w:spacing w:val="-1"/>
        </w:rPr>
        <w:t xml:space="preserve"> </w:t>
      </w:r>
      <w:r>
        <w:t>relies</w:t>
      </w:r>
      <w:r>
        <w:rPr>
          <w:spacing w:val="-1"/>
        </w:rPr>
        <w:t xml:space="preserve"> </w:t>
      </w:r>
      <w:r>
        <w:t>upon,</w:t>
      </w:r>
      <w:r>
        <w:rPr>
          <w:spacing w:val="-1"/>
        </w:rPr>
        <w:t xml:space="preserve"> </w:t>
      </w:r>
      <w:r>
        <w:t>are</w:t>
      </w:r>
      <w:r>
        <w:rPr>
          <w:spacing w:val="-1"/>
        </w:rPr>
        <w:t xml:space="preserve"> </w:t>
      </w:r>
      <w:r>
        <w:t>as</w:t>
      </w:r>
      <w:r>
        <w:rPr>
          <w:spacing w:val="-1"/>
        </w:rPr>
        <w:t xml:space="preserve"> </w:t>
      </w:r>
      <w:r>
        <w:t>clear</w:t>
      </w:r>
      <w:r>
        <w:rPr>
          <w:spacing w:val="-1"/>
        </w:rPr>
        <w:t xml:space="preserve"> </w:t>
      </w:r>
      <w:r>
        <w:t>as</w:t>
      </w:r>
      <w:r>
        <w:rPr>
          <w:spacing w:val="-1"/>
        </w:rPr>
        <w:t xml:space="preserve"> </w:t>
      </w:r>
      <w:r>
        <w:t>possible,</w:t>
      </w:r>
      <w:r>
        <w:rPr>
          <w:spacing w:val="-1"/>
        </w:rPr>
        <w:t xml:space="preserve"> </w:t>
      </w:r>
      <w:r>
        <w:t>both</w:t>
      </w:r>
      <w:r>
        <w:rPr>
          <w:spacing w:val="-1"/>
        </w:rPr>
        <w:t xml:space="preserve"> </w:t>
      </w:r>
      <w:r>
        <w:t>internally</w:t>
      </w:r>
      <w:r>
        <w:rPr>
          <w:spacing w:val="-1"/>
        </w:rPr>
        <w:t xml:space="preserve"> </w:t>
      </w:r>
      <w:r>
        <w:t>and</w:t>
      </w:r>
      <w:r>
        <w:rPr>
          <w:spacing w:val="-1"/>
        </w:rPr>
        <w:t xml:space="preserve"> </w:t>
      </w:r>
      <w:r>
        <w:t>in</w:t>
      </w:r>
      <w:r>
        <w:rPr>
          <w:spacing w:val="-1"/>
        </w:rPr>
        <w:t xml:space="preserve"> </w:t>
      </w:r>
      <w:r>
        <w:t>public communication</w:t>
      </w:r>
      <w:r w:rsidR="0068598E">
        <w:rPr>
          <w:spacing w:val="-23"/>
        </w:rPr>
        <w:t>.</w:t>
      </w:r>
      <w:r>
        <w:rPr>
          <w:w w:val="85"/>
        </w:rPr>
        <w:t xml:space="preserve"> </w:t>
      </w:r>
      <w:r>
        <w:t>The Review recommends a greater focus from the RBA on communicating how</w:t>
      </w:r>
    </w:p>
    <w:p w14:paraId="6CD3DDA4" w14:textId="4200D322" w:rsidR="00500849" w:rsidRDefault="00500849" w:rsidP="00500849">
      <w:r>
        <w:lastRenderedPageBreak/>
        <w:t>financial stability concerns are incorporated into monetary policy decisions. Greater clarity on this issue will come, in part, from focusing the discussion on how financial stability contributes to price stability and full employment</w:t>
      </w:r>
      <w:r w:rsidR="0068598E">
        <w:rPr>
          <w:spacing w:val="-9"/>
        </w:rPr>
        <w:t>.</w:t>
      </w:r>
    </w:p>
    <w:p w14:paraId="47269398" w14:textId="77777777" w:rsidR="00E733E0" w:rsidRPr="00DC66D1" w:rsidRDefault="00E733E0" w:rsidP="00E733E0">
      <w:pPr>
        <w:pStyle w:val="Heading2"/>
      </w:pPr>
      <w:bookmarkStart w:id="39" w:name="_Toc134221009"/>
      <w:r w:rsidRPr="00DC66D1">
        <w:t>Recommendation 3: Promote a better understanding of the relative roles of fiscal and monetary policy</w:t>
      </w:r>
      <w:bookmarkEnd w:id="39"/>
    </w:p>
    <w:tbl>
      <w:tblPr>
        <w:tblW w:w="5000" w:type="pct"/>
        <w:tblCellMar>
          <w:left w:w="0" w:type="dxa"/>
          <w:right w:w="0" w:type="dxa"/>
        </w:tblCellMar>
        <w:tblLook w:val="01E0" w:firstRow="1" w:lastRow="1" w:firstColumn="1" w:lastColumn="1" w:noHBand="0" w:noVBand="0"/>
      </w:tblPr>
      <w:tblGrid>
        <w:gridCol w:w="784"/>
        <w:gridCol w:w="8286"/>
      </w:tblGrid>
      <w:tr w:rsidR="00084899" w14:paraId="4037BA32" w14:textId="77777777" w:rsidTr="00720B18">
        <w:trPr>
          <w:trHeight w:val="925"/>
        </w:trPr>
        <w:tc>
          <w:tcPr>
            <w:tcW w:w="5000" w:type="pct"/>
            <w:gridSpan w:val="2"/>
            <w:tcBorders>
              <w:bottom w:val="single" w:sz="8" w:space="0" w:color="ECEDE9"/>
            </w:tcBorders>
          </w:tcPr>
          <w:p w14:paraId="3CC08193" w14:textId="77777777" w:rsidR="00084899" w:rsidRDefault="00084899" w:rsidP="00F22AE5">
            <w:pPr>
              <w:pStyle w:val="Heading4"/>
            </w:pPr>
            <w:r>
              <w:t>Recommendation 3:</w:t>
            </w:r>
            <w:r>
              <w:rPr>
                <w:spacing w:val="1"/>
              </w:rPr>
              <w:t xml:space="preserve"> </w:t>
            </w:r>
            <w:r>
              <w:t>Promote a</w:t>
            </w:r>
            <w:r>
              <w:rPr>
                <w:spacing w:val="1"/>
              </w:rPr>
              <w:t xml:space="preserve"> </w:t>
            </w:r>
            <w:r>
              <w:t>better understanding</w:t>
            </w:r>
            <w:r>
              <w:rPr>
                <w:spacing w:val="1"/>
              </w:rPr>
              <w:t xml:space="preserve"> </w:t>
            </w:r>
            <w:r>
              <w:t>of the</w:t>
            </w:r>
            <w:r>
              <w:rPr>
                <w:spacing w:val="1"/>
              </w:rPr>
              <w:t xml:space="preserve"> </w:t>
            </w:r>
            <w:r>
              <w:t>relative roles</w:t>
            </w:r>
            <w:r>
              <w:rPr>
                <w:spacing w:val="1"/>
              </w:rPr>
              <w:t xml:space="preserve"> </w:t>
            </w:r>
            <w:r>
              <w:t>of</w:t>
            </w:r>
            <w:r>
              <w:rPr>
                <w:spacing w:val="1"/>
              </w:rPr>
              <w:t xml:space="preserve"> </w:t>
            </w:r>
            <w:r>
              <w:rPr>
                <w:spacing w:val="-2"/>
              </w:rPr>
              <w:t xml:space="preserve">fiscal </w:t>
            </w:r>
            <w:r>
              <w:t>and</w:t>
            </w:r>
            <w:r>
              <w:rPr>
                <w:spacing w:val="3"/>
              </w:rPr>
              <w:t xml:space="preserve"> </w:t>
            </w:r>
            <w:r>
              <w:t>monetary</w:t>
            </w:r>
            <w:r>
              <w:rPr>
                <w:spacing w:val="4"/>
              </w:rPr>
              <w:t xml:space="preserve"> </w:t>
            </w:r>
            <w:r>
              <w:rPr>
                <w:spacing w:val="-2"/>
              </w:rPr>
              <w:t>policy</w:t>
            </w:r>
          </w:p>
        </w:tc>
      </w:tr>
      <w:tr w:rsidR="00084899" w14:paraId="09E970A6" w14:textId="77777777" w:rsidTr="00720B18">
        <w:trPr>
          <w:trHeight w:val="4014"/>
        </w:trPr>
        <w:tc>
          <w:tcPr>
            <w:tcW w:w="432" w:type="pct"/>
            <w:tcBorders>
              <w:top w:val="single" w:sz="8" w:space="0" w:color="ECEDE9"/>
              <w:bottom w:val="single" w:sz="8" w:space="0" w:color="ECEDE9"/>
            </w:tcBorders>
          </w:tcPr>
          <w:p w14:paraId="34EEE92E" w14:textId="77777777" w:rsidR="00084899" w:rsidRDefault="00084899" w:rsidP="00F22AE5">
            <w:r>
              <w:t>3.1</w:t>
            </w:r>
          </w:p>
        </w:tc>
        <w:tc>
          <w:tcPr>
            <w:tcW w:w="4568" w:type="pct"/>
            <w:tcBorders>
              <w:top w:val="single" w:sz="8" w:space="0" w:color="ECEDE9"/>
              <w:bottom w:val="single" w:sz="8" w:space="0" w:color="ECEDE9"/>
            </w:tcBorders>
          </w:tcPr>
          <w:p w14:paraId="4C745B75" w14:textId="77777777" w:rsidR="00084899" w:rsidRDefault="00084899" w:rsidP="00F22AE5">
            <w:r>
              <w:t xml:space="preserve">The </w:t>
            </w:r>
            <w:r>
              <w:rPr>
                <w:i/>
              </w:rPr>
              <w:t xml:space="preserve">Statement on the Conduct of Monetary Policy </w:t>
            </w:r>
            <w:r>
              <w:t>should acknowledge the importance of both monetary policy and fiscal policy for macroeconomic outcomes. The Government (in particular Treasury) and the RBA should commit to:</w:t>
            </w:r>
          </w:p>
          <w:p w14:paraId="26E577DD" w14:textId="77777777" w:rsidR="00084899" w:rsidRDefault="00084899" w:rsidP="0000278A">
            <w:pPr>
              <w:pStyle w:val="Bullet"/>
            </w:pPr>
            <w:r>
              <w:t>continue to regularly share information about the economic outlook, risks and policy constraints</w:t>
            </w:r>
          </w:p>
          <w:p w14:paraId="4C342364" w14:textId="77777777" w:rsidR="00084899" w:rsidRDefault="00084899" w:rsidP="0000278A">
            <w:pPr>
              <w:pStyle w:val="Bullet"/>
            </w:pPr>
            <w:r>
              <w:t>work together to analyse the impacts of monetary policy decisions on fiscal policy, and the impacts of fiscal policy decisions on monetary policy</w:t>
            </w:r>
          </w:p>
          <w:p w14:paraId="073E7F76" w14:textId="77777777" w:rsidR="00084899" w:rsidRDefault="00084899" w:rsidP="0000278A">
            <w:pPr>
              <w:pStyle w:val="Bullet"/>
            </w:pPr>
            <w:r>
              <w:t>jointly develop scenario analysis that identifies the best combination of policy responses to economic challenges, in ways that do not compromise monetary policy independence</w:t>
            </w:r>
          </w:p>
          <w:p w14:paraId="03AC73F7" w14:textId="77777777" w:rsidR="00084899" w:rsidRDefault="00084899" w:rsidP="0000278A">
            <w:pPr>
              <w:pStyle w:val="Bullet"/>
            </w:pPr>
            <w:r>
              <w:t>identify how the RBA’s monetary policy framework and the Government’s fiscal approach can together best support good economic outcomes and acknowledge that fiscal policy may have a larger role in some circumstances, for example when the cash rate is at its effective lower bound.</w:t>
            </w:r>
          </w:p>
        </w:tc>
      </w:tr>
      <w:tr w:rsidR="00084899" w14:paraId="1F1065F0" w14:textId="77777777" w:rsidTr="00E3625C">
        <w:trPr>
          <w:trHeight w:val="1191"/>
        </w:trPr>
        <w:tc>
          <w:tcPr>
            <w:tcW w:w="432" w:type="pct"/>
            <w:tcBorders>
              <w:top w:val="single" w:sz="8" w:space="0" w:color="ECEDE9"/>
              <w:bottom w:val="single" w:sz="8" w:space="0" w:color="ECEDE9"/>
            </w:tcBorders>
          </w:tcPr>
          <w:p w14:paraId="5B934055" w14:textId="77777777" w:rsidR="00084899" w:rsidRPr="009774A4" w:rsidRDefault="00084899" w:rsidP="00F22AE5">
            <w:r>
              <w:t>3.2</w:t>
            </w:r>
          </w:p>
        </w:tc>
        <w:tc>
          <w:tcPr>
            <w:tcW w:w="4568" w:type="pct"/>
            <w:tcBorders>
              <w:top w:val="single" w:sz="8" w:space="0" w:color="ECEDE9"/>
              <w:bottom w:val="single" w:sz="8" w:space="0" w:color="ECEDE9"/>
            </w:tcBorders>
          </w:tcPr>
          <w:p w14:paraId="3B17E747" w14:textId="77777777" w:rsidR="00084899" w:rsidRDefault="00084899" w:rsidP="00F22AE5">
            <w:r>
              <w:t>The RBA and Treasury should develop an Australian Macroeconomic Policy Research Program</w:t>
            </w:r>
            <w:r w:rsidRPr="009774A4">
              <w:t xml:space="preserve"> </w:t>
            </w:r>
            <w:r>
              <w:t>to</w:t>
            </w:r>
            <w:r w:rsidRPr="009774A4">
              <w:t xml:space="preserve"> </w:t>
            </w:r>
            <w:r>
              <w:t>promote</w:t>
            </w:r>
            <w:r w:rsidRPr="009774A4">
              <w:t xml:space="preserve"> </w:t>
            </w:r>
            <w:r>
              <w:t>applied</w:t>
            </w:r>
            <w:r w:rsidRPr="009774A4">
              <w:t xml:space="preserve"> </w:t>
            </w:r>
            <w:r>
              <w:t>research</w:t>
            </w:r>
            <w:r w:rsidRPr="009774A4">
              <w:t xml:space="preserve"> </w:t>
            </w:r>
            <w:r>
              <w:t>and</w:t>
            </w:r>
            <w:r w:rsidRPr="009774A4">
              <w:t xml:space="preserve"> </w:t>
            </w:r>
            <w:r>
              <w:t>analytics</w:t>
            </w:r>
            <w:r w:rsidRPr="009774A4">
              <w:t xml:space="preserve"> </w:t>
            </w:r>
            <w:r>
              <w:t>on</w:t>
            </w:r>
            <w:r w:rsidRPr="009774A4">
              <w:t xml:space="preserve"> </w:t>
            </w:r>
            <w:r>
              <w:t>Australian</w:t>
            </w:r>
            <w:r w:rsidRPr="009774A4">
              <w:t xml:space="preserve"> </w:t>
            </w:r>
            <w:r>
              <w:t>monetary,</w:t>
            </w:r>
            <w:r w:rsidRPr="009774A4">
              <w:t xml:space="preserve"> </w:t>
            </w:r>
            <w:r>
              <w:t>fiscal</w:t>
            </w:r>
            <w:r w:rsidRPr="009774A4">
              <w:t xml:space="preserve"> </w:t>
            </w:r>
            <w:r>
              <w:t>and financial policy, working with universities and think tanks that have such programs.</w:t>
            </w:r>
          </w:p>
        </w:tc>
      </w:tr>
      <w:tr w:rsidR="00084899" w14:paraId="16CEDAAA" w14:textId="77777777" w:rsidTr="00720B18">
        <w:trPr>
          <w:trHeight w:val="4014"/>
        </w:trPr>
        <w:tc>
          <w:tcPr>
            <w:tcW w:w="432" w:type="pct"/>
            <w:tcBorders>
              <w:top w:val="single" w:sz="8" w:space="0" w:color="ECEDE9"/>
              <w:bottom w:val="single" w:sz="8" w:space="0" w:color="ECEDE9"/>
            </w:tcBorders>
          </w:tcPr>
          <w:p w14:paraId="5323652E" w14:textId="77777777" w:rsidR="00084899" w:rsidRPr="009774A4" w:rsidRDefault="00084899" w:rsidP="00F22AE5">
            <w:r>
              <w:t>3.3</w:t>
            </w:r>
          </w:p>
        </w:tc>
        <w:tc>
          <w:tcPr>
            <w:tcW w:w="4568" w:type="pct"/>
            <w:tcBorders>
              <w:top w:val="single" w:sz="8" w:space="0" w:color="ECEDE9"/>
              <w:bottom w:val="single" w:sz="8" w:space="0" w:color="ECEDE9"/>
            </w:tcBorders>
          </w:tcPr>
          <w:p w14:paraId="0FED6A02" w14:textId="77777777" w:rsidR="00084899" w:rsidRDefault="00084899" w:rsidP="00F22AE5">
            <w:r>
              <w:t>The RBA should publish a framework for the use of additional monetary policy tools</w:t>
            </w:r>
            <w:r w:rsidRPr="009774A4">
              <w:t xml:space="preserve"> </w:t>
            </w:r>
            <w:r>
              <w:t xml:space="preserve">in the future. The </w:t>
            </w:r>
            <w:r w:rsidRPr="009774A4">
              <w:t xml:space="preserve">Statement on the Conduct of Monetary Policy </w:t>
            </w:r>
            <w:r>
              <w:t>should set out what the framework</w:t>
            </w:r>
            <w:r w:rsidRPr="009774A4">
              <w:t xml:space="preserve"> </w:t>
            </w:r>
            <w:r>
              <w:t>will</w:t>
            </w:r>
            <w:r w:rsidRPr="009774A4">
              <w:t xml:space="preserve"> </w:t>
            </w:r>
            <w:r>
              <w:t>cover,</w:t>
            </w:r>
            <w:r w:rsidRPr="009774A4">
              <w:t xml:space="preserve"> </w:t>
            </w:r>
            <w:r>
              <w:t>including</w:t>
            </w:r>
            <w:r w:rsidRPr="009774A4">
              <w:t xml:space="preserve"> </w:t>
            </w:r>
            <w:r>
              <w:t>the</w:t>
            </w:r>
            <w:r w:rsidRPr="009774A4">
              <w:t xml:space="preserve"> </w:t>
            </w:r>
            <w:r>
              <w:t>expectations</w:t>
            </w:r>
            <w:r w:rsidRPr="009774A4">
              <w:t xml:space="preserve"> </w:t>
            </w:r>
            <w:r>
              <w:t>of</w:t>
            </w:r>
            <w:r w:rsidRPr="009774A4">
              <w:t xml:space="preserve"> </w:t>
            </w:r>
            <w:r>
              <w:t>the</w:t>
            </w:r>
            <w:r w:rsidRPr="009774A4">
              <w:t xml:space="preserve"> </w:t>
            </w:r>
            <w:r>
              <w:t>Government</w:t>
            </w:r>
            <w:r w:rsidRPr="009774A4">
              <w:t xml:space="preserve"> </w:t>
            </w:r>
            <w:r>
              <w:t>and</w:t>
            </w:r>
            <w:r w:rsidRPr="009774A4">
              <w:t xml:space="preserve"> </w:t>
            </w:r>
            <w:r>
              <w:t>RBA</w:t>
            </w:r>
            <w:r w:rsidRPr="009774A4">
              <w:t xml:space="preserve"> </w:t>
            </w:r>
            <w:r>
              <w:t>Monetary Policy Board around:</w:t>
            </w:r>
          </w:p>
          <w:p w14:paraId="22088F77" w14:textId="77777777" w:rsidR="00084899" w:rsidRDefault="00084899" w:rsidP="0000278A">
            <w:pPr>
              <w:pStyle w:val="Bullet"/>
            </w:pPr>
            <w:r w:rsidRPr="009774A4">
              <w:t>transparency</w:t>
            </w:r>
          </w:p>
          <w:p w14:paraId="3D749FAC" w14:textId="77777777" w:rsidR="00084899" w:rsidRDefault="00084899" w:rsidP="0000278A">
            <w:pPr>
              <w:pStyle w:val="Bullet"/>
            </w:pPr>
            <w:r>
              <w:t>assessing</w:t>
            </w:r>
            <w:r w:rsidRPr="009774A4">
              <w:t xml:space="preserve"> </w:t>
            </w:r>
            <w:r>
              <w:t>costs</w:t>
            </w:r>
            <w:r w:rsidRPr="009774A4">
              <w:t xml:space="preserve"> </w:t>
            </w:r>
            <w:r>
              <w:t>and</w:t>
            </w:r>
            <w:r w:rsidRPr="009774A4">
              <w:t xml:space="preserve"> benefits</w:t>
            </w:r>
          </w:p>
          <w:p w14:paraId="3E1E625A" w14:textId="77777777" w:rsidR="00084899" w:rsidRDefault="00084899" w:rsidP="0000278A">
            <w:pPr>
              <w:pStyle w:val="Bullet"/>
            </w:pPr>
            <w:r>
              <w:t xml:space="preserve">managing </w:t>
            </w:r>
            <w:r w:rsidRPr="009774A4">
              <w:t>risks</w:t>
            </w:r>
          </w:p>
          <w:p w14:paraId="2EAFDA82" w14:textId="77777777" w:rsidR="00084899" w:rsidRDefault="00084899" w:rsidP="0000278A">
            <w:pPr>
              <w:pStyle w:val="Bullet"/>
            </w:pPr>
            <w:r>
              <w:t>considering</w:t>
            </w:r>
            <w:r w:rsidRPr="009774A4">
              <w:t xml:space="preserve"> </w:t>
            </w:r>
            <w:r>
              <w:t>exit</w:t>
            </w:r>
            <w:r w:rsidRPr="009774A4">
              <w:t xml:space="preserve"> </w:t>
            </w:r>
            <w:r>
              <w:t>strategies</w:t>
            </w:r>
            <w:r w:rsidRPr="009774A4">
              <w:t xml:space="preserve"> </w:t>
            </w:r>
            <w:r>
              <w:t>at</w:t>
            </w:r>
            <w:r w:rsidRPr="009774A4">
              <w:t xml:space="preserve"> </w:t>
            </w:r>
            <w:r>
              <w:t>the</w:t>
            </w:r>
            <w:r w:rsidRPr="009774A4">
              <w:t xml:space="preserve"> </w:t>
            </w:r>
            <w:r>
              <w:t>outset</w:t>
            </w:r>
            <w:r w:rsidRPr="009774A4">
              <w:t xml:space="preserve"> </w:t>
            </w:r>
            <w:r>
              <w:t>for</w:t>
            </w:r>
            <w:r w:rsidRPr="009774A4">
              <w:t xml:space="preserve"> </w:t>
            </w:r>
            <w:r>
              <w:t>different</w:t>
            </w:r>
            <w:r w:rsidRPr="009774A4">
              <w:t xml:space="preserve"> scenarios</w:t>
            </w:r>
          </w:p>
          <w:p w14:paraId="2B5E6F77" w14:textId="77777777" w:rsidR="00084899" w:rsidRDefault="00084899" w:rsidP="0000278A">
            <w:pPr>
              <w:pStyle w:val="Bullet"/>
            </w:pPr>
            <w:r>
              <w:t>discussions</w:t>
            </w:r>
            <w:r w:rsidRPr="009774A4">
              <w:t xml:space="preserve"> </w:t>
            </w:r>
            <w:r>
              <w:t>on</w:t>
            </w:r>
            <w:r w:rsidRPr="009774A4">
              <w:t xml:space="preserve"> </w:t>
            </w:r>
            <w:r>
              <w:t>the</w:t>
            </w:r>
            <w:r w:rsidRPr="009774A4">
              <w:t xml:space="preserve"> </w:t>
            </w:r>
            <w:r>
              <w:t>appropriateness</w:t>
            </w:r>
            <w:r w:rsidRPr="009774A4">
              <w:t xml:space="preserve"> </w:t>
            </w:r>
            <w:r>
              <w:t>of</w:t>
            </w:r>
            <w:r w:rsidRPr="009774A4">
              <w:t xml:space="preserve"> </w:t>
            </w:r>
            <w:r>
              <w:t>fiscal</w:t>
            </w:r>
            <w:r w:rsidRPr="009774A4">
              <w:t xml:space="preserve"> </w:t>
            </w:r>
            <w:r>
              <w:t>policy</w:t>
            </w:r>
            <w:r w:rsidRPr="009774A4">
              <w:t xml:space="preserve"> </w:t>
            </w:r>
            <w:r>
              <w:t>as</w:t>
            </w:r>
            <w:r w:rsidRPr="009774A4">
              <w:t xml:space="preserve"> </w:t>
            </w:r>
            <w:r>
              <w:t>an</w:t>
            </w:r>
            <w:r w:rsidRPr="009774A4">
              <w:t xml:space="preserve"> </w:t>
            </w:r>
            <w:r>
              <w:t>alternative</w:t>
            </w:r>
            <w:r w:rsidRPr="009774A4">
              <w:t xml:space="preserve"> </w:t>
            </w:r>
            <w:r>
              <w:t>policy</w:t>
            </w:r>
            <w:r w:rsidRPr="009774A4">
              <w:t xml:space="preserve"> lever.</w:t>
            </w:r>
          </w:p>
          <w:p w14:paraId="60E6F195" w14:textId="77777777" w:rsidR="00084899" w:rsidRDefault="00084899" w:rsidP="00F22AE5">
            <w:r>
              <w:t>Within</w:t>
            </w:r>
            <w:r w:rsidRPr="009774A4">
              <w:t xml:space="preserve"> </w:t>
            </w:r>
            <w:r>
              <w:t>the</w:t>
            </w:r>
            <w:r w:rsidRPr="009774A4">
              <w:t xml:space="preserve"> </w:t>
            </w:r>
            <w:r>
              <w:t>agreed</w:t>
            </w:r>
            <w:r w:rsidRPr="009774A4">
              <w:t xml:space="preserve"> </w:t>
            </w:r>
            <w:r>
              <w:t>framework,</w:t>
            </w:r>
            <w:r w:rsidRPr="009774A4">
              <w:t xml:space="preserve"> </w:t>
            </w:r>
            <w:r>
              <w:t>the</w:t>
            </w:r>
            <w:r w:rsidRPr="009774A4">
              <w:t xml:space="preserve"> </w:t>
            </w:r>
            <w:r>
              <w:t>RBA</w:t>
            </w:r>
            <w:r w:rsidRPr="009774A4">
              <w:t xml:space="preserve"> </w:t>
            </w:r>
            <w:r>
              <w:t>should</w:t>
            </w:r>
            <w:r w:rsidRPr="009774A4">
              <w:t xml:space="preserve"> </w:t>
            </w:r>
            <w:r>
              <w:t>retain</w:t>
            </w:r>
            <w:r w:rsidRPr="009774A4">
              <w:t xml:space="preserve"> </w:t>
            </w:r>
            <w:r>
              <w:t>instrument</w:t>
            </w:r>
            <w:r w:rsidRPr="009774A4">
              <w:t xml:space="preserve"> independence.</w:t>
            </w:r>
          </w:p>
        </w:tc>
      </w:tr>
    </w:tbl>
    <w:p w14:paraId="3F8C34F4" w14:textId="77777777" w:rsidR="00E3625C" w:rsidRDefault="00E3625C" w:rsidP="00720B18"/>
    <w:p w14:paraId="40199506" w14:textId="6ED369BC" w:rsidR="00720B18" w:rsidRDefault="00720B18" w:rsidP="00720B18">
      <w:r>
        <w:t xml:space="preserve">Policy makers must recognise the significant interactions between the objectives and effects of monetary policy and fiscal policy in order to fulfil their mandates. As part of this, some cooperation is </w:t>
      </w:r>
      <w:r>
        <w:lastRenderedPageBreak/>
        <w:t>desirable</w:t>
      </w:r>
      <w:r w:rsidR="0068598E">
        <w:rPr>
          <w:spacing w:val="-19"/>
        </w:rPr>
        <w:t>.</w:t>
      </w:r>
      <w:r>
        <w:rPr>
          <w:w w:val="85"/>
        </w:rPr>
        <w:t xml:space="preserve"> </w:t>
      </w:r>
      <w:r>
        <w:t>The case for cooperation is even greater to the extent that monetary policy is frequently constrained by the effective lower bound or faces more frequent supply disruptions.</w:t>
      </w:r>
    </w:p>
    <w:p w14:paraId="3076E298" w14:textId="1C979C58" w:rsidR="00720B18" w:rsidRDefault="00720B18" w:rsidP="00720B18">
      <w:r>
        <w:t>This recommendation would recognise the roles of fiscal and monetary policy in supporting sound macroeconomic outcomes, strengthen cooperation without weakening monetary policy independence, and build a better knowledge base on Australia’s key macroeconomic policies</w:t>
      </w:r>
      <w:r w:rsidR="0068598E">
        <w:rPr>
          <w:spacing w:val="-19"/>
        </w:rPr>
        <w:t>.</w:t>
      </w:r>
    </w:p>
    <w:p w14:paraId="2C3CB188" w14:textId="4A706E20" w:rsidR="00720B18" w:rsidRPr="00720B18" w:rsidRDefault="00720B18" w:rsidP="00720B18">
      <w:pPr>
        <w:pStyle w:val="Heading3"/>
      </w:pPr>
      <w:r w:rsidRPr="00720B18">
        <w:t>Recommendation 3.1: Acknowledge the interaction of fiscal and monetary policy and support cooperation between policy makers</w:t>
      </w:r>
    </w:p>
    <w:p w14:paraId="2F736FAC" w14:textId="7B214411" w:rsidR="00720B18" w:rsidRDefault="00720B18" w:rsidP="00720B18">
      <w:r>
        <w:t>The Statement on Conduct should explicitly acknowledge that fiscal policy, alongside monetary policy, contributes to inflation and employment outcomes. Any belief that these outcomes are solely under the control of monetary policy risks diminishing the responsibility of Government and setting unrealistic expectations of the RBA</w:t>
      </w:r>
      <w:r w:rsidR="0068598E">
        <w:rPr>
          <w:spacing w:val="-23"/>
        </w:rPr>
        <w:t>.</w:t>
      </w:r>
      <w:r>
        <w:rPr>
          <w:w w:val="85"/>
        </w:rPr>
        <w:t xml:space="preserve"> </w:t>
      </w:r>
      <w:r>
        <w:t>As well as seeking to provide greater transparency and clearer accountabilities, the Review’s recommendation seeks to support stronger coordination between fiscal and monetary policy, without undermining monetary policy’s operational independence</w:t>
      </w:r>
      <w:r w:rsidR="0068598E">
        <w:rPr>
          <w:spacing w:val="-25"/>
        </w:rPr>
        <w:t>.</w:t>
      </w:r>
    </w:p>
    <w:p w14:paraId="7AEA5D33" w14:textId="77777777" w:rsidR="00720B18" w:rsidRDefault="00720B18" w:rsidP="00720B18">
      <w:pPr>
        <w:pStyle w:val="Heading4"/>
      </w:pPr>
      <w:r>
        <w:t xml:space="preserve">Information sharing </w:t>
      </w:r>
      <w:r>
        <w:rPr>
          <w:spacing w:val="-2"/>
        </w:rPr>
        <w:t>arrangements</w:t>
      </w:r>
    </w:p>
    <w:p w14:paraId="0C065A67" w14:textId="041347C3" w:rsidR="00720B18" w:rsidRDefault="00720B18" w:rsidP="00720B18">
      <w:r>
        <w:t>Sharing information, such as on the economic outlook, risks and policy constraints, between the RBA and Treasury is crucial for ensuring that Australia’s key macroeconomic policies are deployed effectively. It is important that this is facilitated not only through the Treasury Secretary’s position on the Reserve Bank Board, but also through various levels across the RBA and Government</w:t>
      </w:r>
      <w:r w:rsidR="0068598E">
        <w:rPr>
          <w:spacing w:val="-23"/>
        </w:rPr>
        <w:t>.</w:t>
      </w:r>
      <w:r>
        <w:rPr>
          <w:w w:val="85"/>
        </w:rPr>
        <w:t xml:space="preserve"> </w:t>
      </w:r>
      <w:r>
        <w:t>The Review recognises the value of the existing cooperation arrangements and encourages the RBA and Government to look for further opportunities</w:t>
      </w:r>
      <w:r w:rsidR="0068598E">
        <w:rPr>
          <w:spacing w:val="-20"/>
        </w:rPr>
        <w:t>.</w:t>
      </w:r>
      <w:r>
        <w:rPr>
          <w:w w:val="85"/>
        </w:rPr>
        <w:t xml:space="preserve"> </w:t>
      </w:r>
      <w:r>
        <w:t>Conversations about policy and the economy should not be seen as a risk to the RBA’s independence</w:t>
      </w:r>
      <w:r w:rsidR="0068598E">
        <w:rPr>
          <w:spacing w:val="-18"/>
        </w:rPr>
        <w:t>.</w:t>
      </w:r>
    </w:p>
    <w:p w14:paraId="6874EBC7" w14:textId="77777777" w:rsidR="00720B18" w:rsidRDefault="00720B18" w:rsidP="00720B18">
      <w:pPr>
        <w:pStyle w:val="Heading4"/>
      </w:pPr>
      <w:r>
        <w:t>Consider</w:t>
      </w:r>
      <w:r>
        <w:rPr>
          <w:spacing w:val="6"/>
        </w:rPr>
        <w:t xml:space="preserve"> </w:t>
      </w:r>
      <w:r>
        <w:t>respective</w:t>
      </w:r>
      <w:r>
        <w:rPr>
          <w:spacing w:val="6"/>
        </w:rPr>
        <w:t xml:space="preserve"> </w:t>
      </w:r>
      <w:r>
        <w:t>policy</w:t>
      </w:r>
      <w:r>
        <w:rPr>
          <w:spacing w:val="7"/>
        </w:rPr>
        <w:t xml:space="preserve"> </w:t>
      </w:r>
      <w:r>
        <w:rPr>
          <w:spacing w:val="-2"/>
        </w:rPr>
        <w:t>impacts</w:t>
      </w:r>
    </w:p>
    <w:p w14:paraId="68860DD4" w14:textId="1A25CD62" w:rsidR="00720B18" w:rsidRDefault="00720B18" w:rsidP="00720B18">
      <w:r>
        <w:t>Fiscal and monetary policy makers must consider the impact of the other’s policies on their objectives (Leeper 2023)</w:t>
      </w:r>
      <w:r w:rsidR="0068598E">
        <w:rPr>
          <w:spacing w:val="-24"/>
        </w:rPr>
        <w:t>.</w:t>
      </w:r>
      <w:r>
        <w:rPr>
          <w:w w:val="85"/>
        </w:rPr>
        <w:t xml:space="preserve"> </w:t>
      </w:r>
      <w:r>
        <w:t>These considerations should be embedded across analysis, including modelling, and decision making. More specifically, the RBA should consider the implications</w:t>
      </w:r>
    </w:p>
    <w:p w14:paraId="553F4AA3" w14:textId="47B0E780" w:rsidR="00720B18" w:rsidRDefault="00720B18" w:rsidP="00720B18">
      <w:r>
        <w:t>of current and expected fiscal settings under currently announced policies as well as credible alternative scenarios. This should include consideration of the likely fiscal response to RBA</w:t>
      </w:r>
      <w:r>
        <w:rPr>
          <w:spacing w:val="80"/>
          <w:w w:val="150"/>
        </w:rPr>
        <w:t xml:space="preserve"> </w:t>
      </w:r>
      <w:r>
        <w:t>policy changes, if any. As noted in the discussion of Recommendation 9.4, this requires sufficient modelling capability to conduct scenario analysis that includes fiscal policy and the RBA has recently expanded the detail on fiscal policy in one of its key macro models. Likewise, Treasury should</w:t>
      </w:r>
      <w:r>
        <w:rPr>
          <w:spacing w:val="-1"/>
        </w:rPr>
        <w:t xml:space="preserve"> </w:t>
      </w:r>
      <w:r>
        <w:t>consider</w:t>
      </w:r>
      <w:r>
        <w:rPr>
          <w:spacing w:val="2"/>
        </w:rPr>
        <w:t xml:space="preserve"> </w:t>
      </w:r>
      <w:r>
        <w:t>not</w:t>
      </w:r>
      <w:r>
        <w:rPr>
          <w:spacing w:val="1"/>
        </w:rPr>
        <w:t xml:space="preserve"> </w:t>
      </w:r>
      <w:r>
        <w:t>just</w:t>
      </w:r>
      <w:r>
        <w:rPr>
          <w:spacing w:val="2"/>
        </w:rPr>
        <w:t xml:space="preserve"> </w:t>
      </w:r>
      <w:r>
        <w:t>the</w:t>
      </w:r>
      <w:r>
        <w:rPr>
          <w:spacing w:val="1"/>
        </w:rPr>
        <w:t xml:space="preserve"> </w:t>
      </w:r>
      <w:r>
        <w:t>expected</w:t>
      </w:r>
      <w:r>
        <w:rPr>
          <w:spacing w:val="2"/>
        </w:rPr>
        <w:t xml:space="preserve"> </w:t>
      </w:r>
      <w:r>
        <w:t>path</w:t>
      </w:r>
      <w:r>
        <w:rPr>
          <w:spacing w:val="1"/>
        </w:rPr>
        <w:t xml:space="preserve"> </w:t>
      </w:r>
      <w:r>
        <w:t>of</w:t>
      </w:r>
      <w:r>
        <w:rPr>
          <w:spacing w:val="2"/>
        </w:rPr>
        <w:t xml:space="preserve"> </w:t>
      </w:r>
      <w:r>
        <w:t>RBA</w:t>
      </w:r>
      <w:r>
        <w:rPr>
          <w:spacing w:val="1"/>
        </w:rPr>
        <w:t xml:space="preserve"> </w:t>
      </w:r>
      <w:r>
        <w:t>monetary</w:t>
      </w:r>
      <w:r>
        <w:rPr>
          <w:spacing w:val="2"/>
        </w:rPr>
        <w:t xml:space="preserve"> </w:t>
      </w:r>
      <w:r>
        <w:t>policy,</w:t>
      </w:r>
      <w:r>
        <w:rPr>
          <w:spacing w:val="1"/>
        </w:rPr>
        <w:t xml:space="preserve"> </w:t>
      </w:r>
      <w:r>
        <w:t>but</w:t>
      </w:r>
      <w:r>
        <w:rPr>
          <w:spacing w:val="2"/>
        </w:rPr>
        <w:t xml:space="preserve"> </w:t>
      </w:r>
      <w:r>
        <w:t>also</w:t>
      </w:r>
      <w:r>
        <w:rPr>
          <w:spacing w:val="1"/>
        </w:rPr>
        <w:t xml:space="preserve"> </w:t>
      </w:r>
      <w:r>
        <w:t>consider</w:t>
      </w:r>
      <w:r>
        <w:rPr>
          <w:spacing w:val="2"/>
        </w:rPr>
        <w:t xml:space="preserve"> </w:t>
      </w:r>
      <w:r>
        <w:t>how</w:t>
      </w:r>
      <w:r>
        <w:rPr>
          <w:spacing w:val="2"/>
        </w:rPr>
        <w:t xml:space="preserve"> </w:t>
      </w:r>
      <w:r>
        <w:rPr>
          <w:spacing w:val="-2"/>
        </w:rPr>
        <w:t xml:space="preserve">changes </w:t>
      </w:r>
      <w:r>
        <w:t>in</w:t>
      </w:r>
      <w:r>
        <w:rPr>
          <w:spacing w:val="1"/>
        </w:rPr>
        <w:t xml:space="preserve"> </w:t>
      </w:r>
      <w:r>
        <w:t>fiscal</w:t>
      </w:r>
      <w:r>
        <w:rPr>
          <w:spacing w:val="2"/>
        </w:rPr>
        <w:t xml:space="preserve"> </w:t>
      </w:r>
      <w:r>
        <w:t>policies</w:t>
      </w:r>
      <w:r>
        <w:rPr>
          <w:spacing w:val="1"/>
        </w:rPr>
        <w:t xml:space="preserve"> </w:t>
      </w:r>
      <w:r>
        <w:t>may</w:t>
      </w:r>
      <w:r>
        <w:rPr>
          <w:spacing w:val="2"/>
        </w:rPr>
        <w:t xml:space="preserve"> </w:t>
      </w:r>
      <w:r>
        <w:t>result</w:t>
      </w:r>
      <w:r>
        <w:rPr>
          <w:spacing w:val="2"/>
        </w:rPr>
        <w:t xml:space="preserve"> </w:t>
      </w:r>
      <w:r>
        <w:t>in</w:t>
      </w:r>
      <w:r>
        <w:rPr>
          <w:spacing w:val="1"/>
        </w:rPr>
        <w:t xml:space="preserve"> </w:t>
      </w:r>
      <w:r>
        <w:t>changes</w:t>
      </w:r>
      <w:r>
        <w:rPr>
          <w:spacing w:val="2"/>
        </w:rPr>
        <w:t xml:space="preserve"> </w:t>
      </w:r>
      <w:r>
        <w:t>to</w:t>
      </w:r>
      <w:r>
        <w:rPr>
          <w:spacing w:val="1"/>
        </w:rPr>
        <w:t xml:space="preserve"> </w:t>
      </w:r>
      <w:r>
        <w:t>monetary</w:t>
      </w:r>
      <w:r>
        <w:rPr>
          <w:spacing w:val="2"/>
        </w:rPr>
        <w:t xml:space="preserve"> </w:t>
      </w:r>
      <w:r>
        <w:t>policy</w:t>
      </w:r>
      <w:r>
        <w:rPr>
          <w:spacing w:val="2"/>
        </w:rPr>
        <w:t xml:space="preserve"> </w:t>
      </w:r>
      <w:r>
        <w:rPr>
          <w:spacing w:val="-2"/>
        </w:rPr>
        <w:t>settings.</w:t>
      </w:r>
    </w:p>
    <w:p w14:paraId="015CD201" w14:textId="77777777" w:rsidR="00724BB0" w:rsidRDefault="00724BB0" w:rsidP="00724BB0">
      <w:pPr>
        <w:pStyle w:val="Heading4"/>
      </w:pPr>
      <w:r>
        <w:t>Undertake joint</w:t>
      </w:r>
      <w:r>
        <w:rPr>
          <w:spacing w:val="1"/>
        </w:rPr>
        <w:t xml:space="preserve"> </w:t>
      </w:r>
      <w:r>
        <w:t>scenario</w:t>
      </w:r>
      <w:r>
        <w:rPr>
          <w:spacing w:val="1"/>
        </w:rPr>
        <w:t xml:space="preserve"> </w:t>
      </w:r>
      <w:r>
        <w:rPr>
          <w:spacing w:val="-2"/>
        </w:rPr>
        <w:t>analysis</w:t>
      </w:r>
    </w:p>
    <w:p w14:paraId="60F1293B" w14:textId="6BF48C4F" w:rsidR="00724BB0" w:rsidRDefault="00724BB0" w:rsidP="00724BB0">
      <w:r>
        <w:t>RBA and Treasury counterparts should undertake joint scenario analysis exercises to prepare</w:t>
      </w:r>
      <w:r>
        <w:rPr>
          <w:spacing w:val="40"/>
        </w:rPr>
        <w:t xml:space="preserve"> </w:t>
      </w:r>
      <w:r>
        <w:t>for challenging circumstances</w:t>
      </w:r>
      <w:r w:rsidR="0068598E">
        <w:rPr>
          <w:spacing w:val="-24"/>
        </w:rPr>
        <w:t>.</w:t>
      </w:r>
      <w:r>
        <w:rPr>
          <w:w w:val="85"/>
        </w:rPr>
        <w:t xml:space="preserve"> </w:t>
      </w:r>
      <w:r>
        <w:t>Contingency plans help to identify the best combination of policy responses for circumstances such as protracted disruptions to supply, financial crises or other adverse events that might push the central bank policy rate to its effective lower bound.</w:t>
      </w:r>
    </w:p>
    <w:p w14:paraId="1EC7B778" w14:textId="07CB123D" w:rsidR="00724BB0" w:rsidRDefault="00724BB0" w:rsidP="00724BB0">
      <w:r>
        <w:t>They promote a mutual understanding of risks, for example those related to additional monetary policies</w:t>
      </w:r>
      <w:r>
        <w:rPr>
          <w:spacing w:val="-1"/>
        </w:rPr>
        <w:t xml:space="preserve"> </w:t>
      </w:r>
      <w:r>
        <w:t>that</w:t>
      </w:r>
      <w:r>
        <w:rPr>
          <w:spacing w:val="-1"/>
        </w:rPr>
        <w:t xml:space="preserve"> </w:t>
      </w:r>
      <w:r>
        <w:t>may</w:t>
      </w:r>
      <w:r>
        <w:rPr>
          <w:spacing w:val="-1"/>
        </w:rPr>
        <w:t xml:space="preserve"> </w:t>
      </w:r>
      <w:r>
        <w:t>increase</w:t>
      </w:r>
      <w:r>
        <w:rPr>
          <w:spacing w:val="-1"/>
        </w:rPr>
        <w:t xml:space="preserve"> </w:t>
      </w:r>
      <w:r>
        <w:t>the</w:t>
      </w:r>
      <w:r>
        <w:rPr>
          <w:spacing w:val="-1"/>
        </w:rPr>
        <w:t xml:space="preserve"> </w:t>
      </w:r>
      <w:r>
        <w:t>government’s</w:t>
      </w:r>
      <w:r>
        <w:rPr>
          <w:spacing w:val="-1"/>
        </w:rPr>
        <w:t xml:space="preserve"> </w:t>
      </w:r>
      <w:r>
        <w:t>liabilities</w:t>
      </w:r>
      <w:r>
        <w:rPr>
          <w:spacing w:val="-1"/>
        </w:rPr>
        <w:t xml:space="preserve"> </w:t>
      </w:r>
      <w:r>
        <w:t>(Leeper</w:t>
      </w:r>
      <w:r>
        <w:rPr>
          <w:spacing w:val="-1"/>
        </w:rPr>
        <w:t xml:space="preserve"> </w:t>
      </w:r>
      <w:r>
        <w:t>2023)</w:t>
      </w:r>
      <w:r w:rsidR="0068598E">
        <w:rPr>
          <w:spacing w:val="-24"/>
        </w:rPr>
        <w:t>.</w:t>
      </w:r>
      <w:r>
        <w:rPr>
          <w:w w:val="85"/>
        </w:rPr>
        <w:t xml:space="preserve"> </w:t>
      </w:r>
      <w:r>
        <w:t>Contingency</w:t>
      </w:r>
      <w:r>
        <w:rPr>
          <w:spacing w:val="-1"/>
        </w:rPr>
        <w:t xml:space="preserve"> </w:t>
      </w:r>
      <w:r>
        <w:t>planning</w:t>
      </w:r>
      <w:r>
        <w:rPr>
          <w:spacing w:val="-1"/>
        </w:rPr>
        <w:t xml:space="preserve"> </w:t>
      </w:r>
      <w:r>
        <w:t>can</w:t>
      </w:r>
      <w:r>
        <w:rPr>
          <w:spacing w:val="-1"/>
        </w:rPr>
        <w:t xml:space="preserve"> </w:t>
      </w:r>
      <w:r>
        <w:t>also build relationships, networks and trust that are especially important in times of stress and crisis</w:t>
      </w:r>
      <w:r w:rsidR="0068598E">
        <w:rPr>
          <w:spacing w:val="-18"/>
        </w:rPr>
        <w:t>.</w:t>
      </w:r>
    </w:p>
    <w:p w14:paraId="6ED63F46" w14:textId="26273981" w:rsidR="00724BB0" w:rsidRDefault="00724BB0" w:rsidP="00724BB0">
      <w:r>
        <w:t xml:space="preserve">These exercises should build the evidence base for the best policy approach to different scenarios. This would support timely policy formulation (both preventative and responsive) and decision making </w:t>
      </w:r>
      <w:r>
        <w:lastRenderedPageBreak/>
        <w:t>should similar circumstances arise, including the potential for explicit coordination between monetary and fiscal policy when the economy experiences substantial disruption, like the Global Financial Crisis or the pandemic</w:t>
      </w:r>
      <w:r w:rsidR="0068598E">
        <w:rPr>
          <w:spacing w:val="-19"/>
        </w:rPr>
        <w:t>.</w:t>
      </w:r>
      <w:r>
        <w:rPr>
          <w:w w:val="85"/>
        </w:rPr>
        <w:t xml:space="preserve"> </w:t>
      </w:r>
      <w:r>
        <w:t>A form of contingency planning already exists in the Council of Financial Regulator’s agreement on the approach to financial distress management (CFR 2008).</w:t>
      </w:r>
    </w:p>
    <w:p w14:paraId="2C46419D" w14:textId="39D4E066" w:rsidR="00724BB0" w:rsidRDefault="00724BB0" w:rsidP="00724BB0">
      <w:r>
        <w:t>In addition to the approach to financial distress management, the Review’s proposal is for broader discussions of macroeconomic policy</w:t>
      </w:r>
      <w:r w:rsidR="0068598E">
        <w:rPr>
          <w:spacing w:val="-24"/>
        </w:rPr>
        <w:t>.</w:t>
      </w:r>
      <w:r>
        <w:rPr>
          <w:w w:val="85"/>
        </w:rPr>
        <w:t xml:space="preserve"> </w:t>
      </w:r>
      <w:r>
        <w:t>Model projections of various up and downside scenarios and alternative</w:t>
      </w:r>
      <w:r>
        <w:rPr>
          <w:spacing w:val="-1"/>
        </w:rPr>
        <w:t xml:space="preserve"> </w:t>
      </w:r>
      <w:r>
        <w:t>policy</w:t>
      </w:r>
      <w:r>
        <w:rPr>
          <w:spacing w:val="-1"/>
        </w:rPr>
        <w:t xml:space="preserve"> </w:t>
      </w:r>
      <w:r>
        <w:t>responses</w:t>
      </w:r>
      <w:r>
        <w:rPr>
          <w:spacing w:val="-1"/>
        </w:rPr>
        <w:t xml:space="preserve"> </w:t>
      </w:r>
      <w:r>
        <w:t>could</w:t>
      </w:r>
      <w:r>
        <w:rPr>
          <w:spacing w:val="-1"/>
        </w:rPr>
        <w:t xml:space="preserve"> </w:t>
      </w:r>
      <w:r>
        <w:t>provide</w:t>
      </w:r>
      <w:r>
        <w:rPr>
          <w:spacing w:val="-1"/>
        </w:rPr>
        <w:t xml:space="preserve"> </w:t>
      </w:r>
      <w:r>
        <w:t>a</w:t>
      </w:r>
      <w:r>
        <w:rPr>
          <w:spacing w:val="-1"/>
        </w:rPr>
        <w:t xml:space="preserve"> </w:t>
      </w:r>
      <w:r>
        <w:t>coherent</w:t>
      </w:r>
      <w:r>
        <w:rPr>
          <w:spacing w:val="-1"/>
        </w:rPr>
        <w:t xml:space="preserve"> </w:t>
      </w:r>
      <w:r>
        <w:t>foundation</w:t>
      </w:r>
      <w:r>
        <w:rPr>
          <w:spacing w:val="-1"/>
        </w:rPr>
        <w:t xml:space="preserve"> </w:t>
      </w:r>
      <w:r>
        <w:t>for</w:t>
      </w:r>
      <w:r>
        <w:rPr>
          <w:spacing w:val="-1"/>
        </w:rPr>
        <w:t xml:space="preserve"> </w:t>
      </w:r>
      <w:r>
        <w:t>discussion</w:t>
      </w:r>
      <w:r>
        <w:rPr>
          <w:spacing w:val="-1"/>
        </w:rPr>
        <w:t xml:space="preserve"> </w:t>
      </w:r>
      <w:r>
        <w:t>(Leeper</w:t>
      </w:r>
      <w:r>
        <w:rPr>
          <w:spacing w:val="-1"/>
        </w:rPr>
        <w:t xml:space="preserve"> </w:t>
      </w:r>
      <w:r>
        <w:t>2023)</w:t>
      </w:r>
      <w:r w:rsidR="0068598E">
        <w:rPr>
          <w:spacing w:val="-24"/>
        </w:rPr>
        <w:t>.</w:t>
      </w:r>
      <w:r>
        <w:rPr>
          <w:w w:val="85"/>
        </w:rPr>
        <w:t xml:space="preserve"> </w:t>
      </w:r>
      <w:r>
        <w:t>This recommendation does not prescribe that fiscal and monetary policy should be set in an explicitly coordinated way</w:t>
      </w:r>
      <w:r w:rsidR="0068598E">
        <w:rPr>
          <w:spacing w:val="-17"/>
        </w:rPr>
        <w:t>.</w:t>
      </w:r>
      <w:r>
        <w:rPr>
          <w:w w:val="85"/>
        </w:rPr>
        <w:t xml:space="preserve"> </w:t>
      </w:r>
      <w:r>
        <w:t>The RBA and Government must determine their policy settings independently, taking into account their individual objectives and constraints as well as the lessons from the scenario analysis exercises</w:t>
      </w:r>
      <w:r w:rsidR="0068598E">
        <w:rPr>
          <w:spacing w:val="-11"/>
        </w:rPr>
        <w:t>.</w:t>
      </w:r>
    </w:p>
    <w:p w14:paraId="7B6FA734" w14:textId="77777777" w:rsidR="00724BB0" w:rsidRDefault="00724BB0" w:rsidP="00724BB0">
      <w:pPr>
        <w:pStyle w:val="Heading4"/>
      </w:pPr>
      <w:r>
        <w:t>Long-term</w:t>
      </w:r>
      <w:r>
        <w:rPr>
          <w:spacing w:val="1"/>
        </w:rPr>
        <w:t xml:space="preserve"> </w:t>
      </w:r>
      <w:r>
        <w:t>frameworks</w:t>
      </w:r>
      <w:r>
        <w:rPr>
          <w:spacing w:val="2"/>
        </w:rPr>
        <w:t xml:space="preserve"> </w:t>
      </w:r>
      <w:r>
        <w:t>should</w:t>
      </w:r>
      <w:r>
        <w:rPr>
          <w:spacing w:val="2"/>
        </w:rPr>
        <w:t xml:space="preserve"> </w:t>
      </w:r>
      <w:r>
        <w:t>be</w:t>
      </w:r>
      <w:r>
        <w:rPr>
          <w:spacing w:val="2"/>
        </w:rPr>
        <w:t xml:space="preserve"> </w:t>
      </w:r>
      <w:r>
        <w:rPr>
          <w:spacing w:val="-2"/>
        </w:rPr>
        <w:t>compatible</w:t>
      </w:r>
    </w:p>
    <w:p w14:paraId="056E64B7" w14:textId="30E562A0" w:rsidR="00724BB0" w:rsidRDefault="00724BB0" w:rsidP="00724BB0">
      <w:r>
        <w:t>Fiscal and monetary policy will perform best if their long-term frameworks are aligned</w:t>
      </w:r>
      <w:r w:rsidR="0068598E">
        <w:rPr>
          <w:spacing w:val="-21"/>
        </w:rPr>
        <w:t>.</w:t>
      </w:r>
      <w:r>
        <w:rPr>
          <w:w w:val="85"/>
        </w:rPr>
        <w:t xml:space="preserve"> </w:t>
      </w:r>
      <w:r>
        <w:t>The Review heard views about times at which fiscal policy and monetary policy were pulling in the same or opposite directions. Given that the objectives of fiscal policy are much broader than those of monetary policy, some degree of this may be inevitable at times</w:t>
      </w:r>
      <w:r w:rsidR="0068598E">
        <w:rPr>
          <w:spacing w:val="-24"/>
        </w:rPr>
        <w:t>.</w:t>
      </w:r>
      <w:r>
        <w:rPr>
          <w:w w:val="85"/>
        </w:rPr>
        <w:t xml:space="preserve"> </w:t>
      </w:r>
      <w:r>
        <w:t>However, good policy frameworks should minimise unnecessary conflict.</w:t>
      </w:r>
    </w:p>
    <w:p w14:paraId="663AF5C3" w14:textId="21108530" w:rsidR="002B2790" w:rsidRDefault="00724BB0" w:rsidP="00724BB0">
      <w:pPr>
        <w:rPr>
          <w:w w:val="85"/>
        </w:rPr>
      </w:pPr>
      <w:r>
        <w:t>While the Review’s recommendations generally focus on the RBA and changes to the Statement, there is value in recognising fiscal policy’s role in price stability and full employment in the</w:t>
      </w:r>
      <w:r>
        <w:rPr>
          <w:spacing w:val="80"/>
        </w:rPr>
        <w:t xml:space="preserve"> </w:t>
      </w:r>
      <w:r>
        <w:t>Australian Government fiscal strategy (as normally included in Budget Paper 1). In the most recent fiscal strategy, the Government indicated that full employment is one of the objectives of fiscal policy, as well as inclusive and sustainable growth</w:t>
      </w:r>
      <w:r w:rsidR="0068598E">
        <w:rPr>
          <w:spacing w:val="-17"/>
        </w:rPr>
        <w:t>.</w:t>
      </w:r>
      <w:r>
        <w:rPr>
          <w:w w:val="85"/>
        </w:rPr>
        <w:t xml:space="preserve"> </w:t>
      </w:r>
      <w:r>
        <w:t>The strategy also acknowledges an immediate priority of not adding to inflationary pressures, at a time of high inflation. The Review supports</w:t>
      </w:r>
      <w:r>
        <w:rPr>
          <w:spacing w:val="80"/>
        </w:rPr>
        <w:t xml:space="preserve"> </w:t>
      </w:r>
      <w:r>
        <w:t>these inclusions in the strategy. Contributing to inclusive and sustainable growth requires that fiscal policy makers consider their influence on inflation dynamics. Beyond these issues, it should be acknowledged that fiscal policy may have a greater role in contributing to inflation and employment outcomes for example when monetary policy is constrained by the effective lower bound or when responding to some large scale supply disruptions</w:t>
      </w:r>
      <w:r w:rsidR="0068598E">
        <w:rPr>
          <w:spacing w:val="-13"/>
        </w:rPr>
        <w:t>.</w:t>
      </w:r>
    </w:p>
    <w:p w14:paraId="291383EF" w14:textId="14B7F2BD" w:rsidR="002D1087" w:rsidRPr="00B22788" w:rsidRDefault="002D1087" w:rsidP="00B22788">
      <w:pPr>
        <w:pStyle w:val="Heading3"/>
      </w:pPr>
      <w:r w:rsidRPr="00B22788">
        <w:t>Recommendation 3.2: Sponsor a research program on fiscal and monetary policy</w:t>
      </w:r>
    </w:p>
    <w:p w14:paraId="6CB9244A" w14:textId="5A5E9935" w:rsidR="002D1087" w:rsidRDefault="002D1087" w:rsidP="002D1087">
      <w:r>
        <w:t>The Review recommends that the RBA and Treasury sponsor a joint policy program for work on fiscal and monetary policy in the Australian context that draws in universities and think tanks that have relevant research programs</w:t>
      </w:r>
      <w:r w:rsidR="0068598E">
        <w:rPr>
          <w:spacing w:val="-19"/>
        </w:rPr>
        <w:t>.</w:t>
      </w:r>
      <w:r>
        <w:rPr>
          <w:w w:val="85"/>
        </w:rPr>
        <w:t xml:space="preserve"> </w:t>
      </w:r>
      <w:r>
        <w:t>Relevant international organisations might also have a role</w:t>
      </w:r>
      <w:r w:rsidR="0068598E">
        <w:rPr>
          <w:spacing w:val="-19"/>
        </w:rPr>
        <w:t>.</w:t>
      </w:r>
    </w:p>
    <w:p w14:paraId="15B21B21" w14:textId="7AB901DA" w:rsidR="002D1087" w:rsidRDefault="002D1087" w:rsidP="002D1087">
      <w:r>
        <w:t>This Australian Macroeconomic Policy Research Program should strengthen the knowledge base</w:t>
      </w:r>
      <w:r>
        <w:rPr>
          <w:spacing w:val="40"/>
        </w:rPr>
        <w:t xml:space="preserve"> </w:t>
      </w:r>
      <w:r>
        <w:t xml:space="preserve">of fiscal and monetary policy related issues, support collaboration across participants by fostering connections and a good understanding of research priorities, and develop the capabilities of experts in this field within Australia. It should provide an evidence base for policy decisions and inform the scenario analysis exercises described in </w:t>
      </w:r>
      <w:r w:rsidRPr="002D1087">
        <w:t>Recommendation 3 1</w:t>
      </w:r>
      <w:r w:rsidR="0068598E">
        <w:t>.</w:t>
      </w:r>
    </w:p>
    <w:p w14:paraId="6CC7785C" w14:textId="1C423517" w:rsidR="002D1087" w:rsidRDefault="002D1087" w:rsidP="002D1087">
      <w:r>
        <w:t>Program participants should establish a research agenda of common interest that would be suited to collaboration</w:t>
      </w:r>
      <w:r w:rsidR="0068598E">
        <w:rPr>
          <w:spacing w:val="-17"/>
        </w:rPr>
        <w:t>.</w:t>
      </w:r>
      <w:r>
        <w:rPr>
          <w:w w:val="85"/>
        </w:rPr>
        <w:t xml:space="preserve"> </w:t>
      </w:r>
      <w:r>
        <w:t>Research priorities should include an understanding of more frequent supply shocks and financial market crises, and how they should be approached by monetary and fiscal policy. Other possible topics could include the role of automatic fiscal stabilisers, the impact of additional monetary policies and the feasibility of fiscal rules. Researchers should examine the optimal policy mix between monetary and fiscal instruments, and assess the distributional impacts of policy choices</w:t>
      </w:r>
      <w:r w:rsidR="0068598E">
        <w:rPr>
          <w:spacing w:val="-11"/>
        </w:rPr>
        <w:t>.</w:t>
      </w:r>
    </w:p>
    <w:p w14:paraId="3B61442E" w14:textId="761FB772" w:rsidR="002D1087" w:rsidRDefault="002D1087" w:rsidP="002D1087">
      <w:r>
        <w:lastRenderedPageBreak/>
        <w:t>A monetary and fiscal policy research program would also support the objectives of Recommendation</w:t>
      </w:r>
      <w:r>
        <w:rPr>
          <w:spacing w:val="-2"/>
        </w:rPr>
        <w:t xml:space="preserve"> </w:t>
      </w:r>
      <w:r>
        <w:t>11.4,</w:t>
      </w:r>
      <w:r>
        <w:rPr>
          <w:spacing w:val="-2"/>
        </w:rPr>
        <w:t xml:space="preserve"> </w:t>
      </w:r>
      <w:r>
        <w:t>to</w:t>
      </w:r>
      <w:r>
        <w:rPr>
          <w:spacing w:val="-2"/>
        </w:rPr>
        <w:t xml:space="preserve"> </w:t>
      </w:r>
      <w:r>
        <w:t>strengthen</w:t>
      </w:r>
      <w:r>
        <w:rPr>
          <w:spacing w:val="-2"/>
        </w:rPr>
        <w:t xml:space="preserve"> </w:t>
      </w:r>
      <w:r>
        <w:t>the</w:t>
      </w:r>
      <w:r>
        <w:rPr>
          <w:spacing w:val="-2"/>
        </w:rPr>
        <w:t xml:space="preserve"> </w:t>
      </w:r>
      <w:r>
        <w:t>role</w:t>
      </w:r>
      <w:r>
        <w:rPr>
          <w:spacing w:val="-2"/>
        </w:rPr>
        <w:t xml:space="preserve"> </w:t>
      </w:r>
      <w:r>
        <w:t>of</w:t>
      </w:r>
      <w:r>
        <w:rPr>
          <w:spacing w:val="-2"/>
        </w:rPr>
        <w:t xml:space="preserve"> </w:t>
      </w:r>
      <w:r>
        <w:t>RBA</w:t>
      </w:r>
      <w:r>
        <w:rPr>
          <w:spacing w:val="-2"/>
        </w:rPr>
        <w:t xml:space="preserve"> </w:t>
      </w:r>
      <w:r>
        <w:t>research,</w:t>
      </w:r>
      <w:r>
        <w:rPr>
          <w:spacing w:val="-2"/>
        </w:rPr>
        <w:t xml:space="preserve"> </w:t>
      </w:r>
      <w:r>
        <w:t>set</w:t>
      </w:r>
      <w:r>
        <w:rPr>
          <w:spacing w:val="-2"/>
        </w:rPr>
        <w:t xml:space="preserve"> </w:t>
      </w:r>
      <w:r>
        <w:t>the</w:t>
      </w:r>
      <w:r>
        <w:rPr>
          <w:spacing w:val="-2"/>
        </w:rPr>
        <w:t xml:space="preserve"> </w:t>
      </w:r>
      <w:r>
        <w:t>RBA</w:t>
      </w:r>
      <w:r>
        <w:rPr>
          <w:spacing w:val="-2"/>
        </w:rPr>
        <w:t xml:space="preserve"> </w:t>
      </w:r>
      <w:r>
        <w:t>as</w:t>
      </w:r>
      <w:r>
        <w:rPr>
          <w:spacing w:val="-2"/>
        </w:rPr>
        <w:t xml:space="preserve"> </w:t>
      </w:r>
      <w:r>
        <w:t>a</w:t>
      </w:r>
      <w:r>
        <w:rPr>
          <w:spacing w:val="-2"/>
        </w:rPr>
        <w:t xml:space="preserve"> </w:t>
      </w:r>
      <w:r>
        <w:t>thought</w:t>
      </w:r>
      <w:r>
        <w:rPr>
          <w:spacing w:val="-2"/>
        </w:rPr>
        <w:t xml:space="preserve"> </w:t>
      </w:r>
      <w:r>
        <w:t>leader,</w:t>
      </w:r>
      <w:r>
        <w:rPr>
          <w:spacing w:val="-2"/>
        </w:rPr>
        <w:t xml:space="preserve"> </w:t>
      </w:r>
      <w:r>
        <w:t>and draw on a broad knowledge base in the formulation of monetary policy</w:t>
      </w:r>
      <w:r w:rsidR="0068598E">
        <w:rPr>
          <w:spacing w:val="-17"/>
        </w:rPr>
        <w:t>.</w:t>
      </w:r>
    </w:p>
    <w:p w14:paraId="06AA8437" w14:textId="77777777" w:rsidR="002D1087" w:rsidRDefault="002D1087" w:rsidP="002D1087">
      <w:pPr>
        <w:pStyle w:val="BodyText"/>
        <w:spacing w:before="13"/>
        <w:rPr>
          <w:sz w:val="17"/>
        </w:rPr>
      </w:pPr>
    </w:p>
    <w:p w14:paraId="569ED7D1" w14:textId="77777777" w:rsidR="002D1087" w:rsidRDefault="002D1087" w:rsidP="002D1087">
      <w:pPr>
        <w:pStyle w:val="Heading3"/>
      </w:pPr>
      <w:r>
        <w:t>Recommendation</w:t>
      </w:r>
      <w:r>
        <w:rPr>
          <w:spacing w:val="-11"/>
        </w:rPr>
        <w:t xml:space="preserve"> </w:t>
      </w:r>
      <w:r>
        <w:t>3.3:</w:t>
      </w:r>
      <w:r>
        <w:rPr>
          <w:spacing w:val="-11"/>
        </w:rPr>
        <w:t xml:space="preserve"> </w:t>
      </w:r>
      <w:r>
        <w:t>Articulate</w:t>
      </w:r>
      <w:r>
        <w:rPr>
          <w:spacing w:val="-11"/>
        </w:rPr>
        <w:t xml:space="preserve"> </w:t>
      </w:r>
      <w:r>
        <w:t>a</w:t>
      </w:r>
      <w:r>
        <w:rPr>
          <w:spacing w:val="-11"/>
        </w:rPr>
        <w:t xml:space="preserve"> </w:t>
      </w:r>
      <w:r>
        <w:t>framework</w:t>
      </w:r>
      <w:r>
        <w:rPr>
          <w:spacing w:val="-11"/>
        </w:rPr>
        <w:t xml:space="preserve"> </w:t>
      </w:r>
      <w:r>
        <w:t>for</w:t>
      </w:r>
      <w:r>
        <w:rPr>
          <w:spacing w:val="-11"/>
        </w:rPr>
        <w:t xml:space="preserve"> </w:t>
      </w:r>
      <w:r>
        <w:t>additional</w:t>
      </w:r>
      <w:r>
        <w:rPr>
          <w:spacing w:val="-11"/>
        </w:rPr>
        <w:t xml:space="preserve"> </w:t>
      </w:r>
      <w:r>
        <w:t>monetary policy tools</w:t>
      </w:r>
    </w:p>
    <w:p w14:paraId="26CA62B7" w14:textId="1EECA6AB" w:rsidR="002D1087" w:rsidRDefault="002D1087" w:rsidP="002D1087">
      <w:r>
        <w:t>The Review acknowledges that the RBA may again need to use additional monetary policy tools if the effective lower bound constrains the cash rate in future (see Chapter 1 for discussion of additional monetary policy tools). It is important that the RBA retains flexibility and, within the authority granted by the RBA Act, independence in its choice of tools</w:t>
      </w:r>
      <w:r w:rsidR="0068598E">
        <w:rPr>
          <w:spacing w:val="-17"/>
        </w:rPr>
        <w:t>.</w:t>
      </w:r>
    </w:p>
    <w:p w14:paraId="3D39CEA3" w14:textId="00C6DBDF" w:rsidR="002D1087" w:rsidRDefault="002D1087" w:rsidP="002D1087">
      <w:r>
        <w:t>This independence obliges the RBA to be transparent about its considerations when choosing to use additional monetary policy tools</w:t>
      </w:r>
      <w:r w:rsidR="0068598E">
        <w:rPr>
          <w:spacing w:val="-8"/>
        </w:rPr>
        <w:t>.</w:t>
      </w:r>
    </w:p>
    <w:p w14:paraId="7C9BB929" w14:textId="223CBC12" w:rsidR="008E616B" w:rsidRDefault="002D1087" w:rsidP="008E616B">
      <w:r>
        <w:t>The Review recommends that the RBA articulate a clear framework to explain how additional monetary policy tools might be used in the future</w:t>
      </w:r>
      <w:r w:rsidR="0068598E">
        <w:rPr>
          <w:spacing w:val="-21"/>
        </w:rPr>
        <w:t>.</w:t>
      </w:r>
      <w:r>
        <w:rPr>
          <w:w w:val="85"/>
        </w:rPr>
        <w:t xml:space="preserve"> </w:t>
      </w:r>
      <w:r>
        <w:t>Research commissioned for the Review on the RBA’s use of additional monetary policy tools concludes that there would be benefits from a ‘more systematic policy framework’ (Orphanides 2023).</w:t>
      </w:r>
    </w:p>
    <w:p w14:paraId="5A03B11F" w14:textId="77777777" w:rsidR="008E616B" w:rsidRDefault="008E616B" w:rsidP="008E616B">
      <w:r>
        <w:t>The</w:t>
      </w:r>
      <w:r>
        <w:rPr>
          <w:spacing w:val="3"/>
        </w:rPr>
        <w:t xml:space="preserve"> </w:t>
      </w:r>
      <w:r>
        <w:t>framework</w:t>
      </w:r>
      <w:r>
        <w:rPr>
          <w:spacing w:val="4"/>
        </w:rPr>
        <w:t xml:space="preserve"> </w:t>
      </w:r>
      <w:r>
        <w:t>should</w:t>
      </w:r>
      <w:r>
        <w:rPr>
          <w:spacing w:val="4"/>
        </w:rPr>
        <w:t xml:space="preserve"> </w:t>
      </w:r>
      <w:r>
        <w:rPr>
          <w:spacing w:val="-2"/>
        </w:rPr>
        <w:t>detail:</w:t>
      </w:r>
    </w:p>
    <w:p w14:paraId="5AAECCB3" w14:textId="77777777" w:rsidR="008E616B" w:rsidRDefault="008E616B" w:rsidP="0000278A">
      <w:pPr>
        <w:pStyle w:val="Bullet"/>
      </w:pPr>
      <w:r>
        <w:t xml:space="preserve">the available policy tools, the channels through which each operates and their estimated </w:t>
      </w:r>
      <w:r>
        <w:rPr>
          <w:spacing w:val="-2"/>
        </w:rPr>
        <w:t>impacts</w:t>
      </w:r>
    </w:p>
    <w:p w14:paraId="515B4E6A" w14:textId="0844428C" w:rsidR="008E616B" w:rsidRPr="008E616B" w:rsidRDefault="008E616B" w:rsidP="0000278A">
      <w:pPr>
        <w:pStyle w:val="Bullet"/>
      </w:pPr>
      <w:r>
        <w:t>the benefits,</w:t>
      </w:r>
      <w:r>
        <w:rPr>
          <w:spacing w:val="3"/>
        </w:rPr>
        <w:t xml:space="preserve"> </w:t>
      </w:r>
      <w:r>
        <w:t>costs</w:t>
      </w:r>
      <w:r>
        <w:rPr>
          <w:spacing w:val="3"/>
        </w:rPr>
        <w:t xml:space="preserve"> </w:t>
      </w:r>
      <w:r>
        <w:t>and</w:t>
      </w:r>
      <w:r>
        <w:rPr>
          <w:spacing w:val="3"/>
        </w:rPr>
        <w:t xml:space="preserve"> </w:t>
      </w:r>
      <w:r>
        <w:t>risks</w:t>
      </w:r>
      <w:r>
        <w:rPr>
          <w:spacing w:val="3"/>
        </w:rPr>
        <w:t xml:space="preserve"> </w:t>
      </w:r>
      <w:r>
        <w:t>of</w:t>
      </w:r>
      <w:r>
        <w:rPr>
          <w:spacing w:val="3"/>
        </w:rPr>
        <w:t xml:space="preserve"> </w:t>
      </w:r>
      <w:r>
        <w:t>available</w:t>
      </w:r>
      <w:r>
        <w:rPr>
          <w:spacing w:val="3"/>
        </w:rPr>
        <w:t xml:space="preserve"> </w:t>
      </w:r>
      <w:r>
        <w:t>policy</w:t>
      </w:r>
      <w:r>
        <w:rPr>
          <w:spacing w:val="3"/>
        </w:rPr>
        <w:t xml:space="preserve"> </w:t>
      </w:r>
      <w:r>
        <w:t>tools,</w:t>
      </w:r>
      <w:r>
        <w:rPr>
          <w:spacing w:val="3"/>
        </w:rPr>
        <w:t xml:space="preserve"> </w:t>
      </w:r>
      <w:r>
        <w:t>drawing</w:t>
      </w:r>
      <w:r>
        <w:rPr>
          <w:spacing w:val="3"/>
        </w:rPr>
        <w:t xml:space="preserve"> </w:t>
      </w:r>
      <w:r>
        <w:t>on</w:t>
      </w:r>
      <w:r>
        <w:rPr>
          <w:spacing w:val="3"/>
        </w:rPr>
        <w:t xml:space="preserve"> </w:t>
      </w:r>
      <w:r>
        <w:t>Australian</w:t>
      </w:r>
      <w:r>
        <w:rPr>
          <w:spacing w:val="3"/>
        </w:rPr>
        <w:t xml:space="preserve"> </w:t>
      </w:r>
      <w:r>
        <w:t>and</w:t>
      </w:r>
      <w:r>
        <w:rPr>
          <w:spacing w:val="3"/>
        </w:rPr>
        <w:t xml:space="preserve"> </w:t>
      </w:r>
      <w:r>
        <w:rPr>
          <w:spacing w:val="-2"/>
        </w:rPr>
        <w:t xml:space="preserve">international </w:t>
      </w:r>
      <w:r>
        <w:t>evidence</w:t>
      </w:r>
      <w:r w:rsidRPr="008E616B">
        <w:rPr>
          <w:spacing w:val="1"/>
        </w:rPr>
        <w:t xml:space="preserve"> </w:t>
      </w:r>
      <w:r>
        <w:t>and</w:t>
      </w:r>
      <w:r w:rsidRPr="008E616B">
        <w:rPr>
          <w:spacing w:val="1"/>
        </w:rPr>
        <w:t xml:space="preserve"> </w:t>
      </w:r>
      <w:r w:rsidRPr="008E616B">
        <w:rPr>
          <w:spacing w:val="-2"/>
        </w:rPr>
        <w:t>research</w:t>
      </w:r>
    </w:p>
    <w:p w14:paraId="327100C0" w14:textId="6D8049EB" w:rsidR="008E616B" w:rsidRDefault="008E616B" w:rsidP="0000278A">
      <w:pPr>
        <w:pStyle w:val="Bullet"/>
      </w:pPr>
      <w:r>
        <w:t>independent</w:t>
      </w:r>
      <w:r>
        <w:rPr>
          <w:spacing w:val="2"/>
        </w:rPr>
        <w:t xml:space="preserve"> </w:t>
      </w:r>
      <w:r>
        <w:t>expert</w:t>
      </w:r>
      <w:r>
        <w:rPr>
          <w:spacing w:val="3"/>
        </w:rPr>
        <w:t xml:space="preserve"> </w:t>
      </w:r>
      <w:r>
        <w:t>assessments</w:t>
      </w:r>
      <w:r>
        <w:rPr>
          <w:spacing w:val="3"/>
        </w:rPr>
        <w:t xml:space="preserve"> </w:t>
      </w:r>
      <w:r>
        <w:t>of</w:t>
      </w:r>
      <w:r>
        <w:rPr>
          <w:spacing w:val="2"/>
        </w:rPr>
        <w:t xml:space="preserve"> </w:t>
      </w:r>
      <w:r>
        <w:t>the</w:t>
      </w:r>
      <w:r>
        <w:rPr>
          <w:spacing w:val="3"/>
        </w:rPr>
        <w:t xml:space="preserve"> </w:t>
      </w:r>
      <w:r>
        <w:t>RBA’s</w:t>
      </w:r>
      <w:r>
        <w:rPr>
          <w:spacing w:val="3"/>
        </w:rPr>
        <w:t xml:space="preserve"> </w:t>
      </w:r>
      <w:r>
        <w:t>use</w:t>
      </w:r>
      <w:r>
        <w:rPr>
          <w:spacing w:val="3"/>
        </w:rPr>
        <w:t xml:space="preserve"> </w:t>
      </w:r>
      <w:r>
        <w:t>of</w:t>
      </w:r>
      <w:r>
        <w:rPr>
          <w:spacing w:val="2"/>
        </w:rPr>
        <w:t xml:space="preserve"> </w:t>
      </w:r>
      <w:r>
        <w:t>additional</w:t>
      </w:r>
      <w:r>
        <w:rPr>
          <w:spacing w:val="3"/>
        </w:rPr>
        <w:t xml:space="preserve"> </w:t>
      </w:r>
      <w:r>
        <w:t>policy</w:t>
      </w:r>
      <w:r>
        <w:rPr>
          <w:spacing w:val="3"/>
        </w:rPr>
        <w:t xml:space="preserve"> </w:t>
      </w:r>
      <w:r>
        <w:t>tools,</w:t>
      </w:r>
      <w:r>
        <w:rPr>
          <w:spacing w:val="3"/>
        </w:rPr>
        <w:t xml:space="preserve"> </w:t>
      </w:r>
      <w:r>
        <w:rPr>
          <w:spacing w:val="-4"/>
        </w:rPr>
        <w:t>with</w:t>
      </w:r>
      <w:r>
        <w:t xml:space="preserve"> Orphanides</w:t>
      </w:r>
      <w:r w:rsidRPr="008E616B">
        <w:rPr>
          <w:spacing w:val="-3"/>
        </w:rPr>
        <w:t xml:space="preserve"> </w:t>
      </w:r>
      <w:r>
        <w:t>(2023)</w:t>
      </w:r>
      <w:r w:rsidRPr="008E616B">
        <w:rPr>
          <w:spacing w:val="-2"/>
        </w:rPr>
        <w:t xml:space="preserve"> </w:t>
      </w:r>
      <w:r>
        <w:t>being</w:t>
      </w:r>
      <w:r w:rsidRPr="008E616B">
        <w:rPr>
          <w:spacing w:val="-2"/>
        </w:rPr>
        <w:t xml:space="preserve"> </w:t>
      </w:r>
      <w:r>
        <w:t>a</w:t>
      </w:r>
      <w:r w:rsidRPr="008E616B">
        <w:rPr>
          <w:spacing w:val="-2"/>
        </w:rPr>
        <w:t xml:space="preserve"> </w:t>
      </w:r>
      <w:r>
        <w:t>good</w:t>
      </w:r>
      <w:r w:rsidRPr="008E616B">
        <w:rPr>
          <w:spacing w:val="-2"/>
        </w:rPr>
        <w:t xml:space="preserve"> example</w:t>
      </w:r>
    </w:p>
    <w:p w14:paraId="34368238" w14:textId="77777777" w:rsidR="008E616B" w:rsidRDefault="008E616B" w:rsidP="0000278A">
      <w:pPr>
        <w:pStyle w:val="Bullet"/>
      </w:pPr>
      <w:r>
        <w:t>how</w:t>
      </w:r>
      <w:r>
        <w:rPr>
          <w:spacing w:val="-1"/>
        </w:rPr>
        <w:t xml:space="preserve"> </w:t>
      </w:r>
      <w:r>
        <w:t>it</w:t>
      </w:r>
      <w:r>
        <w:rPr>
          <w:spacing w:val="-1"/>
        </w:rPr>
        <w:t xml:space="preserve"> </w:t>
      </w:r>
      <w:r>
        <w:t>intends</w:t>
      </w:r>
      <w:r>
        <w:rPr>
          <w:spacing w:val="-1"/>
        </w:rPr>
        <w:t xml:space="preserve"> </w:t>
      </w:r>
      <w:r>
        <w:t>to</w:t>
      </w:r>
      <w:r>
        <w:rPr>
          <w:spacing w:val="-1"/>
        </w:rPr>
        <w:t xml:space="preserve"> </w:t>
      </w:r>
      <w:r>
        <w:t>weigh</w:t>
      </w:r>
      <w:r>
        <w:rPr>
          <w:spacing w:val="-1"/>
        </w:rPr>
        <w:t xml:space="preserve"> </w:t>
      </w:r>
      <w:r>
        <w:t>these</w:t>
      </w:r>
      <w:r>
        <w:rPr>
          <w:spacing w:val="-1"/>
        </w:rPr>
        <w:t xml:space="preserve"> </w:t>
      </w:r>
      <w:r>
        <w:t>various</w:t>
      </w:r>
      <w:r>
        <w:rPr>
          <w:spacing w:val="-1"/>
        </w:rPr>
        <w:t xml:space="preserve"> </w:t>
      </w:r>
      <w:r>
        <w:t>considerations</w:t>
      </w:r>
      <w:r>
        <w:rPr>
          <w:spacing w:val="-1"/>
        </w:rPr>
        <w:t xml:space="preserve"> </w:t>
      </w:r>
      <w:r>
        <w:t>when</w:t>
      </w:r>
      <w:r>
        <w:rPr>
          <w:spacing w:val="-1"/>
        </w:rPr>
        <w:t xml:space="preserve"> </w:t>
      </w:r>
      <w:r>
        <w:t>deciding</w:t>
      </w:r>
      <w:r>
        <w:rPr>
          <w:spacing w:val="-1"/>
        </w:rPr>
        <w:t xml:space="preserve"> </w:t>
      </w:r>
      <w:r>
        <w:t>on</w:t>
      </w:r>
      <w:r>
        <w:rPr>
          <w:spacing w:val="-1"/>
        </w:rPr>
        <w:t xml:space="preserve"> </w:t>
      </w:r>
      <w:r>
        <w:t>the</w:t>
      </w:r>
      <w:r>
        <w:rPr>
          <w:spacing w:val="-1"/>
        </w:rPr>
        <w:t xml:space="preserve"> </w:t>
      </w:r>
      <w:r>
        <w:t>choice</w:t>
      </w:r>
      <w:r>
        <w:rPr>
          <w:spacing w:val="-1"/>
        </w:rPr>
        <w:t xml:space="preserve"> </w:t>
      </w:r>
      <w:r>
        <w:t>and sequencing of policies</w:t>
      </w:r>
    </w:p>
    <w:p w14:paraId="5161304B" w14:textId="386CD0C9" w:rsidR="008E616B" w:rsidRDefault="008E616B" w:rsidP="0000278A">
      <w:pPr>
        <w:pStyle w:val="Bullet"/>
      </w:pPr>
      <w:r>
        <w:t>implementation</w:t>
      </w:r>
      <w:r w:rsidRPr="008E616B">
        <w:rPr>
          <w:spacing w:val="2"/>
        </w:rPr>
        <w:t xml:space="preserve"> </w:t>
      </w:r>
      <w:r>
        <w:t>considerations</w:t>
      </w:r>
      <w:r w:rsidRPr="008E616B">
        <w:rPr>
          <w:spacing w:val="3"/>
        </w:rPr>
        <w:t xml:space="preserve"> </w:t>
      </w:r>
      <w:r>
        <w:t>and</w:t>
      </w:r>
      <w:r w:rsidRPr="008E616B">
        <w:rPr>
          <w:spacing w:val="3"/>
        </w:rPr>
        <w:t xml:space="preserve"> </w:t>
      </w:r>
      <w:r>
        <w:t>exit</w:t>
      </w:r>
      <w:r w:rsidRPr="008E616B">
        <w:rPr>
          <w:spacing w:val="3"/>
        </w:rPr>
        <w:t xml:space="preserve"> </w:t>
      </w:r>
      <w:r w:rsidRPr="008E616B">
        <w:rPr>
          <w:spacing w:val="-2"/>
        </w:rPr>
        <w:t>strategies</w:t>
      </w:r>
      <w:r>
        <w:rPr>
          <w:spacing w:val="-2"/>
        </w:rPr>
        <w:t xml:space="preserve"> </w:t>
      </w:r>
      <w:r>
        <w:t>the</w:t>
      </w:r>
      <w:r w:rsidRPr="008E616B">
        <w:rPr>
          <w:spacing w:val="-1"/>
        </w:rPr>
        <w:t xml:space="preserve"> </w:t>
      </w:r>
      <w:r>
        <w:t>RBA’s overall assessment of each tool, including how likely it would be to use each tool</w:t>
      </w:r>
      <w:r w:rsidR="0068598E">
        <w:rPr>
          <w:spacing w:val="-24"/>
        </w:rPr>
        <w:t>.</w:t>
      </w:r>
    </w:p>
    <w:p w14:paraId="18868211" w14:textId="692E236A" w:rsidR="008E616B" w:rsidRDefault="008E616B" w:rsidP="008E616B">
      <w:r>
        <w:t>The RBA has begun the process of reflection on the use of additional monetary tools in its public reviews</w:t>
      </w:r>
      <w:r w:rsidR="0068598E">
        <w:rPr>
          <w:spacing w:val="-25"/>
        </w:rPr>
        <w:t>.</w:t>
      </w:r>
      <w:r>
        <w:rPr>
          <w:w w:val="85"/>
        </w:rPr>
        <w:t xml:space="preserve"> </w:t>
      </w:r>
      <w:r>
        <w:t>However,</w:t>
      </w:r>
      <w:r>
        <w:rPr>
          <w:spacing w:val="-2"/>
        </w:rPr>
        <w:t xml:space="preserve"> </w:t>
      </w:r>
      <w:r>
        <w:t>it</w:t>
      </w:r>
      <w:r>
        <w:rPr>
          <w:spacing w:val="-2"/>
        </w:rPr>
        <w:t xml:space="preserve"> </w:t>
      </w:r>
      <w:r>
        <w:t>has</w:t>
      </w:r>
      <w:r>
        <w:rPr>
          <w:spacing w:val="-2"/>
        </w:rPr>
        <w:t xml:space="preserve"> </w:t>
      </w:r>
      <w:r>
        <w:t>not</w:t>
      </w:r>
      <w:r>
        <w:rPr>
          <w:spacing w:val="-2"/>
        </w:rPr>
        <w:t xml:space="preserve"> </w:t>
      </w:r>
      <w:r>
        <w:t>yet</w:t>
      </w:r>
      <w:r>
        <w:rPr>
          <w:spacing w:val="-2"/>
        </w:rPr>
        <w:t xml:space="preserve"> </w:t>
      </w:r>
      <w:r>
        <w:t>drawn</w:t>
      </w:r>
      <w:r>
        <w:rPr>
          <w:spacing w:val="-2"/>
        </w:rPr>
        <w:t xml:space="preserve"> </w:t>
      </w:r>
      <w:r>
        <w:t>together</w:t>
      </w:r>
      <w:r>
        <w:rPr>
          <w:spacing w:val="-2"/>
        </w:rPr>
        <w:t xml:space="preserve"> </w:t>
      </w:r>
      <w:r>
        <w:t>this</w:t>
      </w:r>
      <w:r>
        <w:rPr>
          <w:spacing w:val="-2"/>
        </w:rPr>
        <w:t xml:space="preserve"> </w:t>
      </w:r>
      <w:r>
        <w:t>analysis</w:t>
      </w:r>
      <w:r>
        <w:rPr>
          <w:spacing w:val="-2"/>
        </w:rPr>
        <w:t xml:space="preserve"> </w:t>
      </w:r>
      <w:r>
        <w:t>to</w:t>
      </w:r>
      <w:r>
        <w:rPr>
          <w:spacing w:val="-2"/>
        </w:rPr>
        <w:t xml:space="preserve"> </w:t>
      </w:r>
      <w:r>
        <w:t>explain</w:t>
      </w:r>
      <w:r>
        <w:rPr>
          <w:spacing w:val="-2"/>
        </w:rPr>
        <w:t xml:space="preserve"> </w:t>
      </w:r>
      <w:r>
        <w:t>overarching</w:t>
      </w:r>
      <w:r>
        <w:rPr>
          <w:spacing w:val="-2"/>
        </w:rPr>
        <w:t xml:space="preserve"> </w:t>
      </w:r>
      <w:r>
        <w:t>considerations</w:t>
      </w:r>
      <w:r w:rsidR="0068598E">
        <w:rPr>
          <w:spacing w:val="-25"/>
        </w:rPr>
        <w:t>.</w:t>
      </w:r>
      <w:r>
        <w:t xml:space="preserve"> Such a framework would help formalise and embed lessons from the pandemic, both from the Australian and international experience. The paper produced by Orphanides (2023) for the Review is a step in this direction. It identifies lessons from the recent period, as well as providing insight into how additional monetary policy tools could be used more effectively in the future.</w:t>
      </w:r>
    </w:p>
    <w:p w14:paraId="7B389153" w14:textId="62C687AA" w:rsidR="008E616B" w:rsidRDefault="008E616B" w:rsidP="008E616B">
      <w:r>
        <w:t>This framework should be made public to encourage external scrutiny and build public understanding about additional monetary policy tools</w:t>
      </w:r>
      <w:r w:rsidR="0068598E">
        <w:rPr>
          <w:spacing w:val="-21"/>
        </w:rPr>
        <w:t>.</w:t>
      </w:r>
      <w:r>
        <w:rPr>
          <w:w w:val="85"/>
        </w:rPr>
        <w:t xml:space="preserve"> </w:t>
      </w:r>
      <w:r>
        <w:t>It would also clarify the RBA’s own thinking and encourage the RBA to explain when that thinking evolves, which may in turn draw out other relevant ideas and perspectives</w:t>
      </w:r>
      <w:r w:rsidR="0068598E">
        <w:rPr>
          <w:spacing w:val="-18"/>
        </w:rPr>
        <w:t>.</w:t>
      </w:r>
      <w:r>
        <w:rPr>
          <w:w w:val="85"/>
        </w:rPr>
        <w:t xml:space="preserve"> </w:t>
      </w:r>
      <w:r>
        <w:t>For example, the RBA had done some preparatory work on a potential</w:t>
      </w:r>
      <w:r>
        <w:rPr>
          <w:spacing w:val="-2"/>
        </w:rPr>
        <w:t xml:space="preserve"> </w:t>
      </w:r>
      <w:r>
        <w:t>package</w:t>
      </w:r>
      <w:r>
        <w:rPr>
          <w:spacing w:val="-2"/>
        </w:rPr>
        <w:t xml:space="preserve"> </w:t>
      </w:r>
      <w:r>
        <w:t>of</w:t>
      </w:r>
      <w:r>
        <w:rPr>
          <w:spacing w:val="-2"/>
        </w:rPr>
        <w:t xml:space="preserve"> </w:t>
      </w:r>
      <w:r>
        <w:t>monetary</w:t>
      </w:r>
      <w:r>
        <w:rPr>
          <w:spacing w:val="-2"/>
        </w:rPr>
        <w:t xml:space="preserve"> </w:t>
      </w:r>
      <w:r>
        <w:t>tools</w:t>
      </w:r>
      <w:r>
        <w:rPr>
          <w:spacing w:val="-2"/>
        </w:rPr>
        <w:t xml:space="preserve"> </w:t>
      </w:r>
      <w:r>
        <w:t>ahead</w:t>
      </w:r>
      <w:r>
        <w:rPr>
          <w:spacing w:val="-2"/>
        </w:rPr>
        <w:t xml:space="preserve"> </w:t>
      </w:r>
      <w:r>
        <w:t>of</w:t>
      </w:r>
      <w:r>
        <w:rPr>
          <w:spacing w:val="-2"/>
        </w:rPr>
        <w:t xml:space="preserve"> </w:t>
      </w:r>
      <w:r>
        <w:t>the</w:t>
      </w:r>
      <w:r>
        <w:rPr>
          <w:spacing w:val="-2"/>
        </w:rPr>
        <w:t xml:space="preserve"> </w:t>
      </w:r>
      <w:r>
        <w:t>pandemic</w:t>
      </w:r>
      <w:r>
        <w:rPr>
          <w:spacing w:val="-2"/>
        </w:rPr>
        <w:t xml:space="preserve"> </w:t>
      </w:r>
      <w:r>
        <w:t>(see</w:t>
      </w:r>
      <w:r>
        <w:rPr>
          <w:spacing w:val="-2"/>
        </w:rPr>
        <w:t xml:space="preserve"> </w:t>
      </w:r>
      <w:r>
        <w:t>Chapter</w:t>
      </w:r>
      <w:r>
        <w:rPr>
          <w:spacing w:val="-2"/>
        </w:rPr>
        <w:t xml:space="preserve"> </w:t>
      </w:r>
      <w:r>
        <w:t>1)</w:t>
      </w:r>
      <w:r w:rsidR="0068598E">
        <w:rPr>
          <w:spacing w:val="-25"/>
        </w:rPr>
        <w:t>.</w:t>
      </w:r>
      <w:r>
        <w:rPr>
          <w:w w:val="85"/>
        </w:rPr>
        <w:t xml:space="preserve"> </w:t>
      </w:r>
      <w:r>
        <w:t>However,</w:t>
      </w:r>
      <w:r>
        <w:rPr>
          <w:spacing w:val="-2"/>
        </w:rPr>
        <w:t xml:space="preserve"> </w:t>
      </w:r>
      <w:r>
        <w:t>the</w:t>
      </w:r>
      <w:r>
        <w:rPr>
          <w:spacing w:val="-2"/>
        </w:rPr>
        <w:t xml:space="preserve"> </w:t>
      </w:r>
      <w:r>
        <w:t>package introduced in March 2020 differed in important respects, without explanation in Reserve Bank Board papers</w:t>
      </w:r>
      <w:r w:rsidR="0068598E">
        <w:rPr>
          <w:spacing w:val="-19"/>
        </w:rPr>
        <w:t>.</w:t>
      </w:r>
      <w:r>
        <w:rPr>
          <w:w w:val="85"/>
        </w:rPr>
        <w:t xml:space="preserve"> </w:t>
      </w:r>
      <w:r>
        <w:t>A public framework would have required the RBA to clearly explain its choices</w:t>
      </w:r>
      <w:r w:rsidR="0068598E">
        <w:rPr>
          <w:spacing w:val="-19"/>
        </w:rPr>
        <w:t>.</w:t>
      </w:r>
    </w:p>
    <w:p w14:paraId="442C2479" w14:textId="37572299" w:rsidR="008E616B" w:rsidRDefault="008E616B" w:rsidP="008E616B">
      <w:r>
        <w:t>The RBA should agree what this framework would cover with the Government in the Statement</w:t>
      </w:r>
      <w:r>
        <w:rPr>
          <w:spacing w:val="80"/>
        </w:rPr>
        <w:t xml:space="preserve"> </w:t>
      </w:r>
      <w:r>
        <w:t>on Conduct, including joint expectations for transparency, assessments of costs and benefits, managing risks, and discussions on the appropriateness of fiscal policy as an alternative policy lever</w:t>
      </w:r>
      <w:r w:rsidR="0068598E">
        <w:rPr>
          <w:spacing w:val="-25"/>
        </w:rPr>
        <w:t>.</w:t>
      </w:r>
      <w:r>
        <w:rPr>
          <w:w w:val="85"/>
        </w:rPr>
        <w:t xml:space="preserve"> </w:t>
      </w:r>
      <w:r>
        <w:t>The</w:t>
      </w:r>
      <w:r>
        <w:rPr>
          <w:spacing w:val="-2"/>
        </w:rPr>
        <w:t xml:space="preserve"> </w:t>
      </w:r>
      <w:r>
        <w:t>Statement</w:t>
      </w:r>
      <w:r>
        <w:rPr>
          <w:spacing w:val="-2"/>
        </w:rPr>
        <w:t xml:space="preserve"> </w:t>
      </w:r>
      <w:r>
        <w:t>on</w:t>
      </w:r>
      <w:r>
        <w:rPr>
          <w:spacing w:val="-2"/>
        </w:rPr>
        <w:t xml:space="preserve"> </w:t>
      </w:r>
      <w:r>
        <w:t>Conduct</w:t>
      </w:r>
      <w:r>
        <w:rPr>
          <w:spacing w:val="-2"/>
        </w:rPr>
        <w:t xml:space="preserve"> </w:t>
      </w:r>
      <w:r>
        <w:t>should</w:t>
      </w:r>
      <w:r>
        <w:rPr>
          <w:spacing w:val="-2"/>
        </w:rPr>
        <w:t xml:space="preserve"> </w:t>
      </w:r>
      <w:r>
        <w:t>emphasise</w:t>
      </w:r>
      <w:r>
        <w:rPr>
          <w:spacing w:val="-2"/>
        </w:rPr>
        <w:t xml:space="preserve"> </w:t>
      </w:r>
      <w:r>
        <w:t>that</w:t>
      </w:r>
      <w:r>
        <w:rPr>
          <w:spacing w:val="-2"/>
        </w:rPr>
        <w:t xml:space="preserve"> </w:t>
      </w:r>
      <w:r>
        <w:t>the</w:t>
      </w:r>
      <w:r>
        <w:rPr>
          <w:spacing w:val="-2"/>
        </w:rPr>
        <w:t xml:space="preserve"> </w:t>
      </w:r>
      <w:r>
        <w:t>RBA</w:t>
      </w:r>
      <w:r>
        <w:rPr>
          <w:spacing w:val="-2"/>
        </w:rPr>
        <w:t xml:space="preserve"> </w:t>
      </w:r>
      <w:r>
        <w:t>retains</w:t>
      </w:r>
      <w:r>
        <w:rPr>
          <w:spacing w:val="-2"/>
        </w:rPr>
        <w:t xml:space="preserve"> </w:t>
      </w:r>
      <w:r>
        <w:t>independence</w:t>
      </w:r>
      <w:r>
        <w:rPr>
          <w:spacing w:val="-2"/>
        </w:rPr>
        <w:t xml:space="preserve"> </w:t>
      </w:r>
      <w:r>
        <w:t>to</w:t>
      </w:r>
      <w:r>
        <w:rPr>
          <w:spacing w:val="-2"/>
        </w:rPr>
        <w:t xml:space="preserve"> </w:t>
      </w:r>
      <w:r>
        <w:t>choose its monetary policy tools within the framework</w:t>
      </w:r>
      <w:r w:rsidR="0068598E">
        <w:rPr>
          <w:spacing w:val="-10"/>
        </w:rPr>
        <w:t>.</w:t>
      </w:r>
    </w:p>
    <w:p w14:paraId="7F222ADA" w14:textId="77777777" w:rsidR="00175A7F" w:rsidRDefault="00175A7F" w:rsidP="00175A7F">
      <w:pPr>
        <w:pStyle w:val="Heading2"/>
      </w:pPr>
      <w:bookmarkStart w:id="40" w:name="_Toc134221010"/>
      <w:r w:rsidRPr="00175A7F">
        <w:lastRenderedPageBreak/>
        <w:t>Recommendation</w:t>
      </w:r>
      <w:r>
        <w:rPr>
          <w:spacing w:val="-11"/>
        </w:rPr>
        <w:t xml:space="preserve"> </w:t>
      </w:r>
      <w:r>
        <w:t>4:</w:t>
      </w:r>
      <w:r>
        <w:rPr>
          <w:spacing w:val="-11"/>
        </w:rPr>
        <w:t xml:space="preserve"> </w:t>
      </w:r>
      <w:r>
        <w:t>Institute</w:t>
      </w:r>
      <w:r>
        <w:rPr>
          <w:spacing w:val="-11"/>
        </w:rPr>
        <w:t xml:space="preserve"> </w:t>
      </w:r>
      <w:r>
        <w:t>regular</w:t>
      </w:r>
      <w:r>
        <w:rPr>
          <w:spacing w:val="-11"/>
        </w:rPr>
        <w:t xml:space="preserve"> </w:t>
      </w:r>
      <w:r>
        <w:t>reviews</w:t>
      </w:r>
      <w:r>
        <w:rPr>
          <w:spacing w:val="-11"/>
        </w:rPr>
        <w:t xml:space="preserve"> </w:t>
      </w:r>
      <w:r>
        <w:t>of</w:t>
      </w:r>
      <w:r>
        <w:rPr>
          <w:spacing w:val="-11"/>
        </w:rPr>
        <w:t xml:space="preserve"> </w:t>
      </w:r>
      <w:r>
        <w:t>the monetary policy framework and tools</w:t>
      </w:r>
      <w:bookmarkEnd w:id="40"/>
    </w:p>
    <w:tbl>
      <w:tblPr>
        <w:tblW w:w="5000" w:type="pct"/>
        <w:tblCellMar>
          <w:left w:w="0" w:type="dxa"/>
          <w:right w:w="0" w:type="dxa"/>
        </w:tblCellMar>
        <w:tblLook w:val="01E0" w:firstRow="1" w:lastRow="1" w:firstColumn="1" w:lastColumn="1" w:noHBand="0" w:noVBand="0"/>
      </w:tblPr>
      <w:tblGrid>
        <w:gridCol w:w="8317"/>
        <w:gridCol w:w="753"/>
      </w:tblGrid>
      <w:tr w:rsidR="00213A78" w14:paraId="6E137323" w14:textId="77777777" w:rsidTr="00724C4C">
        <w:trPr>
          <w:trHeight w:val="639"/>
        </w:trPr>
        <w:tc>
          <w:tcPr>
            <w:tcW w:w="5000" w:type="pct"/>
            <w:gridSpan w:val="2"/>
            <w:tcBorders>
              <w:bottom w:val="single" w:sz="8" w:space="0" w:color="ECEDE9"/>
            </w:tcBorders>
          </w:tcPr>
          <w:p w14:paraId="6EDB4C85" w14:textId="77777777" w:rsidR="00213A78" w:rsidRDefault="00213A78" w:rsidP="00F22AE5">
            <w:pPr>
              <w:pStyle w:val="Heading4"/>
              <w:rPr>
                <w:rFonts w:ascii="Open Sans"/>
                <w:b/>
                <w:sz w:val="18"/>
              </w:rPr>
            </w:pPr>
            <w:r w:rsidRPr="009457C2">
              <w:t>Recommendation 4: Institute regular reviews of the monetary policy framework</w:t>
            </w:r>
            <w:r>
              <w:t xml:space="preserve"> </w:t>
            </w:r>
            <w:r w:rsidRPr="009457C2">
              <w:t>and tools</w:t>
            </w:r>
          </w:p>
        </w:tc>
      </w:tr>
      <w:tr w:rsidR="00213A78" w14:paraId="3CDD525C" w14:textId="77777777" w:rsidTr="00724C4C">
        <w:trPr>
          <w:gridAfter w:val="1"/>
          <w:wAfter w:w="415" w:type="pct"/>
          <w:trHeight w:val="1721"/>
        </w:trPr>
        <w:tc>
          <w:tcPr>
            <w:tcW w:w="4585" w:type="pct"/>
            <w:tcBorders>
              <w:top w:val="single" w:sz="8" w:space="0" w:color="ECEDE9"/>
              <w:bottom w:val="single" w:sz="8" w:space="0" w:color="ECEDE9"/>
            </w:tcBorders>
          </w:tcPr>
          <w:p w14:paraId="7B350A69" w14:textId="77777777" w:rsidR="00213A78" w:rsidRDefault="00213A78" w:rsidP="00F22AE5">
            <w:r>
              <w:t>The</w:t>
            </w:r>
            <w:r>
              <w:rPr>
                <w:spacing w:val="17"/>
              </w:rPr>
              <w:t xml:space="preserve"> </w:t>
            </w:r>
            <w:r>
              <w:t>Government</w:t>
            </w:r>
            <w:r>
              <w:rPr>
                <w:spacing w:val="17"/>
              </w:rPr>
              <w:t xml:space="preserve"> </w:t>
            </w:r>
            <w:r>
              <w:t>and</w:t>
            </w:r>
            <w:r>
              <w:rPr>
                <w:spacing w:val="17"/>
              </w:rPr>
              <w:t xml:space="preserve"> </w:t>
            </w:r>
            <w:r>
              <w:t>RBA</w:t>
            </w:r>
            <w:r>
              <w:rPr>
                <w:spacing w:val="17"/>
              </w:rPr>
              <w:t xml:space="preserve"> </w:t>
            </w:r>
            <w:r>
              <w:t>Monetary</w:t>
            </w:r>
            <w:r>
              <w:rPr>
                <w:spacing w:val="17"/>
              </w:rPr>
              <w:t xml:space="preserve"> </w:t>
            </w:r>
            <w:r>
              <w:t>Policy</w:t>
            </w:r>
            <w:r>
              <w:rPr>
                <w:spacing w:val="17"/>
              </w:rPr>
              <w:t xml:space="preserve"> </w:t>
            </w:r>
            <w:r>
              <w:t>Board</w:t>
            </w:r>
            <w:r>
              <w:rPr>
                <w:spacing w:val="17"/>
              </w:rPr>
              <w:t xml:space="preserve"> </w:t>
            </w:r>
            <w:r>
              <w:t>should</w:t>
            </w:r>
            <w:r>
              <w:rPr>
                <w:spacing w:val="17"/>
              </w:rPr>
              <w:t xml:space="preserve"> </w:t>
            </w:r>
            <w:r>
              <w:t>instigate</w:t>
            </w:r>
            <w:r>
              <w:rPr>
                <w:spacing w:val="17"/>
              </w:rPr>
              <w:t xml:space="preserve"> </w:t>
            </w:r>
            <w:r>
              <w:t>a</w:t>
            </w:r>
            <w:r>
              <w:rPr>
                <w:spacing w:val="17"/>
              </w:rPr>
              <w:t xml:space="preserve"> </w:t>
            </w:r>
            <w:r>
              <w:t>formal</w:t>
            </w:r>
            <w:r>
              <w:rPr>
                <w:spacing w:val="17"/>
              </w:rPr>
              <w:t xml:space="preserve"> </w:t>
            </w:r>
            <w:r>
              <w:t xml:space="preserve">review of the monetary policy framework and tools every 5 years, jointly led by the RBA and Treasury and including formal and transparent input from independent domestic and international experts with a wide range of viewpoints. The purpose of the review should be to ensure the monetary policy framework and tools remain appropriate, and it should inform the renewal of the </w:t>
            </w:r>
            <w:r>
              <w:rPr>
                <w:i/>
              </w:rPr>
              <w:t>Statement on the Conduct of Monetary Policy</w:t>
            </w:r>
            <w:r>
              <w:t>.</w:t>
            </w:r>
          </w:p>
        </w:tc>
      </w:tr>
    </w:tbl>
    <w:p w14:paraId="59BDA99D" w14:textId="77777777" w:rsidR="00724C4C" w:rsidRDefault="00724C4C" w:rsidP="00724C4C"/>
    <w:p w14:paraId="24B18DDA" w14:textId="6C40FCDF" w:rsidR="00724C4C" w:rsidRDefault="00724C4C" w:rsidP="00724C4C">
      <w:r>
        <w:t>Regular reviews of the RBA’s monetary policy framework and tools will ensure that monetary policy contributes as effectively as possible to its legislated objectives. Future reviews will ensure that the RBA’s frameworks and operations remain the best approach as the economy and our understanding of it can evolve over time</w:t>
      </w:r>
      <w:r w:rsidR="0068598E">
        <w:rPr>
          <w:spacing w:val="-12"/>
        </w:rPr>
        <w:t>.</w:t>
      </w:r>
    </w:p>
    <w:p w14:paraId="4A9B9A98" w14:textId="10E53A93" w:rsidR="00724C4C" w:rsidRDefault="00724C4C" w:rsidP="00724C4C">
      <w:r>
        <w:t>Organisations perform best where their goals, processes and instruments are assessed and improved</w:t>
      </w:r>
      <w:r>
        <w:rPr>
          <w:spacing w:val="13"/>
        </w:rPr>
        <w:t xml:space="preserve"> </w:t>
      </w:r>
      <w:r>
        <w:t>upon</w:t>
      </w:r>
      <w:r w:rsidR="0068598E">
        <w:rPr>
          <w:spacing w:val="-18"/>
        </w:rPr>
        <w:t>.</w:t>
      </w:r>
      <w:r>
        <w:rPr>
          <w:spacing w:val="13"/>
        </w:rPr>
        <w:t xml:space="preserve"> </w:t>
      </w:r>
      <w:r>
        <w:t>In</w:t>
      </w:r>
      <w:r>
        <w:rPr>
          <w:spacing w:val="13"/>
        </w:rPr>
        <w:t xml:space="preserve"> </w:t>
      </w:r>
      <w:r>
        <w:t>the</w:t>
      </w:r>
      <w:r>
        <w:rPr>
          <w:spacing w:val="13"/>
        </w:rPr>
        <w:t xml:space="preserve"> </w:t>
      </w:r>
      <w:r>
        <w:t>case</w:t>
      </w:r>
      <w:r>
        <w:rPr>
          <w:spacing w:val="13"/>
        </w:rPr>
        <w:t xml:space="preserve"> </w:t>
      </w:r>
      <w:r>
        <w:t>of</w:t>
      </w:r>
      <w:r>
        <w:rPr>
          <w:spacing w:val="13"/>
        </w:rPr>
        <w:t xml:space="preserve"> </w:t>
      </w:r>
      <w:r>
        <w:t>the</w:t>
      </w:r>
      <w:r>
        <w:rPr>
          <w:spacing w:val="13"/>
        </w:rPr>
        <w:t xml:space="preserve"> </w:t>
      </w:r>
      <w:r>
        <w:t>RBA,</w:t>
      </w:r>
      <w:r>
        <w:rPr>
          <w:spacing w:val="13"/>
        </w:rPr>
        <w:t xml:space="preserve"> </w:t>
      </w:r>
      <w:r>
        <w:t>the</w:t>
      </w:r>
      <w:r>
        <w:rPr>
          <w:spacing w:val="13"/>
        </w:rPr>
        <w:t xml:space="preserve"> </w:t>
      </w:r>
      <w:r>
        <w:t>legislated</w:t>
      </w:r>
      <w:r>
        <w:rPr>
          <w:spacing w:val="13"/>
        </w:rPr>
        <w:t xml:space="preserve"> </w:t>
      </w:r>
      <w:r>
        <w:t>objectives</w:t>
      </w:r>
      <w:r>
        <w:rPr>
          <w:spacing w:val="13"/>
        </w:rPr>
        <w:t xml:space="preserve"> </w:t>
      </w:r>
      <w:r>
        <w:t>for</w:t>
      </w:r>
      <w:r>
        <w:rPr>
          <w:spacing w:val="13"/>
        </w:rPr>
        <w:t xml:space="preserve"> </w:t>
      </w:r>
      <w:r>
        <w:t>monetary</w:t>
      </w:r>
      <w:r>
        <w:rPr>
          <w:spacing w:val="13"/>
        </w:rPr>
        <w:t xml:space="preserve"> </w:t>
      </w:r>
      <w:r>
        <w:t>policy</w:t>
      </w:r>
      <w:r>
        <w:rPr>
          <w:spacing w:val="13"/>
        </w:rPr>
        <w:t xml:space="preserve"> </w:t>
      </w:r>
      <w:r>
        <w:t>should be enduring, while adjustments to the RBA’s monetary policy framework and toolkit may be required very occasionally</w:t>
      </w:r>
      <w:r w:rsidR="0068598E">
        <w:rPr>
          <w:spacing w:val="-24"/>
        </w:rPr>
        <w:t>.</w:t>
      </w:r>
      <w:r>
        <w:rPr>
          <w:w w:val="85"/>
        </w:rPr>
        <w:t xml:space="preserve"> </w:t>
      </w:r>
      <w:r>
        <w:t>In contrast, adjustments to the RBA’s internal operations should be required frequently, with these adjustments managed by senior RBA staff and supported by recommendations from the APS Capability Review program (see Recommendation 13</w:t>
      </w:r>
      <w:r w:rsidR="0068598E">
        <w:rPr>
          <w:spacing w:val="-19"/>
        </w:rPr>
        <w:t>.</w:t>
      </w:r>
      <w:r>
        <w:rPr>
          <w:w w:val="117"/>
        </w:rPr>
        <w:t>2)</w:t>
      </w:r>
      <w:r w:rsidR="0068598E">
        <w:rPr>
          <w:spacing w:val="-18"/>
          <w:w w:val="99"/>
        </w:rPr>
        <w:t>.</w:t>
      </w:r>
    </w:p>
    <w:p w14:paraId="4E868E1D" w14:textId="3E5D68E4" w:rsidR="00724C4C" w:rsidRDefault="00724C4C" w:rsidP="00724C4C">
      <w:r>
        <w:t>Prior to this Review, there had been some evaluation of elements of the RBA’s framework and tools from time to time</w:t>
      </w:r>
      <w:r w:rsidR="0068598E">
        <w:rPr>
          <w:spacing w:val="-21"/>
        </w:rPr>
        <w:t>.</w:t>
      </w:r>
      <w:r>
        <w:rPr>
          <w:w w:val="85"/>
        </w:rPr>
        <w:t xml:space="preserve"> </w:t>
      </w:r>
      <w:r>
        <w:t>This had taken place at RBA conferences, in Reserve Bank Board papers, and in some recent evaluations of specific policy responses to the COVID-19 pandemic. The RBA had also engaged external experts for a review of its forecasting processes (Pagan and Wilcox 2015)</w:t>
      </w:r>
      <w:r w:rsidR="0068598E">
        <w:rPr>
          <w:spacing w:val="-20"/>
        </w:rPr>
        <w:t>.</w:t>
      </w:r>
      <w:r>
        <w:rPr>
          <w:w w:val="85"/>
        </w:rPr>
        <w:t xml:space="preserve"> </w:t>
      </w:r>
      <w:r>
        <w:t>These methods of review did at times incorporate perspectives external to the RBA, but are not regular or supporting ongoing evolution</w:t>
      </w:r>
      <w:r w:rsidR="0068598E">
        <w:rPr>
          <w:spacing w:val="-11"/>
        </w:rPr>
        <w:t>.</w:t>
      </w:r>
    </w:p>
    <w:p w14:paraId="1B06C0A9" w14:textId="0A5E24BB" w:rsidR="00724C4C" w:rsidRDefault="00724C4C" w:rsidP="00724C4C">
      <w:r>
        <w:t>This recommendation would align the RBA with standard practice of central banks elsewhere</w:t>
      </w:r>
      <w:r w:rsidR="0068598E">
        <w:rPr>
          <w:spacing w:val="-19"/>
        </w:rPr>
        <w:t>.</w:t>
      </w:r>
      <w:r>
        <w:rPr>
          <w:w w:val="85"/>
        </w:rPr>
        <w:t xml:space="preserve"> </w:t>
      </w:r>
      <w:r>
        <w:t>For example, reviews of the policy framework are required at regular intervals at the Bank of Canada and the Reserve Bank of New Zealand. Others are less structured, for example the US Federal Reserve and the European Central Bank</w:t>
      </w:r>
      <w:r w:rsidR="0068598E">
        <w:rPr>
          <w:spacing w:val="-23"/>
        </w:rPr>
        <w:t>.</w:t>
      </w:r>
      <w:r>
        <w:rPr>
          <w:w w:val="85"/>
        </w:rPr>
        <w:t xml:space="preserve"> </w:t>
      </w:r>
      <w:r>
        <w:t>Across the Review’s consultations and submissions, some advocated for a regular review process for the RBA, while others highlighted that review processes can strain the capacity of central bank staff.</w:t>
      </w:r>
    </w:p>
    <w:p w14:paraId="6D19C9DD" w14:textId="06A7F221" w:rsidR="00724C4C" w:rsidRDefault="00724C4C" w:rsidP="00724C4C">
      <w:r>
        <w:t>The Review recommends that future framework and tools reviews are undertaken every 5 years,</w:t>
      </w:r>
      <w:r>
        <w:rPr>
          <w:spacing w:val="80"/>
          <w:w w:val="150"/>
        </w:rPr>
        <w:t xml:space="preserve"> </w:t>
      </w:r>
      <w:r>
        <w:t>led jointly by the RBA and Treasury with input from domestic and international experts</w:t>
      </w:r>
      <w:r w:rsidR="0068598E">
        <w:rPr>
          <w:spacing w:val="-23"/>
        </w:rPr>
        <w:t>.</w:t>
      </w:r>
      <w:r>
        <w:rPr>
          <w:w w:val="85"/>
        </w:rPr>
        <w:t xml:space="preserve"> </w:t>
      </w:r>
      <w:r>
        <w:t>The reviews might include an assessment of how the framework has operated over the previous period, and</w:t>
      </w:r>
    </w:p>
    <w:p w14:paraId="11622584" w14:textId="53676718" w:rsidR="00724C4C" w:rsidRDefault="00724C4C" w:rsidP="00724C4C">
      <w:r>
        <w:t>an assessment of how it could compare to plausible alternatives in the future. The specific scope of each review should be defined by a set of focused questions that are agreed by the Monetary Policy Board and Government</w:t>
      </w:r>
      <w:r w:rsidR="0068598E">
        <w:rPr>
          <w:spacing w:val="-9"/>
        </w:rPr>
        <w:t>.</w:t>
      </w:r>
    </w:p>
    <w:p w14:paraId="5542DE85" w14:textId="12605CDB" w:rsidR="00B67357" w:rsidRDefault="00724C4C" w:rsidP="00E3625C">
      <w:pPr>
        <w:rPr>
          <w:spacing w:val="-2"/>
        </w:rPr>
      </w:pPr>
      <w:r>
        <w:t>Each review should be published in full and should be used by the Monetary Policy Board and</w:t>
      </w:r>
      <w:r>
        <w:rPr>
          <w:spacing w:val="80"/>
        </w:rPr>
        <w:t xml:space="preserve"> </w:t>
      </w:r>
      <w:r>
        <w:t>the</w:t>
      </w:r>
      <w:r>
        <w:rPr>
          <w:spacing w:val="-1"/>
        </w:rPr>
        <w:t xml:space="preserve"> </w:t>
      </w:r>
      <w:r>
        <w:t>Government</w:t>
      </w:r>
      <w:r>
        <w:rPr>
          <w:spacing w:val="-1"/>
        </w:rPr>
        <w:t xml:space="preserve"> </w:t>
      </w:r>
      <w:r>
        <w:t>as</w:t>
      </w:r>
      <w:r>
        <w:rPr>
          <w:spacing w:val="-1"/>
        </w:rPr>
        <w:t xml:space="preserve"> </w:t>
      </w:r>
      <w:r>
        <w:t>evidence</w:t>
      </w:r>
      <w:r>
        <w:rPr>
          <w:spacing w:val="-1"/>
        </w:rPr>
        <w:t xml:space="preserve"> </w:t>
      </w:r>
      <w:r>
        <w:t>when</w:t>
      </w:r>
      <w:r>
        <w:rPr>
          <w:spacing w:val="-1"/>
        </w:rPr>
        <w:t xml:space="preserve"> </w:t>
      </w:r>
      <w:r>
        <w:t>considering</w:t>
      </w:r>
      <w:r>
        <w:rPr>
          <w:spacing w:val="-1"/>
        </w:rPr>
        <w:t xml:space="preserve"> </w:t>
      </w:r>
      <w:r>
        <w:t>updates</w:t>
      </w:r>
      <w:r>
        <w:rPr>
          <w:spacing w:val="-1"/>
        </w:rPr>
        <w:t xml:space="preserve"> </w:t>
      </w:r>
      <w:r>
        <w:t>to</w:t>
      </w:r>
      <w:r>
        <w:rPr>
          <w:spacing w:val="-1"/>
        </w:rPr>
        <w:t xml:space="preserve"> </w:t>
      </w:r>
      <w:r>
        <w:t>the</w:t>
      </w:r>
      <w:r>
        <w:rPr>
          <w:spacing w:val="-1"/>
        </w:rPr>
        <w:t xml:space="preserve"> </w:t>
      </w:r>
      <w:r>
        <w:t>Statement</w:t>
      </w:r>
      <w:r>
        <w:rPr>
          <w:spacing w:val="-1"/>
        </w:rPr>
        <w:t xml:space="preserve"> </w:t>
      </w:r>
      <w:r>
        <w:t>on</w:t>
      </w:r>
      <w:r>
        <w:rPr>
          <w:spacing w:val="-1"/>
        </w:rPr>
        <w:t xml:space="preserve"> </w:t>
      </w:r>
      <w:r>
        <w:t>Conduct</w:t>
      </w:r>
      <w:r w:rsidR="0068598E">
        <w:rPr>
          <w:spacing w:val="-25"/>
        </w:rPr>
        <w:t>.</w:t>
      </w:r>
      <w:r>
        <w:rPr>
          <w:w w:val="85"/>
        </w:rPr>
        <w:t xml:space="preserve"> </w:t>
      </w:r>
      <w:r>
        <w:t>In</w:t>
      </w:r>
      <w:r>
        <w:rPr>
          <w:spacing w:val="-1"/>
        </w:rPr>
        <w:t xml:space="preserve"> </w:t>
      </w:r>
      <w:r>
        <w:t>general,</w:t>
      </w:r>
      <w:r w:rsidR="00B67357">
        <w:t xml:space="preserve"> </w:t>
      </w:r>
      <w:r>
        <w:t>material</w:t>
      </w:r>
      <w:r>
        <w:rPr>
          <w:spacing w:val="-3"/>
        </w:rPr>
        <w:t xml:space="preserve"> </w:t>
      </w:r>
      <w:r>
        <w:t>changes</w:t>
      </w:r>
      <w:r>
        <w:rPr>
          <w:spacing w:val="-1"/>
        </w:rPr>
        <w:t xml:space="preserve"> </w:t>
      </w:r>
      <w:r>
        <w:t>should not</w:t>
      </w:r>
      <w:r>
        <w:rPr>
          <w:spacing w:val="-1"/>
        </w:rPr>
        <w:t xml:space="preserve"> </w:t>
      </w:r>
      <w:r>
        <w:t>be</w:t>
      </w:r>
      <w:r>
        <w:rPr>
          <w:spacing w:val="-1"/>
        </w:rPr>
        <w:t xml:space="preserve"> </w:t>
      </w:r>
      <w:r>
        <w:t>made to</w:t>
      </w:r>
      <w:r>
        <w:rPr>
          <w:spacing w:val="-1"/>
        </w:rPr>
        <w:t xml:space="preserve"> </w:t>
      </w:r>
      <w:r>
        <w:t>the</w:t>
      </w:r>
      <w:r>
        <w:rPr>
          <w:spacing w:val="-1"/>
        </w:rPr>
        <w:t xml:space="preserve"> </w:t>
      </w:r>
      <w:r>
        <w:t>Statement on</w:t>
      </w:r>
      <w:r>
        <w:rPr>
          <w:spacing w:val="-1"/>
        </w:rPr>
        <w:t xml:space="preserve"> </w:t>
      </w:r>
      <w:r>
        <w:t>Conduct</w:t>
      </w:r>
      <w:r>
        <w:rPr>
          <w:spacing w:val="-1"/>
        </w:rPr>
        <w:t xml:space="preserve"> </w:t>
      </w:r>
      <w:r>
        <w:t>upon changes</w:t>
      </w:r>
      <w:r>
        <w:rPr>
          <w:spacing w:val="-1"/>
        </w:rPr>
        <w:t xml:space="preserve"> </w:t>
      </w:r>
      <w:r>
        <w:t xml:space="preserve">in </w:t>
      </w:r>
      <w:r>
        <w:rPr>
          <w:spacing w:val="-2"/>
        </w:rPr>
        <w:t>Government,</w:t>
      </w:r>
      <w:r w:rsidR="00B67357">
        <w:rPr>
          <w:spacing w:val="-2"/>
        </w:rPr>
        <w:t xml:space="preserve"> </w:t>
      </w:r>
      <w:r>
        <w:t>consistent</w:t>
      </w:r>
      <w:r>
        <w:rPr>
          <w:spacing w:val="3"/>
        </w:rPr>
        <w:t xml:space="preserve"> </w:t>
      </w:r>
      <w:r>
        <w:t>with</w:t>
      </w:r>
      <w:r>
        <w:rPr>
          <w:spacing w:val="4"/>
        </w:rPr>
        <w:t xml:space="preserve"> </w:t>
      </w:r>
      <w:r>
        <w:t>the</w:t>
      </w:r>
      <w:r>
        <w:rPr>
          <w:spacing w:val="4"/>
        </w:rPr>
        <w:t xml:space="preserve"> </w:t>
      </w:r>
      <w:r>
        <w:t>bipartisan</w:t>
      </w:r>
      <w:r>
        <w:rPr>
          <w:spacing w:val="4"/>
        </w:rPr>
        <w:t xml:space="preserve"> </w:t>
      </w:r>
      <w:r>
        <w:t>support</w:t>
      </w:r>
      <w:r>
        <w:rPr>
          <w:spacing w:val="4"/>
        </w:rPr>
        <w:t xml:space="preserve"> </w:t>
      </w:r>
      <w:r>
        <w:t>of</w:t>
      </w:r>
      <w:r>
        <w:rPr>
          <w:spacing w:val="4"/>
        </w:rPr>
        <w:t xml:space="preserve"> </w:t>
      </w:r>
      <w:r>
        <w:t>the</w:t>
      </w:r>
      <w:r>
        <w:rPr>
          <w:spacing w:val="4"/>
        </w:rPr>
        <w:t xml:space="preserve"> </w:t>
      </w:r>
      <w:r>
        <w:t>monetary</w:t>
      </w:r>
      <w:r>
        <w:rPr>
          <w:spacing w:val="3"/>
        </w:rPr>
        <w:t xml:space="preserve"> </w:t>
      </w:r>
      <w:r>
        <w:t>policy</w:t>
      </w:r>
      <w:r>
        <w:rPr>
          <w:spacing w:val="4"/>
        </w:rPr>
        <w:t xml:space="preserve"> </w:t>
      </w:r>
      <w:r>
        <w:t>framework</w:t>
      </w:r>
      <w:r>
        <w:rPr>
          <w:spacing w:val="4"/>
        </w:rPr>
        <w:t xml:space="preserve"> </w:t>
      </w:r>
      <w:r>
        <w:t>over</w:t>
      </w:r>
      <w:r>
        <w:rPr>
          <w:spacing w:val="4"/>
        </w:rPr>
        <w:t xml:space="preserve"> </w:t>
      </w:r>
      <w:r>
        <w:t>the</w:t>
      </w:r>
      <w:r>
        <w:rPr>
          <w:spacing w:val="4"/>
        </w:rPr>
        <w:t xml:space="preserve"> </w:t>
      </w:r>
      <w:r>
        <w:t>past</w:t>
      </w:r>
      <w:r>
        <w:rPr>
          <w:spacing w:val="4"/>
        </w:rPr>
        <w:t xml:space="preserve"> </w:t>
      </w:r>
      <w:r>
        <w:t>30</w:t>
      </w:r>
      <w:r>
        <w:rPr>
          <w:spacing w:val="4"/>
        </w:rPr>
        <w:t xml:space="preserve"> </w:t>
      </w:r>
      <w:r>
        <w:rPr>
          <w:spacing w:val="-2"/>
        </w:rPr>
        <w:t>years.</w:t>
      </w:r>
    </w:p>
    <w:p w14:paraId="3DF1EF3C" w14:textId="77777777" w:rsidR="00B67357" w:rsidRDefault="00B67357" w:rsidP="00B508CA">
      <w:pPr>
        <w:pStyle w:val="Heading2"/>
      </w:pPr>
      <w:bookmarkStart w:id="41" w:name="_Toc134221011"/>
      <w:r w:rsidRPr="00B508CA">
        <w:lastRenderedPageBreak/>
        <w:t>Recommendation</w:t>
      </w:r>
      <w:r>
        <w:rPr>
          <w:spacing w:val="-14"/>
        </w:rPr>
        <w:t xml:space="preserve"> </w:t>
      </w:r>
      <w:r>
        <w:t>5:</w:t>
      </w:r>
      <w:r>
        <w:rPr>
          <w:spacing w:val="-14"/>
        </w:rPr>
        <w:t xml:space="preserve"> </w:t>
      </w:r>
      <w:r>
        <w:t>Legislate</w:t>
      </w:r>
      <w:r>
        <w:rPr>
          <w:spacing w:val="-14"/>
        </w:rPr>
        <w:t xml:space="preserve"> </w:t>
      </w:r>
      <w:r>
        <w:t>the</w:t>
      </w:r>
      <w:r>
        <w:rPr>
          <w:spacing w:val="-14"/>
        </w:rPr>
        <w:t xml:space="preserve"> </w:t>
      </w:r>
      <w:r>
        <w:t>RBA’s</w:t>
      </w:r>
      <w:r>
        <w:rPr>
          <w:spacing w:val="-14"/>
        </w:rPr>
        <w:t xml:space="preserve"> </w:t>
      </w:r>
      <w:r>
        <w:t>financial stability role</w:t>
      </w:r>
      <w:bookmarkEnd w:id="41"/>
    </w:p>
    <w:tbl>
      <w:tblPr>
        <w:tblW w:w="5000" w:type="pct"/>
        <w:tblCellMar>
          <w:left w:w="0" w:type="dxa"/>
          <w:right w:w="0" w:type="dxa"/>
        </w:tblCellMar>
        <w:tblLook w:val="01E0" w:firstRow="1" w:lastRow="1" w:firstColumn="1" w:lastColumn="1" w:noHBand="0" w:noVBand="0"/>
      </w:tblPr>
      <w:tblGrid>
        <w:gridCol w:w="753"/>
        <w:gridCol w:w="8317"/>
      </w:tblGrid>
      <w:tr w:rsidR="00DC2094" w14:paraId="2EFCDCFE" w14:textId="77777777" w:rsidTr="00DC2094">
        <w:trPr>
          <w:trHeight w:val="571"/>
        </w:trPr>
        <w:tc>
          <w:tcPr>
            <w:tcW w:w="4992" w:type="pct"/>
            <w:gridSpan w:val="2"/>
            <w:tcBorders>
              <w:bottom w:val="single" w:sz="8" w:space="0" w:color="ECEDE9"/>
            </w:tcBorders>
          </w:tcPr>
          <w:p w14:paraId="54DCA042" w14:textId="77777777" w:rsidR="00DC2094" w:rsidRDefault="00DC2094" w:rsidP="00F22AE5">
            <w:pPr>
              <w:pStyle w:val="Heading4"/>
            </w:pPr>
            <w:r>
              <w:t>Recommendation</w:t>
            </w:r>
            <w:r>
              <w:rPr>
                <w:spacing w:val="1"/>
              </w:rPr>
              <w:t xml:space="preserve"> </w:t>
            </w:r>
            <w:r>
              <w:t>5:</w:t>
            </w:r>
            <w:r>
              <w:rPr>
                <w:spacing w:val="1"/>
              </w:rPr>
              <w:t xml:space="preserve"> </w:t>
            </w:r>
            <w:r>
              <w:t>Legislate</w:t>
            </w:r>
            <w:r>
              <w:rPr>
                <w:spacing w:val="1"/>
              </w:rPr>
              <w:t xml:space="preserve"> </w:t>
            </w:r>
            <w:r>
              <w:t>the</w:t>
            </w:r>
            <w:r>
              <w:rPr>
                <w:spacing w:val="2"/>
              </w:rPr>
              <w:t xml:space="preserve"> </w:t>
            </w:r>
            <w:r>
              <w:t>RBA’s</w:t>
            </w:r>
            <w:r>
              <w:rPr>
                <w:spacing w:val="1"/>
              </w:rPr>
              <w:t xml:space="preserve"> </w:t>
            </w:r>
            <w:r>
              <w:t>financial</w:t>
            </w:r>
            <w:r>
              <w:rPr>
                <w:spacing w:val="1"/>
              </w:rPr>
              <w:t xml:space="preserve"> </w:t>
            </w:r>
            <w:r>
              <w:t>stability</w:t>
            </w:r>
            <w:r>
              <w:rPr>
                <w:spacing w:val="1"/>
              </w:rPr>
              <w:t xml:space="preserve"> </w:t>
            </w:r>
            <w:r>
              <w:rPr>
                <w:spacing w:val="-4"/>
              </w:rPr>
              <w:t>role</w:t>
            </w:r>
          </w:p>
        </w:tc>
      </w:tr>
      <w:tr w:rsidR="00DC2094" w14:paraId="49646674" w14:textId="77777777" w:rsidTr="00F22AE5">
        <w:trPr>
          <w:trHeight w:val="1097"/>
        </w:trPr>
        <w:tc>
          <w:tcPr>
            <w:tcW w:w="414" w:type="pct"/>
            <w:tcBorders>
              <w:top w:val="single" w:sz="8" w:space="0" w:color="ECEDE9"/>
              <w:bottom w:val="single" w:sz="8" w:space="0" w:color="ECEDE9"/>
            </w:tcBorders>
          </w:tcPr>
          <w:p w14:paraId="35B6CE05" w14:textId="77777777" w:rsidR="00DC2094" w:rsidRDefault="00DC2094" w:rsidP="00F22AE5">
            <w:r>
              <w:t>5.1</w:t>
            </w:r>
          </w:p>
        </w:tc>
        <w:tc>
          <w:tcPr>
            <w:tcW w:w="4578" w:type="pct"/>
            <w:tcBorders>
              <w:top w:val="single" w:sz="8" w:space="0" w:color="ECEDE9"/>
              <w:bottom w:val="single" w:sz="8" w:space="0" w:color="ECEDE9"/>
            </w:tcBorders>
          </w:tcPr>
          <w:p w14:paraId="410A762D" w14:textId="77777777" w:rsidR="00DC2094" w:rsidRDefault="00DC2094" w:rsidP="00F22AE5">
            <w:r>
              <w:t>The</w:t>
            </w:r>
            <w:r>
              <w:rPr>
                <w:spacing w:val="-1"/>
              </w:rPr>
              <w:t xml:space="preserve"> </w:t>
            </w:r>
            <w:r>
              <w:t>Government</w:t>
            </w:r>
            <w:r>
              <w:rPr>
                <w:spacing w:val="-1"/>
              </w:rPr>
              <w:t xml:space="preserve"> </w:t>
            </w:r>
            <w:r>
              <w:t>should</w:t>
            </w:r>
            <w:r>
              <w:rPr>
                <w:spacing w:val="-1"/>
              </w:rPr>
              <w:t xml:space="preserve"> </w:t>
            </w:r>
            <w:r>
              <w:t>specify</w:t>
            </w:r>
            <w:r>
              <w:rPr>
                <w:spacing w:val="-1"/>
              </w:rPr>
              <w:t xml:space="preserve"> </w:t>
            </w:r>
            <w:r>
              <w:t>in</w:t>
            </w:r>
            <w:r>
              <w:rPr>
                <w:spacing w:val="-1"/>
              </w:rPr>
              <w:t xml:space="preserve"> </w:t>
            </w:r>
            <w:r>
              <w:t>the</w:t>
            </w:r>
            <w:r>
              <w:rPr>
                <w:spacing w:val="-1"/>
              </w:rPr>
              <w:t xml:space="preserve"> </w:t>
            </w:r>
            <w:r>
              <w:rPr>
                <w:i/>
              </w:rPr>
              <w:t>Reserve</w:t>
            </w:r>
            <w:r>
              <w:rPr>
                <w:i/>
                <w:spacing w:val="-1"/>
              </w:rPr>
              <w:t xml:space="preserve"> </w:t>
            </w:r>
            <w:r>
              <w:rPr>
                <w:i/>
              </w:rPr>
              <w:t>Bank</w:t>
            </w:r>
            <w:r>
              <w:rPr>
                <w:i/>
                <w:spacing w:val="-1"/>
              </w:rPr>
              <w:t xml:space="preserve"> </w:t>
            </w:r>
            <w:r>
              <w:rPr>
                <w:i/>
              </w:rPr>
              <w:t>Act</w:t>
            </w:r>
            <w:r>
              <w:rPr>
                <w:i/>
                <w:spacing w:val="-1"/>
              </w:rPr>
              <w:t xml:space="preserve"> </w:t>
            </w:r>
            <w:r>
              <w:rPr>
                <w:i/>
              </w:rPr>
              <w:t>1959</w:t>
            </w:r>
            <w:r>
              <w:rPr>
                <w:i/>
                <w:spacing w:val="-1"/>
              </w:rPr>
              <w:t xml:space="preserve"> </w:t>
            </w:r>
            <w:r>
              <w:t>that</w:t>
            </w:r>
            <w:r>
              <w:rPr>
                <w:spacing w:val="-1"/>
              </w:rPr>
              <w:t xml:space="preserve"> </w:t>
            </w:r>
            <w:r>
              <w:t>the</w:t>
            </w:r>
            <w:r>
              <w:rPr>
                <w:spacing w:val="-1"/>
              </w:rPr>
              <w:t xml:space="preserve"> </w:t>
            </w:r>
            <w:r>
              <w:t>RBA</w:t>
            </w:r>
            <w:r>
              <w:rPr>
                <w:spacing w:val="-1"/>
              </w:rPr>
              <w:t xml:space="preserve"> </w:t>
            </w:r>
            <w:r>
              <w:t>has a responsibility to contribute to financial system stability, in cooperation with other government agencies, especially the Australian Prudential Regulation Authority (APRA).</w:t>
            </w:r>
          </w:p>
        </w:tc>
      </w:tr>
    </w:tbl>
    <w:p w14:paraId="5C61288B" w14:textId="77777777" w:rsidR="00B67357" w:rsidRDefault="00B67357" w:rsidP="00B67357">
      <w:pPr>
        <w:pStyle w:val="BodyText"/>
        <w:spacing w:before="8"/>
        <w:rPr>
          <w:rFonts w:ascii="Open Sans"/>
          <w:b/>
          <w:sz w:val="23"/>
        </w:rPr>
      </w:pPr>
    </w:p>
    <w:p w14:paraId="1441AD27" w14:textId="0C5F81B8" w:rsidR="00B67357" w:rsidRPr="004E5894" w:rsidRDefault="00B67357" w:rsidP="00B508CA">
      <w:r>
        <w:t>The</w:t>
      </w:r>
      <w:r>
        <w:rPr>
          <w:spacing w:val="2"/>
        </w:rPr>
        <w:t xml:space="preserve"> </w:t>
      </w:r>
      <w:r>
        <w:t>Government</w:t>
      </w:r>
      <w:r>
        <w:rPr>
          <w:spacing w:val="3"/>
        </w:rPr>
        <w:t xml:space="preserve"> </w:t>
      </w:r>
      <w:r>
        <w:t>should</w:t>
      </w:r>
      <w:r>
        <w:rPr>
          <w:spacing w:val="3"/>
        </w:rPr>
        <w:t xml:space="preserve"> </w:t>
      </w:r>
      <w:r>
        <w:t>legislate</w:t>
      </w:r>
      <w:r>
        <w:rPr>
          <w:spacing w:val="3"/>
        </w:rPr>
        <w:t xml:space="preserve"> </w:t>
      </w:r>
      <w:r>
        <w:t>the</w:t>
      </w:r>
      <w:r>
        <w:rPr>
          <w:spacing w:val="3"/>
        </w:rPr>
        <w:t xml:space="preserve"> </w:t>
      </w:r>
      <w:r>
        <w:t>RBA’s</w:t>
      </w:r>
      <w:r>
        <w:rPr>
          <w:spacing w:val="3"/>
        </w:rPr>
        <w:t xml:space="preserve"> </w:t>
      </w:r>
      <w:r>
        <w:t>financial</w:t>
      </w:r>
      <w:r>
        <w:rPr>
          <w:spacing w:val="3"/>
        </w:rPr>
        <w:t xml:space="preserve"> </w:t>
      </w:r>
      <w:r>
        <w:t>stability</w:t>
      </w:r>
      <w:r>
        <w:rPr>
          <w:spacing w:val="3"/>
        </w:rPr>
        <w:t xml:space="preserve"> </w:t>
      </w:r>
      <w:r>
        <w:t>responsibilities</w:t>
      </w:r>
      <w:r>
        <w:rPr>
          <w:spacing w:val="3"/>
        </w:rPr>
        <w:t xml:space="preserve"> </w:t>
      </w:r>
      <w:r>
        <w:t>in</w:t>
      </w:r>
      <w:r>
        <w:rPr>
          <w:spacing w:val="3"/>
        </w:rPr>
        <w:t xml:space="preserve"> </w:t>
      </w:r>
      <w:r w:rsidRPr="004E5894">
        <w:t>the</w:t>
      </w:r>
      <w:r w:rsidR="004E5894" w:rsidRPr="004E5894">
        <w:rPr>
          <w:i/>
          <w:iCs/>
        </w:rPr>
        <w:t xml:space="preserve"> </w:t>
      </w:r>
      <w:r w:rsidRPr="004E5894">
        <w:rPr>
          <w:i/>
          <w:iCs/>
        </w:rPr>
        <w:t>Reserve Bank Act 1959</w:t>
      </w:r>
      <w:r w:rsidRPr="004E5894">
        <w:t xml:space="preserve"> so that there is a clear basis for its role</w:t>
      </w:r>
      <w:r w:rsidR="0068598E">
        <w:t>.</w:t>
      </w:r>
    </w:p>
    <w:p w14:paraId="369C7C79" w14:textId="6C82C502" w:rsidR="00B67357" w:rsidRDefault="00B67357" w:rsidP="00B508CA">
      <w:r>
        <w:t>There</w:t>
      </w:r>
      <w:r>
        <w:rPr>
          <w:spacing w:val="14"/>
        </w:rPr>
        <w:t xml:space="preserve"> </w:t>
      </w:r>
      <w:r>
        <w:t>is</w:t>
      </w:r>
      <w:r>
        <w:rPr>
          <w:spacing w:val="14"/>
        </w:rPr>
        <w:t xml:space="preserve"> </w:t>
      </w:r>
      <w:r>
        <w:t>currently</w:t>
      </w:r>
      <w:r>
        <w:rPr>
          <w:spacing w:val="14"/>
        </w:rPr>
        <w:t xml:space="preserve"> </w:t>
      </w:r>
      <w:r>
        <w:t>no</w:t>
      </w:r>
      <w:r>
        <w:rPr>
          <w:spacing w:val="14"/>
        </w:rPr>
        <w:t xml:space="preserve"> </w:t>
      </w:r>
      <w:r>
        <w:t>explicit</w:t>
      </w:r>
      <w:r>
        <w:rPr>
          <w:spacing w:val="14"/>
        </w:rPr>
        <w:t xml:space="preserve"> </w:t>
      </w:r>
      <w:r>
        <w:t>financial</w:t>
      </w:r>
      <w:r>
        <w:rPr>
          <w:spacing w:val="14"/>
        </w:rPr>
        <w:t xml:space="preserve"> </w:t>
      </w:r>
      <w:r>
        <w:t>stability</w:t>
      </w:r>
      <w:r>
        <w:rPr>
          <w:spacing w:val="14"/>
        </w:rPr>
        <w:t xml:space="preserve"> </w:t>
      </w:r>
      <w:r>
        <w:t>responsibility</w:t>
      </w:r>
      <w:r>
        <w:rPr>
          <w:spacing w:val="14"/>
        </w:rPr>
        <w:t xml:space="preserve"> </w:t>
      </w:r>
      <w:r>
        <w:t>for</w:t>
      </w:r>
      <w:r>
        <w:rPr>
          <w:spacing w:val="14"/>
        </w:rPr>
        <w:t xml:space="preserve"> </w:t>
      </w:r>
      <w:r>
        <w:t>the</w:t>
      </w:r>
      <w:r>
        <w:rPr>
          <w:spacing w:val="14"/>
        </w:rPr>
        <w:t xml:space="preserve"> </w:t>
      </w:r>
      <w:r>
        <w:t>RBA</w:t>
      </w:r>
      <w:r>
        <w:rPr>
          <w:spacing w:val="14"/>
        </w:rPr>
        <w:t xml:space="preserve"> </w:t>
      </w:r>
      <w:r>
        <w:t>in</w:t>
      </w:r>
      <w:r>
        <w:rPr>
          <w:spacing w:val="14"/>
        </w:rPr>
        <w:t xml:space="preserve"> </w:t>
      </w:r>
      <w:r>
        <w:t>legislation</w:t>
      </w:r>
      <w:r>
        <w:rPr>
          <w:spacing w:val="14"/>
        </w:rPr>
        <w:t xml:space="preserve"> </w:t>
      </w:r>
      <w:r>
        <w:t>(excluding the responsibilities of the Payments Systems Board)</w:t>
      </w:r>
      <w:r w:rsidR="0068598E">
        <w:rPr>
          <w:spacing w:val="-19"/>
        </w:rPr>
        <w:t>.</w:t>
      </w:r>
      <w:r>
        <w:rPr>
          <w:w w:val="85"/>
        </w:rPr>
        <w:t xml:space="preserve"> </w:t>
      </w:r>
      <w:r>
        <w:t>However there is broad acceptance of the RBA’s financial stability responsibilities. These are set out across a range of documents, including the Statement on Conduct, RBA’s memorandums of understanding with APRA and other members of the CFR, and RBA publications, including its website and some speeches. APRA has a defined financial stability role in legislation.</w:t>
      </w:r>
    </w:p>
    <w:p w14:paraId="2C5FF67D" w14:textId="205C915E" w:rsidR="00B67357" w:rsidRDefault="00B67357" w:rsidP="00B508CA">
      <w:r>
        <w:t>It is important that there is a clear statutory basis for the RBA’s contribution to financial stability. This will reinforce accountabilities and strengthen the foundation of cooperation arrangements with other agencies that share a mandate for promoting financial stability, particularly APRA (see Recommendation 6)</w:t>
      </w:r>
      <w:r w:rsidR="0068598E">
        <w:rPr>
          <w:spacing w:val="-17"/>
        </w:rPr>
        <w:t>.</w:t>
      </w:r>
    </w:p>
    <w:p w14:paraId="787FECA7" w14:textId="77777777" w:rsidR="00B67357" w:rsidRDefault="00B67357" w:rsidP="00B508CA">
      <w:r>
        <w:t>The</w:t>
      </w:r>
      <w:r>
        <w:rPr>
          <w:spacing w:val="2"/>
        </w:rPr>
        <w:t xml:space="preserve"> </w:t>
      </w:r>
      <w:r>
        <w:t>statutory</w:t>
      </w:r>
      <w:r>
        <w:rPr>
          <w:spacing w:val="3"/>
        </w:rPr>
        <w:t xml:space="preserve"> </w:t>
      </w:r>
      <w:r>
        <w:t>changes</w:t>
      </w:r>
      <w:r>
        <w:rPr>
          <w:spacing w:val="3"/>
        </w:rPr>
        <w:t xml:space="preserve"> </w:t>
      </w:r>
      <w:r>
        <w:t>and</w:t>
      </w:r>
      <w:r>
        <w:rPr>
          <w:spacing w:val="3"/>
        </w:rPr>
        <w:t xml:space="preserve"> </w:t>
      </w:r>
      <w:r>
        <w:t>associated</w:t>
      </w:r>
      <w:r>
        <w:rPr>
          <w:spacing w:val="3"/>
        </w:rPr>
        <w:t xml:space="preserve"> </w:t>
      </w:r>
      <w:r>
        <w:t>changes</w:t>
      </w:r>
      <w:r>
        <w:rPr>
          <w:spacing w:val="3"/>
        </w:rPr>
        <w:t xml:space="preserve"> </w:t>
      </w:r>
      <w:r>
        <w:t>to</w:t>
      </w:r>
      <w:r>
        <w:rPr>
          <w:spacing w:val="2"/>
        </w:rPr>
        <w:t xml:space="preserve"> </w:t>
      </w:r>
      <w:r>
        <w:t>the</w:t>
      </w:r>
      <w:r>
        <w:rPr>
          <w:spacing w:val="3"/>
        </w:rPr>
        <w:t xml:space="preserve"> </w:t>
      </w:r>
      <w:r>
        <w:t>Statement</w:t>
      </w:r>
      <w:r>
        <w:rPr>
          <w:spacing w:val="3"/>
        </w:rPr>
        <w:t xml:space="preserve"> </w:t>
      </w:r>
      <w:r>
        <w:t>on</w:t>
      </w:r>
      <w:r>
        <w:rPr>
          <w:spacing w:val="3"/>
        </w:rPr>
        <w:t xml:space="preserve"> </w:t>
      </w:r>
      <w:r>
        <w:t>Conduct</w:t>
      </w:r>
      <w:r>
        <w:rPr>
          <w:spacing w:val="3"/>
        </w:rPr>
        <w:t xml:space="preserve"> </w:t>
      </w:r>
      <w:r>
        <w:t>should</w:t>
      </w:r>
      <w:r>
        <w:rPr>
          <w:spacing w:val="3"/>
        </w:rPr>
        <w:t xml:space="preserve"> </w:t>
      </w:r>
      <w:r>
        <w:t>clarify</w:t>
      </w:r>
      <w:r>
        <w:rPr>
          <w:spacing w:val="3"/>
        </w:rPr>
        <w:t xml:space="preserve"> </w:t>
      </w:r>
      <w:r>
        <w:rPr>
          <w:spacing w:val="-4"/>
        </w:rPr>
        <w:t>that</w:t>
      </w:r>
    </w:p>
    <w:p w14:paraId="5EA6BB4D" w14:textId="77777777" w:rsidR="00B67357" w:rsidRDefault="00B67357" w:rsidP="00B508CA">
      <w:r>
        <w:t>there</w:t>
      </w:r>
      <w:r>
        <w:rPr>
          <w:spacing w:val="-2"/>
        </w:rPr>
        <w:t xml:space="preserve"> </w:t>
      </w:r>
      <w:r>
        <w:t>are</w:t>
      </w:r>
      <w:r>
        <w:rPr>
          <w:spacing w:val="1"/>
        </w:rPr>
        <w:t xml:space="preserve"> </w:t>
      </w:r>
      <w:r>
        <w:t>several</w:t>
      </w:r>
      <w:r>
        <w:rPr>
          <w:spacing w:val="1"/>
        </w:rPr>
        <w:t xml:space="preserve"> </w:t>
      </w:r>
      <w:r>
        <w:t>ways</w:t>
      </w:r>
      <w:r>
        <w:rPr>
          <w:spacing w:val="1"/>
        </w:rPr>
        <w:t xml:space="preserve"> </w:t>
      </w:r>
      <w:r>
        <w:t>in</w:t>
      </w:r>
      <w:r>
        <w:rPr>
          <w:spacing w:val="1"/>
        </w:rPr>
        <w:t xml:space="preserve"> </w:t>
      </w:r>
      <w:r>
        <w:t>which</w:t>
      </w:r>
      <w:r>
        <w:rPr>
          <w:spacing w:val="1"/>
        </w:rPr>
        <w:t xml:space="preserve"> </w:t>
      </w:r>
      <w:r>
        <w:t>the</w:t>
      </w:r>
      <w:r>
        <w:rPr>
          <w:spacing w:val="1"/>
        </w:rPr>
        <w:t xml:space="preserve"> </w:t>
      </w:r>
      <w:r>
        <w:t>RBA is</w:t>
      </w:r>
      <w:r>
        <w:rPr>
          <w:spacing w:val="1"/>
        </w:rPr>
        <w:t xml:space="preserve"> </w:t>
      </w:r>
      <w:r>
        <w:t>expected</w:t>
      </w:r>
      <w:r>
        <w:rPr>
          <w:spacing w:val="1"/>
        </w:rPr>
        <w:t xml:space="preserve"> </w:t>
      </w:r>
      <w:r>
        <w:t>to</w:t>
      </w:r>
      <w:r>
        <w:rPr>
          <w:spacing w:val="1"/>
        </w:rPr>
        <w:t xml:space="preserve"> </w:t>
      </w:r>
      <w:r>
        <w:t>promote</w:t>
      </w:r>
      <w:r>
        <w:rPr>
          <w:spacing w:val="1"/>
        </w:rPr>
        <w:t xml:space="preserve"> </w:t>
      </w:r>
      <w:r>
        <w:t>financial</w:t>
      </w:r>
      <w:r>
        <w:rPr>
          <w:spacing w:val="1"/>
        </w:rPr>
        <w:t xml:space="preserve"> </w:t>
      </w:r>
      <w:r>
        <w:t>stability,</w:t>
      </w:r>
      <w:r>
        <w:rPr>
          <w:spacing w:val="1"/>
        </w:rPr>
        <w:t xml:space="preserve"> </w:t>
      </w:r>
      <w:r>
        <w:t>including</w:t>
      </w:r>
      <w:r>
        <w:rPr>
          <w:spacing w:val="1"/>
        </w:rPr>
        <w:t xml:space="preserve"> </w:t>
      </w:r>
      <w:r>
        <w:rPr>
          <w:spacing w:val="-5"/>
        </w:rPr>
        <w:t>by:</w:t>
      </w:r>
    </w:p>
    <w:p w14:paraId="024129C1" w14:textId="6803F332" w:rsidR="00B67357" w:rsidRDefault="00B67357" w:rsidP="0000278A">
      <w:pPr>
        <w:pStyle w:val="Bullet"/>
      </w:pPr>
      <w:r>
        <w:t>setting</w:t>
      </w:r>
      <w:r w:rsidRPr="00B508CA">
        <w:rPr>
          <w:spacing w:val="4"/>
        </w:rPr>
        <w:t xml:space="preserve"> </w:t>
      </w:r>
      <w:r>
        <w:t>monetary</w:t>
      </w:r>
      <w:r w:rsidRPr="00B508CA">
        <w:rPr>
          <w:spacing w:val="4"/>
        </w:rPr>
        <w:t xml:space="preserve"> </w:t>
      </w:r>
      <w:r>
        <w:t>policy</w:t>
      </w:r>
      <w:r w:rsidRPr="00B508CA">
        <w:rPr>
          <w:spacing w:val="4"/>
        </w:rPr>
        <w:t xml:space="preserve"> </w:t>
      </w:r>
      <w:r>
        <w:t>to</w:t>
      </w:r>
      <w:r w:rsidRPr="00B508CA">
        <w:rPr>
          <w:spacing w:val="4"/>
        </w:rPr>
        <w:t xml:space="preserve"> </w:t>
      </w:r>
      <w:r>
        <w:t>contribute</w:t>
      </w:r>
      <w:r w:rsidRPr="00B508CA">
        <w:rPr>
          <w:spacing w:val="4"/>
        </w:rPr>
        <w:t xml:space="preserve"> </w:t>
      </w:r>
      <w:r>
        <w:t>to</w:t>
      </w:r>
      <w:r w:rsidRPr="00B508CA">
        <w:rPr>
          <w:spacing w:val="4"/>
        </w:rPr>
        <w:t xml:space="preserve"> </w:t>
      </w:r>
      <w:r>
        <w:t>price</w:t>
      </w:r>
      <w:r w:rsidRPr="00B508CA">
        <w:rPr>
          <w:spacing w:val="4"/>
        </w:rPr>
        <w:t xml:space="preserve"> </w:t>
      </w:r>
      <w:r>
        <w:t>stability</w:t>
      </w:r>
      <w:r w:rsidRPr="00B508CA">
        <w:rPr>
          <w:spacing w:val="4"/>
        </w:rPr>
        <w:t xml:space="preserve"> </w:t>
      </w:r>
      <w:r>
        <w:t>and</w:t>
      </w:r>
      <w:r w:rsidRPr="00B508CA">
        <w:rPr>
          <w:spacing w:val="4"/>
        </w:rPr>
        <w:t xml:space="preserve"> </w:t>
      </w:r>
      <w:r>
        <w:t>full</w:t>
      </w:r>
      <w:r w:rsidRPr="00B508CA">
        <w:rPr>
          <w:spacing w:val="4"/>
        </w:rPr>
        <w:t xml:space="preserve"> </w:t>
      </w:r>
      <w:r>
        <w:t>employment,</w:t>
      </w:r>
      <w:r w:rsidRPr="00B508CA">
        <w:rPr>
          <w:spacing w:val="4"/>
        </w:rPr>
        <w:t xml:space="preserve"> </w:t>
      </w:r>
      <w:r>
        <w:t>both</w:t>
      </w:r>
      <w:r w:rsidRPr="00B508CA">
        <w:rPr>
          <w:spacing w:val="4"/>
        </w:rPr>
        <w:t xml:space="preserve"> </w:t>
      </w:r>
      <w:r>
        <w:t>of</w:t>
      </w:r>
      <w:r w:rsidRPr="00B508CA">
        <w:rPr>
          <w:spacing w:val="4"/>
        </w:rPr>
        <w:t xml:space="preserve"> </w:t>
      </w:r>
      <w:r w:rsidRPr="00B508CA">
        <w:rPr>
          <w:spacing w:val="-2"/>
        </w:rPr>
        <w:t>which</w:t>
      </w:r>
      <w:r w:rsidR="00B508CA">
        <w:rPr>
          <w:spacing w:val="-2"/>
        </w:rPr>
        <w:t xml:space="preserve"> </w:t>
      </w:r>
      <w:r>
        <w:t>contribute to –</w:t>
      </w:r>
      <w:r w:rsidRPr="00B508CA">
        <w:rPr>
          <w:spacing w:val="1"/>
        </w:rPr>
        <w:t xml:space="preserve"> </w:t>
      </w:r>
      <w:r>
        <w:t>and rely on</w:t>
      </w:r>
      <w:r w:rsidRPr="00B508CA">
        <w:rPr>
          <w:spacing w:val="1"/>
        </w:rPr>
        <w:t xml:space="preserve"> </w:t>
      </w:r>
      <w:r>
        <w:t>– a smoothly</w:t>
      </w:r>
      <w:r w:rsidRPr="00B508CA">
        <w:rPr>
          <w:spacing w:val="1"/>
        </w:rPr>
        <w:t xml:space="preserve"> </w:t>
      </w:r>
      <w:r>
        <w:t>functioning financial</w:t>
      </w:r>
      <w:r w:rsidRPr="00B508CA">
        <w:rPr>
          <w:spacing w:val="1"/>
        </w:rPr>
        <w:t xml:space="preserve"> </w:t>
      </w:r>
      <w:r w:rsidRPr="00B508CA">
        <w:rPr>
          <w:spacing w:val="-2"/>
        </w:rPr>
        <w:t>system</w:t>
      </w:r>
    </w:p>
    <w:p w14:paraId="18EB7143" w14:textId="77777777" w:rsidR="00B67357" w:rsidRDefault="00B67357" w:rsidP="0000278A">
      <w:pPr>
        <w:pStyle w:val="Bullet"/>
      </w:pPr>
      <w:r>
        <w:t>providing</w:t>
      </w:r>
      <w:r>
        <w:rPr>
          <w:spacing w:val="2"/>
        </w:rPr>
        <w:t xml:space="preserve"> </w:t>
      </w:r>
      <w:r>
        <w:t>liquidity</w:t>
      </w:r>
      <w:r>
        <w:rPr>
          <w:spacing w:val="3"/>
        </w:rPr>
        <w:t xml:space="preserve"> </w:t>
      </w:r>
      <w:r>
        <w:t>to</w:t>
      </w:r>
      <w:r>
        <w:rPr>
          <w:spacing w:val="3"/>
        </w:rPr>
        <w:t xml:space="preserve"> </w:t>
      </w:r>
      <w:r>
        <w:t>institutions</w:t>
      </w:r>
      <w:r>
        <w:rPr>
          <w:spacing w:val="2"/>
        </w:rPr>
        <w:t xml:space="preserve"> </w:t>
      </w:r>
      <w:r>
        <w:t>and</w:t>
      </w:r>
      <w:r>
        <w:rPr>
          <w:spacing w:val="3"/>
        </w:rPr>
        <w:t xml:space="preserve"> </w:t>
      </w:r>
      <w:r>
        <w:t>markets,</w:t>
      </w:r>
      <w:r>
        <w:rPr>
          <w:spacing w:val="3"/>
        </w:rPr>
        <w:t xml:space="preserve"> </w:t>
      </w:r>
      <w:r>
        <w:t>including</w:t>
      </w:r>
      <w:r>
        <w:rPr>
          <w:spacing w:val="3"/>
        </w:rPr>
        <w:t xml:space="preserve"> </w:t>
      </w:r>
      <w:r>
        <w:t>as</w:t>
      </w:r>
      <w:r>
        <w:rPr>
          <w:spacing w:val="2"/>
        </w:rPr>
        <w:t xml:space="preserve"> </w:t>
      </w:r>
      <w:r>
        <w:t>lender</w:t>
      </w:r>
      <w:r>
        <w:rPr>
          <w:spacing w:val="3"/>
        </w:rPr>
        <w:t xml:space="preserve"> </w:t>
      </w:r>
      <w:r>
        <w:t>of</w:t>
      </w:r>
      <w:r>
        <w:rPr>
          <w:spacing w:val="3"/>
        </w:rPr>
        <w:t xml:space="preserve"> </w:t>
      </w:r>
      <w:r>
        <w:t>last</w:t>
      </w:r>
      <w:r>
        <w:rPr>
          <w:spacing w:val="3"/>
        </w:rPr>
        <w:t xml:space="preserve"> </w:t>
      </w:r>
      <w:r>
        <w:rPr>
          <w:spacing w:val="-2"/>
        </w:rPr>
        <w:t>resort</w:t>
      </w:r>
    </w:p>
    <w:p w14:paraId="1B64C7E6" w14:textId="77777777" w:rsidR="00B67357" w:rsidRDefault="00B67357" w:rsidP="0000278A">
      <w:pPr>
        <w:pStyle w:val="Bullet"/>
      </w:pPr>
      <w:r>
        <w:t>collaborating</w:t>
      </w:r>
      <w:r>
        <w:rPr>
          <w:spacing w:val="2"/>
        </w:rPr>
        <w:t xml:space="preserve"> </w:t>
      </w:r>
      <w:r>
        <w:t>with</w:t>
      </w:r>
      <w:r>
        <w:rPr>
          <w:spacing w:val="2"/>
        </w:rPr>
        <w:t xml:space="preserve"> </w:t>
      </w:r>
      <w:r>
        <w:t>other</w:t>
      </w:r>
      <w:r>
        <w:rPr>
          <w:spacing w:val="3"/>
        </w:rPr>
        <w:t xml:space="preserve"> </w:t>
      </w:r>
      <w:r>
        <w:t>government</w:t>
      </w:r>
      <w:r>
        <w:rPr>
          <w:spacing w:val="2"/>
        </w:rPr>
        <w:t xml:space="preserve"> </w:t>
      </w:r>
      <w:r>
        <w:t>agencies</w:t>
      </w:r>
      <w:r>
        <w:rPr>
          <w:spacing w:val="2"/>
        </w:rPr>
        <w:t xml:space="preserve"> </w:t>
      </w:r>
      <w:r>
        <w:t>with</w:t>
      </w:r>
      <w:r>
        <w:rPr>
          <w:spacing w:val="3"/>
        </w:rPr>
        <w:t xml:space="preserve"> </w:t>
      </w:r>
      <w:r>
        <w:t>shared</w:t>
      </w:r>
      <w:r>
        <w:rPr>
          <w:spacing w:val="2"/>
        </w:rPr>
        <w:t xml:space="preserve"> </w:t>
      </w:r>
      <w:r>
        <w:t>responsibilities,</w:t>
      </w:r>
      <w:r>
        <w:rPr>
          <w:spacing w:val="2"/>
        </w:rPr>
        <w:t xml:space="preserve"> </w:t>
      </w:r>
      <w:r>
        <w:t>especially</w:t>
      </w:r>
      <w:r>
        <w:rPr>
          <w:spacing w:val="3"/>
        </w:rPr>
        <w:t xml:space="preserve"> </w:t>
      </w:r>
      <w:r>
        <w:rPr>
          <w:spacing w:val="-4"/>
        </w:rPr>
        <w:t>APRA</w:t>
      </w:r>
    </w:p>
    <w:p w14:paraId="045581A6" w14:textId="5DFD57F3" w:rsidR="00B67357" w:rsidRDefault="00B67357" w:rsidP="0000278A">
      <w:pPr>
        <w:pStyle w:val="Bullet"/>
      </w:pPr>
      <w:r>
        <w:t>oversight</w:t>
      </w:r>
      <w:r>
        <w:rPr>
          <w:spacing w:val="3"/>
        </w:rPr>
        <w:t xml:space="preserve"> </w:t>
      </w:r>
      <w:r>
        <w:t>of</w:t>
      </w:r>
      <w:r>
        <w:rPr>
          <w:spacing w:val="3"/>
        </w:rPr>
        <w:t xml:space="preserve"> </w:t>
      </w:r>
      <w:r>
        <w:t>the</w:t>
      </w:r>
      <w:r>
        <w:rPr>
          <w:spacing w:val="3"/>
        </w:rPr>
        <w:t xml:space="preserve"> </w:t>
      </w:r>
      <w:r>
        <w:t>payments</w:t>
      </w:r>
      <w:r>
        <w:rPr>
          <w:spacing w:val="3"/>
        </w:rPr>
        <w:t xml:space="preserve"> </w:t>
      </w:r>
      <w:r>
        <w:t>system</w:t>
      </w:r>
      <w:r>
        <w:rPr>
          <w:spacing w:val="3"/>
        </w:rPr>
        <w:t xml:space="preserve"> </w:t>
      </w:r>
      <w:r>
        <w:t>(which</w:t>
      </w:r>
      <w:r>
        <w:rPr>
          <w:spacing w:val="3"/>
        </w:rPr>
        <w:t xml:space="preserve"> </w:t>
      </w:r>
      <w:r>
        <w:t>is</w:t>
      </w:r>
      <w:r>
        <w:rPr>
          <w:spacing w:val="3"/>
        </w:rPr>
        <w:t xml:space="preserve"> </w:t>
      </w:r>
      <w:r>
        <w:t>already</w:t>
      </w:r>
      <w:r>
        <w:rPr>
          <w:spacing w:val="3"/>
        </w:rPr>
        <w:t xml:space="preserve"> </w:t>
      </w:r>
      <w:r>
        <w:t>legislated)</w:t>
      </w:r>
      <w:r w:rsidR="0068598E">
        <w:rPr>
          <w:spacing w:val="-22"/>
        </w:rPr>
        <w:t>.</w:t>
      </w:r>
    </w:p>
    <w:p w14:paraId="51AC3E35" w14:textId="56C03262" w:rsidR="00B67357" w:rsidRDefault="00B67357" w:rsidP="00B508CA">
      <w:r>
        <w:t>The</w:t>
      </w:r>
      <w:r>
        <w:rPr>
          <w:spacing w:val="-1"/>
        </w:rPr>
        <w:t xml:space="preserve"> </w:t>
      </w:r>
      <w:r>
        <w:t>RBA also has a role in contributing to</w:t>
      </w:r>
      <w:r>
        <w:rPr>
          <w:spacing w:val="-1"/>
        </w:rPr>
        <w:t xml:space="preserve"> </w:t>
      </w:r>
      <w:r>
        <w:t xml:space="preserve">the broader process of monitoring, research and </w:t>
      </w:r>
      <w:r>
        <w:rPr>
          <w:spacing w:val="-2"/>
        </w:rPr>
        <w:t>policy</w:t>
      </w:r>
      <w:r w:rsidR="00B508CA">
        <w:rPr>
          <w:spacing w:val="-2"/>
        </w:rPr>
        <w:t xml:space="preserve"> </w:t>
      </w:r>
      <w:r>
        <w:t>formulation</w:t>
      </w:r>
      <w:r>
        <w:rPr>
          <w:spacing w:val="3"/>
        </w:rPr>
        <w:t xml:space="preserve"> </w:t>
      </w:r>
      <w:r>
        <w:t>among</w:t>
      </w:r>
      <w:r>
        <w:rPr>
          <w:spacing w:val="3"/>
        </w:rPr>
        <w:t xml:space="preserve"> </w:t>
      </w:r>
      <w:r>
        <w:t>Australia’s</w:t>
      </w:r>
      <w:r>
        <w:rPr>
          <w:spacing w:val="3"/>
        </w:rPr>
        <w:t xml:space="preserve"> </w:t>
      </w:r>
      <w:r>
        <w:t>financial</w:t>
      </w:r>
      <w:r>
        <w:rPr>
          <w:spacing w:val="3"/>
        </w:rPr>
        <w:t xml:space="preserve"> </w:t>
      </w:r>
      <w:r>
        <w:rPr>
          <w:spacing w:val="-2"/>
        </w:rPr>
        <w:t>regulators.</w:t>
      </w:r>
    </w:p>
    <w:p w14:paraId="0B70A7A8" w14:textId="77777777" w:rsidR="00724C4C" w:rsidRDefault="00724C4C" w:rsidP="00724C4C"/>
    <w:p w14:paraId="71EBB638" w14:textId="77777777" w:rsidR="000E55B6" w:rsidRPr="000E55B6" w:rsidRDefault="000E55B6" w:rsidP="000E55B6">
      <w:pPr>
        <w:pStyle w:val="Heading2"/>
      </w:pPr>
      <w:bookmarkStart w:id="42" w:name="_Toc134221012"/>
      <w:r w:rsidRPr="000E55B6">
        <w:lastRenderedPageBreak/>
        <w:t>Recommendation 6: Reinforce cooperation arrangements for promoting financial stability</w:t>
      </w:r>
      <w:bookmarkEnd w:id="42"/>
    </w:p>
    <w:tbl>
      <w:tblPr>
        <w:tblW w:w="5000" w:type="pct"/>
        <w:tblCellMar>
          <w:left w:w="0" w:type="dxa"/>
          <w:right w:w="0" w:type="dxa"/>
        </w:tblCellMar>
        <w:tblLook w:val="01E0" w:firstRow="1" w:lastRow="1" w:firstColumn="1" w:lastColumn="1" w:noHBand="0" w:noVBand="0"/>
      </w:tblPr>
      <w:tblGrid>
        <w:gridCol w:w="796"/>
        <w:gridCol w:w="8274"/>
      </w:tblGrid>
      <w:tr w:rsidR="00EC5EA8" w:rsidRPr="009457C2" w14:paraId="27FE474A" w14:textId="77777777" w:rsidTr="00F22AE5">
        <w:trPr>
          <w:trHeight w:val="639"/>
        </w:trPr>
        <w:tc>
          <w:tcPr>
            <w:tcW w:w="5000" w:type="pct"/>
            <w:gridSpan w:val="2"/>
            <w:tcBorders>
              <w:bottom w:val="single" w:sz="8" w:space="0" w:color="ECEDE9"/>
            </w:tcBorders>
          </w:tcPr>
          <w:p w14:paraId="4B0F60B8" w14:textId="77777777" w:rsidR="00EC5EA8" w:rsidRPr="009457C2" w:rsidRDefault="00EC5EA8" w:rsidP="00F22AE5">
            <w:pPr>
              <w:pStyle w:val="Heading4"/>
            </w:pPr>
            <w:r w:rsidRPr="009457C2">
              <w:t>Recommendation 6: Reinforce cooperation arrangements for promoting financial stability</w:t>
            </w:r>
          </w:p>
        </w:tc>
      </w:tr>
      <w:tr w:rsidR="00EC5EA8" w14:paraId="5F0BAA37" w14:textId="77777777" w:rsidTr="00F22AE5">
        <w:trPr>
          <w:trHeight w:val="2061"/>
        </w:trPr>
        <w:tc>
          <w:tcPr>
            <w:tcW w:w="439" w:type="pct"/>
            <w:tcBorders>
              <w:top w:val="single" w:sz="8" w:space="0" w:color="ECEDE9"/>
              <w:bottom w:val="single" w:sz="8" w:space="0" w:color="ECEDE9"/>
            </w:tcBorders>
          </w:tcPr>
          <w:p w14:paraId="6101B08E" w14:textId="77777777" w:rsidR="00EC5EA8" w:rsidRDefault="00EC5EA8" w:rsidP="00F22AE5">
            <w:r>
              <w:t>6.1</w:t>
            </w:r>
          </w:p>
        </w:tc>
        <w:tc>
          <w:tcPr>
            <w:tcW w:w="4561" w:type="pct"/>
            <w:tcBorders>
              <w:top w:val="single" w:sz="8" w:space="0" w:color="ECEDE9"/>
              <w:bottom w:val="single" w:sz="8" w:space="0" w:color="ECEDE9"/>
            </w:tcBorders>
          </w:tcPr>
          <w:p w14:paraId="18DF2D27" w14:textId="77777777" w:rsidR="00EC5EA8" w:rsidRDefault="00EC5EA8" w:rsidP="00F22AE5">
            <w:r>
              <w:t>The Council of Financial Regulators should renew memorandums of understanding between its members so that there is:</w:t>
            </w:r>
          </w:p>
          <w:p w14:paraId="44D3E46B" w14:textId="77777777" w:rsidR="00EC5EA8" w:rsidRPr="009457C2" w:rsidRDefault="00EC5EA8" w:rsidP="0000278A">
            <w:pPr>
              <w:pStyle w:val="Bullet"/>
            </w:pPr>
            <w:r w:rsidRPr="009457C2">
              <w:t>clarity</w:t>
            </w:r>
            <w:r w:rsidRPr="009457C2">
              <w:rPr>
                <w:spacing w:val="-2"/>
              </w:rPr>
              <w:t xml:space="preserve"> </w:t>
            </w:r>
            <w:r w:rsidRPr="009457C2">
              <w:t>on</w:t>
            </w:r>
            <w:r w:rsidRPr="009457C2">
              <w:rPr>
                <w:spacing w:val="1"/>
              </w:rPr>
              <w:t xml:space="preserve"> </w:t>
            </w:r>
            <w:r w:rsidRPr="009457C2">
              <w:t>the</w:t>
            </w:r>
            <w:r w:rsidRPr="009457C2">
              <w:rPr>
                <w:spacing w:val="1"/>
              </w:rPr>
              <w:t xml:space="preserve"> </w:t>
            </w:r>
            <w:r w:rsidRPr="009457C2">
              <w:t>outcomes</w:t>
            </w:r>
            <w:r w:rsidRPr="009457C2">
              <w:rPr>
                <w:spacing w:val="1"/>
              </w:rPr>
              <w:t xml:space="preserve"> </w:t>
            </w:r>
            <w:r w:rsidRPr="009457C2">
              <w:t>the</w:t>
            </w:r>
            <w:r w:rsidRPr="009457C2">
              <w:rPr>
                <w:spacing w:val="1"/>
              </w:rPr>
              <w:t xml:space="preserve"> </w:t>
            </w:r>
            <w:r w:rsidRPr="009457C2">
              <w:t>group</w:t>
            </w:r>
            <w:r w:rsidRPr="009457C2">
              <w:rPr>
                <w:spacing w:val="1"/>
              </w:rPr>
              <w:t xml:space="preserve"> </w:t>
            </w:r>
            <w:r w:rsidRPr="009457C2">
              <w:t>is</w:t>
            </w:r>
            <w:r w:rsidRPr="009457C2">
              <w:rPr>
                <w:spacing w:val="1"/>
              </w:rPr>
              <w:t xml:space="preserve"> </w:t>
            </w:r>
            <w:r w:rsidRPr="009457C2">
              <w:t>responsible</w:t>
            </w:r>
            <w:r w:rsidRPr="009457C2">
              <w:rPr>
                <w:spacing w:val="1"/>
              </w:rPr>
              <w:t xml:space="preserve"> </w:t>
            </w:r>
            <w:r w:rsidRPr="009457C2">
              <w:t>for</w:t>
            </w:r>
            <w:r w:rsidRPr="009457C2">
              <w:rPr>
                <w:spacing w:val="1"/>
              </w:rPr>
              <w:t xml:space="preserve"> </w:t>
            </w:r>
            <w:r w:rsidRPr="009457C2">
              <w:t>delivering</w:t>
            </w:r>
            <w:r w:rsidRPr="009457C2">
              <w:rPr>
                <w:spacing w:val="1"/>
              </w:rPr>
              <w:t xml:space="preserve"> </w:t>
            </w:r>
            <w:r w:rsidRPr="009457C2">
              <w:t>and</w:t>
            </w:r>
            <w:r w:rsidRPr="009457C2">
              <w:rPr>
                <w:spacing w:val="1"/>
              </w:rPr>
              <w:t xml:space="preserve"> </w:t>
            </w:r>
            <w:r w:rsidRPr="009457C2">
              <w:t>the</w:t>
            </w:r>
            <w:r w:rsidRPr="009457C2">
              <w:rPr>
                <w:spacing w:val="1"/>
              </w:rPr>
              <w:t xml:space="preserve"> </w:t>
            </w:r>
            <w:r w:rsidRPr="009457C2">
              <w:rPr>
                <w:spacing w:val="-2"/>
              </w:rPr>
              <w:t>specific</w:t>
            </w:r>
            <w:r>
              <w:rPr>
                <w:spacing w:val="-2"/>
              </w:rPr>
              <w:t xml:space="preserve"> </w:t>
            </w:r>
            <w:r w:rsidRPr="009457C2">
              <w:t>roles</w:t>
            </w:r>
            <w:r w:rsidRPr="009457C2">
              <w:rPr>
                <w:spacing w:val="-2"/>
              </w:rPr>
              <w:t xml:space="preserve"> </w:t>
            </w:r>
            <w:r w:rsidRPr="009457C2">
              <w:t>of</w:t>
            </w:r>
            <w:r w:rsidRPr="009457C2">
              <w:rPr>
                <w:spacing w:val="-1"/>
              </w:rPr>
              <w:t xml:space="preserve"> </w:t>
            </w:r>
            <w:r w:rsidRPr="009457C2">
              <w:t>each</w:t>
            </w:r>
            <w:r w:rsidRPr="009457C2">
              <w:rPr>
                <w:spacing w:val="-1"/>
              </w:rPr>
              <w:t xml:space="preserve"> </w:t>
            </w:r>
            <w:r w:rsidRPr="009457C2">
              <w:rPr>
                <w:spacing w:val="-2"/>
              </w:rPr>
              <w:t>agency</w:t>
            </w:r>
          </w:p>
          <w:p w14:paraId="0FEEC001" w14:textId="77777777" w:rsidR="00EC5EA8" w:rsidRDefault="00EC5EA8" w:rsidP="0000278A">
            <w:pPr>
              <w:pStyle w:val="Bullet"/>
            </w:pPr>
            <w:r>
              <w:t>a</w:t>
            </w:r>
            <w:r>
              <w:rPr>
                <w:spacing w:val="4"/>
              </w:rPr>
              <w:t xml:space="preserve"> </w:t>
            </w:r>
            <w:r>
              <w:t>shared</w:t>
            </w:r>
            <w:r>
              <w:rPr>
                <w:spacing w:val="4"/>
              </w:rPr>
              <w:t xml:space="preserve"> </w:t>
            </w:r>
            <w:r>
              <w:t>responsibility</w:t>
            </w:r>
            <w:r>
              <w:rPr>
                <w:spacing w:val="4"/>
              </w:rPr>
              <w:t xml:space="preserve"> </w:t>
            </w:r>
            <w:r>
              <w:t>for</w:t>
            </w:r>
            <w:r>
              <w:rPr>
                <w:spacing w:val="4"/>
              </w:rPr>
              <w:t xml:space="preserve"> </w:t>
            </w:r>
            <w:r>
              <w:t>identifying</w:t>
            </w:r>
            <w:r>
              <w:rPr>
                <w:spacing w:val="4"/>
              </w:rPr>
              <w:t xml:space="preserve"> </w:t>
            </w:r>
            <w:r>
              <w:t>regulatory</w:t>
            </w:r>
            <w:r>
              <w:rPr>
                <w:spacing w:val="4"/>
              </w:rPr>
              <w:t xml:space="preserve"> </w:t>
            </w:r>
            <w:r>
              <w:t>gaps</w:t>
            </w:r>
            <w:r>
              <w:rPr>
                <w:spacing w:val="4"/>
              </w:rPr>
              <w:t xml:space="preserve"> </w:t>
            </w:r>
            <w:r>
              <w:t>at</w:t>
            </w:r>
            <w:r>
              <w:rPr>
                <w:spacing w:val="4"/>
              </w:rPr>
              <w:t xml:space="preserve"> </w:t>
            </w:r>
            <w:r>
              <w:t>a</w:t>
            </w:r>
            <w:r>
              <w:rPr>
                <w:spacing w:val="4"/>
              </w:rPr>
              <w:t xml:space="preserve"> </w:t>
            </w:r>
            <w:r>
              <w:t>‘whole</w:t>
            </w:r>
            <w:r>
              <w:rPr>
                <w:spacing w:val="4"/>
              </w:rPr>
              <w:t xml:space="preserve"> </w:t>
            </w:r>
            <w:r>
              <w:t>of</w:t>
            </w:r>
            <w:r>
              <w:rPr>
                <w:spacing w:val="4"/>
              </w:rPr>
              <w:t xml:space="preserve"> </w:t>
            </w:r>
            <w:r>
              <w:t>system’</w:t>
            </w:r>
            <w:r>
              <w:rPr>
                <w:spacing w:val="4"/>
              </w:rPr>
              <w:t xml:space="preserve"> </w:t>
            </w:r>
            <w:r>
              <w:rPr>
                <w:spacing w:val="-2"/>
              </w:rPr>
              <w:t>level</w:t>
            </w:r>
          </w:p>
          <w:p w14:paraId="5548A5C0" w14:textId="77777777" w:rsidR="00EC5EA8" w:rsidRDefault="00EC5EA8" w:rsidP="0000278A">
            <w:pPr>
              <w:pStyle w:val="Bullet"/>
            </w:pPr>
            <w:r>
              <w:t>a</w:t>
            </w:r>
            <w:r>
              <w:rPr>
                <w:spacing w:val="-1"/>
              </w:rPr>
              <w:t xml:space="preserve"> </w:t>
            </w:r>
            <w:r>
              <w:t>shared commitment</w:t>
            </w:r>
            <w:r>
              <w:rPr>
                <w:spacing w:val="-1"/>
              </w:rPr>
              <w:t xml:space="preserve"> </w:t>
            </w:r>
            <w:r>
              <w:t>to reduce the</w:t>
            </w:r>
            <w:r>
              <w:rPr>
                <w:spacing w:val="-1"/>
              </w:rPr>
              <w:t xml:space="preserve"> </w:t>
            </w:r>
            <w:r>
              <w:t>risks posed</w:t>
            </w:r>
            <w:r>
              <w:rPr>
                <w:spacing w:val="-1"/>
              </w:rPr>
              <w:t xml:space="preserve"> </w:t>
            </w:r>
            <w:r>
              <w:t xml:space="preserve">by such </w:t>
            </w:r>
            <w:r>
              <w:rPr>
                <w:spacing w:val="-4"/>
              </w:rPr>
              <w:t>gaps.</w:t>
            </w:r>
          </w:p>
        </w:tc>
      </w:tr>
      <w:tr w:rsidR="00EC5EA8" w14:paraId="62C52BE5" w14:textId="77777777" w:rsidTr="00F22AE5">
        <w:trPr>
          <w:trHeight w:val="1261"/>
        </w:trPr>
        <w:tc>
          <w:tcPr>
            <w:tcW w:w="439" w:type="pct"/>
            <w:tcBorders>
              <w:top w:val="single" w:sz="8" w:space="0" w:color="ECEDE9"/>
              <w:bottom w:val="single" w:sz="8" w:space="0" w:color="ECEDE9"/>
            </w:tcBorders>
          </w:tcPr>
          <w:p w14:paraId="5D8DD64C" w14:textId="77777777" w:rsidR="00EC5EA8" w:rsidRDefault="00EC5EA8" w:rsidP="00F22AE5">
            <w:r>
              <w:t>6.2</w:t>
            </w:r>
          </w:p>
        </w:tc>
        <w:tc>
          <w:tcPr>
            <w:tcW w:w="4561" w:type="pct"/>
            <w:tcBorders>
              <w:top w:val="single" w:sz="8" w:space="0" w:color="ECEDE9"/>
              <w:bottom w:val="single" w:sz="8" w:space="0" w:color="ECEDE9"/>
            </w:tcBorders>
          </w:tcPr>
          <w:p w14:paraId="2563050B" w14:textId="77777777" w:rsidR="00EC5EA8" w:rsidRDefault="00EC5EA8" w:rsidP="00F22AE5">
            <w:r>
              <w:t>The RBA Monetary Policy Board should commit to inform the Council of Financial Regulators when monetary policy is likely to affect, or be affected by, risks to financial stability. This should include formal advice from the RBA to APRA on its use of macroprudential</w:t>
            </w:r>
            <w:r>
              <w:rPr>
                <w:spacing w:val="-7"/>
              </w:rPr>
              <w:t xml:space="preserve"> </w:t>
            </w:r>
            <w:r>
              <w:t>tools.</w:t>
            </w:r>
            <w:r>
              <w:rPr>
                <w:spacing w:val="-7"/>
              </w:rPr>
              <w:t xml:space="preserve"> </w:t>
            </w:r>
            <w:r>
              <w:t>This</w:t>
            </w:r>
            <w:r>
              <w:rPr>
                <w:spacing w:val="-7"/>
              </w:rPr>
              <w:t xml:space="preserve"> </w:t>
            </w:r>
            <w:r>
              <w:t>advice</w:t>
            </w:r>
            <w:r>
              <w:rPr>
                <w:spacing w:val="-7"/>
              </w:rPr>
              <w:t xml:space="preserve"> </w:t>
            </w:r>
            <w:r>
              <w:t>to</w:t>
            </w:r>
            <w:r>
              <w:rPr>
                <w:spacing w:val="-7"/>
              </w:rPr>
              <w:t xml:space="preserve"> </w:t>
            </w:r>
            <w:r>
              <w:t>CFR</w:t>
            </w:r>
            <w:r>
              <w:rPr>
                <w:spacing w:val="-7"/>
              </w:rPr>
              <w:t xml:space="preserve"> </w:t>
            </w:r>
            <w:r>
              <w:t>and</w:t>
            </w:r>
            <w:r>
              <w:rPr>
                <w:spacing w:val="-7"/>
              </w:rPr>
              <w:t xml:space="preserve"> </w:t>
            </w:r>
            <w:r>
              <w:t>APRA</w:t>
            </w:r>
            <w:r>
              <w:rPr>
                <w:spacing w:val="-7"/>
              </w:rPr>
              <w:t xml:space="preserve"> </w:t>
            </w:r>
            <w:r>
              <w:t>should</w:t>
            </w:r>
            <w:r>
              <w:rPr>
                <w:spacing w:val="-7"/>
              </w:rPr>
              <w:t xml:space="preserve"> </w:t>
            </w:r>
            <w:r>
              <w:t>be</w:t>
            </w:r>
            <w:r>
              <w:rPr>
                <w:spacing w:val="-7"/>
              </w:rPr>
              <w:t xml:space="preserve"> </w:t>
            </w:r>
            <w:r>
              <w:t>published</w:t>
            </w:r>
            <w:r>
              <w:rPr>
                <w:spacing w:val="-7"/>
              </w:rPr>
              <w:t xml:space="preserve"> </w:t>
            </w:r>
            <w:r>
              <w:t>after</w:t>
            </w:r>
            <w:r>
              <w:rPr>
                <w:spacing w:val="-7"/>
              </w:rPr>
              <w:t xml:space="preserve"> </w:t>
            </w:r>
            <w:r>
              <w:t>5</w:t>
            </w:r>
            <w:r>
              <w:rPr>
                <w:spacing w:val="-7"/>
              </w:rPr>
              <w:t xml:space="preserve"> </w:t>
            </w:r>
            <w:r>
              <w:t>years.</w:t>
            </w:r>
          </w:p>
        </w:tc>
      </w:tr>
      <w:tr w:rsidR="00EC5EA8" w14:paraId="399A8BD1" w14:textId="77777777" w:rsidTr="00F22AE5">
        <w:trPr>
          <w:trHeight w:val="867"/>
        </w:trPr>
        <w:tc>
          <w:tcPr>
            <w:tcW w:w="439" w:type="pct"/>
            <w:tcBorders>
              <w:top w:val="single" w:sz="8" w:space="0" w:color="ECEDE9"/>
            </w:tcBorders>
          </w:tcPr>
          <w:p w14:paraId="4131D32C" w14:textId="77777777" w:rsidR="00EC5EA8" w:rsidRDefault="00EC5EA8" w:rsidP="00F22AE5">
            <w:r>
              <w:t>6.3</w:t>
            </w:r>
          </w:p>
        </w:tc>
        <w:tc>
          <w:tcPr>
            <w:tcW w:w="4561" w:type="pct"/>
            <w:tcBorders>
              <w:top w:val="single" w:sz="8" w:space="0" w:color="ECEDE9"/>
            </w:tcBorders>
          </w:tcPr>
          <w:p w14:paraId="2F7F16CD" w14:textId="77777777" w:rsidR="00EC5EA8" w:rsidRDefault="00EC5EA8" w:rsidP="00F22AE5">
            <w:r>
              <w:t>The RBA and APRA should update their public memorandum of understanding so</w:t>
            </w:r>
            <w:r>
              <w:rPr>
                <w:spacing w:val="40"/>
              </w:rPr>
              <w:t xml:space="preserve"> </w:t>
            </w:r>
            <w:r>
              <w:t>that it sets out clear and specific commitments to cooperation in promoting financial stability, including the way APRA consults the RBA on macroprudential policy settings.</w:t>
            </w:r>
          </w:p>
        </w:tc>
      </w:tr>
    </w:tbl>
    <w:p w14:paraId="42388989" w14:textId="77777777" w:rsidR="003F1986" w:rsidRDefault="003F1986" w:rsidP="006C5B73"/>
    <w:p w14:paraId="3D347481" w14:textId="06F45839" w:rsidR="00332D9F" w:rsidRDefault="00332D9F" w:rsidP="00332D9F">
      <w:r>
        <w:t>The overlapping responsibilities for financial stability between Australia’s financial regulators make close</w:t>
      </w:r>
      <w:r>
        <w:rPr>
          <w:spacing w:val="-1"/>
        </w:rPr>
        <w:t xml:space="preserve"> </w:t>
      </w:r>
      <w:r>
        <w:t>coordination</w:t>
      </w:r>
      <w:r>
        <w:rPr>
          <w:spacing w:val="-1"/>
        </w:rPr>
        <w:t xml:space="preserve"> </w:t>
      </w:r>
      <w:r>
        <w:t>essential</w:t>
      </w:r>
      <w:r w:rsidR="0068598E">
        <w:rPr>
          <w:spacing w:val="-24"/>
        </w:rPr>
        <w:t>.</w:t>
      </w:r>
      <w:r>
        <w:rPr>
          <w:w w:val="85"/>
        </w:rPr>
        <w:t xml:space="preserve"> </w:t>
      </w:r>
      <w:r>
        <w:t>Failure</w:t>
      </w:r>
      <w:r>
        <w:rPr>
          <w:spacing w:val="-1"/>
        </w:rPr>
        <w:t xml:space="preserve"> </w:t>
      </w:r>
      <w:r>
        <w:t>to</w:t>
      </w:r>
      <w:r>
        <w:rPr>
          <w:spacing w:val="-1"/>
        </w:rPr>
        <w:t xml:space="preserve"> </w:t>
      </w:r>
      <w:r>
        <w:t>identify</w:t>
      </w:r>
      <w:r>
        <w:rPr>
          <w:spacing w:val="-1"/>
        </w:rPr>
        <w:t xml:space="preserve"> </w:t>
      </w:r>
      <w:r>
        <w:t>risks</w:t>
      </w:r>
      <w:r>
        <w:rPr>
          <w:spacing w:val="-1"/>
        </w:rPr>
        <w:t xml:space="preserve"> </w:t>
      </w:r>
      <w:r>
        <w:t>or</w:t>
      </w:r>
      <w:r>
        <w:rPr>
          <w:spacing w:val="-1"/>
        </w:rPr>
        <w:t xml:space="preserve"> </w:t>
      </w:r>
      <w:r>
        <w:t>use</w:t>
      </w:r>
      <w:r>
        <w:rPr>
          <w:spacing w:val="-1"/>
        </w:rPr>
        <w:t xml:space="preserve"> </w:t>
      </w:r>
      <w:r>
        <w:t>the</w:t>
      </w:r>
      <w:r>
        <w:rPr>
          <w:spacing w:val="-1"/>
        </w:rPr>
        <w:t xml:space="preserve"> </w:t>
      </w:r>
      <w:r>
        <w:t>most</w:t>
      </w:r>
      <w:r>
        <w:rPr>
          <w:spacing w:val="-1"/>
        </w:rPr>
        <w:t xml:space="preserve"> </w:t>
      </w:r>
      <w:r>
        <w:t>appropriate</w:t>
      </w:r>
      <w:r>
        <w:rPr>
          <w:spacing w:val="-1"/>
        </w:rPr>
        <w:t xml:space="preserve"> </w:t>
      </w:r>
      <w:r>
        <w:t>tool</w:t>
      </w:r>
      <w:r>
        <w:rPr>
          <w:spacing w:val="-1"/>
        </w:rPr>
        <w:t xml:space="preserve"> </w:t>
      </w:r>
      <w:r>
        <w:t>to</w:t>
      </w:r>
      <w:r>
        <w:rPr>
          <w:spacing w:val="-1"/>
        </w:rPr>
        <w:t xml:space="preserve"> </w:t>
      </w:r>
      <w:r>
        <w:t>respond</w:t>
      </w:r>
      <w:r>
        <w:rPr>
          <w:spacing w:val="-1"/>
        </w:rPr>
        <w:t xml:space="preserve"> </w:t>
      </w:r>
      <w:r>
        <w:t>to risks would come at a cost, including potentially to system stability</w:t>
      </w:r>
      <w:r w:rsidR="0068598E">
        <w:rPr>
          <w:spacing w:val="-16"/>
        </w:rPr>
        <w:t>.</w:t>
      </w:r>
    </w:p>
    <w:p w14:paraId="321B40E4" w14:textId="1B5D7FEC" w:rsidR="00ED4340" w:rsidRDefault="00332D9F" w:rsidP="00332D9F">
      <w:pPr>
        <w:rPr>
          <w:w w:val="85"/>
        </w:rPr>
      </w:pPr>
      <w:r>
        <w:t>Reinforcing the relationship between the RBA and APRA, with arrangements that support clear communication and accountabilities, is particularly important in the context of this Review</w:t>
      </w:r>
      <w:r w:rsidR="0068598E">
        <w:rPr>
          <w:spacing w:val="-17"/>
        </w:rPr>
        <w:t>.</w:t>
      </w:r>
    </w:p>
    <w:p w14:paraId="245EF1A1" w14:textId="77777777" w:rsidR="00B32A3E" w:rsidRDefault="00B32A3E" w:rsidP="00B32A3E">
      <w:pPr>
        <w:pStyle w:val="Heading3"/>
      </w:pPr>
      <w:r>
        <w:t>Recommendation</w:t>
      </w:r>
      <w:r>
        <w:rPr>
          <w:spacing w:val="-17"/>
        </w:rPr>
        <w:t xml:space="preserve"> </w:t>
      </w:r>
      <w:r>
        <w:t>6.1:</w:t>
      </w:r>
      <w:r>
        <w:rPr>
          <w:spacing w:val="-14"/>
        </w:rPr>
        <w:t xml:space="preserve"> </w:t>
      </w:r>
      <w:r>
        <w:t>Renew</w:t>
      </w:r>
      <w:r>
        <w:rPr>
          <w:spacing w:val="-14"/>
        </w:rPr>
        <w:t xml:space="preserve"> </w:t>
      </w:r>
      <w:r>
        <w:t>memorandums</w:t>
      </w:r>
      <w:r>
        <w:rPr>
          <w:spacing w:val="-15"/>
        </w:rPr>
        <w:t xml:space="preserve"> </w:t>
      </w:r>
      <w:r>
        <w:t>of</w:t>
      </w:r>
      <w:r>
        <w:rPr>
          <w:spacing w:val="-14"/>
        </w:rPr>
        <w:t xml:space="preserve"> </w:t>
      </w:r>
      <w:r>
        <w:t>understanding</w:t>
      </w:r>
      <w:r>
        <w:rPr>
          <w:spacing w:val="-14"/>
        </w:rPr>
        <w:t xml:space="preserve"> </w:t>
      </w:r>
      <w:r>
        <w:t>across</w:t>
      </w:r>
      <w:r>
        <w:rPr>
          <w:spacing w:val="-14"/>
        </w:rPr>
        <w:t xml:space="preserve"> </w:t>
      </w:r>
      <w:r>
        <w:t>the Council of Financial Regulators</w:t>
      </w:r>
    </w:p>
    <w:p w14:paraId="64C430BF" w14:textId="5A052E42" w:rsidR="00B32A3E" w:rsidRDefault="00B32A3E" w:rsidP="00B32A3E">
      <w:r>
        <w:t>Stakeholders generally considered that cooperation between Australia’s financial regulators had been effective in mitigating financial stability risks. They highlighted the role of the CFR, in particular, in coordinating policy actions in times of stress</w:t>
      </w:r>
      <w:r w:rsidR="0068598E">
        <w:rPr>
          <w:spacing w:val="-24"/>
        </w:rPr>
        <w:t>.</w:t>
      </w:r>
      <w:r>
        <w:rPr>
          <w:w w:val="85"/>
        </w:rPr>
        <w:t xml:space="preserve"> </w:t>
      </w:r>
      <w:r>
        <w:t>The CFR brings together the Australian Securities and Investments Commission, APRA, RBA and Treasury</w:t>
      </w:r>
      <w:r w:rsidR="0068598E">
        <w:rPr>
          <w:spacing w:val="-13"/>
        </w:rPr>
        <w:t>.</w:t>
      </w:r>
    </w:p>
    <w:p w14:paraId="558EEDDF" w14:textId="3A16BE9C" w:rsidR="00B32A3E" w:rsidRDefault="00B32A3E" w:rsidP="00B32A3E">
      <w:r>
        <w:t>The Review heard that Australia’s response to COVID-19 and the Global Financial Crisis were seen as key strengths of the financial regulatory system, with stakeholders noting that regulators had acted decisively and collaboratively</w:t>
      </w:r>
      <w:r w:rsidR="0068598E">
        <w:rPr>
          <w:spacing w:val="-23"/>
        </w:rPr>
        <w:t>.</w:t>
      </w:r>
      <w:r>
        <w:rPr>
          <w:w w:val="85"/>
        </w:rPr>
        <w:t xml:space="preserve"> </w:t>
      </w:r>
      <w:r>
        <w:t>Stakeholders suggested that, in times of crisis, regulators were not excessively rigid or narrow in interpreting their mandates and focused on a whole-of-system response</w:t>
      </w:r>
      <w:r w:rsidR="0068598E">
        <w:rPr>
          <w:spacing w:val="-25"/>
        </w:rPr>
        <w:t>.</w:t>
      </w:r>
    </w:p>
    <w:p w14:paraId="67485FB9" w14:textId="0C2CE18E" w:rsidR="00B32A3E" w:rsidRDefault="00B32A3E" w:rsidP="00B32A3E">
      <w:r>
        <w:t>However, the Review also heard some criticisms of existing cooperation arrangements</w:t>
      </w:r>
      <w:r w:rsidR="0068598E">
        <w:rPr>
          <w:spacing w:val="-17"/>
        </w:rPr>
        <w:t>.</w:t>
      </w:r>
      <w:r>
        <w:rPr>
          <w:w w:val="85"/>
        </w:rPr>
        <w:t xml:space="preserve"> </w:t>
      </w:r>
      <w:r>
        <w:t>Some stakeholders noted a general lack of clarity regarding how agencies work together, what each was responsible for and how agencies would seek to address perceived gaps in the regulatory architecture</w:t>
      </w:r>
      <w:r w:rsidR="0068598E">
        <w:rPr>
          <w:spacing w:val="-22"/>
        </w:rPr>
        <w:t>.</w:t>
      </w:r>
      <w:r>
        <w:rPr>
          <w:w w:val="85"/>
        </w:rPr>
        <w:t xml:space="preserve"> </w:t>
      </w:r>
      <w:r>
        <w:t>In addition, Kashyap (2023) – in a paper commissioned for this Review – highlights some specific concerns about how the CFR agencies work together on financial stability policies.</w:t>
      </w:r>
    </w:p>
    <w:p w14:paraId="5E8D22A2" w14:textId="77777777" w:rsidR="00B32A3E" w:rsidRDefault="00B32A3E" w:rsidP="00B32A3E">
      <w:r>
        <w:t xml:space="preserve">The recent stresses in the US and European banking sectors, at a time when interest rates globally have been rising in response to high inflation, underscore the important interactions between </w:t>
      </w:r>
      <w:r>
        <w:lastRenderedPageBreak/>
        <w:t>financial stability and monetary policy and the value of close cooperation and clear processes among financial regulators.</w:t>
      </w:r>
    </w:p>
    <w:p w14:paraId="6776864D" w14:textId="6376D65D" w:rsidR="00B32A3E" w:rsidRDefault="00B32A3E" w:rsidP="00B32A3E">
      <w:r>
        <w:t>The Review recommends that memorandums of understanding across the CFR be updated, with</w:t>
      </w:r>
      <w:r>
        <w:rPr>
          <w:spacing w:val="40"/>
        </w:rPr>
        <w:t xml:space="preserve"> </w:t>
      </w:r>
      <w:r>
        <w:t>a</w:t>
      </w:r>
      <w:r>
        <w:rPr>
          <w:spacing w:val="-12"/>
        </w:rPr>
        <w:t xml:space="preserve"> </w:t>
      </w:r>
      <w:r>
        <w:t>greater</w:t>
      </w:r>
      <w:r>
        <w:rPr>
          <w:spacing w:val="-1"/>
        </w:rPr>
        <w:t xml:space="preserve"> </w:t>
      </w:r>
      <w:r>
        <w:t>focus</w:t>
      </w:r>
      <w:r>
        <w:rPr>
          <w:spacing w:val="-1"/>
        </w:rPr>
        <w:t xml:space="preserve"> </w:t>
      </w:r>
      <w:r>
        <w:t>on</w:t>
      </w:r>
      <w:r>
        <w:rPr>
          <w:spacing w:val="-1"/>
        </w:rPr>
        <w:t xml:space="preserve"> </w:t>
      </w:r>
      <w:r>
        <w:t>the</w:t>
      </w:r>
      <w:r>
        <w:rPr>
          <w:spacing w:val="-1"/>
        </w:rPr>
        <w:t xml:space="preserve"> </w:t>
      </w:r>
      <w:r>
        <w:t>outcomes</w:t>
      </w:r>
      <w:r>
        <w:rPr>
          <w:spacing w:val="-1"/>
        </w:rPr>
        <w:t xml:space="preserve"> </w:t>
      </w:r>
      <w:r>
        <w:t>the</w:t>
      </w:r>
      <w:r>
        <w:rPr>
          <w:spacing w:val="-1"/>
        </w:rPr>
        <w:t xml:space="preserve"> </w:t>
      </w:r>
      <w:r>
        <w:t>group</w:t>
      </w:r>
      <w:r>
        <w:rPr>
          <w:spacing w:val="-1"/>
        </w:rPr>
        <w:t xml:space="preserve"> </w:t>
      </w:r>
      <w:r>
        <w:t>is</w:t>
      </w:r>
      <w:r>
        <w:rPr>
          <w:spacing w:val="-1"/>
        </w:rPr>
        <w:t xml:space="preserve"> </w:t>
      </w:r>
      <w:r>
        <w:t>responsible</w:t>
      </w:r>
      <w:r>
        <w:rPr>
          <w:spacing w:val="-1"/>
        </w:rPr>
        <w:t xml:space="preserve"> </w:t>
      </w:r>
      <w:r>
        <w:t>for</w:t>
      </w:r>
      <w:r>
        <w:rPr>
          <w:spacing w:val="-1"/>
        </w:rPr>
        <w:t xml:space="preserve"> </w:t>
      </w:r>
      <w:r>
        <w:t>delivering</w:t>
      </w:r>
      <w:r w:rsidR="0068598E">
        <w:rPr>
          <w:spacing w:val="-12"/>
        </w:rPr>
        <w:t>.</w:t>
      </w:r>
      <w:r>
        <w:rPr>
          <w:w w:val="85"/>
        </w:rPr>
        <w:t xml:space="preserve"> </w:t>
      </w:r>
      <w:r>
        <w:t>Existing</w:t>
      </w:r>
      <w:r>
        <w:rPr>
          <w:spacing w:val="-1"/>
        </w:rPr>
        <w:t xml:space="preserve"> </w:t>
      </w:r>
      <w:r>
        <w:t>commitments</w:t>
      </w:r>
      <w:r>
        <w:rPr>
          <w:spacing w:val="-1"/>
        </w:rPr>
        <w:t xml:space="preserve"> </w:t>
      </w:r>
      <w:r>
        <w:t>to cooperation tend to be expressed in passive terms, with the group’s Charter noting, for example, that “the Council of Financial Regulators aims to facilitate cooperation and collaboration between member agencies”</w:t>
      </w:r>
      <w:r w:rsidR="0068598E">
        <w:rPr>
          <w:spacing w:val="-17"/>
        </w:rPr>
        <w:t>.</w:t>
      </w:r>
    </w:p>
    <w:p w14:paraId="490B35ED" w14:textId="6D694588" w:rsidR="00B32A3E" w:rsidRDefault="00B32A3E" w:rsidP="00B32A3E">
      <w:r>
        <w:t>Stronger commitments to cooperation are needed, with greater clarity on the outcomes the CFR is responsible for delivering</w:t>
      </w:r>
      <w:r w:rsidR="0068598E">
        <w:rPr>
          <w:spacing w:val="-24"/>
        </w:rPr>
        <w:t>.</w:t>
      </w:r>
      <w:r>
        <w:rPr>
          <w:w w:val="85"/>
        </w:rPr>
        <w:t xml:space="preserve"> </w:t>
      </w:r>
      <w:r>
        <w:t>It is important that agencies are clear on their individual accountabilities and how they work collectively to ensure a whole-of-system response</w:t>
      </w:r>
      <w:r w:rsidR="0068598E">
        <w:rPr>
          <w:spacing w:val="-17"/>
        </w:rPr>
        <w:t>.</w:t>
      </w:r>
      <w:r>
        <w:rPr>
          <w:w w:val="85"/>
        </w:rPr>
        <w:t xml:space="preserve"> </w:t>
      </w:r>
      <w:r>
        <w:t>This includes where risks might</w:t>
      </w:r>
      <w:r>
        <w:rPr>
          <w:spacing w:val="15"/>
        </w:rPr>
        <w:t xml:space="preserve"> </w:t>
      </w:r>
      <w:r>
        <w:t>be</w:t>
      </w:r>
      <w:r>
        <w:rPr>
          <w:spacing w:val="15"/>
        </w:rPr>
        <w:t xml:space="preserve"> </w:t>
      </w:r>
      <w:r>
        <w:t>outside</w:t>
      </w:r>
      <w:r>
        <w:rPr>
          <w:spacing w:val="15"/>
        </w:rPr>
        <w:t xml:space="preserve"> </w:t>
      </w:r>
      <w:r>
        <w:t>traditional</w:t>
      </w:r>
      <w:r>
        <w:rPr>
          <w:spacing w:val="15"/>
        </w:rPr>
        <w:t xml:space="preserve"> </w:t>
      </w:r>
      <w:r>
        <w:t>regulatory</w:t>
      </w:r>
      <w:r>
        <w:rPr>
          <w:spacing w:val="15"/>
        </w:rPr>
        <w:t xml:space="preserve"> </w:t>
      </w:r>
      <w:r>
        <w:t>perimeters</w:t>
      </w:r>
      <w:r w:rsidR="0068598E">
        <w:rPr>
          <w:spacing w:val="-16"/>
        </w:rPr>
        <w:t>.</w:t>
      </w:r>
      <w:r>
        <w:rPr>
          <w:spacing w:val="15"/>
        </w:rPr>
        <w:t xml:space="preserve"> </w:t>
      </w:r>
      <w:r>
        <w:t>Strategy</w:t>
      </w:r>
      <w:r>
        <w:rPr>
          <w:spacing w:val="15"/>
        </w:rPr>
        <w:t xml:space="preserve"> </w:t>
      </w:r>
      <w:r>
        <w:t>sessions</w:t>
      </w:r>
      <w:r>
        <w:rPr>
          <w:spacing w:val="15"/>
        </w:rPr>
        <w:t xml:space="preserve"> </w:t>
      </w:r>
      <w:r>
        <w:t>to</w:t>
      </w:r>
      <w:r>
        <w:rPr>
          <w:spacing w:val="15"/>
        </w:rPr>
        <w:t xml:space="preserve"> </w:t>
      </w:r>
      <w:r>
        <w:t>identify</w:t>
      </w:r>
      <w:r>
        <w:rPr>
          <w:spacing w:val="15"/>
        </w:rPr>
        <w:t xml:space="preserve"> </w:t>
      </w:r>
      <w:r>
        <w:t>new</w:t>
      </w:r>
      <w:r>
        <w:rPr>
          <w:spacing w:val="15"/>
        </w:rPr>
        <w:t xml:space="preserve"> </w:t>
      </w:r>
      <w:r>
        <w:t>risks</w:t>
      </w:r>
      <w:r>
        <w:rPr>
          <w:spacing w:val="15"/>
        </w:rPr>
        <w:t xml:space="preserve"> </w:t>
      </w:r>
      <w:r>
        <w:t>could be an important supplement to the CFR’s existing risk register, and specifically committed to in updated memorandums of understanding</w:t>
      </w:r>
      <w:r w:rsidR="0068598E">
        <w:rPr>
          <w:spacing w:val="-9"/>
        </w:rPr>
        <w:t>.</w:t>
      </w:r>
    </w:p>
    <w:p w14:paraId="1AD5BF85" w14:textId="6F2B2D7F" w:rsidR="00B32A3E" w:rsidRDefault="00B32A3E" w:rsidP="00B32A3E">
      <w:pPr>
        <w:rPr>
          <w:spacing w:val="-13"/>
        </w:rPr>
      </w:pPr>
      <w:r>
        <w:t>The CFR is a key feature of the Australian regulatory architecture</w:t>
      </w:r>
      <w:r w:rsidR="0068598E">
        <w:rPr>
          <w:spacing w:val="-21"/>
        </w:rPr>
        <w:t>.</w:t>
      </w:r>
      <w:r>
        <w:rPr>
          <w:w w:val="85"/>
        </w:rPr>
        <w:t xml:space="preserve"> </w:t>
      </w:r>
      <w:r>
        <w:t>The recommendations in this Review</w:t>
      </w:r>
      <w:r>
        <w:rPr>
          <w:spacing w:val="-4"/>
        </w:rPr>
        <w:t xml:space="preserve"> </w:t>
      </w:r>
      <w:r>
        <w:t>seek</w:t>
      </w:r>
      <w:r>
        <w:rPr>
          <w:spacing w:val="-4"/>
        </w:rPr>
        <w:t xml:space="preserve"> </w:t>
      </w:r>
      <w:r>
        <w:t>to</w:t>
      </w:r>
      <w:r>
        <w:rPr>
          <w:spacing w:val="-4"/>
        </w:rPr>
        <w:t xml:space="preserve"> </w:t>
      </w:r>
      <w:r>
        <w:t>introduce</w:t>
      </w:r>
      <w:r>
        <w:rPr>
          <w:spacing w:val="-4"/>
        </w:rPr>
        <w:t xml:space="preserve"> </w:t>
      </w:r>
      <w:r>
        <w:t>greater</w:t>
      </w:r>
      <w:r>
        <w:rPr>
          <w:spacing w:val="-4"/>
        </w:rPr>
        <w:t xml:space="preserve"> </w:t>
      </w:r>
      <w:r>
        <w:t>formality</w:t>
      </w:r>
      <w:r>
        <w:rPr>
          <w:spacing w:val="-4"/>
        </w:rPr>
        <w:t xml:space="preserve"> </w:t>
      </w:r>
      <w:r>
        <w:t>and</w:t>
      </w:r>
      <w:r>
        <w:rPr>
          <w:spacing w:val="-4"/>
        </w:rPr>
        <w:t xml:space="preserve"> </w:t>
      </w:r>
      <w:r>
        <w:t>specificity</w:t>
      </w:r>
      <w:r>
        <w:rPr>
          <w:spacing w:val="-4"/>
        </w:rPr>
        <w:t xml:space="preserve"> </w:t>
      </w:r>
      <w:r>
        <w:t>to</w:t>
      </w:r>
      <w:r>
        <w:rPr>
          <w:spacing w:val="-4"/>
        </w:rPr>
        <w:t xml:space="preserve"> </w:t>
      </w:r>
      <w:r>
        <w:t>cooperation</w:t>
      </w:r>
      <w:r>
        <w:rPr>
          <w:spacing w:val="-4"/>
        </w:rPr>
        <w:t xml:space="preserve"> </w:t>
      </w:r>
      <w:r>
        <w:t>arrangements.</w:t>
      </w:r>
      <w:r>
        <w:rPr>
          <w:spacing w:val="-4"/>
        </w:rPr>
        <w:t xml:space="preserve"> </w:t>
      </w:r>
      <w:r>
        <w:t>However, this</w:t>
      </w:r>
      <w:r>
        <w:rPr>
          <w:spacing w:val="-3"/>
        </w:rPr>
        <w:t xml:space="preserve"> </w:t>
      </w:r>
      <w:r>
        <w:t>could</w:t>
      </w:r>
      <w:r>
        <w:rPr>
          <w:spacing w:val="-3"/>
        </w:rPr>
        <w:t xml:space="preserve"> </w:t>
      </w:r>
      <w:r>
        <w:t>be</w:t>
      </w:r>
      <w:r>
        <w:rPr>
          <w:spacing w:val="-3"/>
        </w:rPr>
        <w:t xml:space="preserve"> </w:t>
      </w:r>
      <w:r>
        <w:t>taken</w:t>
      </w:r>
      <w:r>
        <w:rPr>
          <w:spacing w:val="-3"/>
        </w:rPr>
        <w:t xml:space="preserve"> </w:t>
      </w:r>
      <w:r>
        <w:t>further</w:t>
      </w:r>
      <w:r>
        <w:rPr>
          <w:spacing w:val="-3"/>
        </w:rPr>
        <w:t xml:space="preserve"> </w:t>
      </w:r>
      <w:r>
        <w:t>by</w:t>
      </w:r>
      <w:r>
        <w:rPr>
          <w:spacing w:val="-3"/>
        </w:rPr>
        <w:t xml:space="preserve"> </w:t>
      </w:r>
      <w:r>
        <w:t>making</w:t>
      </w:r>
      <w:r>
        <w:rPr>
          <w:spacing w:val="-3"/>
        </w:rPr>
        <w:t xml:space="preserve"> </w:t>
      </w:r>
      <w:r>
        <w:t>the</w:t>
      </w:r>
      <w:r>
        <w:rPr>
          <w:spacing w:val="-3"/>
        </w:rPr>
        <w:t xml:space="preserve"> </w:t>
      </w:r>
      <w:r>
        <w:t>CFR</w:t>
      </w:r>
      <w:r>
        <w:rPr>
          <w:spacing w:val="-3"/>
        </w:rPr>
        <w:t xml:space="preserve"> </w:t>
      </w:r>
      <w:r>
        <w:t>a</w:t>
      </w:r>
      <w:r>
        <w:rPr>
          <w:spacing w:val="-3"/>
        </w:rPr>
        <w:t xml:space="preserve"> </w:t>
      </w:r>
      <w:r>
        <w:t>statutory</w:t>
      </w:r>
      <w:r>
        <w:rPr>
          <w:spacing w:val="-3"/>
        </w:rPr>
        <w:t xml:space="preserve"> </w:t>
      </w:r>
      <w:r>
        <w:t>body</w:t>
      </w:r>
      <w:r>
        <w:rPr>
          <w:spacing w:val="-3"/>
        </w:rPr>
        <w:t xml:space="preserve"> </w:t>
      </w:r>
      <w:r>
        <w:t>–</w:t>
      </w:r>
      <w:r>
        <w:rPr>
          <w:spacing w:val="-3"/>
        </w:rPr>
        <w:t xml:space="preserve"> </w:t>
      </w:r>
      <w:r>
        <w:t>with</w:t>
      </w:r>
      <w:r>
        <w:rPr>
          <w:spacing w:val="-3"/>
        </w:rPr>
        <w:t xml:space="preserve"> </w:t>
      </w:r>
      <w:r>
        <w:t>a</w:t>
      </w:r>
      <w:r>
        <w:rPr>
          <w:spacing w:val="-3"/>
        </w:rPr>
        <w:t xml:space="preserve"> </w:t>
      </w:r>
      <w:r>
        <w:t>role</w:t>
      </w:r>
      <w:r>
        <w:rPr>
          <w:spacing w:val="-3"/>
        </w:rPr>
        <w:t xml:space="preserve"> </w:t>
      </w:r>
      <w:r>
        <w:t>and</w:t>
      </w:r>
      <w:r>
        <w:rPr>
          <w:spacing w:val="-3"/>
        </w:rPr>
        <w:t xml:space="preserve"> </w:t>
      </w:r>
      <w:r>
        <w:t>responsibilities</w:t>
      </w:r>
      <w:r>
        <w:rPr>
          <w:spacing w:val="-3"/>
        </w:rPr>
        <w:t xml:space="preserve"> </w:t>
      </w:r>
      <w:r>
        <w:t>in legislation</w:t>
      </w:r>
      <w:r>
        <w:rPr>
          <w:spacing w:val="-7"/>
        </w:rPr>
        <w:t xml:space="preserve"> </w:t>
      </w:r>
      <w:r>
        <w:t>–</w:t>
      </w:r>
      <w:r>
        <w:rPr>
          <w:spacing w:val="-6"/>
        </w:rPr>
        <w:t xml:space="preserve"> </w:t>
      </w:r>
      <w:r>
        <w:t>to</w:t>
      </w:r>
      <w:r>
        <w:rPr>
          <w:spacing w:val="-6"/>
        </w:rPr>
        <w:t xml:space="preserve"> </w:t>
      </w:r>
      <w:r>
        <w:t>provide</w:t>
      </w:r>
      <w:r>
        <w:rPr>
          <w:spacing w:val="-6"/>
        </w:rPr>
        <w:t xml:space="preserve"> </w:t>
      </w:r>
      <w:r>
        <w:t>for</w:t>
      </w:r>
      <w:r>
        <w:rPr>
          <w:spacing w:val="-6"/>
        </w:rPr>
        <w:t xml:space="preserve"> </w:t>
      </w:r>
      <w:r>
        <w:t>stronger</w:t>
      </w:r>
      <w:r>
        <w:rPr>
          <w:spacing w:val="-6"/>
        </w:rPr>
        <w:t xml:space="preserve"> </w:t>
      </w:r>
      <w:r>
        <w:t>joint</w:t>
      </w:r>
      <w:r>
        <w:rPr>
          <w:spacing w:val="-6"/>
        </w:rPr>
        <w:t xml:space="preserve"> </w:t>
      </w:r>
      <w:r>
        <w:t>accountabilities</w:t>
      </w:r>
      <w:r w:rsidR="0068598E">
        <w:rPr>
          <w:spacing w:val="-25"/>
        </w:rPr>
        <w:t>.</w:t>
      </w:r>
      <w:r>
        <w:rPr>
          <w:w w:val="85"/>
        </w:rPr>
        <w:t xml:space="preserve"> </w:t>
      </w:r>
      <w:r>
        <w:t>It</w:t>
      </w:r>
      <w:r>
        <w:rPr>
          <w:spacing w:val="-6"/>
        </w:rPr>
        <w:t xml:space="preserve"> </w:t>
      </w:r>
      <w:r>
        <w:t>would</w:t>
      </w:r>
      <w:r>
        <w:rPr>
          <w:spacing w:val="-6"/>
        </w:rPr>
        <w:t xml:space="preserve"> </w:t>
      </w:r>
      <w:r>
        <w:t>be</w:t>
      </w:r>
      <w:r>
        <w:rPr>
          <w:spacing w:val="-6"/>
        </w:rPr>
        <w:t xml:space="preserve"> </w:t>
      </w:r>
      <w:r>
        <w:t>prudent</w:t>
      </w:r>
      <w:r>
        <w:rPr>
          <w:spacing w:val="-6"/>
        </w:rPr>
        <w:t xml:space="preserve"> </w:t>
      </w:r>
      <w:r>
        <w:t>for</w:t>
      </w:r>
      <w:r>
        <w:rPr>
          <w:spacing w:val="-6"/>
        </w:rPr>
        <w:t xml:space="preserve"> </w:t>
      </w:r>
      <w:r>
        <w:t>the</w:t>
      </w:r>
      <w:r>
        <w:rPr>
          <w:spacing w:val="-6"/>
        </w:rPr>
        <w:t xml:space="preserve"> </w:t>
      </w:r>
      <w:r>
        <w:t>CFR</w:t>
      </w:r>
      <w:r>
        <w:rPr>
          <w:spacing w:val="-6"/>
        </w:rPr>
        <w:t xml:space="preserve"> </w:t>
      </w:r>
      <w:r>
        <w:t>to</w:t>
      </w:r>
      <w:r>
        <w:rPr>
          <w:spacing w:val="-6"/>
        </w:rPr>
        <w:t xml:space="preserve"> </w:t>
      </w:r>
      <w:r>
        <w:t>revisit their</w:t>
      </w:r>
      <w:r>
        <w:rPr>
          <w:spacing w:val="-3"/>
        </w:rPr>
        <w:t xml:space="preserve"> </w:t>
      </w:r>
      <w:r>
        <w:t>arrangements</w:t>
      </w:r>
      <w:r>
        <w:rPr>
          <w:spacing w:val="-3"/>
        </w:rPr>
        <w:t xml:space="preserve"> </w:t>
      </w:r>
      <w:r>
        <w:t>in</w:t>
      </w:r>
      <w:r>
        <w:rPr>
          <w:spacing w:val="-3"/>
        </w:rPr>
        <w:t xml:space="preserve"> </w:t>
      </w:r>
      <w:r>
        <w:t>five</w:t>
      </w:r>
      <w:r>
        <w:rPr>
          <w:spacing w:val="-3"/>
        </w:rPr>
        <w:t xml:space="preserve"> </w:t>
      </w:r>
      <w:r>
        <w:t>years</w:t>
      </w:r>
      <w:r>
        <w:rPr>
          <w:spacing w:val="-3"/>
        </w:rPr>
        <w:t xml:space="preserve"> </w:t>
      </w:r>
      <w:r>
        <w:t>to</w:t>
      </w:r>
      <w:r>
        <w:rPr>
          <w:spacing w:val="-3"/>
        </w:rPr>
        <w:t xml:space="preserve"> </w:t>
      </w:r>
      <w:r>
        <w:t>assess</w:t>
      </w:r>
      <w:r>
        <w:rPr>
          <w:spacing w:val="-3"/>
        </w:rPr>
        <w:t xml:space="preserve"> </w:t>
      </w:r>
      <w:r>
        <w:t>whether</w:t>
      </w:r>
      <w:r>
        <w:rPr>
          <w:spacing w:val="-3"/>
        </w:rPr>
        <w:t xml:space="preserve"> </w:t>
      </w:r>
      <w:r>
        <w:t>a</w:t>
      </w:r>
      <w:r>
        <w:rPr>
          <w:spacing w:val="-3"/>
        </w:rPr>
        <w:t xml:space="preserve"> </w:t>
      </w:r>
      <w:r>
        <w:t>new</w:t>
      </w:r>
      <w:r>
        <w:rPr>
          <w:spacing w:val="-3"/>
        </w:rPr>
        <w:t xml:space="preserve"> </w:t>
      </w:r>
      <w:r>
        <w:t>statutory</w:t>
      </w:r>
      <w:r>
        <w:rPr>
          <w:spacing w:val="-3"/>
        </w:rPr>
        <w:t xml:space="preserve"> </w:t>
      </w:r>
      <w:r>
        <w:t>role</w:t>
      </w:r>
      <w:r>
        <w:rPr>
          <w:spacing w:val="-3"/>
        </w:rPr>
        <w:t xml:space="preserve"> </w:t>
      </w:r>
      <w:r>
        <w:t>could</w:t>
      </w:r>
      <w:r>
        <w:rPr>
          <w:spacing w:val="-3"/>
        </w:rPr>
        <w:t xml:space="preserve"> </w:t>
      </w:r>
      <w:r>
        <w:t>help</w:t>
      </w:r>
      <w:r>
        <w:rPr>
          <w:spacing w:val="-3"/>
        </w:rPr>
        <w:t xml:space="preserve"> </w:t>
      </w:r>
      <w:r>
        <w:t>strengthen</w:t>
      </w:r>
      <w:r>
        <w:rPr>
          <w:spacing w:val="-3"/>
        </w:rPr>
        <w:t xml:space="preserve"> </w:t>
      </w:r>
      <w:r>
        <w:t>the system and better protect against unforeseen circumstances</w:t>
      </w:r>
      <w:r>
        <w:rPr>
          <w:spacing w:val="-13"/>
        </w:rPr>
        <w:t xml:space="preserve"> </w:t>
      </w:r>
    </w:p>
    <w:p w14:paraId="35B818B7" w14:textId="77777777" w:rsidR="00E2380A" w:rsidRDefault="00E2380A" w:rsidP="00E2380A">
      <w:pPr>
        <w:pStyle w:val="Heading3"/>
      </w:pPr>
      <w:r>
        <w:t>Recommendation</w:t>
      </w:r>
      <w:r>
        <w:rPr>
          <w:spacing w:val="-10"/>
        </w:rPr>
        <w:t xml:space="preserve"> </w:t>
      </w:r>
      <w:r>
        <w:t>6.2:</w:t>
      </w:r>
      <w:r>
        <w:rPr>
          <w:spacing w:val="-10"/>
        </w:rPr>
        <w:t xml:space="preserve"> </w:t>
      </w:r>
      <w:r>
        <w:t>Formalise</w:t>
      </w:r>
      <w:r>
        <w:rPr>
          <w:spacing w:val="-10"/>
        </w:rPr>
        <w:t xml:space="preserve"> </w:t>
      </w:r>
      <w:r>
        <w:t>financial</w:t>
      </w:r>
      <w:r>
        <w:rPr>
          <w:spacing w:val="-10"/>
        </w:rPr>
        <w:t xml:space="preserve"> </w:t>
      </w:r>
      <w:r>
        <w:t>stability</w:t>
      </w:r>
      <w:r>
        <w:rPr>
          <w:spacing w:val="-10"/>
        </w:rPr>
        <w:t xml:space="preserve"> </w:t>
      </w:r>
      <w:r>
        <w:t>advice</w:t>
      </w:r>
      <w:r>
        <w:rPr>
          <w:spacing w:val="-10"/>
        </w:rPr>
        <w:t xml:space="preserve"> </w:t>
      </w:r>
      <w:r>
        <w:t>to</w:t>
      </w:r>
      <w:r>
        <w:rPr>
          <w:spacing w:val="-10"/>
        </w:rPr>
        <w:t xml:space="preserve"> </w:t>
      </w:r>
      <w:r>
        <w:t>the Council of Financial Regulators</w:t>
      </w:r>
    </w:p>
    <w:p w14:paraId="7072F7B4" w14:textId="33E247B6" w:rsidR="00E2380A" w:rsidRDefault="00E2380A" w:rsidP="00E2380A">
      <w:r>
        <w:t>The Review heard a range of views on the interactions between monetary policy and macroprudential policy</w:t>
      </w:r>
      <w:r w:rsidR="0068598E">
        <w:rPr>
          <w:spacing w:val="-18"/>
        </w:rPr>
        <w:t>.</w:t>
      </w:r>
      <w:r>
        <w:t xml:space="preserve"> In particular, questions were raised around whether more active use</w:t>
      </w:r>
      <w:r>
        <w:rPr>
          <w:spacing w:val="40"/>
        </w:rPr>
        <w:t xml:space="preserve"> </w:t>
      </w:r>
      <w:r>
        <w:t>of macroprudential policy could have given the RBA greater comfort to cut interest rates in the</w:t>
      </w:r>
      <w:r w:rsidR="00DF15CA">
        <w:t xml:space="preserve"> </w:t>
      </w:r>
      <w:r>
        <w:t>2016-19</w:t>
      </w:r>
      <w:r>
        <w:rPr>
          <w:spacing w:val="-4"/>
        </w:rPr>
        <w:t xml:space="preserve"> </w:t>
      </w:r>
      <w:r>
        <w:t>period</w:t>
      </w:r>
      <w:r>
        <w:rPr>
          <w:spacing w:val="-4"/>
        </w:rPr>
        <w:t xml:space="preserve"> </w:t>
      </w:r>
      <w:r>
        <w:t>to</w:t>
      </w:r>
      <w:r>
        <w:rPr>
          <w:spacing w:val="-4"/>
        </w:rPr>
        <w:t xml:space="preserve"> </w:t>
      </w:r>
      <w:r>
        <w:t>achieve</w:t>
      </w:r>
      <w:r>
        <w:rPr>
          <w:spacing w:val="-4"/>
        </w:rPr>
        <w:t xml:space="preserve"> </w:t>
      </w:r>
      <w:r>
        <w:t>more</w:t>
      </w:r>
      <w:r>
        <w:rPr>
          <w:spacing w:val="-4"/>
        </w:rPr>
        <w:t xml:space="preserve"> </w:t>
      </w:r>
      <w:r>
        <w:t>optimal</w:t>
      </w:r>
      <w:r>
        <w:rPr>
          <w:spacing w:val="-4"/>
        </w:rPr>
        <w:t xml:space="preserve"> </w:t>
      </w:r>
      <w:r>
        <w:t>price</w:t>
      </w:r>
      <w:r>
        <w:rPr>
          <w:spacing w:val="-4"/>
        </w:rPr>
        <w:t xml:space="preserve"> </w:t>
      </w:r>
      <w:r>
        <w:t>stability</w:t>
      </w:r>
      <w:r>
        <w:rPr>
          <w:spacing w:val="-4"/>
        </w:rPr>
        <w:t xml:space="preserve"> </w:t>
      </w:r>
      <w:r>
        <w:t>and</w:t>
      </w:r>
      <w:r>
        <w:rPr>
          <w:spacing w:val="-4"/>
        </w:rPr>
        <w:t xml:space="preserve"> </w:t>
      </w:r>
      <w:r>
        <w:t>employment</w:t>
      </w:r>
      <w:r>
        <w:rPr>
          <w:spacing w:val="-4"/>
        </w:rPr>
        <w:t xml:space="preserve"> </w:t>
      </w:r>
      <w:r>
        <w:t>outcomes</w:t>
      </w:r>
      <w:r>
        <w:rPr>
          <w:spacing w:val="-4"/>
        </w:rPr>
        <w:t xml:space="preserve"> </w:t>
      </w:r>
      <w:r>
        <w:t>(see</w:t>
      </w:r>
      <w:r>
        <w:rPr>
          <w:spacing w:val="-4"/>
        </w:rPr>
        <w:t xml:space="preserve"> </w:t>
      </w:r>
      <w:r>
        <w:t>Chapter</w:t>
      </w:r>
      <w:r>
        <w:rPr>
          <w:spacing w:val="-4"/>
        </w:rPr>
        <w:t xml:space="preserve"> </w:t>
      </w:r>
      <w:r>
        <w:t>1)</w:t>
      </w:r>
      <w:r w:rsidR="0068598E">
        <w:rPr>
          <w:spacing w:val="-25"/>
        </w:rPr>
        <w:t>.</w:t>
      </w:r>
      <w:r>
        <w:t xml:space="preserve"> This lack of clarity resulted in stakeholders speculating about cooperation arrangements between RBA and APRA: some stakeholders questioned whether RBA had approached APRA to explore potential policy options; others questioned whether APRA had determined that macroprudential policy was not an appropriate response</w:t>
      </w:r>
      <w:r w:rsidR="0068598E">
        <w:rPr>
          <w:spacing w:val="-11"/>
        </w:rPr>
        <w:t>.</w:t>
      </w:r>
    </w:p>
    <w:p w14:paraId="0595A037" w14:textId="7404A57E" w:rsidR="00E2380A" w:rsidRDefault="00E2380A" w:rsidP="00E2380A">
      <w:r>
        <w:t>The Review also heard calls for more fundamental changes to the allocation of powers between financial regulators to strengthen the connections between monetary policy and macroprudential policy</w:t>
      </w:r>
      <w:r w:rsidR="0068598E">
        <w:rPr>
          <w:spacing w:val="-17"/>
        </w:rPr>
        <w:t>.</w:t>
      </w:r>
      <w:r>
        <w:rPr>
          <w:w w:val="85"/>
        </w:rPr>
        <w:t xml:space="preserve"> </w:t>
      </w:r>
      <w:r>
        <w:t>However, while important, the Review considers these suggestions beyond its terms of reference</w:t>
      </w:r>
      <w:r w:rsidR="0068598E">
        <w:rPr>
          <w:spacing w:val="-19"/>
        </w:rPr>
        <w:t>.</w:t>
      </w:r>
      <w:r>
        <w:rPr>
          <w:w w:val="85"/>
        </w:rPr>
        <w:t xml:space="preserve"> </w:t>
      </w:r>
      <w:r>
        <w:t>For example, the Review heard some suggestions of providing CFR, or a similar body, with the power to direct or recommend agencies to undertake actions on its behalf, including macroprudential policy</w:t>
      </w:r>
      <w:r w:rsidR="0068598E">
        <w:rPr>
          <w:spacing w:val="-18"/>
        </w:rPr>
        <w:t>.</w:t>
      </w:r>
      <w:r>
        <w:rPr>
          <w:w w:val="85"/>
        </w:rPr>
        <w:t xml:space="preserve"> </w:t>
      </w:r>
      <w:r>
        <w:t>In this vein, Kashyap (2023) suggests that a representative of the RBA should be an observer, or member, of a macroprudential committee</w:t>
      </w:r>
      <w:r w:rsidR="0068598E">
        <w:rPr>
          <w:spacing w:val="-19"/>
        </w:rPr>
        <w:t>.</w:t>
      </w:r>
      <w:r>
        <w:rPr>
          <w:w w:val="85"/>
        </w:rPr>
        <w:t xml:space="preserve"> </w:t>
      </w:r>
      <w:r>
        <w:t>While this type of decision making could reduce the risk of tension among regulators, it could undermine the clarity of individual accountabilities. The potential risks and benefits would need to be more fully assessed.</w:t>
      </w:r>
    </w:p>
    <w:p w14:paraId="58302024" w14:textId="4DB29FE3" w:rsidR="00E2380A" w:rsidRDefault="00E2380A" w:rsidP="00E2380A">
      <w:r>
        <w:t>In line with its terms of reference, the Review has focused on reinforcing cooperation and transparency. There are good working relationships between financial regulators, and close and frequent</w:t>
      </w:r>
      <w:r>
        <w:rPr>
          <w:spacing w:val="14"/>
        </w:rPr>
        <w:t xml:space="preserve"> </w:t>
      </w:r>
      <w:r>
        <w:t>engagement</w:t>
      </w:r>
      <w:r w:rsidR="0068598E">
        <w:rPr>
          <w:spacing w:val="-17"/>
        </w:rPr>
        <w:t>.</w:t>
      </w:r>
      <w:r>
        <w:rPr>
          <w:spacing w:val="14"/>
        </w:rPr>
        <w:t xml:space="preserve"> </w:t>
      </w:r>
      <w:r>
        <w:t>However,</w:t>
      </w:r>
      <w:r>
        <w:rPr>
          <w:spacing w:val="14"/>
        </w:rPr>
        <w:t xml:space="preserve"> </w:t>
      </w:r>
      <w:r>
        <w:t>these</w:t>
      </w:r>
      <w:r>
        <w:rPr>
          <w:spacing w:val="14"/>
        </w:rPr>
        <w:t xml:space="preserve"> </w:t>
      </w:r>
      <w:r>
        <w:t>structures</w:t>
      </w:r>
      <w:r>
        <w:rPr>
          <w:spacing w:val="14"/>
        </w:rPr>
        <w:t xml:space="preserve"> </w:t>
      </w:r>
      <w:r>
        <w:t>can</w:t>
      </w:r>
      <w:r>
        <w:rPr>
          <w:spacing w:val="14"/>
        </w:rPr>
        <w:t xml:space="preserve"> </w:t>
      </w:r>
      <w:r>
        <w:t>lack</w:t>
      </w:r>
      <w:r>
        <w:rPr>
          <w:spacing w:val="14"/>
        </w:rPr>
        <w:t xml:space="preserve"> </w:t>
      </w:r>
      <w:r>
        <w:t>formality</w:t>
      </w:r>
      <w:r>
        <w:rPr>
          <w:spacing w:val="14"/>
        </w:rPr>
        <w:t xml:space="preserve"> </w:t>
      </w:r>
      <w:r>
        <w:t>and</w:t>
      </w:r>
      <w:r>
        <w:rPr>
          <w:spacing w:val="14"/>
        </w:rPr>
        <w:t xml:space="preserve"> </w:t>
      </w:r>
      <w:r>
        <w:t>have</w:t>
      </w:r>
      <w:r>
        <w:rPr>
          <w:spacing w:val="14"/>
        </w:rPr>
        <w:t xml:space="preserve"> </w:t>
      </w:r>
      <w:r>
        <w:t>relied</w:t>
      </w:r>
      <w:r>
        <w:rPr>
          <w:spacing w:val="14"/>
        </w:rPr>
        <w:t xml:space="preserve"> </w:t>
      </w:r>
      <w:r>
        <w:t>somewhat on existing personal relationships. This can be a strength since it allows for flexibility and</w:t>
      </w:r>
      <w:r>
        <w:rPr>
          <w:spacing w:val="80"/>
        </w:rPr>
        <w:t xml:space="preserve"> </w:t>
      </w:r>
      <w:r>
        <w:t>supports timely responses to stress. But without clear and firm commitments to cooperation and transparency, there is a risk that this effectiveness could wane over time.</w:t>
      </w:r>
    </w:p>
    <w:p w14:paraId="494DEDD4" w14:textId="6FF4932E" w:rsidR="00E2380A" w:rsidRDefault="00E2380A" w:rsidP="00E2380A">
      <w:r>
        <w:lastRenderedPageBreak/>
        <w:t>The Review recommends the RBA Monetary Policy Board commit to providing CFR with formal advice, when monetary policy is likely to affect, or be affected by, risks to financial stability. This should include formal advice to APRA on its use of macroprudential tools</w:t>
      </w:r>
      <w:r w:rsidR="0068598E">
        <w:rPr>
          <w:spacing w:val="-17"/>
        </w:rPr>
        <w:t>.</w:t>
      </w:r>
    </w:p>
    <w:p w14:paraId="4DA9B54E" w14:textId="085A7292" w:rsidR="00E2380A" w:rsidRDefault="00E2380A" w:rsidP="00E2380A">
      <w:r>
        <w:t>On receipt of the advice, CFR would then need to discuss how agencies could work together to mitigate risks to financial stability. While macroprudential policy is an obvious potential tool, it has limitations and might not always be appropriate in all instances</w:t>
      </w:r>
      <w:r w:rsidR="0068598E">
        <w:rPr>
          <w:spacing w:val="-16"/>
        </w:rPr>
        <w:t>.</w:t>
      </w:r>
    </w:p>
    <w:p w14:paraId="6ADD868A" w14:textId="63E145CC" w:rsidR="00E2380A" w:rsidRDefault="00E2380A" w:rsidP="00E2380A">
      <w:r>
        <w:t>To reinforce accountability, the RBA Monetary Policy Board’s advice to the CFR and APRA should</w:t>
      </w:r>
      <w:r>
        <w:rPr>
          <w:spacing w:val="40"/>
        </w:rPr>
        <w:t xml:space="preserve"> </w:t>
      </w:r>
      <w:r>
        <w:t>be made public with a lag of 5 years, other than where there are important sensitivities that mean</w:t>
      </w:r>
      <w:r w:rsidR="00DF15CA">
        <w:t xml:space="preserve"> </w:t>
      </w:r>
      <w:r>
        <w:t>publication is not in the national interest</w:t>
      </w:r>
      <w:r w:rsidR="0068598E">
        <w:rPr>
          <w:spacing w:val="-23"/>
        </w:rPr>
        <w:t>.</w:t>
      </w:r>
      <w:r>
        <w:rPr>
          <w:w w:val="85"/>
        </w:rPr>
        <w:t xml:space="preserve"> </w:t>
      </w:r>
      <w:r>
        <w:t>Likewise, where there are sensitivities with the publication of certain content, the Review supports providing some discretion for deciding the best course</w:t>
      </w:r>
    </w:p>
    <w:p w14:paraId="4F7F43FC" w14:textId="3691983E" w:rsidR="00E2380A" w:rsidRDefault="00E2380A" w:rsidP="00E2380A">
      <w:r>
        <w:t>of action</w:t>
      </w:r>
      <w:r w:rsidR="0068598E">
        <w:rPr>
          <w:spacing w:val="-24"/>
        </w:rPr>
        <w:t>.</w:t>
      </w:r>
      <w:r>
        <w:rPr>
          <w:w w:val="85"/>
        </w:rPr>
        <w:t xml:space="preserve"> </w:t>
      </w:r>
      <w:r>
        <w:t>This is consistent with the recommended approach to publicly releasing RBA Monetary Policy Board papers (see Recommendation 10</w:t>
      </w:r>
      <w:r w:rsidR="0068598E">
        <w:rPr>
          <w:spacing w:val="-20"/>
        </w:rPr>
        <w:t>.</w:t>
      </w:r>
      <w:r>
        <w:rPr>
          <w:w w:val="117"/>
        </w:rPr>
        <w:t>4)</w:t>
      </w:r>
      <w:r w:rsidR="0068598E">
        <w:rPr>
          <w:spacing w:val="-20"/>
          <w:w w:val="99"/>
        </w:rPr>
        <w:t>.</w:t>
      </w:r>
      <w:r>
        <w:rPr>
          <w:w w:val="85"/>
        </w:rPr>
        <w:t xml:space="preserve"> </w:t>
      </w:r>
      <w:r>
        <w:t>It balances the need for agencies to privately discuss potential solutions, while publicly holding them to account for their decisions</w:t>
      </w:r>
      <w:r w:rsidR="0068598E">
        <w:rPr>
          <w:spacing w:val="-18"/>
        </w:rPr>
        <w:t>.</w:t>
      </w:r>
    </w:p>
    <w:p w14:paraId="25F725B3" w14:textId="4E1D4E83" w:rsidR="00D21F4B" w:rsidRDefault="00D21F4B" w:rsidP="00D21F4B">
      <w:r>
        <w:t>This</w:t>
      </w:r>
      <w:r>
        <w:rPr>
          <w:spacing w:val="-6"/>
        </w:rPr>
        <w:t xml:space="preserve"> </w:t>
      </w:r>
      <w:r>
        <w:t>recommendation</w:t>
      </w:r>
      <w:r>
        <w:rPr>
          <w:spacing w:val="-4"/>
        </w:rPr>
        <w:t xml:space="preserve"> </w:t>
      </w:r>
      <w:r>
        <w:t>also</w:t>
      </w:r>
      <w:r>
        <w:rPr>
          <w:spacing w:val="-4"/>
        </w:rPr>
        <w:t xml:space="preserve"> </w:t>
      </w:r>
      <w:r>
        <w:t>complements</w:t>
      </w:r>
      <w:r>
        <w:rPr>
          <w:spacing w:val="-4"/>
        </w:rPr>
        <w:t xml:space="preserve"> </w:t>
      </w:r>
      <w:r>
        <w:t>Recommendation</w:t>
      </w:r>
      <w:r>
        <w:rPr>
          <w:spacing w:val="-4"/>
        </w:rPr>
        <w:t xml:space="preserve"> </w:t>
      </w:r>
      <w:r>
        <w:t>2</w:t>
      </w:r>
      <w:r w:rsidR="0068598E">
        <w:rPr>
          <w:spacing w:val="-25"/>
        </w:rPr>
        <w:t>.</w:t>
      </w:r>
      <w:r>
        <w:rPr>
          <w:w w:val="126"/>
        </w:rPr>
        <w:t>2</w:t>
      </w:r>
      <w:r w:rsidR="0068598E">
        <w:rPr>
          <w:spacing w:val="-25"/>
          <w:w w:val="99"/>
        </w:rPr>
        <w:t>.</w:t>
      </w:r>
      <w:r>
        <w:rPr>
          <w:w w:val="85"/>
        </w:rPr>
        <w:t xml:space="preserve"> </w:t>
      </w:r>
      <w:r>
        <w:t>The</w:t>
      </w:r>
      <w:r>
        <w:rPr>
          <w:spacing w:val="-4"/>
        </w:rPr>
        <w:t xml:space="preserve"> </w:t>
      </w:r>
      <w:r>
        <w:t>cash</w:t>
      </w:r>
      <w:r>
        <w:rPr>
          <w:spacing w:val="-4"/>
        </w:rPr>
        <w:t xml:space="preserve"> </w:t>
      </w:r>
      <w:r>
        <w:t>rate</w:t>
      </w:r>
      <w:r>
        <w:rPr>
          <w:spacing w:val="-4"/>
        </w:rPr>
        <w:t xml:space="preserve"> </w:t>
      </w:r>
      <w:r>
        <w:t>should</w:t>
      </w:r>
      <w:r>
        <w:rPr>
          <w:spacing w:val="-4"/>
        </w:rPr>
        <w:t xml:space="preserve"> </w:t>
      </w:r>
      <w:r>
        <w:t>not</w:t>
      </w:r>
      <w:r>
        <w:rPr>
          <w:spacing w:val="-4"/>
        </w:rPr>
        <w:t xml:space="preserve"> </w:t>
      </w:r>
      <w:r>
        <w:t>be considered the ‘first line of defence’ against financial stability risks. In instances where the RBA’s pursuit of its price stability and full employment objectives could give rise to financial stability risks, it is important that macroprudential (or other) policies have been actively considered as a potential mitigant</w:t>
      </w:r>
      <w:r w:rsidR="0068598E">
        <w:rPr>
          <w:spacing w:val="-19"/>
        </w:rPr>
        <w:t>.</w:t>
      </w:r>
      <w:r>
        <w:rPr>
          <w:w w:val="85"/>
        </w:rPr>
        <w:t xml:space="preserve"> </w:t>
      </w:r>
      <w:r>
        <w:t>The ultimate objective would be to provide the RBA with more flexibility to use the cash rate in pursuit of its price stability and full employment objectives, while containing risks to financial stability with more targeted tools.</w:t>
      </w:r>
    </w:p>
    <w:p w14:paraId="519B0482" w14:textId="77777777" w:rsidR="00D21F4B" w:rsidRDefault="00D21F4B" w:rsidP="00D21F4B">
      <w:pPr>
        <w:pStyle w:val="Heading3"/>
      </w:pPr>
      <w:r>
        <w:t>Recommendation</w:t>
      </w:r>
      <w:r>
        <w:rPr>
          <w:spacing w:val="-12"/>
        </w:rPr>
        <w:t xml:space="preserve"> </w:t>
      </w:r>
      <w:r>
        <w:t>6.3:</w:t>
      </w:r>
      <w:r>
        <w:rPr>
          <w:spacing w:val="-12"/>
        </w:rPr>
        <w:t xml:space="preserve"> </w:t>
      </w:r>
      <w:r>
        <w:t>Update</w:t>
      </w:r>
      <w:r>
        <w:rPr>
          <w:spacing w:val="-12"/>
        </w:rPr>
        <w:t xml:space="preserve"> </w:t>
      </w:r>
      <w:r>
        <w:t>the</w:t>
      </w:r>
      <w:r>
        <w:rPr>
          <w:spacing w:val="-12"/>
        </w:rPr>
        <w:t xml:space="preserve"> </w:t>
      </w:r>
      <w:r>
        <w:t>memorandum</w:t>
      </w:r>
      <w:r>
        <w:rPr>
          <w:spacing w:val="-12"/>
        </w:rPr>
        <w:t xml:space="preserve"> </w:t>
      </w:r>
      <w:r>
        <w:t>of</w:t>
      </w:r>
      <w:r>
        <w:rPr>
          <w:spacing w:val="-12"/>
        </w:rPr>
        <w:t xml:space="preserve"> </w:t>
      </w:r>
      <w:r>
        <w:t>understanding between APRA and the RBA</w:t>
      </w:r>
    </w:p>
    <w:p w14:paraId="4308E144" w14:textId="7A84525C" w:rsidR="00D21F4B" w:rsidRDefault="00D21F4B" w:rsidP="00D21F4B">
      <w:r>
        <w:t>With RBA and APRA having important complementary tools for promoting financial stability, it is important that bilateral cooperation arrangements between these agencies are strong</w:t>
      </w:r>
      <w:r w:rsidR="0068598E">
        <w:rPr>
          <w:spacing w:val="-22"/>
        </w:rPr>
        <w:t>.</w:t>
      </w:r>
      <w:r>
        <w:t xml:space="preserve"> The Review’s recommendation seeks to reinforce accountability, by setting out specific commitments to cooperation between APRA and RBA publicly and formally</w:t>
      </w:r>
      <w:r w:rsidR="0068598E">
        <w:rPr>
          <w:spacing w:val="-15"/>
        </w:rPr>
        <w:t>.</w:t>
      </w:r>
    </w:p>
    <w:p w14:paraId="46B6D913" w14:textId="7FA8417C" w:rsidR="00D21F4B" w:rsidRDefault="00D21F4B" w:rsidP="00D21F4B">
      <w:r>
        <w:t>The memorandum of understanding between APRA and the RBA has not been updated since</w:t>
      </w:r>
      <w:r>
        <w:rPr>
          <w:spacing w:val="80"/>
        </w:rPr>
        <w:t xml:space="preserve"> </w:t>
      </w:r>
      <w:r>
        <w:t>it was first created in 1998, around the time of APRA’s inception. The Review is aware that RBA and APRA have recently been discussing potential changes, and it is important that this update includes more specific and more active commitments to cooperation. It is good practice for memorandums of understanding to be regularly reviewed as conditions evolve</w:t>
      </w:r>
      <w:r w:rsidR="0068598E">
        <w:rPr>
          <w:spacing w:val="-16"/>
        </w:rPr>
        <w:t>.</w:t>
      </w:r>
    </w:p>
    <w:p w14:paraId="6FB292E7" w14:textId="7744CAE3" w:rsidR="00D21F4B" w:rsidRDefault="00D21F4B" w:rsidP="00D21F4B">
      <w:r>
        <w:t>The updated memorandum of understanding should clearly set out how the RBA is consulted as part of APRA’s regular review of its macroprudential policy settings</w:t>
      </w:r>
      <w:r w:rsidR="0068598E">
        <w:rPr>
          <w:spacing w:val="-18"/>
        </w:rPr>
        <w:t>.</w:t>
      </w:r>
      <w:r>
        <w:t xml:space="preserve"> The Review is aware</w:t>
      </w:r>
      <w:r>
        <w:rPr>
          <w:spacing w:val="80"/>
        </w:rPr>
        <w:t xml:space="preserve"> </w:t>
      </w:r>
      <w:r>
        <w:t>that there is regular sharing of financial stability risk assessments between APRA and RBA. However, there is no formal process for capturing the RBA’s views on financial stability risks for APRA’s macroprudential policy decision makers</w:t>
      </w:r>
      <w:r w:rsidR="0068598E">
        <w:rPr>
          <w:spacing w:val="-8"/>
        </w:rPr>
        <w:t>.</w:t>
      </w:r>
    </w:p>
    <w:p w14:paraId="30BAA26D" w14:textId="245E36AF" w:rsidR="00D21F4B" w:rsidRDefault="00D21F4B" w:rsidP="00D21F4B">
      <w:r>
        <w:t>While it is important that APRA has clear accountability for macroprudential policy decisions, the RBA’s insights should be a key consideration for decision makers</w:t>
      </w:r>
      <w:r w:rsidR="0068598E">
        <w:rPr>
          <w:spacing w:val="-23"/>
        </w:rPr>
        <w:t>.</w:t>
      </w:r>
      <w:r>
        <w:rPr>
          <w:w w:val="85"/>
        </w:rPr>
        <w:t xml:space="preserve"> </w:t>
      </w:r>
      <w:r>
        <w:t>Macroprudential policy will not be an appropriate response to all sources of financial stability risk; however, greater RBA consultation would provide for more robust challenge and debate on potential policy options</w:t>
      </w:r>
      <w:r w:rsidR="0068598E">
        <w:rPr>
          <w:spacing w:val="-24"/>
        </w:rPr>
        <w:t>.</w:t>
      </w:r>
      <w:r>
        <w:rPr>
          <w:w w:val="85"/>
        </w:rPr>
        <w:t xml:space="preserve"> </w:t>
      </w:r>
      <w:r>
        <w:t>APRA might consider, for example, including a formal view from the RBA on its policy papers or having RBA staff present at macroprudential policy discussions.</w:t>
      </w:r>
    </w:p>
    <w:p w14:paraId="13DC5283" w14:textId="77777777" w:rsidR="00D21F4B" w:rsidRDefault="00D21F4B" w:rsidP="00B32A3E">
      <w:pPr>
        <w:rPr>
          <w:spacing w:val="-13"/>
        </w:rPr>
      </w:pPr>
    </w:p>
    <w:p w14:paraId="6224E04D" w14:textId="1C699DC1" w:rsidR="00ED4340" w:rsidRDefault="00B32A3E" w:rsidP="00B32A3E">
      <w:pPr>
        <w:rPr>
          <w:w w:val="85"/>
        </w:rPr>
      </w:pPr>
      <w:r>
        <w:rPr>
          <w:w w:val="85"/>
        </w:rPr>
        <w:t>.</w:t>
      </w:r>
      <w:r w:rsidR="00ED4340">
        <w:rPr>
          <w:w w:val="85"/>
        </w:rPr>
        <w:br w:type="page"/>
      </w:r>
    </w:p>
    <w:p w14:paraId="2566A9FE" w14:textId="77777777" w:rsidR="00C03FBB" w:rsidRDefault="00C03FBB" w:rsidP="00C03FBB">
      <w:pPr>
        <w:pStyle w:val="Heading2"/>
      </w:pPr>
      <w:bookmarkStart w:id="43" w:name="_Toc134221013"/>
      <w:r w:rsidRPr="00C03FBB">
        <w:lastRenderedPageBreak/>
        <w:t>Recommendation</w:t>
      </w:r>
      <w:r>
        <w:rPr>
          <w:spacing w:val="-12"/>
        </w:rPr>
        <w:t xml:space="preserve"> </w:t>
      </w:r>
      <w:r>
        <w:rPr>
          <w:spacing w:val="-4"/>
        </w:rPr>
        <w:t>7:</w:t>
      </w:r>
      <w:r>
        <w:rPr>
          <w:spacing w:val="-12"/>
        </w:rPr>
        <w:t xml:space="preserve"> </w:t>
      </w:r>
      <w:r>
        <w:rPr>
          <w:spacing w:val="-4"/>
        </w:rPr>
        <w:t>The</w:t>
      </w:r>
      <w:r>
        <w:rPr>
          <w:spacing w:val="-12"/>
        </w:rPr>
        <w:t xml:space="preserve"> </w:t>
      </w:r>
      <w:r>
        <w:rPr>
          <w:spacing w:val="-4"/>
        </w:rPr>
        <w:t>RBA</w:t>
      </w:r>
      <w:r>
        <w:rPr>
          <w:spacing w:val="-12"/>
        </w:rPr>
        <w:t xml:space="preserve"> </w:t>
      </w:r>
      <w:r>
        <w:rPr>
          <w:spacing w:val="-4"/>
        </w:rPr>
        <w:t>should</w:t>
      </w:r>
      <w:r>
        <w:rPr>
          <w:spacing w:val="-12"/>
        </w:rPr>
        <w:t xml:space="preserve"> </w:t>
      </w:r>
      <w:r>
        <w:rPr>
          <w:spacing w:val="-4"/>
        </w:rPr>
        <w:t>take</w:t>
      </w:r>
      <w:r>
        <w:rPr>
          <w:spacing w:val="-12"/>
        </w:rPr>
        <w:t xml:space="preserve"> </w:t>
      </w:r>
      <w:r>
        <w:rPr>
          <w:spacing w:val="-4"/>
        </w:rPr>
        <w:t xml:space="preserve">account </w:t>
      </w:r>
      <w:r>
        <w:t>of</w:t>
      </w:r>
      <w:r>
        <w:rPr>
          <w:spacing w:val="-3"/>
        </w:rPr>
        <w:t xml:space="preserve"> </w:t>
      </w:r>
      <w:r>
        <w:t>climate</w:t>
      </w:r>
      <w:r>
        <w:rPr>
          <w:spacing w:val="-3"/>
        </w:rPr>
        <w:t xml:space="preserve"> </w:t>
      </w:r>
      <w:r>
        <w:t>risks</w:t>
      </w:r>
      <w:r>
        <w:rPr>
          <w:spacing w:val="-3"/>
        </w:rPr>
        <w:t xml:space="preserve"> </w:t>
      </w:r>
      <w:r>
        <w:t>but</w:t>
      </w:r>
      <w:r>
        <w:rPr>
          <w:spacing w:val="-3"/>
        </w:rPr>
        <w:t xml:space="preserve"> </w:t>
      </w:r>
      <w:r>
        <w:t>not</w:t>
      </w:r>
      <w:r>
        <w:rPr>
          <w:spacing w:val="-3"/>
        </w:rPr>
        <w:t xml:space="preserve"> </w:t>
      </w:r>
      <w:r>
        <w:t>use</w:t>
      </w:r>
      <w:r>
        <w:rPr>
          <w:spacing w:val="-3"/>
        </w:rPr>
        <w:t xml:space="preserve"> </w:t>
      </w:r>
      <w:r>
        <w:t>monetary</w:t>
      </w:r>
      <w:r>
        <w:rPr>
          <w:spacing w:val="-3"/>
        </w:rPr>
        <w:t xml:space="preserve"> </w:t>
      </w:r>
      <w:r>
        <w:t>policy</w:t>
      </w:r>
      <w:r>
        <w:rPr>
          <w:spacing w:val="-3"/>
        </w:rPr>
        <w:t xml:space="preserve"> </w:t>
      </w:r>
      <w:r>
        <w:t>to address them</w:t>
      </w:r>
      <w:bookmarkEnd w:id="43"/>
    </w:p>
    <w:tbl>
      <w:tblPr>
        <w:tblW w:w="5000" w:type="pct"/>
        <w:tblCellMar>
          <w:left w:w="0" w:type="dxa"/>
          <w:right w:w="0" w:type="dxa"/>
        </w:tblCellMar>
        <w:tblLook w:val="01E0" w:firstRow="1" w:lastRow="1" w:firstColumn="1" w:lastColumn="1" w:noHBand="0" w:noVBand="0"/>
      </w:tblPr>
      <w:tblGrid>
        <w:gridCol w:w="796"/>
        <w:gridCol w:w="8274"/>
      </w:tblGrid>
      <w:tr w:rsidR="00EC5EA8" w14:paraId="328457AF" w14:textId="77777777" w:rsidTr="00C03FBB">
        <w:trPr>
          <w:trHeight w:val="639"/>
        </w:trPr>
        <w:tc>
          <w:tcPr>
            <w:tcW w:w="5000" w:type="pct"/>
            <w:gridSpan w:val="2"/>
            <w:tcBorders>
              <w:bottom w:val="single" w:sz="8" w:space="0" w:color="ECEDE9"/>
            </w:tcBorders>
          </w:tcPr>
          <w:p w14:paraId="7686F57B" w14:textId="77777777" w:rsidR="00EC5EA8" w:rsidRDefault="00EC5EA8" w:rsidP="00F22AE5">
            <w:pPr>
              <w:pStyle w:val="Heading4"/>
            </w:pPr>
            <w:r>
              <w:t>Recommendation</w:t>
            </w:r>
            <w:r>
              <w:rPr>
                <w:spacing w:val="-1"/>
              </w:rPr>
              <w:t xml:space="preserve"> </w:t>
            </w:r>
            <w:r>
              <w:t>7:</w:t>
            </w:r>
            <w:r>
              <w:rPr>
                <w:spacing w:val="-1"/>
              </w:rPr>
              <w:t xml:space="preserve"> </w:t>
            </w:r>
            <w:r>
              <w:t>The</w:t>
            </w:r>
            <w:r>
              <w:rPr>
                <w:spacing w:val="-1"/>
              </w:rPr>
              <w:t xml:space="preserve"> </w:t>
            </w:r>
            <w:r>
              <w:t>RBA</w:t>
            </w:r>
            <w:r>
              <w:rPr>
                <w:spacing w:val="-1"/>
              </w:rPr>
              <w:t xml:space="preserve"> </w:t>
            </w:r>
            <w:r>
              <w:t>should</w:t>
            </w:r>
            <w:r>
              <w:rPr>
                <w:spacing w:val="-1"/>
              </w:rPr>
              <w:t xml:space="preserve"> </w:t>
            </w:r>
            <w:r>
              <w:t>take</w:t>
            </w:r>
            <w:r>
              <w:rPr>
                <w:spacing w:val="-1"/>
              </w:rPr>
              <w:t xml:space="preserve"> </w:t>
            </w:r>
            <w:r>
              <w:t>account</w:t>
            </w:r>
            <w:r>
              <w:rPr>
                <w:spacing w:val="-1"/>
              </w:rPr>
              <w:t xml:space="preserve"> </w:t>
            </w:r>
            <w:r>
              <w:t>of</w:t>
            </w:r>
            <w:r>
              <w:rPr>
                <w:spacing w:val="-1"/>
              </w:rPr>
              <w:t xml:space="preserve"> </w:t>
            </w:r>
            <w:r>
              <w:t>climate</w:t>
            </w:r>
            <w:r>
              <w:rPr>
                <w:spacing w:val="-1"/>
              </w:rPr>
              <w:t xml:space="preserve"> </w:t>
            </w:r>
            <w:r>
              <w:t>risks</w:t>
            </w:r>
            <w:r>
              <w:rPr>
                <w:spacing w:val="-1"/>
              </w:rPr>
              <w:t xml:space="preserve"> </w:t>
            </w:r>
            <w:r>
              <w:t>but</w:t>
            </w:r>
            <w:r>
              <w:rPr>
                <w:spacing w:val="-1"/>
              </w:rPr>
              <w:t xml:space="preserve"> </w:t>
            </w:r>
            <w:r>
              <w:t>not</w:t>
            </w:r>
            <w:r>
              <w:rPr>
                <w:spacing w:val="-1"/>
              </w:rPr>
              <w:t xml:space="preserve"> </w:t>
            </w:r>
            <w:r>
              <w:t>use monetary policy to address them</w:t>
            </w:r>
          </w:p>
        </w:tc>
      </w:tr>
      <w:tr w:rsidR="00EC5EA8" w14:paraId="3A65D361" w14:textId="77777777" w:rsidTr="00C03FBB">
        <w:trPr>
          <w:trHeight w:val="1948"/>
        </w:trPr>
        <w:tc>
          <w:tcPr>
            <w:tcW w:w="439" w:type="pct"/>
            <w:tcBorders>
              <w:top w:val="single" w:sz="8" w:space="0" w:color="ECEDE9"/>
              <w:bottom w:val="single" w:sz="8" w:space="0" w:color="ECEDE9"/>
            </w:tcBorders>
          </w:tcPr>
          <w:p w14:paraId="1A24B2E9" w14:textId="77777777" w:rsidR="00EC5EA8" w:rsidRDefault="00EC5EA8" w:rsidP="00F22AE5">
            <w:r>
              <w:t>7.1</w:t>
            </w:r>
          </w:p>
        </w:tc>
        <w:tc>
          <w:tcPr>
            <w:tcW w:w="4561" w:type="pct"/>
            <w:tcBorders>
              <w:top w:val="single" w:sz="8" w:space="0" w:color="ECEDE9"/>
              <w:bottom w:val="single" w:sz="8" w:space="0" w:color="ECEDE9"/>
            </w:tcBorders>
          </w:tcPr>
          <w:p w14:paraId="0CF0626C" w14:textId="77777777" w:rsidR="00EC5EA8" w:rsidRDefault="00EC5EA8" w:rsidP="00F22AE5">
            <w:r>
              <w:t>The RBA</w:t>
            </w:r>
            <w:r>
              <w:rPr>
                <w:spacing w:val="1"/>
              </w:rPr>
              <w:t xml:space="preserve"> </w:t>
            </w:r>
            <w:r>
              <w:t>should</w:t>
            </w:r>
            <w:r>
              <w:rPr>
                <w:spacing w:val="1"/>
              </w:rPr>
              <w:t xml:space="preserve"> </w:t>
            </w:r>
            <w:r>
              <w:t>continue</w:t>
            </w:r>
            <w:r>
              <w:rPr>
                <w:spacing w:val="1"/>
              </w:rPr>
              <w:t xml:space="preserve"> </w:t>
            </w:r>
            <w:r>
              <w:t>to:</w:t>
            </w:r>
          </w:p>
          <w:p w14:paraId="7CFC9189" w14:textId="77777777" w:rsidR="00EC5EA8" w:rsidRDefault="00EC5EA8" w:rsidP="0000278A">
            <w:pPr>
              <w:pStyle w:val="Bullet"/>
            </w:pPr>
            <w:r>
              <w:t>integrate the implications of climate</w:t>
            </w:r>
            <w:r>
              <w:rPr>
                <w:spacing w:val="1"/>
              </w:rPr>
              <w:t xml:space="preserve"> </w:t>
            </w:r>
            <w:r>
              <w:t>change for the Australian economy</w:t>
            </w:r>
            <w:r>
              <w:rPr>
                <w:spacing w:val="1"/>
              </w:rPr>
              <w:t xml:space="preserve"> </w:t>
            </w:r>
            <w:r>
              <w:t>and financial</w:t>
            </w:r>
            <w:r>
              <w:rPr>
                <w:spacing w:val="3"/>
              </w:rPr>
              <w:t xml:space="preserve"> </w:t>
            </w:r>
            <w:r>
              <w:t>system</w:t>
            </w:r>
            <w:r>
              <w:rPr>
                <w:spacing w:val="4"/>
              </w:rPr>
              <w:t xml:space="preserve"> </w:t>
            </w:r>
            <w:r>
              <w:t>into</w:t>
            </w:r>
            <w:r>
              <w:rPr>
                <w:spacing w:val="3"/>
              </w:rPr>
              <w:t xml:space="preserve"> </w:t>
            </w:r>
            <w:r>
              <w:t>its</w:t>
            </w:r>
            <w:r>
              <w:rPr>
                <w:spacing w:val="4"/>
              </w:rPr>
              <w:t xml:space="preserve"> </w:t>
            </w:r>
            <w:r>
              <w:rPr>
                <w:spacing w:val="-2"/>
              </w:rPr>
              <w:t>analysis</w:t>
            </w:r>
          </w:p>
          <w:p w14:paraId="00683FD7" w14:textId="77777777" w:rsidR="00EC5EA8" w:rsidRDefault="00EC5EA8" w:rsidP="0000278A">
            <w:pPr>
              <w:pStyle w:val="Bullet"/>
            </w:pPr>
            <w:r>
              <w:t>contribute more generally to the effective regulation of banking and finance on climate risk and natural capital management through the Council of Financial Regulators and international forums.</w:t>
            </w:r>
          </w:p>
        </w:tc>
      </w:tr>
      <w:tr w:rsidR="00EC5EA8" w14:paraId="1999A0BC" w14:textId="77777777" w:rsidTr="00C03FBB">
        <w:trPr>
          <w:trHeight w:val="1390"/>
        </w:trPr>
        <w:tc>
          <w:tcPr>
            <w:tcW w:w="439" w:type="pct"/>
            <w:tcBorders>
              <w:top w:val="single" w:sz="8" w:space="0" w:color="ECEDE9"/>
            </w:tcBorders>
          </w:tcPr>
          <w:p w14:paraId="6F6AF386" w14:textId="77777777" w:rsidR="00EC5EA8" w:rsidRDefault="00EC5EA8" w:rsidP="00F22AE5">
            <w:r>
              <w:t>7.2</w:t>
            </w:r>
          </w:p>
        </w:tc>
        <w:tc>
          <w:tcPr>
            <w:tcW w:w="4561" w:type="pct"/>
            <w:tcBorders>
              <w:top w:val="single" w:sz="8" w:space="0" w:color="ECEDE9"/>
            </w:tcBorders>
          </w:tcPr>
          <w:p w14:paraId="750D483F" w14:textId="77777777" w:rsidR="00EC5EA8" w:rsidRDefault="00EC5EA8" w:rsidP="00F22AE5">
            <w:r>
              <w:t>The Government should not make transition to a low carbon economy an explicit objective of monetary policy. The Government should set the mix of policies to pursue and manage the transition, rather than the RBA using its balance sheet or directing private lending to accelerate transition.</w:t>
            </w:r>
          </w:p>
        </w:tc>
      </w:tr>
    </w:tbl>
    <w:p w14:paraId="1719084E" w14:textId="29EE8D14" w:rsidR="00E84054" w:rsidRDefault="00E84054" w:rsidP="00E84054">
      <w:r>
        <w:t>Climate change is a critical concern for humanity and has important implications for the Australian economy and the RBA</w:t>
      </w:r>
      <w:r w:rsidR="0068598E">
        <w:rPr>
          <w:spacing w:val="-17"/>
        </w:rPr>
        <w:t>.</w:t>
      </w:r>
      <w:r>
        <w:t xml:space="preserve"> Submissions, consultations and the research undertaken by the Review</w:t>
      </w:r>
      <w:r>
        <w:rPr>
          <w:spacing w:val="80"/>
        </w:rPr>
        <w:t xml:space="preserve"> </w:t>
      </w:r>
      <w:r>
        <w:t>have made clear that this is a priority of the community. Reflecting this, the Review has summarised its views on the issue in a single recommendation, which cuts across the RBA’s monetary policy and financial stability responsibilities.</w:t>
      </w:r>
    </w:p>
    <w:p w14:paraId="0F870302" w14:textId="74CDE32B" w:rsidR="00E84054" w:rsidRPr="00E84054" w:rsidRDefault="00E84054" w:rsidP="00CC3154">
      <w:pPr>
        <w:pStyle w:val="Heading3"/>
      </w:pPr>
      <w:r>
        <w:t>Recommendation</w:t>
      </w:r>
      <w:r>
        <w:rPr>
          <w:spacing w:val="-9"/>
        </w:rPr>
        <w:t xml:space="preserve"> </w:t>
      </w:r>
      <w:r>
        <w:t>7.1:</w:t>
      </w:r>
      <w:r>
        <w:rPr>
          <w:spacing w:val="-8"/>
        </w:rPr>
        <w:t xml:space="preserve"> </w:t>
      </w:r>
      <w:r>
        <w:t>Continuing</w:t>
      </w:r>
      <w:r>
        <w:rPr>
          <w:spacing w:val="-8"/>
        </w:rPr>
        <w:t xml:space="preserve"> </w:t>
      </w:r>
      <w:r>
        <w:t>to</w:t>
      </w:r>
      <w:r>
        <w:rPr>
          <w:spacing w:val="-8"/>
        </w:rPr>
        <w:t xml:space="preserve"> </w:t>
      </w:r>
      <w:r>
        <w:t>incorporate climate</w:t>
      </w:r>
      <w:r>
        <w:rPr>
          <w:spacing w:val="-10"/>
        </w:rPr>
        <w:t xml:space="preserve"> </w:t>
      </w:r>
      <w:r>
        <w:t>risks</w:t>
      </w:r>
      <w:r>
        <w:rPr>
          <w:spacing w:val="-9"/>
        </w:rPr>
        <w:t xml:space="preserve"> </w:t>
      </w:r>
      <w:r>
        <w:t>into</w:t>
      </w:r>
      <w:r>
        <w:rPr>
          <w:spacing w:val="-10"/>
        </w:rPr>
        <w:t xml:space="preserve"> </w:t>
      </w:r>
      <w:r>
        <w:t>analysis</w:t>
      </w:r>
      <w:r>
        <w:rPr>
          <w:spacing w:val="-10"/>
        </w:rPr>
        <w:t xml:space="preserve"> </w:t>
      </w:r>
      <w:r>
        <w:t>of</w:t>
      </w:r>
      <w:r>
        <w:rPr>
          <w:spacing w:val="-9"/>
        </w:rPr>
        <w:t xml:space="preserve"> </w:t>
      </w:r>
      <w:r>
        <w:t>the</w:t>
      </w:r>
      <w:r>
        <w:rPr>
          <w:spacing w:val="-10"/>
        </w:rPr>
        <w:t xml:space="preserve"> </w:t>
      </w:r>
      <w:r>
        <w:t>macroeconomy</w:t>
      </w:r>
      <w:r>
        <w:rPr>
          <w:spacing w:val="-9"/>
        </w:rPr>
        <w:t xml:space="preserve"> </w:t>
      </w:r>
      <w:r>
        <w:t>and</w:t>
      </w:r>
      <w:r>
        <w:rPr>
          <w:spacing w:val="-10"/>
        </w:rPr>
        <w:t xml:space="preserve"> </w:t>
      </w:r>
      <w:r>
        <w:t>financial</w:t>
      </w:r>
      <w:r>
        <w:rPr>
          <w:spacing w:val="-9"/>
        </w:rPr>
        <w:t xml:space="preserve"> </w:t>
      </w:r>
      <w:r>
        <w:rPr>
          <w:spacing w:val="-2"/>
        </w:rPr>
        <w:t>system</w:t>
      </w:r>
    </w:p>
    <w:p w14:paraId="498B255D" w14:textId="06B0B005" w:rsidR="00E84054" w:rsidRDefault="00E84054" w:rsidP="00E84054">
      <w:r>
        <w:t>Climate</w:t>
      </w:r>
      <w:r>
        <w:rPr>
          <w:spacing w:val="-1"/>
        </w:rPr>
        <w:t xml:space="preserve"> </w:t>
      </w:r>
      <w:r>
        <w:t>change</w:t>
      </w:r>
      <w:r>
        <w:rPr>
          <w:spacing w:val="-1"/>
        </w:rPr>
        <w:t xml:space="preserve"> </w:t>
      </w:r>
      <w:r>
        <w:t>is</w:t>
      </w:r>
      <w:r>
        <w:rPr>
          <w:spacing w:val="-1"/>
        </w:rPr>
        <w:t xml:space="preserve"> </w:t>
      </w:r>
      <w:r>
        <w:t>increasing</w:t>
      </w:r>
      <w:r>
        <w:rPr>
          <w:spacing w:val="-1"/>
        </w:rPr>
        <w:t xml:space="preserve"> </w:t>
      </w:r>
      <w:r>
        <w:t>the</w:t>
      </w:r>
      <w:r>
        <w:rPr>
          <w:spacing w:val="-1"/>
        </w:rPr>
        <w:t xml:space="preserve"> </w:t>
      </w:r>
      <w:r>
        <w:t>frequency</w:t>
      </w:r>
      <w:r>
        <w:rPr>
          <w:spacing w:val="-1"/>
        </w:rPr>
        <w:t xml:space="preserve"> </w:t>
      </w:r>
      <w:r>
        <w:t>of</w:t>
      </w:r>
      <w:r>
        <w:rPr>
          <w:spacing w:val="-1"/>
        </w:rPr>
        <w:t xml:space="preserve"> </w:t>
      </w:r>
      <w:r>
        <w:t>some</w:t>
      </w:r>
      <w:r>
        <w:rPr>
          <w:spacing w:val="-1"/>
        </w:rPr>
        <w:t xml:space="preserve"> </w:t>
      </w:r>
      <w:r>
        <w:t>natural</w:t>
      </w:r>
      <w:r>
        <w:rPr>
          <w:spacing w:val="-1"/>
        </w:rPr>
        <w:t xml:space="preserve"> </w:t>
      </w:r>
      <w:r>
        <w:t>disasters</w:t>
      </w:r>
      <w:r>
        <w:rPr>
          <w:spacing w:val="-1"/>
        </w:rPr>
        <w:t xml:space="preserve"> </w:t>
      </w:r>
      <w:r>
        <w:t>and</w:t>
      </w:r>
      <w:r>
        <w:rPr>
          <w:spacing w:val="-1"/>
        </w:rPr>
        <w:t xml:space="preserve"> </w:t>
      </w:r>
      <w:r>
        <w:t>disruptions</w:t>
      </w:r>
      <w:r>
        <w:rPr>
          <w:spacing w:val="-1"/>
        </w:rPr>
        <w:t xml:space="preserve"> </w:t>
      </w:r>
      <w:r>
        <w:t>to</w:t>
      </w:r>
      <w:r>
        <w:rPr>
          <w:spacing w:val="-1"/>
        </w:rPr>
        <w:t xml:space="preserve"> </w:t>
      </w:r>
      <w:r>
        <w:t>supply</w:t>
      </w:r>
      <w:r w:rsidR="0068598E">
        <w:rPr>
          <w:spacing w:val="-25"/>
        </w:rPr>
        <w:t>.</w:t>
      </w:r>
      <w:r>
        <w:t xml:space="preserve"> At the same time, government are responding through policy change, and there is a need for substantial investment to transform the capital stock for energy production, transmission, storage and use. Through these channels, climate change affects the responsibilities of central banks for price stability, employment and the stability of the financial system.</w:t>
      </w:r>
    </w:p>
    <w:p w14:paraId="7A253F1E" w14:textId="15F9B389" w:rsidR="00E84054" w:rsidRDefault="00E84054" w:rsidP="00E84054">
      <w:r>
        <w:t>For monetary policy, central banks globally are improving their economic analysis and modelling methods to take account of these developments and integrating this into their macroeconomic assessments</w:t>
      </w:r>
      <w:r>
        <w:rPr>
          <w:spacing w:val="-2"/>
        </w:rPr>
        <w:t xml:space="preserve"> </w:t>
      </w:r>
      <w:r>
        <w:t>and</w:t>
      </w:r>
      <w:r>
        <w:rPr>
          <w:spacing w:val="-2"/>
        </w:rPr>
        <w:t xml:space="preserve"> </w:t>
      </w:r>
      <w:r>
        <w:t>decision</w:t>
      </w:r>
      <w:r>
        <w:rPr>
          <w:spacing w:val="-2"/>
        </w:rPr>
        <w:t xml:space="preserve"> </w:t>
      </w:r>
      <w:r>
        <w:t>making</w:t>
      </w:r>
      <w:r>
        <w:rPr>
          <w:spacing w:val="-2"/>
        </w:rPr>
        <w:t xml:space="preserve"> </w:t>
      </w:r>
      <w:r>
        <w:t>(for</w:t>
      </w:r>
      <w:r>
        <w:rPr>
          <w:spacing w:val="-2"/>
        </w:rPr>
        <w:t xml:space="preserve"> </w:t>
      </w:r>
      <w:r>
        <w:t>example</w:t>
      </w:r>
      <w:r>
        <w:rPr>
          <w:spacing w:val="-2"/>
        </w:rPr>
        <w:t xml:space="preserve"> </w:t>
      </w:r>
      <w:r>
        <w:t>ECB</w:t>
      </w:r>
      <w:r>
        <w:rPr>
          <w:spacing w:val="-2"/>
        </w:rPr>
        <w:t xml:space="preserve"> </w:t>
      </w:r>
      <w:r>
        <w:t>2021b)</w:t>
      </w:r>
      <w:r w:rsidR="0068598E">
        <w:rPr>
          <w:spacing w:val="-25"/>
        </w:rPr>
        <w:t>.</w:t>
      </w:r>
      <w:r>
        <w:rPr>
          <w:w w:val="85"/>
        </w:rPr>
        <w:t xml:space="preserve"> </w:t>
      </w:r>
      <w:r>
        <w:t>The</w:t>
      </w:r>
      <w:r>
        <w:rPr>
          <w:spacing w:val="-2"/>
        </w:rPr>
        <w:t xml:space="preserve"> </w:t>
      </w:r>
      <w:r>
        <w:t>RBA</w:t>
      </w:r>
      <w:r>
        <w:rPr>
          <w:spacing w:val="-2"/>
        </w:rPr>
        <w:t xml:space="preserve"> </w:t>
      </w:r>
      <w:r>
        <w:t>is</w:t>
      </w:r>
      <w:r>
        <w:rPr>
          <w:spacing w:val="-2"/>
        </w:rPr>
        <w:t xml:space="preserve"> </w:t>
      </w:r>
      <w:r>
        <w:t>likewise</w:t>
      </w:r>
      <w:r>
        <w:rPr>
          <w:spacing w:val="-2"/>
        </w:rPr>
        <w:t xml:space="preserve"> </w:t>
      </w:r>
      <w:r>
        <w:t>establishing</w:t>
      </w:r>
      <w:r>
        <w:rPr>
          <w:spacing w:val="-2"/>
        </w:rPr>
        <w:t xml:space="preserve"> </w:t>
      </w:r>
      <w:r>
        <w:t>these capabilities (Debelle 2019)</w:t>
      </w:r>
      <w:r w:rsidR="0068598E">
        <w:rPr>
          <w:spacing w:val="-19"/>
        </w:rPr>
        <w:t>.</w:t>
      </w:r>
      <w:r>
        <w:rPr>
          <w:w w:val="85"/>
        </w:rPr>
        <w:t xml:space="preserve"> </w:t>
      </w:r>
      <w:r>
        <w:t>It recently created new positions dedicated to climate analysis</w:t>
      </w:r>
      <w:r w:rsidR="0068598E">
        <w:rPr>
          <w:spacing w:val="-19"/>
        </w:rPr>
        <w:t>.</w:t>
      </w:r>
    </w:p>
    <w:p w14:paraId="1321BF3E" w14:textId="599925BE" w:rsidR="00CC3154" w:rsidRDefault="00CC3154" w:rsidP="00CC3154">
      <w:r>
        <w:t>In</w:t>
      </w:r>
      <w:r>
        <w:rPr>
          <w:spacing w:val="15"/>
        </w:rPr>
        <w:t xml:space="preserve"> </w:t>
      </w:r>
      <w:r>
        <w:t>their</w:t>
      </w:r>
      <w:r>
        <w:rPr>
          <w:spacing w:val="15"/>
        </w:rPr>
        <w:t xml:space="preserve"> </w:t>
      </w:r>
      <w:r>
        <w:t>work</w:t>
      </w:r>
      <w:r>
        <w:rPr>
          <w:spacing w:val="15"/>
        </w:rPr>
        <w:t xml:space="preserve"> </w:t>
      </w:r>
      <w:r>
        <w:t>on</w:t>
      </w:r>
      <w:r>
        <w:rPr>
          <w:spacing w:val="15"/>
        </w:rPr>
        <w:t xml:space="preserve"> </w:t>
      </w:r>
      <w:r>
        <w:t>financial</w:t>
      </w:r>
      <w:r>
        <w:rPr>
          <w:spacing w:val="15"/>
        </w:rPr>
        <w:t xml:space="preserve"> </w:t>
      </w:r>
      <w:r>
        <w:t>stability,</w:t>
      </w:r>
      <w:r>
        <w:rPr>
          <w:spacing w:val="15"/>
        </w:rPr>
        <w:t xml:space="preserve"> </w:t>
      </w:r>
      <w:r>
        <w:t>central</w:t>
      </w:r>
      <w:r>
        <w:rPr>
          <w:spacing w:val="15"/>
        </w:rPr>
        <w:t xml:space="preserve"> </w:t>
      </w:r>
      <w:r>
        <w:t>banks</w:t>
      </w:r>
      <w:r>
        <w:rPr>
          <w:spacing w:val="15"/>
        </w:rPr>
        <w:t xml:space="preserve"> </w:t>
      </w:r>
      <w:r>
        <w:t>are</w:t>
      </w:r>
      <w:r>
        <w:rPr>
          <w:spacing w:val="15"/>
        </w:rPr>
        <w:t xml:space="preserve"> </w:t>
      </w:r>
      <w:r>
        <w:t>incorporating</w:t>
      </w:r>
      <w:r>
        <w:rPr>
          <w:spacing w:val="15"/>
        </w:rPr>
        <w:t xml:space="preserve"> </w:t>
      </w:r>
      <w:r>
        <w:t>physical</w:t>
      </w:r>
      <w:r>
        <w:rPr>
          <w:spacing w:val="15"/>
        </w:rPr>
        <w:t xml:space="preserve"> </w:t>
      </w:r>
      <w:r>
        <w:t>and</w:t>
      </w:r>
      <w:r>
        <w:rPr>
          <w:spacing w:val="15"/>
        </w:rPr>
        <w:t xml:space="preserve"> </w:t>
      </w:r>
      <w:r>
        <w:t>transition</w:t>
      </w:r>
      <w:r>
        <w:rPr>
          <w:spacing w:val="15"/>
        </w:rPr>
        <w:t xml:space="preserve"> </w:t>
      </w:r>
      <w:r>
        <w:t>risks into their analysis and contributing to the adaptation of financial markets and institutions to these risks</w:t>
      </w:r>
      <w:r>
        <w:rPr>
          <w:spacing w:val="-1"/>
        </w:rPr>
        <w:t xml:space="preserve"> </w:t>
      </w:r>
      <w:r>
        <w:t>(see</w:t>
      </w:r>
      <w:r>
        <w:rPr>
          <w:spacing w:val="-1"/>
        </w:rPr>
        <w:t xml:space="preserve"> </w:t>
      </w:r>
      <w:r>
        <w:t>for</w:t>
      </w:r>
      <w:r>
        <w:rPr>
          <w:spacing w:val="-1"/>
        </w:rPr>
        <w:t xml:space="preserve"> </w:t>
      </w:r>
      <w:r>
        <w:t>example</w:t>
      </w:r>
      <w:r>
        <w:rPr>
          <w:spacing w:val="-1"/>
        </w:rPr>
        <w:t xml:space="preserve"> </w:t>
      </w:r>
      <w:r>
        <w:t>Powell</w:t>
      </w:r>
      <w:r>
        <w:rPr>
          <w:spacing w:val="-1"/>
        </w:rPr>
        <w:t xml:space="preserve"> </w:t>
      </w:r>
      <w:r>
        <w:t>2023,</w:t>
      </w:r>
      <w:r>
        <w:rPr>
          <w:spacing w:val="-1"/>
        </w:rPr>
        <w:t xml:space="preserve"> </w:t>
      </w:r>
      <w:r>
        <w:t>da</w:t>
      </w:r>
      <w:r>
        <w:rPr>
          <w:spacing w:val="-1"/>
        </w:rPr>
        <w:t xml:space="preserve"> </w:t>
      </w:r>
      <w:r>
        <w:t>Silva</w:t>
      </w:r>
      <w:r>
        <w:rPr>
          <w:spacing w:val="-1"/>
        </w:rPr>
        <w:t xml:space="preserve"> </w:t>
      </w:r>
      <w:r>
        <w:t>2021)</w:t>
      </w:r>
      <w:r w:rsidR="0068598E">
        <w:rPr>
          <w:spacing w:val="-24"/>
        </w:rPr>
        <w:t>.</w:t>
      </w:r>
      <w:r>
        <w:rPr>
          <w:w w:val="85"/>
        </w:rPr>
        <w:t xml:space="preserve"> </w:t>
      </w:r>
      <w:r>
        <w:t>In</w:t>
      </w:r>
      <w:r>
        <w:rPr>
          <w:spacing w:val="-1"/>
        </w:rPr>
        <w:t xml:space="preserve"> </w:t>
      </w:r>
      <w:r>
        <w:t>this</w:t>
      </w:r>
      <w:r>
        <w:rPr>
          <w:spacing w:val="-1"/>
        </w:rPr>
        <w:t xml:space="preserve"> </w:t>
      </w:r>
      <w:r>
        <w:t>context,</w:t>
      </w:r>
      <w:r>
        <w:rPr>
          <w:spacing w:val="-1"/>
        </w:rPr>
        <w:t xml:space="preserve"> </w:t>
      </w:r>
      <w:r>
        <w:t>the</w:t>
      </w:r>
      <w:r>
        <w:rPr>
          <w:spacing w:val="-1"/>
        </w:rPr>
        <w:t xml:space="preserve"> </w:t>
      </w:r>
      <w:r>
        <w:t>RBA</w:t>
      </w:r>
      <w:r>
        <w:rPr>
          <w:spacing w:val="-1"/>
        </w:rPr>
        <w:t xml:space="preserve"> </w:t>
      </w:r>
      <w:r>
        <w:t>is</w:t>
      </w:r>
      <w:r>
        <w:rPr>
          <w:spacing w:val="-1"/>
        </w:rPr>
        <w:t xml:space="preserve"> </w:t>
      </w:r>
      <w:r>
        <w:t>acting</w:t>
      </w:r>
      <w:r>
        <w:rPr>
          <w:spacing w:val="-1"/>
        </w:rPr>
        <w:t xml:space="preserve"> </w:t>
      </w:r>
      <w:r>
        <w:t>collectively</w:t>
      </w:r>
      <w:r>
        <w:rPr>
          <w:spacing w:val="-1"/>
        </w:rPr>
        <w:t xml:space="preserve"> </w:t>
      </w:r>
      <w:r>
        <w:t>with other members of CFR (Debelle 2021b, CFR 2021)</w:t>
      </w:r>
      <w:r w:rsidR="0068598E">
        <w:rPr>
          <w:spacing w:val="-20"/>
        </w:rPr>
        <w:t>.</w:t>
      </w:r>
      <w:r>
        <w:rPr>
          <w:w w:val="85"/>
        </w:rPr>
        <w:t xml:space="preserve"> </w:t>
      </w:r>
      <w:r>
        <w:t>This has included:</w:t>
      </w:r>
    </w:p>
    <w:p w14:paraId="10B26E57" w14:textId="77777777" w:rsidR="00CC3154" w:rsidRDefault="00CC3154" w:rsidP="0000278A">
      <w:pPr>
        <w:pStyle w:val="Bullet"/>
      </w:pPr>
      <w:r>
        <w:t>contributing</w:t>
      </w:r>
      <w:r>
        <w:rPr>
          <w:spacing w:val="1"/>
        </w:rPr>
        <w:t xml:space="preserve"> </w:t>
      </w:r>
      <w:r>
        <w:t>to</w:t>
      </w:r>
      <w:r>
        <w:rPr>
          <w:spacing w:val="1"/>
        </w:rPr>
        <w:t xml:space="preserve"> </w:t>
      </w:r>
      <w:r>
        <w:t>work</w:t>
      </w:r>
      <w:r>
        <w:rPr>
          <w:spacing w:val="1"/>
        </w:rPr>
        <w:t xml:space="preserve"> </w:t>
      </w:r>
      <w:r>
        <w:t>led</w:t>
      </w:r>
      <w:r>
        <w:rPr>
          <w:spacing w:val="1"/>
        </w:rPr>
        <w:t xml:space="preserve"> </w:t>
      </w:r>
      <w:r>
        <w:t>by</w:t>
      </w:r>
      <w:r>
        <w:rPr>
          <w:spacing w:val="1"/>
        </w:rPr>
        <w:t xml:space="preserve"> </w:t>
      </w:r>
      <w:r>
        <w:t>ASIC</w:t>
      </w:r>
      <w:r>
        <w:rPr>
          <w:spacing w:val="1"/>
        </w:rPr>
        <w:t xml:space="preserve"> </w:t>
      </w:r>
      <w:r>
        <w:t>on</w:t>
      </w:r>
      <w:r>
        <w:rPr>
          <w:spacing w:val="1"/>
        </w:rPr>
        <w:t xml:space="preserve"> </w:t>
      </w:r>
      <w:r>
        <w:t>climate-related</w:t>
      </w:r>
      <w:r>
        <w:rPr>
          <w:spacing w:val="1"/>
        </w:rPr>
        <w:t xml:space="preserve"> </w:t>
      </w:r>
      <w:r>
        <w:rPr>
          <w:spacing w:val="-2"/>
        </w:rPr>
        <w:t>disclosures</w:t>
      </w:r>
    </w:p>
    <w:p w14:paraId="283FB7A7" w14:textId="77777777" w:rsidR="00CC3154" w:rsidRDefault="00CC3154" w:rsidP="0000278A">
      <w:pPr>
        <w:pStyle w:val="Bullet"/>
      </w:pPr>
      <w:r>
        <w:t>chairing the CFR Climate Working Group, where the RBA published an assessment of climate risks for banks’ loan books alongside the APRA-led Climate Vulnerability Assessment of Australia’s largest banks</w:t>
      </w:r>
    </w:p>
    <w:p w14:paraId="2F75566A" w14:textId="77777777" w:rsidR="00CC3154" w:rsidRDefault="00CC3154" w:rsidP="0000278A">
      <w:pPr>
        <w:pStyle w:val="Bullet"/>
      </w:pPr>
      <w:r>
        <w:t>contributing to the development of an Australian taxonomy for what is ‘green’ or ‘sustainable’, in work led by Australian Sustainable Finance Institute</w:t>
      </w:r>
    </w:p>
    <w:p w14:paraId="4380E4B1" w14:textId="216A15C2" w:rsidR="00CC3154" w:rsidRDefault="00CC3154" w:rsidP="0000278A">
      <w:pPr>
        <w:pStyle w:val="Bullet"/>
      </w:pPr>
      <w:r>
        <w:lastRenderedPageBreak/>
        <w:t>the RBA and APRA are also members of the Basel Committee for Banking Supervision, which is currently assessing the implications of climate risks for bank capital standards, and the Network for Greening the Financial System, a group of central banks and financial supervisors that aims</w:t>
      </w:r>
      <w:r>
        <w:rPr>
          <w:spacing w:val="40"/>
        </w:rPr>
        <w:t xml:space="preserve"> </w:t>
      </w:r>
      <w:r>
        <w:t>to accelerate the scaling up of green finance and develop recommendations for central banks’ role in climate</w:t>
      </w:r>
      <w:r w:rsidR="0068598E">
        <w:rPr>
          <w:spacing w:val="-11"/>
        </w:rPr>
        <w:t>.</w:t>
      </w:r>
    </w:p>
    <w:p w14:paraId="42D23F61" w14:textId="4ED63707" w:rsidR="00CC3154" w:rsidRDefault="00CC3154" w:rsidP="004F48EE">
      <w:pPr>
        <w:rPr>
          <w:w w:val="85"/>
        </w:rPr>
      </w:pPr>
      <w:r>
        <w:t>It is important that the RBA continues to strengthen its understanding of the implications of climate change for the Australian economy and financial system. This will require a continued focus on building stronger analytical capabilities</w:t>
      </w:r>
      <w:r w:rsidR="0068598E">
        <w:rPr>
          <w:spacing w:val="-18"/>
        </w:rPr>
        <w:t>.</w:t>
      </w:r>
      <w:r>
        <w:rPr>
          <w:w w:val="85"/>
        </w:rPr>
        <w:t xml:space="preserve"> </w:t>
      </w:r>
      <w:r>
        <w:t>The RBA also has an important role in shaping relevant regulation for the financial sector. It should continue to collaborate with its regulatory peers, both domestically and internationally</w:t>
      </w:r>
      <w:r w:rsidR="0068598E">
        <w:rPr>
          <w:spacing w:val="-11"/>
        </w:rPr>
        <w:t>.</w:t>
      </w:r>
    </w:p>
    <w:p w14:paraId="75675EB7" w14:textId="77777777" w:rsidR="00CC3154" w:rsidRDefault="00CC3154" w:rsidP="004F48EE">
      <w:pPr>
        <w:pStyle w:val="Heading3"/>
      </w:pPr>
      <w:r>
        <w:t>Recommendation</w:t>
      </w:r>
      <w:r>
        <w:rPr>
          <w:spacing w:val="-13"/>
        </w:rPr>
        <w:t xml:space="preserve"> </w:t>
      </w:r>
      <w:r>
        <w:t>7.2:</w:t>
      </w:r>
      <w:r>
        <w:rPr>
          <w:spacing w:val="-13"/>
        </w:rPr>
        <w:t xml:space="preserve"> </w:t>
      </w:r>
      <w:r>
        <w:t>Transition</w:t>
      </w:r>
      <w:r>
        <w:rPr>
          <w:spacing w:val="-13"/>
        </w:rPr>
        <w:t xml:space="preserve"> </w:t>
      </w:r>
      <w:r>
        <w:t>to</w:t>
      </w:r>
      <w:r>
        <w:rPr>
          <w:spacing w:val="-13"/>
        </w:rPr>
        <w:t xml:space="preserve"> </w:t>
      </w:r>
      <w:r>
        <w:t>a</w:t>
      </w:r>
      <w:r>
        <w:rPr>
          <w:spacing w:val="-13"/>
        </w:rPr>
        <w:t xml:space="preserve"> </w:t>
      </w:r>
      <w:r>
        <w:t>low</w:t>
      </w:r>
      <w:r>
        <w:rPr>
          <w:spacing w:val="-13"/>
        </w:rPr>
        <w:t xml:space="preserve"> </w:t>
      </w:r>
      <w:r>
        <w:t>carbon</w:t>
      </w:r>
      <w:r>
        <w:rPr>
          <w:spacing w:val="-13"/>
        </w:rPr>
        <w:t xml:space="preserve"> </w:t>
      </w:r>
      <w:r>
        <w:t>economy</w:t>
      </w:r>
      <w:r>
        <w:rPr>
          <w:spacing w:val="-13"/>
        </w:rPr>
        <w:t xml:space="preserve"> </w:t>
      </w:r>
      <w:r>
        <w:t>should</w:t>
      </w:r>
      <w:r>
        <w:rPr>
          <w:spacing w:val="-13"/>
        </w:rPr>
        <w:t xml:space="preserve"> </w:t>
      </w:r>
      <w:r>
        <w:t>not</w:t>
      </w:r>
      <w:r>
        <w:rPr>
          <w:spacing w:val="-13"/>
        </w:rPr>
        <w:t xml:space="preserve"> </w:t>
      </w:r>
      <w:r>
        <w:t>be an objective for monetary policy</w:t>
      </w:r>
    </w:p>
    <w:p w14:paraId="6196D6CC" w14:textId="7445F4D7" w:rsidR="00CC3154" w:rsidRPr="004F48EE" w:rsidRDefault="00CC3154" w:rsidP="004F48EE">
      <w:pPr>
        <w:pStyle w:val="Heading4"/>
      </w:pPr>
      <w:r>
        <w:t>The</w:t>
      </w:r>
      <w:r>
        <w:rPr>
          <w:spacing w:val="-1"/>
        </w:rPr>
        <w:t xml:space="preserve"> </w:t>
      </w:r>
      <w:r>
        <w:t>transition to</w:t>
      </w:r>
      <w:r>
        <w:rPr>
          <w:spacing w:val="-1"/>
        </w:rPr>
        <w:t xml:space="preserve"> </w:t>
      </w:r>
      <w:r>
        <w:t>a low carbon</w:t>
      </w:r>
      <w:r>
        <w:rPr>
          <w:spacing w:val="-1"/>
        </w:rPr>
        <w:t xml:space="preserve"> </w:t>
      </w:r>
      <w:r>
        <w:t>economy should</w:t>
      </w:r>
      <w:r>
        <w:rPr>
          <w:spacing w:val="-1"/>
        </w:rPr>
        <w:t xml:space="preserve"> </w:t>
      </w:r>
      <w:r>
        <w:t>not be an</w:t>
      </w:r>
      <w:r>
        <w:rPr>
          <w:spacing w:val="-1"/>
        </w:rPr>
        <w:t xml:space="preserve"> </w:t>
      </w:r>
      <w:r>
        <w:t xml:space="preserve">explicit objective </w:t>
      </w:r>
      <w:r w:rsidRPr="004F48EE">
        <w:t>for</w:t>
      </w:r>
      <w:r w:rsidR="004F48EE">
        <w:t xml:space="preserve"> </w:t>
      </w:r>
      <w:r w:rsidRPr="004F48EE">
        <w:t>monetary</w:t>
      </w:r>
      <w:r>
        <w:rPr>
          <w:rFonts w:ascii="Open Sans"/>
          <w:b/>
          <w:color w:val="204160"/>
          <w:spacing w:val="8"/>
          <w:sz w:val="18"/>
        </w:rPr>
        <w:t xml:space="preserve"> </w:t>
      </w:r>
      <w:r w:rsidRPr="004F48EE">
        <w:t>policy</w:t>
      </w:r>
    </w:p>
    <w:p w14:paraId="72BB4CB6" w14:textId="185F9883" w:rsidR="00CC3154" w:rsidRDefault="00CC3154" w:rsidP="004F48EE">
      <w:r>
        <w:t>Some submissions to the Review advocated for the RBA to have a legislated objective for monetary policy to support the transition to a low carbon economy</w:t>
      </w:r>
      <w:r w:rsidR="0068598E">
        <w:rPr>
          <w:spacing w:val="-16"/>
        </w:rPr>
        <w:t>.</w:t>
      </w:r>
    </w:p>
    <w:p w14:paraId="167AE4F2" w14:textId="7E45E569" w:rsidR="00CC3154" w:rsidRDefault="00CC3154" w:rsidP="004F48EE">
      <w:r>
        <w:t>A few other central banks have an explicit mandate to support government economic policy, including</w:t>
      </w:r>
      <w:r>
        <w:rPr>
          <w:spacing w:val="-1"/>
        </w:rPr>
        <w:t xml:space="preserve"> </w:t>
      </w:r>
      <w:r>
        <w:t>those</w:t>
      </w:r>
      <w:r>
        <w:rPr>
          <w:spacing w:val="-1"/>
        </w:rPr>
        <w:t xml:space="preserve"> </w:t>
      </w:r>
      <w:r>
        <w:t>related</w:t>
      </w:r>
      <w:r>
        <w:rPr>
          <w:spacing w:val="-1"/>
        </w:rPr>
        <w:t xml:space="preserve"> </w:t>
      </w:r>
      <w:r>
        <w:t>to</w:t>
      </w:r>
      <w:r>
        <w:rPr>
          <w:spacing w:val="-1"/>
        </w:rPr>
        <w:t xml:space="preserve"> </w:t>
      </w:r>
      <w:r>
        <w:t>climate</w:t>
      </w:r>
      <w:r>
        <w:rPr>
          <w:spacing w:val="-1"/>
        </w:rPr>
        <w:t xml:space="preserve"> </w:t>
      </w:r>
      <w:r>
        <w:t>change</w:t>
      </w:r>
      <w:r>
        <w:rPr>
          <w:spacing w:val="-1"/>
        </w:rPr>
        <w:t xml:space="preserve"> </w:t>
      </w:r>
      <w:r>
        <w:t>and</w:t>
      </w:r>
      <w:r>
        <w:rPr>
          <w:spacing w:val="-1"/>
        </w:rPr>
        <w:t xml:space="preserve"> </w:t>
      </w:r>
      <w:r>
        <w:t>the</w:t>
      </w:r>
      <w:r>
        <w:rPr>
          <w:spacing w:val="-1"/>
        </w:rPr>
        <w:t xml:space="preserve"> </w:t>
      </w:r>
      <w:r>
        <w:t>transition</w:t>
      </w:r>
      <w:r w:rsidR="0068598E">
        <w:rPr>
          <w:spacing w:val="-24"/>
        </w:rPr>
        <w:t>.</w:t>
      </w:r>
      <w:r>
        <w:rPr>
          <w:w w:val="85"/>
        </w:rPr>
        <w:t xml:space="preserve"> </w:t>
      </w:r>
      <w:r>
        <w:t>In</w:t>
      </w:r>
      <w:r>
        <w:rPr>
          <w:spacing w:val="-1"/>
        </w:rPr>
        <w:t xml:space="preserve"> </w:t>
      </w:r>
      <w:r>
        <w:t>these</w:t>
      </w:r>
      <w:r>
        <w:rPr>
          <w:spacing w:val="-1"/>
        </w:rPr>
        <w:t xml:space="preserve"> </w:t>
      </w:r>
      <w:r>
        <w:t>instances,</w:t>
      </w:r>
      <w:r>
        <w:rPr>
          <w:spacing w:val="-1"/>
        </w:rPr>
        <w:t xml:space="preserve"> </w:t>
      </w:r>
      <w:r>
        <w:t>any</w:t>
      </w:r>
      <w:r>
        <w:rPr>
          <w:spacing w:val="-1"/>
        </w:rPr>
        <w:t xml:space="preserve"> </w:t>
      </w:r>
      <w:r>
        <w:t>support</w:t>
      </w:r>
      <w:r>
        <w:rPr>
          <w:spacing w:val="-1"/>
        </w:rPr>
        <w:t xml:space="preserve"> </w:t>
      </w:r>
      <w:r>
        <w:t>for government economic policy is not to compromise monetary policy’s focus on price stability</w:t>
      </w:r>
      <w:r w:rsidR="0068598E">
        <w:rPr>
          <w:spacing w:val="-17"/>
        </w:rPr>
        <w:t>.</w:t>
      </w:r>
    </w:p>
    <w:p w14:paraId="4F3F32CC" w14:textId="4A66871D" w:rsidR="00EC5EA8" w:rsidRDefault="00CC3154" w:rsidP="00CC3154">
      <w:pPr>
        <w:rPr>
          <w:w w:val="85"/>
        </w:rPr>
      </w:pPr>
      <w:r>
        <w:t>At present, there is no explicit climate change objective for the RBA</w:t>
      </w:r>
      <w:r w:rsidR="0068598E">
        <w:rPr>
          <w:spacing w:val="-19"/>
        </w:rPr>
        <w:t>.</w:t>
      </w:r>
      <w:r>
        <w:rPr>
          <w:w w:val="85"/>
        </w:rPr>
        <w:t xml:space="preserve"> </w:t>
      </w:r>
      <w:r>
        <w:t>However, the objective to contribute to the ‘economic prosperity and welfare’ of Australians provides a basis for the RBA to support the transition to a low-carbon economy where appropriate</w:t>
      </w:r>
      <w:r w:rsidR="0068598E">
        <w:rPr>
          <w:spacing w:val="-24"/>
        </w:rPr>
        <w:t>.</w:t>
      </w:r>
      <w:r>
        <w:rPr>
          <w:w w:val="85"/>
        </w:rPr>
        <w:t xml:space="preserve"> </w:t>
      </w:r>
      <w:r>
        <w:t>Recommendation 1, above, is that this objective be made an over-arching institutional objective and that it be made explicit that this objective relates to welfare now and in the future</w:t>
      </w:r>
      <w:r w:rsidR="0068598E">
        <w:rPr>
          <w:spacing w:val="-22"/>
        </w:rPr>
        <w:t>.</w:t>
      </w:r>
      <w:r>
        <w:rPr>
          <w:w w:val="85"/>
        </w:rPr>
        <w:t xml:space="preserve"> </w:t>
      </w:r>
      <w:r>
        <w:t>This would make it clear that this objective encompasses issues relevant to longer-term outcomes such as climate change</w:t>
      </w:r>
      <w:r w:rsidR="0068598E">
        <w:rPr>
          <w:spacing w:val="-19"/>
        </w:rPr>
        <w:t>.</w:t>
      </w:r>
      <w:r>
        <w:rPr>
          <w:w w:val="85"/>
        </w:rPr>
        <w:t xml:space="preserve"> </w:t>
      </w:r>
      <w:r>
        <w:t>This would also make it clear that the RBA can take steps within its own operations that are consistent with the transition to a low carbon economy</w:t>
      </w:r>
      <w:r w:rsidR="0068598E">
        <w:rPr>
          <w:spacing w:val="-12"/>
        </w:rPr>
        <w:t>.</w:t>
      </w:r>
    </w:p>
    <w:p w14:paraId="216A91D2" w14:textId="52B50043" w:rsidR="000C7D75" w:rsidRDefault="000C7D75" w:rsidP="000C7D75">
      <w:r>
        <w:t>The Review does not support a climate-related objective that is specifically for monetary policy. This is because standard monetary policy tools would not provide a targeted response to the risk</w:t>
      </w:r>
      <w:r w:rsidR="0068598E">
        <w:rPr>
          <w:spacing w:val="-24"/>
        </w:rPr>
        <w:t>.</w:t>
      </w:r>
      <w:r>
        <w:t xml:space="preserve"> To use monetary policy to pursue a climate-related objective would involve substantial trade-offs for its contribution to price stability and full employment (Schnabel 2023</w:t>
      </w:r>
      <w:r w:rsidR="008F2033">
        <w:t>).</w:t>
      </w:r>
      <w:r w:rsidR="008F2033">
        <w:rPr>
          <w:rStyle w:val="FootnoteReference"/>
        </w:rPr>
        <w:footnoteReference w:id="7"/>
      </w:r>
    </w:p>
    <w:p w14:paraId="21F48181" w14:textId="77777777" w:rsidR="000C7D75" w:rsidRDefault="000C7D75" w:rsidP="00023103">
      <w:pPr>
        <w:pStyle w:val="Heading4"/>
      </w:pPr>
      <w:r>
        <w:t>Governments</w:t>
      </w:r>
      <w:r>
        <w:rPr>
          <w:spacing w:val="-2"/>
        </w:rPr>
        <w:t xml:space="preserve"> </w:t>
      </w:r>
      <w:r>
        <w:t>should</w:t>
      </w:r>
      <w:r>
        <w:rPr>
          <w:spacing w:val="-2"/>
        </w:rPr>
        <w:t xml:space="preserve"> </w:t>
      </w:r>
      <w:r>
        <w:t>set</w:t>
      </w:r>
      <w:r>
        <w:rPr>
          <w:spacing w:val="-2"/>
        </w:rPr>
        <w:t xml:space="preserve"> </w:t>
      </w:r>
      <w:r>
        <w:t>the</w:t>
      </w:r>
      <w:r>
        <w:rPr>
          <w:spacing w:val="-2"/>
        </w:rPr>
        <w:t xml:space="preserve"> </w:t>
      </w:r>
      <w:r>
        <w:t>mix</w:t>
      </w:r>
      <w:r>
        <w:rPr>
          <w:spacing w:val="-2"/>
        </w:rPr>
        <w:t xml:space="preserve"> </w:t>
      </w:r>
      <w:r>
        <w:t>of</w:t>
      </w:r>
      <w:r>
        <w:rPr>
          <w:spacing w:val="-2"/>
        </w:rPr>
        <w:t xml:space="preserve"> </w:t>
      </w:r>
      <w:r>
        <w:t>policies</w:t>
      </w:r>
      <w:r>
        <w:rPr>
          <w:spacing w:val="-2"/>
        </w:rPr>
        <w:t xml:space="preserve"> </w:t>
      </w:r>
      <w:r>
        <w:t>to</w:t>
      </w:r>
      <w:r>
        <w:rPr>
          <w:spacing w:val="-2"/>
        </w:rPr>
        <w:t xml:space="preserve"> </w:t>
      </w:r>
      <w:r>
        <w:t>manage</w:t>
      </w:r>
      <w:r>
        <w:rPr>
          <w:spacing w:val="-2"/>
        </w:rPr>
        <w:t xml:space="preserve"> </w:t>
      </w:r>
      <w:r>
        <w:t>the</w:t>
      </w:r>
      <w:r>
        <w:rPr>
          <w:spacing w:val="-2"/>
        </w:rPr>
        <w:t xml:space="preserve"> </w:t>
      </w:r>
      <w:r>
        <w:t>transition</w:t>
      </w:r>
      <w:r>
        <w:rPr>
          <w:spacing w:val="-2"/>
        </w:rPr>
        <w:t xml:space="preserve"> </w:t>
      </w:r>
      <w:r>
        <w:t>to a low carbon economy</w:t>
      </w:r>
    </w:p>
    <w:p w14:paraId="3C190688" w14:textId="6ED5C9D8" w:rsidR="000C7D75" w:rsidRDefault="000C7D75" w:rsidP="00023103">
      <w:r>
        <w:t>In the Review’s opinion, fiscal, tax and regulatory policies are best placed to best address climate change and manage the transition to a low-carbon economy</w:t>
      </w:r>
      <w:r w:rsidR="0068598E">
        <w:rPr>
          <w:spacing w:val="-22"/>
        </w:rPr>
        <w:t>.</w:t>
      </w:r>
      <w:r>
        <w:rPr>
          <w:w w:val="85"/>
        </w:rPr>
        <w:t xml:space="preserve"> </w:t>
      </w:r>
      <w:r>
        <w:t>They are able to be more targeted and with less undesired consequences than using monetary policy</w:t>
      </w:r>
      <w:r w:rsidR="0068598E">
        <w:rPr>
          <w:spacing w:val="-15"/>
        </w:rPr>
        <w:t>.</w:t>
      </w:r>
    </w:p>
    <w:p w14:paraId="271C72FD" w14:textId="2E4CB1BF" w:rsidR="000C7D75" w:rsidRDefault="000C7D75" w:rsidP="00023103">
      <w:r>
        <w:lastRenderedPageBreak/>
        <w:t>Some central banks have adjusted the financial market operations that implement their existing monetary policy, to provide some marginal support for the transition</w:t>
      </w:r>
      <w:r w:rsidR="0068598E">
        <w:rPr>
          <w:spacing w:val="-18"/>
        </w:rPr>
        <w:t>.</w:t>
      </w:r>
      <w:r>
        <w:rPr>
          <w:w w:val="85"/>
        </w:rPr>
        <w:t xml:space="preserve"> </w:t>
      </w:r>
      <w:r>
        <w:t>For example, the Bank of England and the European Central Bank have adjusted their support for corporate bond markets</w:t>
      </w:r>
      <w:r>
        <w:rPr>
          <w:spacing w:val="80"/>
        </w:rPr>
        <w:t xml:space="preserve"> </w:t>
      </w:r>
      <w:r>
        <w:t>in favour of ‘greener’ corporate bonds</w:t>
      </w:r>
      <w:r w:rsidR="0068598E">
        <w:rPr>
          <w:spacing w:val="-24"/>
        </w:rPr>
        <w:t>.</w:t>
      </w:r>
      <w:r>
        <w:rPr>
          <w:w w:val="85"/>
        </w:rPr>
        <w:t xml:space="preserve"> </w:t>
      </w:r>
      <w:r>
        <w:t>Currently the RBA does not consider climate-related criteria in its balance sheet operations</w:t>
      </w:r>
      <w:r w:rsidR="0068598E">
        <w:rPr>
          <w:spacing w:val="-22"/>
        </w:rPr>
        <w:t>.</w:t>
      </w:r>
      <w:r>
        <w:rPr>
          <w:w w:val="85"/>
        </w:rPr>
        <w:t xml:space="preserve"> </w:t>
      </w:r>
      <w:r>
        <w:t>However, given the RBA does not hold corporate securities, where climate-related criteria are most relevant, such a practice would have very little impact in Australia</w:t>
      </w:r>
      <w:r w:rsidR="0068598E">
        <w:rPr>
          <w:spacing w:val="-23"/>
        </w:rPr>
        <w:t>.</w:t>
      </w:r>
      <w:r>
        <w:t xml:space="preserve"> The RBA does, however, accept some corporate bonds and other non-government securities as collateral in its open market operations</w:t>
      </w:r>
      <w:r w:rsidR="0068598E">
        <w:rPr>
          <w:spacing w:val="-19"/>
        </w:rPr>
        <w:t>.</w:t>
      </w:r>
      <w:r>
        <w:rPr>
          <w:w w:val="85"/>
        </w:rPr>
        <w:t xml:space="preserve"> </w:t>
      </w:r>
      <w:r>
        <w:t>The RBA also invests in the Asian Bond Fund, which has announced it will purchase green sovereign bonds to encourage their development in the region</w:t>
      </w:r>
      <w:r w:rsidR="0068598E">
        <w:rPr>
          <w:spacing w:val="-20"/>
        </w:rPr>
        <w:t>.</w:t>
      </w:r>
    </w:p>
    <w:p w14:paraId="097416C0" w14:textId="287103BF" w:rsidR="000C7D75" w:rsidRDefault="000C7D75" w:rsidP="00023103">
      <w:r>
        <w:t>Some submissions have suggested the RBA go further in supporting the transition to a low carbon economy</w:t>
      </w:r>
      <w:r w:rsidR="0068598E">
        <w:rPr>
          <w:spacing w:val="-23"/>
        </w:rPr>
        <w:t>.</w:t>
      </w:r>
      <w:r>
        <w:rPr>
          <w:w w:val="85"/>
        </w:rPr>
        <w:t xml:space="preserve"> </w:t>
      </w:r>
      <w:r>
        <w:t>For instance, there were suggestions for alternative monetary policies, or for the RBA to provide directions to banks, to support the flow of credit to initiatives that facilitate the transition. There is some precedent for this internationally, in Japan and India (Amamiya 2022, Rao 2022)</w:t>
      </w:r>
      <w:r w:rsidR="0068598E">
        <w:rPr>
          <w:spacing w:val="-20"/>
        </w:rPr>
        <w:t>.</w:t>
      </w:r>
    </w:p>
    <w:p w14:paraId="45997820" w14:textId="77777777" w:rsidR="000C7D75" w:rsidRDefault="000C7D75" w:rsidP="00023103">
      <w:r>
        <w:t>The</w:t>
      </w:r>
      <w:r>
        <w:rPr>
          <w:spacing w:val="2"/>
        </w:rPr>
        <w:t xml:space="preserve"> </w:t>
      </w:r>
      <w:r>
        <w:t>RBA</w:t>
      </w:r>
      <w:r>
        <w:rPr>
          <w:spacing w:val="2"/>
        </w:rPr>
        <w:t xml:space="preserve"> </w:t>
      </w:r>
      <w:r>
        <w:t>has</w:t>
      </w:r>
      <w:r>
        <w:rPr>
          <w:spacing w:val="3"/>
        </w:rPr>
        <w:t xml:space="preserve"> </w:t>
      </w:r>
      <w:r>
        <w:t>relevant</w:t>
      </w:r>
      <w:r>
        <w:rPr>
          <w:spacing w:val="2"/>
        </w:rPr>
        <w:t xml:space="preserve"> </w:t>
      </w:r>
      <w:r>
        <w:t>powers</w:t>
      </w:r>
      <w:r>
        <w:rPr>
          <w:spacing w:val="3"/>
        </w:rPr>
        <w:t xml:space="preserve"> </w:t>
      </w:r>
      <w:r>
        <w:t>within</w:t>
      </w:r>
      <w:r>
        <w:rPr>
          <w:spacing w:val="2"/>
        </w:rPr>
        <w:t xml:space="preserve"> </w:t>
      </w:r>
      <w:r>
        <w:t>its</w:t>
      </w:r>
      <w:r>
        <w:rPr>
          <w:spacing w:val="3"/>
        </w:rPr>
        <w:t xml:space="preserve"> </w:t>
      </w:r>
      <w:r>
        <w:rPr>
          <w:spacing w:val="-2"/>
        </w:rPr>
        <w:t>legislation:</w:t>
      </w:r>
    </w:p>
    <w:p w14:paraId="2BA23C31" w14:textId="0E22F1D7" w:rsidR="000C7D75" w:rsidRDefault="000C7D75" w:rsidP="0000278A">
      <w:pPr>
        <w:pStyle w:val="Bullet"/>
      </w:pPr>
      <w:r>
        <w:t>The RBA has a latent power to direct banks to lend, which could potentially be directed towards green firms or transitional projects (s 36 of the Banking Act). However, the Review recommends removing this power (see Recommendation 1)</w:t>
      </w:r>
      <w:r w:rsidR="0068598E">
        <w:rPr>
          <w:spacing w:val="-13"/>
        </w:rPr>
        <w:t>.</w:t>
      </w:r>
    </w:p>
    <w:p w14:paraId="09EBF21B" w14:textId="5B0E8E27" w:rsidR="000C7D75" w:rsidRDefault="000C7D75" w:rsidP="0000278A">
      <w:pPr>
        <w:pStyle w:val="Bullet"/>
      </w:pPr>
      <w:r>
        <w:t>The RBA also has broad powers under s 8 of the RBA Act to lend (newly created) money without any restriction on the nature of that lending other than it being consistent with the Reserve Bank Board’s objectives</w:t>
      </w:r>
      <w:r w:rsidR="0068598E">
        <w:rPr>
          <w:spacing w:val="-17"/>
        </w:rPr>
        <w:t>.</w:t>
      </w:r>
    </w:p>
    <w:p w14:paraId="75611379" w14:textId="03F30B3C" w:rsidR="000C7D75" w:rsidRDefault="000C7D75" w:rsidP="00023103">
      <w:r>
        <w:t>However,</w:t>
      </w:r>
      <w:r>
        <w:rPr>
          <w:spacing w:val="-5"/>
        </w:rPr>
        <w:t xml:space="preserve"> </w:t>
      </w:r>
      <w:r>
        <w:t>credit</w:t>
      </w:r>
      <w:r>
        <w:rPr>
          <w:spacing w:val="-5"/>
        </w:rPr>
        <w:t xml:space="preserve"> </w:t>
      </w:r>
      <w:r>
        <w:t>allocation</w:t>
      </w:r>
      <w:r>
        <w:rPr>
          <w:spacing w:val="-5"/>
        </w:rPr>
        <w:t xml:space="preserve"> </w:t>
      </w:r>
      <w:r>
        <w:t>between</w:t>
      </w:r>
      <w:r>
        <w:rPr>
          <w:spacing w:val="-5"/>
        </w:rPr>
        <w:t xml:space="preserve"> </w:t>
      </w:r>
      <w:r>
        <w:t>sectors</w:t>
      </w:r>
      <w:r>
        <w:rPr>
          <w:spacing w:val="-5"/>
        </w:rPr>
        <w:t xml:space="preserve"> </w:t>
      </w:r>
      <w:r>
        <w:t>should</w:t>
      </w:r>
      <w:r>
        <w:rPr>
          <w:spacing w:val="-5"/>
        </w:rPr>
        <w:t xml:space="preserve"> </w:t>
      </w:r>
      <w:r>
        <w:t>not</w:t>
      </w:r>
      <w:r>
        <w:rPr>
          <w:spacing w:val="-5"/>
        </w:rPr>
        <w:t xml:space="preserve"> </w:t>
      </w:r>
      <w:r>
        <w:t>be</w:t>
      </w:r>
      <w:r>
        <w:rPr>
          <w:spacing w:val="-5"/>
        </w:rPr>
        <w:t xml:space="preserve"> </w:t>
      </w:r>
      <w:r>
        <w:t>the</w:t>
      </w:r>
      <w:r>
        <w:rPr>
          <w:spacing w:val="-5"/>
        </w:rPr>
        <w:t xml:space="preserve"> </w:t>
      </w:r>
      <w:r>
        <w:t>decision</w:t>
      </w:r>
      <w:r>
        <w:rPr>
          <w:spacing w:val="-5"/>
        </w:rPr>
        <w:t xml:space="preserve"> </w:t>
      </w:r>
      <w:r>
        <w:t>of</w:t>
      </w:r>
      <w:r>
        <w:rPr>
          <w:spacing w:val="-5"/>
        </w:rPr>
        <w:t xml:space="preserve"> </w:t>
      </w:r>
      <w:r>
        <w:t>unelected</w:t>
      </w:r>
      <w:r>
        <w:rPr>
          <w:spacing w:val="-5"/>
        </w:rPr>
        <w:t xml:space="preserve"> </w:t>
      </w:r>
      <w:r>
        <w:t>public</w:t>
      </w:r>
      <w:r>
        <w:rPr>
          <w:spacing w:val="-5"/>
        </w:rPr>
        <w:t xml:space="preserve"> </w:t>
      </w:r>
      <w:r>
        <w:t>officials. The Review considers that it should be governments that determine whether to implement preferential lending schemes</w:t>
      </w:r>
      <w:r w:rsidR="0068598E">
        <w:rPr>
          <w:spacing w:val="-20"/>
        </w:rPr>
        <w:t>.</w:t>
      </w:r>
      <w:r>
        <w:rPr>
          <w:w w:val="85"/>
        </w:rPr>
        <w:t xml:space="preserve"> </w:t>
      </w:r>
      <w:r>
        <w:t>Governments are best placed to compare such schemes to the other tools that are available and ultimately the costs of such choices accrue to the Government’s</w:t>
      </w:r>
      <w:r w:rsidR="00023103">
        <w:t xml:space="preserve"> </w:t>
      </w:r>
      <w:r>
        <w:t>balance</w:t>
      </w:r>
      <w:r>
        <w:rPr>
          <w:spacing w:val="-3"/>
        </w:rPr>
        <w:t xml:space="preserve"> </w:t>
      </w:r>
      <w:r>
        <w:t>sheet.</w:t>
      </w:r>
      <w:r>
        <w:rPr>
          <w:spacing w:val="-3"/>
        </w:rPr>
        <w:t xml:space="preserve"> </w:t>
      </w:r>
      <w:r>
        <w:t>Other</w:t>
      </w:r>
      <w:r>
        <w:rPr>
          <w:spacing w:val="-3"/>
        </w:rPr>
        <w:t xml:space="preserve"> </w:t>
      </w:r>
      <w:r>
        <w:t>government</w:t>
      </w:r>
      <w:r>
        <w:rPr>
          <w:spacing w:val="-3"/>
        </w:rPr>
        <w:t xml:space="preserve"> </w:t>
      </w:r>
      <w:r>
        <w:t>initiatives</w:t>
      </w:r>
      <w:r>
        <w:rPr>
          <w:spacing w:val="-3"/>
        </w:rPr>
        <w:t xml:space="preserve"> </w:t>
      </w:r>
      <w:r>
        <w:t>already</w:t>
      </w:r>
      <w:r>
        <w:rPr>
          <w:spacing w:val="-3"/>
        </w:rPr>
        <w:t xml:space="preserve"> </w:t>
      </w:r>
      <w:r>
        <w:t>exist</w:t>
      </w:r>
      <w:r>
        <w:rPr>
          <w:spacing w:val="-3"/>
        </w:rPr>
        <w:t xml:space="preserve"> </w:t>
      </w:r>
      <w:r>
        <w:t>to</w:t>
      </w:r>
      <w:r>
        <w:rPr>
          <w:spacing w:val="-3"/>
        </w:rPr>
        <w:t xml:space="preserve"> </w:t>
      </w:r>
      <w:r>
        <w:t>support</w:t>
      </w:r>
      <w:r>
        <w:rPr>
          <w:spacing w:val="-3"/>
        </w:rPr>
        <w:t xml:space="preserve"> </w:t>
      </w:r>
      <w:r>
        <w:t>the</w:t>
      </w:r>
      <w:r>
        <w:rPr>
          <w:spacing w:val="-3"/>
        </w:rPr>
        <w:t xml:space="preserve"> </w:t>
      </w:r>
      <w:r>
        <w:t>availability</w:t>
      </w:r>
      <w:r>
        <w:rPr>
          <w:spacing w:val="-3"/>
        </w:rPr>
        <w:t xml:space="preserve"> </w:t>
      </w:r>
      <w:r>
        <w:t>of</w:t>
      </w:r>
      <w:r>
        <w:rPr>
          <w:spacing w:val="-3"/>
        </w:rPr>
        <w:t xml:space="preserve"> </w:t>
      </w:r>
      <w:r>
        <w:t>capital</w:t>
      </w:r>
      <w:r>
        <w:rPr>
          <w:spacing w:val="-3"/>
        </w:rPr>
        <w:t xml:space="preserve"> </w:t>
      </w:r>
      <w:r>
        <w:t>for</w:t>
      </w:r>
      <w:r>
        <w:rPr>
          <w:spacing w:val="-3"/>
        </w:rPr>
        <w:t xml:space="preserve"> </w:t>
      </w:r>
      <w:r>
        <w:t>the transition, such as investments made by the Clean Energy Finance Corporation and the Australian Renewable</w:t>
      </w:r>
      <w:r>
        <w:rPr>
          <w:spacing w:val="-1"/>
        </w:rPr>
        <w:t xml:space="preserve"> </w:t>
      </w:r>
      <w:r>
        <w:t>Energy</w:t>
      </w:r>
      <w:r>
        <w:rPr>
          <w:spacing w:val="-1"/>
        </w:rPr>
        <w:t xml:space="preserve"> </w:t>
      </w:r>
      <w:r>
        <w:t>Agency</w:t>
      </w:r>
      <w:r w:rsidR="0068598E">
        <w:rPr>
          <w:spacing w:val="-24"/>
        </w:rPr>
        <w:t>.</w:t>
      </w:r>
      <w:r>
        <w:rPr>
          <w:w w:val="85"/>
        </w:rPr>
        <w:t xml:space="preserve"> </w:t>
      </w:r>
      <w:r>
        <w:t>Relative</w:t>
      </w:r>
      <w:r>
        <w:rPr>
          <w:spacing w:val="-1"/>
        </w:rPr>
        <w:t xml:space="preserve"> </w:t>
      </w:r>
      <w:r>
        <w:t>to</w:t>
      </w:r>
      <w:r>
        <w:rPr>
          <w:spacing w:val="-1"/>
        </w:rPr>
        <w:t xml:space="preserve"> </w:t>
      </w:r>
      <w:r>
        <w:t>that</w:t>
      </w:r>
      <w:r>
        <w:rPr>
          <w:spacing w:val="-1"/>
        </w:rPr>
        <w:t xml:space="preserve"> </w:t>
      </w:r>
      <w:r>
        <w:t>approach,</w:t>
      </w:r>
      <w:r>
        <w:rPr>
          <w:spacing w:val="-1"/>
        </w:rPr>
        <w:t xml:space="preserve"> </w:t>
      </w:r>
      <w:r>
        <w:t>there</w:t>
      </w:r>
      <w:r>
        <w:rPr>
          <w:spacing w:val="-1"/>
        </w:rPr>
        <w:t xml:space="preserve"> </w:t>
      </w:r>
      <w:r>
        <w:t>would</w:t>
      </w:r>
      <w:r>
        <w:rPr>
          <w:spacing w:val="-1"/>
        </w:rPr>
        <w:t xml:space="preserve"> </w:t>
      </w:r>
      <w:r>
        <w:t>be</w:t>
      </w:r>
      <w:r>
        <w:rPr>
          <w:spacing w:val="-1"/>
        </w:rPr>
        <w:t xml:space="preserve"> </w:t>
      </w:r>
      <w:r>
        <w:t>material</w:t>
      </w:r>
      <w:r>
        <w:rPr>
          <w:spacing w:val="-1"/>
        </w:rPr>
        <w:t xml:space="preserve"> </w:t>
      </w:r>
      <w:r>
        <w:t>risks</w:t>
      </w:r>
      <w:r>
        <w:rPr>
          <w:spacing w:val="-1"/>
        </w:rPr>
        <w:t xml:space="preserve"> </w:t>
      </w:r>
      <w:r>
        <w:t>to</w:t>
      </w:r>
      <w:r>
        <w:rPr>
          <w:spacing w:val="-1"/>
        </w:rPr>
        <w:t xml:space="preserve"> </w:t>
      </w:r>
      <w:r>
        <w:t>price</w:t>
      </w:r>
      <w:r>
        <w:rPr>
          <w:spacing w:val="-1"/>
        </w:rPr>
        <w:t xml:space="preserve"> </w:t>
      </w:r>
      <w:r>
        <w:t>stability if the central bank were to use its balance sheet to implement stimulus for climate action</w:t>
      </w:r>
      <w:r w:rsidR="0068598E">
        <w:rPr>
          <w:spacing w:val="-21"/>
        </w:rPr>
        <w:t>.</w:t>
      </w:r>
    </w:p>
    <w:p w14:paraId="28351094" w14:textId="681FFFE0" w:rsidR="000C7D75" w:rsidRDefault="000C7D75" w:rsidP="00023103">
      <w:r>
        <w:t>For central banks and other financial regulators, the coordination of standards around climate- related disclosures and taxonomies is a more targeted contribution to allocating capital to initiatives that support the transition</w:t>
      </w:r>
      <w:r w:rsidR="0068598E">
        <w:rPr>
          <w:spacing w:val="-8"/>
        </w:rPr>
        <w:t>.</w:t>
      </w:r>
    </w:p>
    <w:p w14:paraId="211AA74C" w14:textId="566B10FB" w:rsidR="009B222D" w:rsidRDefault="009B222D">
      <w:pPr>
        <w:spacing w:before="0" w:after="160" w:line="259" w:lineRule="auto"/>
      </w:pPr>
      <w:r>
        <w:br w:type="page"/>
      </w:r>
    </w:p>
    <w:p w14:paraId="004A8419" w14:textId="77777777" w:rsidR="002E7A69" w:rsidRDefault="002E7A69" w:rsidP="00A950AC">
      <w:pPr>
        <w:pStyle w:val="Heading1"/>
      </w:pPr>
      <w:bookmarkStart w:id="44" w:name="_Toc134221014"/>
      <w:r>
        <w:lastRenderedPageBreak/>
        <w:t xml:space="preserve">Chapter 3: Stronger monetary policy decision </w:t>
      </w:r>
      <w:r>
        <w:rPr>
          <w:spacing w:val="-4"/>
        </w:rPr>
        <w:t>making</w:t>
      </w:r>
      <w:r>
        <w:rPr>
          <w:spacing w:val="-26"/>
        </w:rPr>
        <w:t xml:space="preserve"> </w:t>
      </w:r>
      <w:r>
        <w:rPr>
          <w:spacing w:val="-4"/>
        </w:rPr>
        <w:t>and</w:t>
      </w:r>
      <w:r>
        <w:rPr>
          <w:spacing w:val="-26"/>
        </w:rPr>
        <w:t xml:space="preserve"> </w:t>
      </w:r>
      <w:r>
        <w:rPr>
          <w:spacing w:val="-4"/>
        </w:rPr>
        <w:t>accountability</w:t>
      </w:r>
      <w:bookmarkEnd w:id="44"/>
    </w:p>
    <w:tbl>
      <w:tblPr>
        <w:tblStyle w:val="TableGridLight"/>
        <w:tblW w:w="0" w:type="auto"/>
        <w:tblLook w:val="04A0" w:firstRow="1" w:lastRow="0" w:firstColumn="1" w:lastColumn="0" w:noHBand="0" w:noVBand="1"/>
      </w:tblPr>
      <w:tblGrid>
        <w:gridCol w:w="9060"/>
      </w:tblGrid>
      <w:tr w:rsidR="00D31262" w14:paraId="24DDFB45" w14:textId="77777777" w:rsidTr="00456720">
        <w:tc>
          <w:tcPr>
            <w:tcW w:w="9060" w:type="dxa"/>
            <w:tcBorders>
              <w:top w:val="single" w:sz="4" w:space="0" w:color="auto"/>
              <w:left w:val="single" w:sz="4" w:space="0" w:color="auto"/>
              <w:bottom w:val="single" w:sz="4" w:space="0" w:color="auto"/>
              <w:right w:val="single" w:sz="4" w:space="0" w:color="auto"/>
            </w:tcBorders>
          </w:tcPr>
          <w:p w14:paraId="6B974279" w14:textId="03D97BC1" w:rsidR="00D31262" w:rsidRPr="00E1708D" w:rsidRDefault="00D31262" w:rsidP="00E1708D">
            <w:pPr>
              <w:pStyle w:val="BoxText"/>
            </w:pPr>
            <w:r w:rsidRPr="00E1708D">
              <w:t>This chapter outlines Australia’s current monetary policy decision-making arrangements and identifies areas where they could be strengthened to ensure the best outcomes for Australians. It contains 3 recommendations to improve the effectiveness of monetary policy decision making, including the establishment of a dedicated Monetary Policy Board</w:t>
            </w:r>
            <w:r w:rsidR="0068598E" w:rsidRPr="00E1708D">
              <w:t>.</w:t>
            </w:r>
          </w:p>
        </w:tc>
      </w:tr>
    </w:tbl>
    <w:p w14:paraId="76F4DDE3" w14:textId="3B302F9D" w:rsidR="00456720" w:rsidRDefault="00456720" w:rsidP="00456720">
      <w:r>
        <w:t>Good decision making requires that those taking the decisions have sufficient skills, information, time and support to genuinely deliberate and reflect on decisions. They must also be accountable for their choices</w:t>
      </w:r>
      <w:r w:rsidR="0068598E">
        <w:rPr>
          <w:spacing w:val="-21"/>
        </w:rPr>
        <w:t>.</w:t>
      </w:r>
      <w:r>
        <w:rPr>
          <w:w w:val="85"/>
        </w:rPr>
        <w:t xml:space="preserve"> </w:t>
      </w:r>
      <w:r>
        <w:t>The RBA is a public institution empowered by legislation to manage public resources and make policy decisions that affect the welfare of all Australians. High standards of governance</w:t>
      </w:r>
      <w:r>
        <w:rPr>
          <w:spacing w:val="-4"/>
        </w:rPr>
        <w:t xml:space="preserve"> </w:t>
      </w:r>
      <w:r>
        <w:t>in</w:t>
      </w:r>
      <w:r>
        <w:rPr>
          <w:spacing w:val="-4"/>
        </w:rPr>
        <w:t xml:space="preserve"> </w:t>
      </w:r>
      <w:r>
        <w:t>the</w:t>
      </w:r>
      <w:r>
        <w:rPr>
          <w:spacing w:val="-4"/>
        </w:rPr>
        <w:t xml:space="preserve"> </w:t>
      </w:r>
      <w:r>
        <w:t>RBA’s</w:t>
      </w:r>
      <w:r>
        <w:rPr>
          <w:spacing w:val="-4"/>
        </w:rPr>
        <w:t xml:space="preserve"> </w:t>
      </w:r>
      <w:r>
        <w:t>making</w:t>
      </w:r>
      <w:r>
        <w:rPr>
          <w:spacing w:val="-4"/>
        </w:rPr>
        <w:t xml:space="preserve"> </w:t>
      </w:r>
      <w:r>
        <w:t>of</w:t>
      </w:r>
      <w:r>
        <w:rPr>
          <w:spacing w:val="-4"/>
        </w:rPr>
        <w:t xml:space="preserve"> </w:t>
      </w:r>
      <w:r>
        <w:t>monetary</w:t>
      </w:r>
      <w:r>
        <w:rPr>
          <w:spacing w:val="-4"/>
        </w:rPr>
        <w:t xml:space="preserve"> </w:t>
      </w:r>
      <w:r>
        <w:t>policy</w:t>
      </w:r>
      <w:r>
        <w:rPr>
          <w:spacing w:val="-4"/>
        </w:rPr>
        <w:t xml:space="preserve"> </w:t>
      </w:r>
      <w:r>
        <w:t>are</w:t>
      </w:r>
      <w:r>
        <w:rPr>
          <w:spacing w:val="-4"/>
        </w:rPr>
        <w:t xml:space="preserve"> </w:t>
      </w:r>
      <w:r>
        <w:t>essential</w:t>
      </w:r>
      <w:r>
        <w:rPr>
          <w:spacing w:val="-4"/>
        </w:rPr>
        <w:t xml:space="preserve"> </w:t>
      </w:r>
      <w:r>
        <w:t>to</w:t>
      </w:r>
      <w:r>
        <w:rPr>
          <w:spacing w:val="-4"/>
        </w:rPr>
        <w:t xml:space="preserve"> </w:t>
      </w:r>
      <w:r>
        <w:t>support</w:t>
      </w:r>
      <w:r>
        <w:rPr>
          <w:spacing w:val="-4"/>
        </w:rPr>
        <w:t xml:space="preserve"> </w:t>
      </w:r>
      <w:r>
        <w:t>sound</w:t>
      </w:r>
      <w:r>
        <w:rPr>
          <w:spacing w:val="-4"/>
        </w:rPr>
        <w:t xml:space="preserve"> </w:t>
      </w:r>
      <w:r>
        <w:t>decision</w:t>
      </w:r>
      <w:r>
        <w:rPr>
          <w:spacing w:val="-4"/>
        </w:rPr>
        <w:t xml:space="preserve"> </w:t>
      </w:r>
      <w:r>
        <w:t>making and</w:t>
      </w:r>
      <w:r>
        <w:rPr>
          <w:spacing w:val="-5"/>
        </w:rPr>
        <w:t xml:space="preserve"> </w:t>
      </w:r>
      <w:r>
        <w:t>public</w:t>
      </w:r>
      <w:r>
        <w:rPr>
          <w:spacing w:val="-5"/>
        </w:rPr>
        <w:t xml:space="preserve"> </w:t>
      </w:r>
      <w:r>
        <w:t>trust.</w:t>
      </w:r>
      <w:r>
        <w:rPr>
          <w:spacing w:val="-5"/>
        </w:rPr>
        <w:t xml:space="preserve"> </w:t>
      </w:r>
      <w:r>
        <w:t>In</w:t>
      </w:r>
      <w:r>
        <w:rPr>
          <w:spacing w:val="-5"/>
        </w:rPr>
        <w:t xml:space="preserve"> </w:t>
      </w:r>
      <w:r>
        <w:t>return</w:t>
      </w:r>
      <w:r>
        <w:rPr>
          <w:spacing w:val="-5"/>
        </w:rPr>
        <w:t xml:space="preserve"> </w:t>
      </w:r>
      <w:r>
        <w:t>for</w:t>
      </w:r>
      <w:r>
        <w:rPr>
          <w:spacing w:val="-5"/>
        </w:rPr>
        <w:t xml:space="preserve"> </w:t>
      </w:r>
      <w:r>
        <w:t>being</w:t>
      </w:r>
      <w:r>
        <w:rPr>
          <w:spacing w:val="-5"/>
        </w:rPr>
        <w:t xml:space="preserve"> </w:t>
      </w:r>
      <w:r>
        <w:t>given</w:t>
      </w:r>
      <w:r>
        <w:rPr>
          <w:spacing w:val="-5"/>
        </w:rPr>
        <w:t xml:space="preserve"> </w:t>
      </w:r>
      <w:r>
        <w:t>the</w:t>
      </w:r>
      <w:r>
        <w:rPr>
          <w:spacing w:val="-5"/>
        </w:rPr>
        <w:t xml:space="preserve"> </w:t>
      </w:r>
      <w:r>
        <w:t>independence</w:t>
      </w:r>
      <w:r>
        <w:rPr>
          <w:spacing w:val="-5"/>
        </w:rPr>
        <w:t xml:space="preserve"> </w:t>
      </w:r>
      <w:r>
        <w:t>to</w:t>
      </w:r>
      <w:r>
        <w:rPr>
          <w:spacing w:val="-5"/>
        </w:rPr>
        <w:t xml:space="preserve"> </w:t>
      </w:r>
      <w:r>
        <w:t>exercise</w:t>
      </w:r>
      <w:r>
        <w:rPr>
          <w:spacing w:val="-5"/>
        </w:rPr>
        <w:t xml:space="preserve"> </w:t>
      </w:r>
      <w:r>
        <w:t>significant</w:t>
      </w:r>
      <w:r>
        <w:rPr>
          <w:spacing w:val="-5"/>
        </w:rPr>
        <w:t xml:space="preserve"> </w:t>
      </w:r>
      <w:r>
        <w:t>powers,</w:t>
      </w:r>
      <w:r>
        <w:rPr>
          <w:spacing w:val="-5"/>
        </w:rPr>
        <w:t xml:space="preserve"> </w:t>
      </w:r>
      <w:r>
        <w:t>the</w:t>
      </w:r>
      <w:r>
        <w:rPr>
          <w:spacing w:val="-5"/>
        </w:rPr>
        <w:t xml:space="preserve"> </w:t>
      </w:r>
      <w:r>
        <w:t>RBA must be transparent and accountable for how it uses those powers</w:t>
      </w:r>
      <w:r w:rsidR="0068598E">
        <w:rPr>
          <w:spacing w:val="-19"/>
        </w:rPr>
        <w:t>.</w:t>
      </w:r>
    </w:p>
    <w:p w14:paraId="054BF5BC" w14:textId="7E30F95B" w:rsidR="00456720" w:rsidRDefault="00456720" w:rsidP="00456720">
      <w:r>
        <w:t>The environment in which the RBA sets monetary policy has become more complex and uncertain (see Chapters 1 and 2)</w:t>
      </w:r>
      <w:r w:rsidR="0068598E">
        <w:rPr>
          <w:spacing w:val="-21"/>
        </w:rPr>
        <w:t>.</w:t>
      </w:r>
      <w:r>
        <w:rPr>
          <w:w w:val="85"/>
        </w:rPr>
        <w:t xml:space="preserve"> </w:t>
      </w:r>
      <w:r>
        <w:t>Decision makers have had to make judgements on the use of a range of more complex monetary policy tools</w:t>
      </w:r>
      <w:r w:rsidR="0068598E">
        <w:rPr>
          <w:spacing w:val="-17"/>
        </w:rPr>
        <w:t>.</w:t>
      </w:r>
      <w:r>
        <w:t xml:space="preserve"> They have confronted large and persistent supply shocks</w:t>
      </w:r>
      <w:r>
        <w:rPr>
          <w:spacing w:val="40"/>
        </w:rPr>
        <w:t xml:space="preserve"> </w:t>
      </w:r>
      <w:r>
        <w:t>and a shifting geopolitical environment. In addition, the effects of climate change, the transition</w:t>
      </w:r>
      <w:r w:rsidR="006B2A13">
        <w:t xml:space="preserve"> </w:t>
      </w:r>
      <w:r>
        <w:t>to a lower carbon economy and demographic shifts will pose further challenges for monetary policymakers in the future (see Chapter 2)</w:t>
      </w:r>
      <w:r w:rsidR="0068598E">
        <w:rPr>
          <w:spacing w:val="-19"/>
        </w:rPr>
        <w:t>.</w:t>
      </w:r>
      <w:r>
        <w:rPr>
          <w:w w:val="85"/>
        </w:rPr>
        <w:t xml:space="preserve"> </w:t>
      </w:r>
      <w:r>
        <w:t>This environment will continue to test the RBA’s monetary policy governance arrangements</w:t>
      </w:r>
      <w:r w:rsidR="0068598E">
        <w:rPr>
          <w:spacing w:val="-9"/>
        </w:rPr>
        <w:t>.</w:t>
      </w:r>
    </w:p>
    <w:p w14:paraId="4E1EE831" w14:textId="2C4544DA" w:rsidR="00456720" w:rsidRDefault="00456720" w:rsidP="00456720">
      <w:r>
        <w:t>Chapter 1 identified areas where current arrangements could be strengthened. The collective skillset of decision makers is not matched to the complex and uncertain environment in which the RBA operates. The supporting arrangements and briefing for the Reserve Bank Board do not equip members with sufficient time and information to test policy proposals or influence outcomes to</w:t>
      </w:r>
      <w:r>
        <w:rPr>
          <w:spacing w:val="80"/>
          <w:w w:val="150"/>
        </w:rPr>
        <w:t xml:space="preserve"> </w:t>
      </w:r>
      <w:r>
        <w:t>the extent they should. There is insufficient transparency and accountability. In these areas, the</w:t>
      </w:r>
      <w:r>
        <w:rPr>
          <w:spacing w:val="80"/>
        </w:rPr>
        <w:t xml:space="preserve"> </w:t>
      </w:r>
      <w:r>
        <w:t>way monetary policy operates in Australia falls short of best practice for central banks (see Box 3</w:t>
      </w:r>
      <w:r w:rsidR="0068598E">
        <w:rPr>
          <w:spacing w:val="-24"/>
        </w:rPr>
        <w:t>.</w:t>
      </w:r>
      <w:r>
        <w:rPr>
          <w:w w:val="117"/>
        </w:rPr>
        <w:t>1;</w:t>
      </w:r>
      <w:r>
        <w:rPr>
          <w:w w:val="99"/>
        </w:rPr>
        <w:t xml:space="preserve"> </w:t>
      </w:r>
      <w:r>
        <w:t>Gai 2023; Levin 2023).</w:t>
      </w:r>
    </w:p>
    <w:p w14:paraId="45D42995" w14:textId="5DA9C2EA" w:rsidR="003E4E00" w:rsidRDefault="003E4E00" w:rsidP="003E4E00">
      <w:r>
        <w:t>The Review is an opportunity to strengthen Australia’s monetary policy arrangements and better</w:t>
      </w:r>
      <w:r>
        <w:rPr>
          <w:spacing w:val="-1"/>
        </w:rPr>
        <w:t xml:space="preserve"> </w:t>
      </w:r>
      <w:r>
        <w:t>position</w:t>
      </w:r>
      <w:r>
        <w:rPr>
          <w:spacing w:val="-1"/>
        </w:rPr>
        <w:t xml:space="preserve"> </w:t>
      </w:r>
      <w:r>
        <w:t>the</w:t>
      </w:r>
      <w:r>
        <w:rPr>
          <w:spacing w:val="-1"/>
        </w:rPr>
        <w:t xml:space="preserve"> </w:t>
      </w:r>
      <w:r>
        <w:t>RBA</w:t>
      </w:r>
      <w:r>
        <w:rPr>
          <w:spacing w:val="-1"/>
        </w:rPr>
        <w:t xml:space="preserve"> </w:t>
      </w:r>
      <w:r>
        <w:t>to</w:t>
      </w:r>
      <w:r>
        <w:rPr>
          <w:spacing w:val="-1"/>
        </w:rPr>
        <w:t xml:space="preserve"> </w:t>
      </w:r>
      <w:r>
        <w:t>meet</w:t>
      </w:r>
      <w:r>
        <w:rPr>
          <w:spacing w:val="-1"/>
        </w:rPr>
        <w:t xml:space="preserve"> </w:t>
      </w:r>
      <w:r>
        <w:t>future</w:t>
      </w:r>
      <w:r>
        <w:rPr>
          <w:spacing w:val="-1"/>
        </w:rPr>
        <w:t xml:space="preserve"> </w:t>
      </w:r>
      <w:r>
        <w:t>challenges</w:t>
      </w:r>
      <w:r w:rsidR="0068598E">
        <w:rPr>
          <w:spacing w:val="-25"/>
        </w:rPr>
        <w:t>.</w:t>
      </w:r>
      <w:r>
        <w:rPr>
          <w:w w:val="85"/>
        </w:rPr>
        <w:t xml:space="preserve"> </w:t>
      </w:r>
      <w:r>
        <w:t>Recommendations</w:t>
      </w:r>
      <w:r>
        <w:rPr>
          <w:spacing w:val="-1"/>
        </w:rPr>
        <w:t xml:space="preserve"> </w:t>
      </w:r>
      <w:r>
        <w:t>in</w:t>
      </w:r>
      <w:r>
        <w:rPr>
          <w:spacing w:val="-1"/>
        </w:rPr>
        <w:t xml:space="preserve"> </w:t>
      </w:r>
      <w:r>
        <w:t>this</w:t>
      </w:r>
      <w:r>
        <w:rPr>
          <w:spacing w:val="-1"/>
        </w:rPr>
        <w:t xml:space="preserve"> </w:t>
      </w:r>
      <w:r>
        <w:t>chapter</w:t>
      </w:r>
      <w:r>
        <w:rPr>
          <w:spacing w:val="-1"/>
        </w:rPr>
        <w:t xml:space="preserve"> </w:t>
      </w:r>
      <w:r>
        <w:t>focus</w:t>
      </w:r>
      <w:r>
        <w:rPr>
          <w:spacing w:val="-1"/>
        </w:rPr>
        <w:t xml:space="preserve"> </w:t>
      </w:r>
      <w:r>
        <w:t>on strengthening the:</w:t>
      </w:r>
    </w:p>
    <w:p w14:paraId="774C1716" w14:textId="77777777" w:rsidR="003E4E00" w:rsidRDefault="003E4E00" w:rsidP="0000278A">
      <w:pPr>
        <w:pStyle w:val="Bullet"/>
      </w:pPr>
      <w:r>
        <w:t>mix</w:t>
      </w:r>
      <w:r>
        <w:rPr>
          <w:spacing w:val="1"/>
        </w:rPr>
        <w:t xml:space="preserve"> </w:t>
      </w:r>
      <w:r>
        <w:t>of</w:t>
      </w:r>
      <w:r>
        <w:rPr>
          <w:spacing w:val="1"/>
        </w:rPr>
        <w:t xml:space="preserve"> </w:t>
      </w:r>
      <w:r>
        <w:t>skills,</w:t>
      </w:r>
      <w:r>
        <w:rPr>
          <w:spacing w:val="2"/>
        </w:rPr>
        <w:t xml:space="preserve"> </w:t>
      </w:r>
      <w:r>
        <w:t>experience</w:t>
      </w:r>
      <w:r>
        <w:rPr>
          <w:spacing w:val="1"/>
        </w:rPr>
        <w:t xml:space="preserve"> </w:t>
      </w:r>
      <w:r>
        <w:t>and</w:t>
      </w:r>
      <w:r>
        <w:rPr>
          <w:spacing w:val="1"/>
        </w:rPr>
        <w:t xml:space="preserve"> </w:t>
      </w:r>
      <w:r>
        <w:t>capabilities</w:t>
      </w:r>
      <w:r>
        <w:rPr>
          <w:spacing w:val="2"/>
        </w:rPr>
        <w:t xml:space="preserve"> </w:t>
      </w:r>
      <w:r>
        <w:t>of</w:t>
      </w:r>
      <w:r>
        <w:rPr>
          <w:spacing w:val="1"/>
        </w:rPr>
        <w:t xml:space="preserve"> </w:t>
      </w:r>
      <w:r>
        <w:t>decision</w:t>
      </w:r>
      <w:r>
        <w:rPr>
          <w:spacing w:val="2"/>
        </w:rPr>
        <w:t xml:space="preserve"> </w:t>
      </w:r>
      <w:r>
        <w:rPr>
          <w:spacing w:val="-2"/>
        </w:rPr>
        <w:t>makers</w:t>
      </w:r>
    </w:p>
    <w:p w14:paraId="3D1E9EA7" w14:textId="77777777" w:rsidR="003E4E00" w:rsidRDefault="003E4E00" w:rsidP="0000278A">
      <w:pPr>
        <w:pStyle w:val="Bullet"/>
      </w:pPr>
      <w:r>
        <w:t>resources, information and opportunities for decision makers to fully engage in the policy process</w:t>
      </w:r>
    </w:p>
    <w:p w14:paraId="5AB949A7" w14:textId="77777777" w:rsidR="003E4E00" w:rsidRDefault="003E4E00" w:rsidP="0000278A">
      <w:pPr>
        <w:pStyle w:val="Bullet"/>
      </w:pPr>
      <w:r>
        <w:t>accountability</w:t>
      </w:r>
      <w:r>
        <w:rPr>
          <w:spacing w:val="3"/>
        </w:rPr>
        <w:t xml:space="preserve"> </w:t>
      </w:r>
      <w:r>
        <w:t>and</w:t>
      </w:r>
      <w:r>
        <w:rPr>
          <w:spacing w:val="4"/>
        </w:rPr>
        <w:t xml:space="preserve"> </w:t>
      </w:r>
      <w:r>
        <w:t>transparency</w:t>
      </w:r>
      <w:r>
        <w:rPr>
          <w:spacing w:val="4"/>
        </w:rPr>
        <w:t xml:space="preserve"> </w:t>
      </w:r>
      <w:r>
        <w:t>of</w:t>
      </w:r>
      <w:r>
        <w:rPr>
          <w:spacing w:val="4"/>
        </w:rPr>
        <w:t xml:space="preserve"> </w:t>
      </w:r>
      <w:r>
        <w:t>decision</w:t>
      </w:r>
      <w:r>
        <w:rPr>
          <w:spacing w:val="4"/>
        </w:rPr>
        <w:t xml:space="preserve"> </w:t>
      </w:r>
      <w:r>
        <w:t>makers</w:t>
      </w:r>
      <w:r>
        <w:rPr>
          <w:spacing w:val="4"/>
        </w:rPr>
        <w:t xml:space="preserve"> </w:t>
      </w:r>
      <w:r>
        <w:t>for</w:t>
      </w:r>
      <w:r>
        <w:rPr>
          <w:spacing w:val="4"/>
        </w:rPr>
        <w:t xml:space="preserve"> </w:t>
      </w:r>
      <w:r>
        <w:t>their</w:t>
      </w:r>
      <w:r>
        <w:rPr>
          <w:spacing w:val="4"/>
        </w:rPr>
        <w:t xml:space="preserve"> </w:t>
      </w:r>
      <w:r>
        <w:t>monetary</w:t>
      </w:r>
      <w:r>
        <w:rPr>
          <w:spacing w:val="4"/>
        </w:rPr>
        <w:t xml:space="preserve"> </w:t>
      </w:r>
      <w:r>
        <w:t>policy</w:t>
      </w:r>
      <w:r>
        <w:rPr>
          <w:spacing w:val="4"/>
        </w:rPr>
        <w:t xml:space="preserve"> </w:t>
      </w:r>
      <w:r>
        <w:rPr>
          <w:spacing w:val="-2"/>
        </w:rPr>
        <w:t>decisions</w:t>
      </w:r>
    </w:p>
    <w:p w14:paraId="114B7578" w14:textId="77777777" w:rsidR="003E4E00" w:rsidRDefault="003E4E00" w:rsidP="0000278A">
      <w:pPr>
        <w:pStyle w:val="Bullet"/>
      </w:pPr>
      <w:r>
        <w:t>safeguards</w:t>
      </w:r>
      <w:r>
        <w:rPr>
          <w:spacing w:val="1"/>
        </w:rPr>
        <w:t xml:space="preserve"> </w:t>
      </w:r>
      <w:r>
        <w:t>in</w:t>
      </w:r>
      <w:r>
        <w:rPr>
          <w:spacing w:val="2"/>
        </w:rPr>
        <w:t xml:space="preserve"> </w:t>
      </w:r>
      <w:r>
        <w:t>respect</w:t>
      </w:r>
      <w:r>
        <w:rPr>
          <w:spacing w:val="2"/>
        </w:rPr>
        <w:t xml:space="preserve"> </w:t>
      </w:r>
      <w:r>
        <w:t>of</w:t>
      </w:r>
      <w:r>
        <w:rPr>
          <w:spacing w:val="1"/>
        </w:rPr>
        <w:t xml:space="preserve"> </w:t>
      </w:r>
      <w:r>
        <w:t>conflicts</w:t>
      </w:r>
      <w:r>
        <w:rPr>
          <w:spacing w:val="2"/>
        </w:rPr>
        <w:t xml:space="preserve"> </w:t>
      </w:r>
      <w:r>
        <w:t>of</w:t>
      </w:r>
      <w:r>
        <w:rPr>
          <w:spacing w:val="2"/>
        </w:rPr>
        <w:t xml:space="preserve"> </w:t>
      </w:r>
      <w:r>
        <w:rPr>
          <w:spacing w:val="-2"/>
        </w:rPr>
        <w:t>interest.</w:t>
      </w:r>
    </w:p>
    <w:p w14:paraId="16E6425B" w14:textId="377B0BFC" w:rsidR="003E4E00" w:rsidRDefault="003E4E00" w:rsidP="003E4E00">
      <w:r>
        <w:t>The chapter draws on a range of information, including input from current and former Governors, Reserve Bank Board members and staff members; consultations and submissions; international experience; a survey of professional economists; the academic literature; and the advice of experts commissioned by the Review</w:t>
      </w:r>
      <w:r w:rsidR="0068598E">
        <w:rPr>
          <w:spacing w:val="-9"/>
        </w:rPr>
        <w:t>.</w:t>
      </w:r>
    </w:p>
    <w:p w14:paraId="647747D8" w14:textId="77777777" w:rsidR="000C7D75" w:rsidRDefault="000C7D75" w:rsidP="00CC3154"/>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CB5E65" w14:paraId="6FF3CE72" w14:textId="77777777" w:rsidTr="002C0562">
        <w:tc>
          <w:tcPr>
            <w:tcW w:w="5000" w:type="pct"/>
            <w:tcBorders>
              <w:top w:val="nil"/>
              <w:left w:val="nil"/>
              <w:bottom w:val="nil"/>
              <w:right w:val="nil"/>
            </w:tcBorders>
            <w:shd w:val="clear" w:color="auto" w:fill="F9EEDB" w:themeFill="accent6"/>
          </w:tcPr>
          <w:p w14:paraId="1D0E7A7E" w14:textId="701E97DE" w:rsidR="00F362FA" w:rsidRDefault="00BD1232" w:rsidP="00BD1232">
            <w:pPr>
              <w:pStyle w:val="BoxHeading"/>
              <w:rPr>
                <w:color w:val="231F20"/>
              </w:rPr>
            </w:pPr>
            <w:r>
              <w:lastRenderedPageBreak/>
              <w:t>Box</w:t>
            </w:r>
            <w:r>
              <w:rPr>
                <w:spacing w:val="-1"/>
              </w:rPr>
              <w:t xml:space="preserve"> </w:t>
            </w:r>
            <w:r>
              <w:t>3.1:</w:t>
            </w:r>
            <w:r>
              <w:rPr>
                <w:spacing w:val="-1"/>
              </w:rPr>
              <w:t xml:space="preserve"> </w:t>
            </w:r>
            <w:r>
              <w:t>Principles</w:t>
            </w:r>
            <w:r>
              <w:rPr>
                <w:spacing w:val="-1"/>
              </w:rPr>
              <w:t xml:space="preserve"> </w:t>
            </w:r>
            <w:r>
              <w:t>to guide</w:t>
            </w:r>
            <w:r>
              <w:rPr>
                <w:spacing w:val="-1"/>
              </w:rPr>
              <w:t xml:space="preserve"> </w:t>
            </w:r>
            <w:r>
              <w:t>monetary</w:t>
            </w:r>
            <w:r>
              <w:rPr>
                <w:spacing w:val="-1"/>
              </w:rPr>
              <w:t xml:space="preserve"> </w:t>
            </w:r>
            <w:r>
              <w:t xml:space="preserve">policy </w:t>
            </w:r>
            <w:r>
              <w:rPr>
                <w:spacing w:val="-2"/>
              </w:rPr>
              <w:t>governance</w:t>
            </w:r>
          </w:p>
          <w:p w14:paraId="68219575" w14:textId="622ABFD7" w:rsidR="00F21DCD" w:rsidRDefault="00F21DCD" w:rsidP="00BD1232">
            <w:pPr>
              <w:pStyle w:val="BoxText"/>
            </w:pPr>
            <w:r>
              <w:t>The Review commissioned 2 international experts, Professor Prasanna Gai and Professor Andrew Levin, to advise on best-practice governance arrangements for monetary policy at central banks. Their papers have been published alongside the Review’s final report.</w:t>
            </w:r>
          </w:p>
          <w:p w14:paraId="6B6F8B35" w14:textId="77777777" w:rsidR="00F21DCD" w:rsidRPr="00BD1232" w:rsidRDefault="00F21DCD" w:rsidP="00BD1232">
            <w:pPr>
              <w:pStyle w:val="BoxText"/>
              <w:rPr>
                <w:szCs w:val="22"/>
              </w:rPr>
            </w:pPr>
            <w:r>
              <w:t>Drawing</w:t>
            </w:r>
            <w:r>
              <w:rPr>
                <w:spacing w:val="-5"/>
              </w:rPr>
              <w:t xml:space="preserve"> </w:t>
            </w:r>
            <w:r>
              <w:t>on</w:t>
            </w:r>
            <w:r>
              <w:rPr>
                <w:spacing w:val="-5"/>
              </w:rPr>
              <w:t xml:space="preserve"> </w:t>
            </w:r>
            <w:r>
              <w:t>the</w:t>
            </w:r>
            <w:r>
              <w:rPr>
                <w:spacing w:val="-5"/>
              </w:rPr>
              <w:t xml:space="preserve"> </w:t>
            </w:r>
            <w:r>
              <w:t>advice</w:t>
            </w:r>
            <w:r>
              <w:rPr>
                <w:spacing w:val="-5"/>
              </w:rPr>
              <w:t xml:space="preserve"> </w:t>
            </w:r>
            <w:r>
              <w:t>of</w:t>
            </w:r>
            <w:r>
              <w:rPr>
                <w:spacing w:val="-5"/>
              </w:rPr>
              <w:t xml:space="preserve"> </w:t>
            </w:r>
            <w:r>
              <w:t>these</w:t>
            </w:r>
            <w:r>
              <w:rPr>
                <w:spacing w:val="-5"/>
              </w:rPr>
              <w:t xml:space="preserve"> </w:t>
            </w:r>
            <w:r>
              <w:t>experts</w:t>
            </w:r>
            <w:r>
              <w:rPr>
                <w:spacing w:val="-5"/>
              </w:rPr>
              <w:t xml:space="preserve"> </w:t>
            </w:r>
            <w:r>
              <w:t>and</w:t>
            </w:r>
            <w:r>
              <w:rPr>
                <w:spacing w:val="-5"/>
              </w:rPr>
              <w:t xml:space="preserve"> </w:t>
            </w:r>
            <w:r>
              <w:t>Archer</w:t>
            </w:r>
            <w:r>
              <w:rPr>
                <w:spacing w:val="-5"/>
              </w:rPr>
              <w:t xml:space="preserve"> </w:t>
            </w:r>
            <w:r>
              <w:t>and</w:t>
            </w:r>
            <w:r>
              <w:rPr>
                <w:spacing w:val="-5"/>
              </w:rPr>
              <w:t xml:space="preserve"> </w:t>
            </w:r>
            <w:r>
              <w:t>Levin</w:t>
            </w:r>
            <w:r>
              <w:rPr>
                <w:spacing w:val="-5"/>
              </w:rPr>
              <w:t xml:space="preserve"> </w:t>
            </w:r>
            <w:r>
              <w:t>(2018),</w:t>
            </w:r>
            <w:r>
              <w:rPr>
                <w:spacing w:val="-5"/>
              </w:rPr>
              <w:t xml:space="preserve"> </w:t>
            </w:r>
            <w:r>
              <w:t>the</w:t>
            </w:r>
            <w:r>
              <w:rPr>
                <w:spacing w:val="-5"/>
              </w:rPr>
              <w:t xml:space="preserve"> </w:t>
            </w:r>
            <w:r>
              <w:t>Review</w:t>
            </w:r>
            <w:r>
              <w:rPr>
                <w:spacing w:val="-5"/>
              </w:rPr>
              <w:t xml:space="preserve"> </w:t>
            </w:r>
            <w:r>
              <w:t xml:space="preserve">identified 6 principles that helped to </w:t>
            </w:r>
            <w:r w:rsidRPr="00BD1232">
              <w:rPr>
                <w:szCs w:val="22"/>
              </w:rPr>
              <w:t>guide the Review’s recommendations in this chapter:</w:t>
            </w:r>
          </w:p>
          <w:p w14:paraId="313C6B10" w14:textId="0D275BD3" w:rsidR="00F21DCD" w:rsidRPr="00BD1232" w:rsidRDefault="00F21DCD" w:rsidP="00BD1232">
            <w:pPr>
              <w:pStyle w:val="BoxText"/>
              <w:rPr>
                <w:szCs w:val="22"/>
              </w:rPr>
            </w:pPr>
            <w:r w:rsidRPr="00BD1232">
              <w:rPr>
                <w:szCs w:val="22"/>
              </w:rPr>
              <w:t>1</w:t>
            </w:r>
            <w:r w:rsidR="0068598E">
              <w:rPr>
                <w:spacing w:val="-25"/>
                <w:szCs w:val="22"/>
              </w:rPr>
              <w:t>.</w:t>
            </w:r>
            <w:r w:rsidRPr="00BD1232">
              <w:rPr>
                <w:spacing w:val="80"/>
                <w:szCs w:val="22"/>
              </w:rPr>
              <w:t xml:space="preserve"> </w:t>
            </w:r>
            <w:r w:rsidRPr="00BD1232">
              <w:rPr>
                <w:szCs w:val="22"/>
              </w:rPr>
              <w:t>Central</w:t>
            </w:r>
            <w:r w:rsidRPr="00BD1232">
              <w:rPr>
                <w:spacing w:val="-2"/>
                <w:szCs w:val="22"/>
              </w:rPr>
              <w:t xml:space="preserve"> </w:t>
            </w:r>
            <w:r w:rsidRPr="00BD1232">
              <w:rPr>
                <w:szCs w:val="22"/>
              </w:rPr>
              <w:t>banks</w:t>
            </w:r>
            <w:r w:rsidRPr="00BD1232">
              <w:rPr>
                <w:spacing w:val="-2"/>
                <w:szCs w:val="22"/>
              </w:rPr>
              <w:t xml:space="preserve"> </w:t>
            </w:r>
            <w:r w:rsidRPr="00BD1232">
              <w:rPr>
                <w:szCs w:val="22"/>
              </w:rPr>
              <w:t>require</w:t>
            </w:r>
            <w:r w:rsidRPr="00BD1232">
              <w:rPr>
                <w:spacing w:val="-2"/>
                <w:szCs w:val="22"/>
              </w:rPr>
              <w:t xml:space="preserve"> </w:t>
            </w:r>
            <w:r w:rsidRPr="00BD1232">
              <w:rPr>
                <w:szCs w:val="22"/>
              </w:rPr>
              <w:t>a</w:t>
            </w:r>
            <w:r w:rsidRPr="00BD1232">
              <w:rPr>
                <w:spacing w:val="-2"/>
                <w:szCs w:val="22"/>
              </w:rPr>
              <w:t xml:space="preserve"> </w:t>
            </w:r>
            <w:r w:rsidRPr="00BD1232">
              <w:rPr>
                <w:szCs w:val="22"/>
              </w:rPr>
              <w:t>high</w:t>
            </w:r>
            <w:r w:rsidRPr="00BD1232">
              <w:rPr>
                <w:spacing w:val="-2"/>
                <w:szCs w:val="22"/>
              </w:rPr>
              <w:t xml:space="preserve"> </w:t>
            </w:r>
            <w:r w:rsidRPr="00BD1232">
              <w:rPr>
                <w:szCs w:val="22"/>
              </w:rPr>
              <w:t>degree</w:t>
            </w:r>
            <w:r w:rsidRPr="00BD1232">
              <w:rPr>
                <w:spacing w:val="-2"/>
                <w:szCs w:val="22"/>
              </w:rPr>
              <w:t xml:space="preserve"> </w:t>
            </w:r>
            <w:r w:rsidRPr="00BD1232">
              <w:rPr>
                <w:szCs w:val="22"/>
              </w:rPr>
              <w:t>of</w:t>
            </w:r>
            <w:r w:rsidRPr="00BD1232">
              <w:rPr>
                <w:spacing w:val="-3"/>
                <w:szCs w:val="22"/>
              </w:rPr>
              <w:t xml:space="preserve"> </w:t>
            </w:r>
            <w:r w:rsidRPr="00BD1232">
              <w:rPr>
                <w:b/>
                <w:szCs w:val="22"/>
              </w:rPr>
              <w:t>independence</w:t>
            </w:r>
            <w:r w:rsidRPr="00BD1232">
              <w:rPr>
                <w:b/>
                <w:spacing w:val="-2"/>
                <w:szCs w:val="22"/>
              </w:rPr>
              <w:t xml:space="preserve"> </w:t>
            </w:r>
            <w:r w:rsidRPr="00BD1232">
              <w:rPr>
                <w:szCs w:val="22"/>
              </w:rPr>
              <w:t>to</w:t>
            </w:r>
            <w:r w:rsidRPr="00BD1232">
              <w:rPr>
                <w:spacing w:val="-2"/>
                <w:szCs w:val="22"/>
              </w:rPr>
              <w:t xml:space="preserve"> </w:t>
            </w:r>
            <w:r w:rsidRPr="00BD1232">
              <w:rPr>
                <w:szCs w:val="22"/>
              </w:rPr>
              <w:t>safeguard</w:t>
            </w:r>
            <w:r w:rsidRPr="00BD1232">
              <w:rPr>
                <w:spacing w:val="-2"/>
                <w:szCs w:val="22"/>
              </w:rPr>
              <w:t xml:space="preserve"> </w:t>
            </w:r>
            <w:r w:rsidRPr="00BD1232">
              <w:rPr>
                <w:szCs w:val="22"/>
              </w:rPr>
              <w:t>against</w:t>
            </w:r>
            <w:r w:rsidRPr="00BD1232">
              <w:rPr>
                <w:spacing w:val="-2"/>
                <w:szCs w:val="22"/>
              </w:rPr>
              <w:t xml:space="preserve"> </w:t>
            </w:r>
            <w:r w:rsidRPr="00BD1232">
              <w:rPr>
                <w:szCs w:val="22"/>
              </w:rPr>
              <w:t>short-term political interference in the setting of monetary policy</w:t>
            </w:r>
            <w:r w:rsidR="0068598E">
              <w:rPr>
                <w:spacing w:val="-13"/>
                <w:szCs w:val="22"/>
              </w:rPr>
              <w:t>.</w:t>
            </w:r>
          </w:p>
          <w:p w14:paraId="75E4138F" w14:textId="3F6EEAD4" w:rsidR="00F21DCD" w:rsidRPr="00BD1232" w:rsidRDefault="00F21DCD" w:rsidP="00BD1232">
            <w:pPr>
              <w:pStyle w:val="BoxText"/>
              <w:rPr>
                <w:szCs w:val="22"/>
              </w:rPr>
            </w:pPr>
            <w:r w:rsidRPr="00BD1232">
              <w:rPr>
                <w:szCs w:val="22"/>
              </w:rPr>
              <w:t>2</w:t>
            </w:r>
            <w:r w:rsidR="0068598E">
              <w:rPr>
                <w:spacing w:val="-24"/>
                <w:szCs w:val="22"/>
              </w:rPr>
              <w:t>.</w:t>
            </w:r>
            <w:r w:rsidRPr="00BD1232">
              <w:rPr>
                <w:spacing w:val="80"/>
                <w:szCs w:val="22"/>
              </w:rPr>
              <w:t xml:space="preserve"> </w:t>
            </w:r>
            <w:r w:rsidRPr="00BD1232">
              <w:rPr>
                <w:szCs w:val="22"/>
              </w:rPr>
              <w:t>Independence</w:t>
            </w:r>
            <w:r w:rsidRPr="00BD1232">
              <w:rPr>
                <w:spacing w:val="-1"/>
                <w:szCs w:val="22"/>
              </w:rPr>
              <w:t xml:space="preserve"> </w:t>
            </w:r>
            <w:r w:rsidRPr="00BD1232">
              <w:rPr>
                <w:szCs w:val="22"/>
              </w:rPr>
              <w:t>must</w:t>
            </w:r>
            <w:r w:rsidRPr="00BD1232">
              <w:rPr>
                <w:spacing w:val="-1"/>
                <w:szCs w:val="22"/>
              </w:rPr>
              <w:t xml:space="preserve"> </w:t>
            </w:r>
            <w:r w:rsidRPr="00BD1232">
              <w:rPr>
                <w:szCs w:val="22"/>
              </w:rPr>
              <w:t>be</w:t>
            </w:r>
            <w:r w:rsidRPr="00BD1232">
              <w:rPr>
                <w:spacing w:val="-1"/>
                <w:szCs w:val="22"/>
              </w:rPr>
              <w:t xml:space="preserve"> </w:t>
            </w:r>
            <w:r w:rsidRPr="00BD1232">
              <w:rPr>
                <w:szCs w:val="22"/>
              </w:rPr>
              <w:t>supported</w:t>
            </w:r>
            <w:r w:rsidRPr="00BD1232">
              <w:rPr>
                <w:spacing w:val="-1"/>
                <w:szCs w:val="22"/>
              </w:rPr>
              <w:t xml:space="preserve"> </w:t>
            </w:r>
            <w:r w:rsidRPr="00BD1232">
              <w:rPr>
                <w:szCs w:val="22"/>
              </w:rPr>
              <w:t>by</w:t>
            </w:r>
            <w:r w:rsidRPr="00BD1232">
              <w:rPr>
                <w:spacing w:val="-1"/>
                <w:szCs w:val="22"/>
              </w:rPr>
              <w:t xml:space="preserve"> </w:t>
            </w:r>
            <w:r w:rsidRPr="00BD1232">
              <w:rPr>
                <w:b/>
                <w:szCs w:val="22"/>
              </w:rPr>
              <w:t>accountability</w:t>
            </w:r>
            <w:r w:rsidRPr="00BD1232">
              <w:rPr>
                <w:b/>
                <w:spacing w:val="-1"/>
                <w:szCs w:val="22"/>
              </w:rPr>
              <w:t xml:space="preserve"> </w:t>
            </w:r>
            <w:r w:rsidRPr="00BD1232">
              <w:rPr>
                <w:szCs w:val="22"/>
              </w:rPr>
              <w:t>and</w:t>
            </w:r>
            <w:r w:rsidRPr="00BD1232">
              <w:rPr>
                <w:spacing w:val="-1"/>
                <w:szCs w:val="22"/>
              </w:rPr>
              <w:t xml:space="preserve"> </w:t>
            </w:r>
            <w:r w:rsidRPr="00BD1232">
              <w:rPr>
                <w:b/>
                <w:szCs w:val="22"/>
              </w:rPr>
              <w:t>transparency</w:t>
            </w:r>
            <w:r w:rsidRPr="00BD1232">
              <w:rPr>
                <w:b/>
                <w:spacing w:val="-1"/>
                <w:szCs w:val="22"/>
              </w:rPr>
              <w:t xml:space="preserve"> </w:t>
            </w:r>
            <w:r w:rsidRPr="00BD1232">
              <w:rPr>
                <w:szCs w:val="22"/>
              </w:rPr>
              <w:t>to</w:t>
            </w:r>
            <w:r w:rsidRPr="00BD1232">
              <w:rPr>
                <w:spacing w:val="-1"/>
                <w:szCs w:val="22"/>
              </w:rPr>
              <w:t xml:space="preserve"> </w:t>
            </w:r>
            <w:r w:rsidRPr="00BD1232">
              <w:rPr>
                <w:szCs w:val="22"/>
              </w:rPr>
              <w:t>maintain public trust in the central bank’s role</w:t>
            </w:r>
            <w:r w:rsidR="0068598E">
              <w:rPr>
                <w:spacing w:val="-13"/>
                <w:szCs w:val="22"/>
              </w:rPr>
              <w:t>.</w:t>
            </w:r>
          </w:p>
          <w:p w14:paraId="3175B154" w14:textId="3DC401A6" w:rsidR="00F21DCD" w:rsidRPr="00BD1232" w:rsidRDefault="00F21DCD" w:rsidP="00BD1232">
            <w:pPr>
              <w:pStyle w:val="BoxText"/>
              <w:rPr>
                <w:szCs w:val="22"/>
              </w:rPr>
            </w:pPr>
            <w:r w:rsidRPr="00BD1232">
              <w:rPr>
                <w:szCs w:val="22"/>
              </w:rPr>
              <w:t>3</w:t>
            </w:r>
            <w:r w:rsidR="0068598E">
              <w:rPr>
                <w:spacing w:val="-24"/>
                <w:szCs w:val="22"/>
              </w:rPr>
              <w:t>.</w:t>
            </w:r>
            <w:r w:rsidRPr="00BD1232">
              <w:rPr>
                <w:spacing w:val="70"/>
                <w:w w:val="150"/>
                <w:szCs w:val="22"/>
              </w:rPr>
              <w:t xml:space="preserve"> </w:t>
            </w:r>
            <w:r w:rsidRPr="00BD1232">
              <w:rPr>
                <w:szCs w:val="22"/>
              </w:rPr>
              <w:t>Monetary policy decisions</w:t>
            </w:r>
            <w:r w:rsidRPr="00BD1232">
              <w:rPr>
                <w:spacing w:val="-1"/>
                <w:szCs w:val="22"/>
              </w:rPr>
              <w:t xml:space="preserve"> </w:t>
            </w:r>
            <w:r w:rsidRPr="00BD1232">
              <w:rPr>
                <w:szCs w:val="22"/>
              </w:rPr>
              <w:t>are complex decisions</w:t>
            </w:r>
            <w:r w:rsidRPr="00BD1232">
              <w:rPr>
                <w:spacing w:val="-1"/>
                <w:szCs w:val="22"/>
              </w:rPr>
              <w:t xml:space="preserve"> </w:t>
            </w:r>
            <w:r w:rsidRPr="00BD1232">
              <w:rPr>
                <w:szCs w:val="22"/>
              </w:rPr>
              <w:t>that are best</w:t>
            </w:r>
            <w:r w:rsidRPr="00BD1232">
              <w:rPr>
                <w:spacing w:val="-1"/>
                <w:szCs w:val="22"/>
              </w:rPr>
              <w:t xml:space="preserve"> </w:t>
            </w:r>
            <w:r w:rsidRPr="00BD1232">
              <w:rPr>
                <w:szCs w:val="22"/>
              </w:rPr>
              <w:t>made by a</w:t>
            </w:r>
            <w:r w:rsidRPr="00BD1232">
              <w:rPr>
                <w:spacing w:val="-1"/>
                <w:szCs w:val="22"/>
              </w:rPr>
              <w:t xml:space="preserve"> </w:t>
            </w:r>
            <w:r w:rsidRPr="00BD1232">
              <w:rPr>
                <w:szCs w:val="22"/>
              </w:rPr>
              <w:t xml:space="preserve">group </w:t>
            </w:r>
            <w:r w:rsidRPr="00BD1232">
              <w:rPr>
                <w:spacing w:val="-4"/>
                <w:szCs w:val="22"/>
              </w:rPr>
              <w:t>with</w:t>
            </w:r>
            <w:r w:rsidR="00BD1232">
              <w:rPr>
                <w:spacing w:val="-4"/>
                <w:szCs w:val="22"/>
              </w:rPr>
              <w:t xml:space="preserve"> </w:t>
            </w:r>
            <w:r w:rsidRPr="00BD1232">
              <w:rPr>
                <w:b/>
                <w:color w:val="231F20"/>
                <w:szCs w:val="22"/>
              </w:rPr>
              <w:t>diverse</w:t>
            </w:r>
            <w:r w:rsidRPr="00BD1232">
              <w:rPr>
                <w:b/>
                <w:color w:val="231F20"/>
                <w:spacing w:val="5"/>
                <w:szCs w:val="22"/>
              </w:rPr>
              <w:t xml:space="preserve"> </w:t>
            </w:r>
            <w:r w:rsidRPr="00BD1232">
              <w:rPr>
                <w:b/>
                <w:color w:val="231F20"/>
                <w:szCs w:val="22"/>
              </w:rPr>
              <w:t>perspectives</w:t>
            </w:r>
            <w:r w:rsidRPr="00BD1232">
              <w:rPr>
                <w:b/>
                <w:color w:val="231F20"/>
                <w:spacing w:val="6"/>
                <w:szCs w:val="22"/>
              </w:rPr>
              <w:t xml:space="preserve"> </w:t>
            </w:r>
            <w:r w:rsidRPr="00BD1232">
              <w:rPr>
                <w:color w:val="231F20"/>
                <w:szCs w:val="22"/>
              </w:rPr>
              <w:t>and</w:t>
            </w:r>
            <w:r w:rsidRPr="00BD1232">
              <w:rPr>
                <w:color w:val="231F20"/>
                <w:spacing w:val="5"/>
                <w:szCs w:val="22"/>
              </w:rPr>
              <w:t xml:space="preserve"> </w:t>
            </w:r>
            <w:r w:rsidRPr="00BD1232">
              <w:rPr>
                <w:b/>
                <w:color w:val="231F20"/>
                <w:szCs w:val="22"/>
              </w:rPr>
              <w:t>expertise</w:t>
            </w:r>
            <w:r w:rsidRPr="00BD1232">
              <w:rPr>
                <w:b/>
                <w:color w:val="231F20"/>
                <w:spacing w:val="6"/>
                <w:szCs w:val="22"/>
              </w:rPr>
              <w:t xml:space="preserve"> </w:t>
            </w:r>
            <w:r w:rsidRPr="00BD1232">
              <w:rPr>
                <w:color w:val="231F20"/>
                <w:szCs w:val="22"/>
              </w:rPr>
              <w:t>relevant</w:t>
            </w:r>
            <w:r w:rsidRPr="00BD1232">
              <w:rPr>
                <w:color w:val="231F20"/>
                <w:spacing w:val="6"/>
                <w:szCs w:val="22"/>
              </w:rPr>
              <w:t xml:space="preserve"> </w:t>
            </w:r>
            <w:r w:rsidRPr="00BD1232">
              <w:rPr>
                <w:color w:val="231F20"/>
                <w:szCs w:val="22"/>
              </w:rPr>
              <w:t>to</w:t>
            </w:r>
            <w:r w:rsidRPr="00BD1232">
              <w:rPr>
                <w:color w:val="231F20"/>
                <w:spacing w:val="5"/>
                <w:szCs w:val="22"/>
              </w:rPr>
              <w:t xml:space="preserve"> </w:t>
            </w:r>
            <w:r w:rsidRPr="00BD1232">
              <w:rPr>
                <w:color w:val="231F20"/>
                <w:szCs w:val="22"/>
              </w:rPr>
              <w:t>monetary</w:t>
            </w:r>
            <w:r w:rsidRPr="00BD1232">
              <w:rPr>
                <w:color w:val="231F20"/>
                <w:spacing w:val="6"/>
                <w:szCs w:val="22"/>
              </w:rPr>
              <w:t xml:space="preserve"> </w:t>
            </w:r>
            <w:r w:rsidRPr="00BD1232">
              <w:rPr>
                <w:color w:val="231F20"/>
                <w:szCs w:val="22"/>
              </w:rPr>
              <w:t>policy</w:t>
            </w:r>
            <w:r w:rsidR="0068598E">
              <w:rPr>
                <w:color w:val="231F20"/>
                <w:spacing w:val="-21"/>
                <w:szCs w:val="22"/>
              </w:rPr>
              <w:t>.</w:t>
            </w:r>
          </w:p>
          <w:p w14:paraId="0B20AE99" w14:textId="46CFE9D7" w:rsidR="00F21DCD" w:rsidRPr="00BD1232" w:rsidRDefault="00F21DCD" w:rsidP="00BD1232">
            <w:pPr>
              <w:pStyle w:val="BoxText"/>
              <w:rPr>
                <w:szCs w:val="22"/>
              </w:rPr>
            </w:pPr>
            <w:r w:rsidRPr="00BD1232">
              <w:rPr>
                <w:szCs w:val="22"/>
              </w:rPr>
              <w:t>4</w:t>
            </w:r>
            <w:r w:rsidR="0068598E">
              <w:rPr>
                <w:spacing w:val="-20"/>
                <w:szCs w:val="22"/>
              </w:rPr>
              <w:t>.</w:t>
            </w:r>
            <w:r w:rsidRPr="00BD1232">
              <w:rPr>
                <w:spacing w:val="80"/>
                <w:szCs w:val="22"/>
              </w:rPr>
              <w:t xml:space="preserve"> </w:t>
            </w:r>
            <w:r w:rsidRPr="00BD1232">
              <w:rPr>
                <w:szCs w:val="22"/>
              </w:rPr>
              <w:t xml:space="preserve">The group members should be able to have </w:t>
            </w:r>
            <w:r w:rsidRPr="00BD1232">
              <w:rPr>
                <w:b/>
                <w:szCs w:val="22"/>
              </w:rPr>
              <w:t xml:space="preserve">roughly comparable influence </w:t>
            </w:r>
            <w:r w:rsidRPr="00BD1232">
              <w:rPr>
                <w:szCs w:val="22"/>
              </w:rPr>
              <w:t>on the decision</w:t>
            </w:r>
            <w:r w:rsidR="0068598E">
              <w:rPr>
                <w:spacing w:val="-24"/>
                <w:szCs w:val="22"/>
              </w:rPr>
              <w:t>.</w:t>
            </w:r>
            <w:r w:rsidRPr="00BD1232">
              <w:rPr>
                <w:w w:val="85"/>
                <w:szCs w:val="22"/>
              </w:rPr>
              <w:t xml:space="preserve"> </w:t>
            </w:r>
            <w:r w:rsidRPr="00BD1232">
              <w:rPr>
                <w:szCs w:val="22"/>
              </w:rPr>
              <w:t xml:space="preserve">This involves members having the appropriate </w:t>
            </w:r>
            <w:r w:rsidRPr="00BD1232">
              <w:rPr>
                <w:b/>
                <w:szCs w:val="22"/>
              </w:rPr>
              <w:t>information and support</w:t>
            </w:r>
            <w:r w:rsidRPr="00BD1232">
              <w:rPr>
                <w:szCs w:val="22"/>
              </w:rPr>
              <w:t xml:space="preserve">, as well as </w:t>
            </w:r>
            <w:r w:rsidRPr="00BD1232">
              <w:rPr>
                <w:b/>
                <w:szCs w:val="22"/>
              </w:rPr>
              <w:t xml:space="preserve">expertise </w:t>
            </w:r>
            <w:r w:rsidRPr="00BD1232">
              <w:rPr>
                <w:szCs w:val="22"/>
              </w:rPr>
              <w:t>relevant to monetary policy</w:t>
            </w:r>
            <w:r w:rsidR="0068598E">
              <w:rPr>
                <w:spacing w:val="-12"/>
                <w:szCs w:val="22"/>
              </w:rPr>
              <w:t>.</w:t>
            </w:r>
          </w:p>
          <w:p w14:paraId="7FD6D734" w14:textId="17756A84" w:rsidR="00F21DCD" w:rsidRPr="00BD1232" w:rsidRDefault="00F21DCD" w:rsidP="00BD1232">
            <w:pPr>
              <w:pStyle w:val="BoxText"/>
              <w:rPr>
                <w:szCs w:val="22"/>
              </w:rPr>
            </w:pPr>
            <w:r w:rsidRPr="00BD1232">
              <w:rPr>
                <w:szCs w:val="22"/>
              </w:rPr>
              <w:t>5</w:t>
            </w:r>
            <w:r w:rsidR="0068598E">
              <w:rPr>
                <w:spacing w:val="-25"/>
                <w:szCs w:val="22"/>
              </w:rPr>
              <w:t>.</w:t>
            </w:r>
            <w:r w:rsidRPr="00BD1232">
              <w:rPr>
                <w:spacing w:val="67"/>
                <w:w w:val="150"/>
                <w:szCs w:val="22"/>
              </w:rPr>
              <w:t xml:space="preserve"> </w:t>
            </w:r>
            <w:r w:rsidRPr="00BD1232">
              <w:rPr>
                <w:szCs w:val="22"/>
              </w:rPr>
              <w:t>Members</w:t>
            </w:r>
            <w:r w:rsidRPr="00BD1232">
              <w:rPr>
                <w:spacing w:val="-2"/>
                <w:szCs w:val="22"/>
              </w:rPr>
              <w:t xml:space="preserve"> </w:t>
            </w:r>
            <w:r w:rsidRPr="00BD1232">
              <w:rPr>
                <w:szCs w:val="22"/>
              </w:rPr>
              <w:t>should</w:t>
            </w:r>
            <w:r w:rsidRPr="00BD1232">
              <w:rPr>
                <w:spacing w:val="-1"/>
                <w:szCs w:val="22"/>
              </w:rPr>
              <w:t xml:space="preserve"> </w:t>
            </w:r>
            <w:r w:rsidRPr="00BD1232">
              <w:rPr>
                <w:szCs w:val="22"/>
              </w:rPr>
              <w:t>be</w:t>
            </w:r>
            <w:r w:rsidRPr="00BD1232">
              <w:rPr>
                <w:spacing w:val="-2"/>
                <w:szCs w:val="22"/>
              </w:rPr>
              <w:t xml:space="preserve"> </w:t>
            </w:r>
            <w:r w:rsidRPr="00BD1232">
              <w:rPr>
                <w:szCs w:val="22"/>
              </w:rPr>
              <w:t>able</w:t>
            </w:r>
            <w:r w:rsidRPr="00BD1232">
              <w:rPr>
                <w:spacing w:val="-1"/>
                <w:szCs w:val="22"/>
              </w:rPr>
              <w:t xml:space="preserve"> </w:t>
            </w:r>
            <w:r w:rsidRPr="00BD1232">
              <w:rPr>
                <w:szCs w:val="22"/>
              </w:rPr>
              <w:t>to</w:t>
            </w:r>
            <w:r w:rsidRPr="00BD1232">
              <w:rPr>
                <w:spacing w:val="-3"/>
                <w:szCs w:val="22"/>
              </w:rPr>
              <w:t xml:space="preserve"> </w:t>
            </w:r>
            <w:r w:rsidRPr="00BD1232">
              <w:rPr>
                <w:b/>
                <w:szCs w:val="22"/>
              </w:rPr>
              <w:t>explain</w:t>
            </w:r>
            <w:r w:rsidRPr="00BD1232">
              <w:rPr>
                <w:b/>
                <w:spacing w:val="-1"/>
                <w:szCs w:val="22"/>
              </w:rPr>
              <w:t xml:space="preserve"> </w:t>
            </w:r>
            <w:r w:rsidRPr="00BD1232">
              <w:rPr>
                <w:b/>
                <w:szCs w:val="22"/>
              </w:rPr>
              <w:t>Board</w:t>
            </w:r>
            <w:r w:rsidRPr="00BD1232">
              <w:rPr>
                <w:b/>
                <w:spacing w:val="-2"/>
                <w:szCs w:val="22"/>
              </w:rPr>
              <w:t xml:space="preserve"> </w:t>
            </w:r>
            <w:r w:rsidRPr="00BD1232">
              <w:rPr>
                <w:b/>
                <w:szCs w:val="22"/>
              </w:rPr>
              <w:t>decisions</w:t>
            </w:r>
            <w:r w:rsidRPr="00BD1232">
              <w:rPr>
                <w:b/>
                <w:spacing w:val="-2"/>
                <w:szCs w:val="22"/>
              </w:rPr>
              <w:t xml:space="preserve"> </w:t>
            </w:r>
            <w:r w:rsidRPr="00BD1232">
              <w:rPr>
                <w:szCs w:val="22"/>
              </w:rPr>
              <w:t>if</w:t>
            </w:r>
            <w:r w:rsidRPr="00BD1232">
              <w:rPr>
                <w:spacing w:val="-1"/>
                <w:szCs w:val="22"/>
              </w:rPr>
              <w:t xml:space="preserve"> </w:t>
            </w:r>
            <w:r w:rsidRPr="00BD1232">
              <w:rPr>
                <w:szCs w:val="22"/>
              </w:rPr>
              <w:t>asked</w:t>
            </w:r>
            <w:r w:rsidR="0068598E">
              <w:rPr>
                <w:spacing w:val="-25"/>
                <w:szCs w:val="22"/>
              </w:rPr>
              <w:t>.</w:t>
            </w:r>
          </w:p>
          <w:p w14:paraId="73F09793" w14:textId="77E35F09" w:rsidR="00CB5E65" w:rsidRPr="005073DA" w:rsidRDefault="00F21DCD" w:rsidP="00BD1232">
            <w:pPr>
              <w:pStyle w:val="BoxText"/>
            </w:pPr>
            <w:r w:rsidRPr="00BD1232">
              <w:rPr>
                <w:szCs w:val="22"/>
              </w:rPr>
              <w:t>6</w:t>
            </w:r>
            <w:r w:rsidR="0068598E">
              <w:rPr>
                <w:spacing w:val="-24"/>
                <w:szCs w:val="22"/>
              </w:rPr>
              <w:t>.</w:t>
            </w:r>
            <w:r w:rsidRPr="00BD1232">
              <w:rPr>
                <w:spacing w:val="72"/>
                <w:w w:val="150"/>
                <w:szCs w:val="22"/>
              </w:rPr>
              <w:t xml:space="preserve"> </w:t>
            </w:r>
            <w:r w:rsidRPr="00BD1232">
              <w:rPr>
                <w:szCs w:val="22"/>
              </w:rPr>
              <w:t>The process</w:t>
            </w:r>
            <w:r w:rsidRPr="00BD1232">
              <w:rPr>
                <w:spacing w:val="1"/>
                <w:szCs w:val="22"/>
              </w:rPr>
              <w:t xml:space="preserve"> </w:t>
            </w:r>
            <w:r w:rsidRPr="00BD1232">
              <w:rPr>
                <w:szCs w:val="22"/>
              </w:rPr>
              <w:t>of selecting</w:t>
            </w:r>
            <w:r w:rsidRPr="00BD1232">
              <w:rPr>
                <w:spacing w:val="1"/>
                <w:szCs w:val="22"/>
              </w:rPr>
              <w:t xml:space="preserve"> </w:t>
            </w:r>
            <w:r w:rsidRPr="00BD1232">
              <w:rPr>
                <w:szCs w:val="22"/>
              </w:rPr>
              <w:t>members should</w:t>
            </w:r>
            <w:r w:rsidRPr="00BD1232">
              <w:rPr>
                <w:spacing w:val="1"/>
                <w:szCs w:val="22"/>
              </w:rPr>
              <w:t xml:space="preserve"> </w:t>
            </w:r>
            <w:r w:rsidRPr="00BD1232">
              <w:rPr>
                <w:szCs w:val="22"/>
              </w:rPr>
              <w:t>be</w:t>
            </w:r>
            <w:r w:rsidRPr="00BD1232">
              <w:rPr>
                <w:spacing w:val="-1"/>
                <w:szCs w:val="22"/>
              </w:rPr>
              <w:t xml:space="preserve"> </w:t>
            </w:r>
            <w:r w:rsidRPr="00BD1232">
              <w:rPr>
                <w:b/>
                <w:szCs w:val="22"/>
              </w:rPr>
              <w:t>systematic,</w:t>
            </w:r>
            <w:r w:rsidRPr="00BD1232">
              <w:rPr>
                <w:b/>
                <w:spacing w:val="1"/>
                <w:szCs w:val="22"/>
              </w:rPr>
              <w:t xml:space="preserve"> </w:t>
            </w:r>
            <w:r w:rsidRPr="00BD1232">
              <w:rPr>
                <w:b/>
                <w:szCs w:val="22"/>
              </w:rPr>
              <w:t>transparent and</w:t>
            </w:r>
            <w:r w:rsidRPr="00BD1232">
              <w:rPr>
                <w:b/>
                <w:spacing w:val="1"/>
                <w:szCs w:val="22"/>
              </w:rPr>
              <w:t xml:space="preserve"> </w:t>
            </w:r>
            <w:r w:rsidRPr="00BD1232">
              <w:rPr>
                <w:b/>
                <w:szCs w:val="22"/>
              </w:rPr>
              <w:t>open</w:t>
            </w:r>
            <w:r w:rsidRPr="00BD1232">
              <w:rPr>
                <w:szCs w:val="22"/>
              </w:rPr>
              <w:t xml:space="preserve">, </w:t>
            </w:r>
            <w:r w:rsidRPr="00BD1232">
              <w:rPr>
                <w:spacing w:val="-4"/>
                <w:szCs w:val="22"/>
              </w:rPr>
              <w:t>with</w:t>
            </w:r>
            <w:r w:rsidR="00BD1232" w:rsidRPr="00BD1232">
              <w:rPr>
                <w:spacing w:val="-4"/>
                <w:szCs w:val="22"/>
              </w:rPr>
              <w:t xml:space="preserve"> </w:t>
            </w:r>
            <w:r w:rsidRPr="00BD1232">
              <w:rPr>
                <w:color w:val="231F20"/>
                <w:szCs w:val="22"/>
              </w:rPr>
              <w:t>regard</w:t>
            </w:r>
            <w:r w:rsidRPr="00BD1232">
              <w:rPr>
                <w:color w:val="231F20"/>
                <w:spacing w:val="-1"/>
                <w:szCs w:val="22"/>
              </w:rPr>
              <w:t xml:space="preserve"> </w:t>
            </w:r>
            <w:r w:rsidRPr="00BD1232">
              <w:rPr>
                <w:color w:val="231F20"/>
                <w:szCs w:val="22"/>
              </w:rPr>
              <w:t xml:space="preserve">to avoiding material conflicts of </w:t>
            </w:r>
            <w:r w:rsidRPr="00BD1232">
              <w:rPr>
                <w:color w:val="231F20"/>
                <w:spacing w:val="-2"/>
                <w:szCs w:val="22"/>
              </w:rPr>
              <w:t>interest.</w:t>
            </w:r>
          </w:p>
        </w:tc>
      </w:tr>
    </w:tbl>
    <w:p w14:paraId="6F7766F1" w14:textId="7A7BB624" w:rsidR="00C40FA4" w:rsidRDefault="00C40FA4" w:rsidP="00CC3154"/>
    <w:p w14:paraId="16F8A359" w14:textId="77777777" w:rsidR="002C0562" w:rsidRDefault="002C0562">
      <w:pPr>
        <w:spacing w:before="0" w:after="160" w:line="259" w:lineRule="auto"/>
        <w:rPr>
          <w:rFonts w:ascii="Calibri" w:hAnsi="Calibri" w:cs="Arial"/>
          <w:iCs/>
          <w:color w:val="2C384A"/>
          <w:kern w:val="32"/>
          <w:sz w:val="36"/>
          <w:szCs w:val="28"/>
        </w:rPr>
      </w:pPr>
      <w:r>
        <w:br w:type="page"/>
      </w:r>
    </w:p>
    <w:p w14:paraId="4EB024B3" w14:textId="61445EE0" w:rsidR="002C0562" w:rsidRDefault="002C0562" w:rsidP="002C0562">
      <w:pPr>
        <w:pStyle w:val="Heading2"/>
      </w:pPr>
      <w:bookmarkStart w:id="45" w:name="_Toc134221015"/>
      <w:r>
        <w:lastRenderedPageBreak/>
        <w:t>Recommendations in this chapter</w:t>
      </w:r>
      <w:bookmarkEnd w:id="45"/>
    </w:p>
    <w:tbl>
      <w:tblPr>
        <w:tblW w:w="5000" w:type="pct"/>
        <w:tblCellMar>
          <w:left w:w="0" w:type="dxa"/>
          <w:right w:w="0" w:type="dxa"/>
        </w:tblCellMar>
        <w:tblLook w:val="01E0" w:firstRow="1" w:lastRow="1" w:firstColumn="1" w:lastColumn="1" w:noHBand="0" w:noVBand="0"/>
      </w:tblPr>
      <w:tblGrid>
        <w:gridCol w:w="796"/>
        <w:gridCol w:w="51"/>
        <w:gridCol w:w="8223"/>
      </w:tblGrid>
      <w:tr w:rsidR="002C0562" w14:paraId="0F4B5B90" w14:textId="77777777" w:rsidTr="00F22AE5">
        <w:trPr>
          <w:trHeight w:val="791"/>
        </w:trPr>
        <w:tc>
          <w:tcPr>
            <w:tcW w:w="5000" w:type="pct"/>
            <w:gridSpan w:val="3"/>
            <w:tcBorders>
              <w:bottom w:val="single" w:sz="8" w:space="0" w:color="ECEDE9"/>
            </w:tcBorders>
          </w:tcPr>
          <w:p w14:paraId="3E70FA9E" w14:textId="77777777" w:rsidR="002C0562" w:rsidRDefault="002C0562" w:rsidP="00F22AE5">
            <w:pPr>
              <w:pStyle w:val="Heading4"/>
            </w:pPr>
            <w:r>
              <w:t>Recommendation 8: Constitute an expert Monetary Policy Board with diverse perspectives and knowledge</w:t>
            </w:r>
          </w:p>
        </w:tc>
      </w:tr>
      <w:tr w:rsidR="002C0562" w14:paraId="4FE25814" w14:textId="77777777" w:rsidTr="00F22AE5">
        <w:trPr>
          <w:trHeight w:val="1031"/>
        </w:trPr>
        <w:tc>
          <w:tcPr>
            <w:tcW w:w="439" w:type="pct"/>
            <w:tcBorders>
              <w:top w:val="single" w:sz="8" w:space="0" w:color="ECEDE9"/>
              <w:bottom w:val="single" w:sz="8" w:space="0" w:color="ECEDE9"/>
            </w:tcBorders>
          </w:tcPr>
          <w:p w14:paraId="590466D2" w14:textId="77777777" w:rsidR="002C0562" w:rsidRDefault="002C0562" w:rsidP="00F22AE5">
            <w:r>
              <w:t>8.1</w:t>
            </w:r>
          </w:p>
        </w:tc>
        <w:tc>
          <w:tcPr>
            <w:tcW w:w="4561" w:type="pct"/>
            <w:gridSpan w:val="2"/>
            <w:tcBorders>
              <w:top w:val="single" w:sz="8" w:space="0" w:color="ECEDE9"/>
              <w:bottom w:val="single" w:sz="8" w:space="0" w:color="ECEDE9"/>
            </w:tcBorders>
          </w:tcPr>
          <w:p w14:paraId="18E97962" w14:textId="77777777" w:rsidR="002C0562" w:rsidRDefault="002C0562" w:rsidP="00F22AE5">
            <w:r>
              <w:t>The Government should constitute a Monetary Policy Board with responsibility for monetary policy decisions and oversight of the RBA’s contribution to financial system stability (except payments system policy), but not broader corporate governance.</w:t>
            </w:r>
          </w:p>
        </w:tc>
      </w:tr>
      <w:tr w:rsidR="002C0562" w14:paraId="42E493FE" w14:textId="77777777" w:rsidTr="00F22AE5">
        <w:trPr>
          <w:trHeight w:val="801"/>
        </w:trPr>
        <w:tc>
          <w:tcPr>
            <w:tcW w:w="439" w:type="pct"/>
            <w:tcBorders>
              <w:top w:val="single" w:sz="8" w:space="0" w:color="ECEDE9"/>
              <w:bottom w:val="single" w:sz="8" w:space="0" w:color="ECEDE9"/>
            </w:tcBorders>
          </w:tcPr>
          <w:p w14:paraId="3959C8F0" w14:textId="77777777" w:rsidR="002C0562" w:rsidRDefault="002C0562" w:rsidP="00F22AE5">
            <w:r>
              <w:t>8.2</w:t>
            </w:r>
          </w:p>
        </w:tc>
        <w:tc>
          <w:tcPr>
            <w:tcW w:w="4561" w:type="pct"/>
            <w:gridSpan w:val="2"/>
            <w:tcBorders>
              <w:top w:val="single" w:sz="8" w:space="0" w:color="ECEDE9"/>
              <w:bottom w:val="single" w:sz="8" w:space="0" w:color="ECEDE9"/>
            </w:tcBorders>
          </w:tcPr>
          <w:p w14:paraId="447E7894" w14:textId="77777777" w:rsidR="002C0562" w:rsidRDefault="002C0562" w:rsidP="00F22AE5">
            <w:r>
              <w:t>The Monetary Policy Board should comprise the Governor, Deputy Governor, Treasury Secretary and 6 external members, with the Governor as chair.</w:t>
            </w:r>
          </w:p>
        </w:tc>
      </w:tr>
      <w:tr w:rsidR="002C0562" w14:paraId="12E1E234" w14:textId="77777777" w:rsidTr="00F22AE5">
        <w:trPr>
          <w:trHeight w:val="1491"/>
        </w:trPr>
        <w:tc>
          <w:tcPr>
            <w:tcW w:w="439" w:type="pct"/>
            <w:tcBorders>
              <w:top w:val="single" w:sz="8" w:space="0" w:color="ECEDE9"/>
              <w:bottom w:val="single" w:sz="8" w:space="0" w:color="ECEDE9"/>
            </w:tcBorders>
          </w:tcPr>
          <w:p w14:paraId="560E4306" w14:textId="77777777" w:rsidR="002C0562" w:rsidRDefault="002C0562" w:rsidP="00F22AE5">
            <w:r>
              <w:t>8.3</w:t>
            </w:r>
          </w:p>
        </w:tc>
        <w:tc>
          <w:tcPr>
            <w:tcW w:w="4561" w:type="pct"/>
            <w:gridSpan w:val="2"/>
            <w:tcBorders>
              <w:top w:val="single" w:sz="8" w:space="0" w:color="ECEDE9"/>
              <w:bottom w:val="single" w:sz="8" w:space="0" w:color="ECEDE9"/>
            </w:tcBorders>
          </w:tcPr>
          <w:p w14:paraId="7C2E2F84" w14:textId="77777777" w:rsidR="002C0562" w:rsidRDefault="002C0562" w:rsidP="00F22AE5">
            <w:r>
              <w:t xml:space="preserve">The Government should clarify in the </w:t>
            </w:r>
            <w:r>
              <w:rPr>
                <w:i/>
              </w:rPr>
              <w:t xml:space="preserve">Reserve Bank Act 1959 </w:t>
            </w:r>
            <w:r>
              <w:t xml:space="preserve">that the Treasury Secretary acts on the Monetary Policy Board in their individual capacity not at the direction of the Treasurer. The </w:t>
            </w:r>
            <w:r>
              <w:rPr>
                <w:i/>
              </w:rPr>
              <w:t xml:space="preserve">Statement on the Conduct of Monetary Policy </w:t>
            </w:r>
            <w:r>
              <w:t>should state that the Treasury Secretary has a responsibility to provide insight on the outlook for the economy and for fiscal policy.</w:t>
            </w:r>
          </w:p>
        </w:tc>
      </w:tr>
      <w:tr w:rsidR="002C0562" w14:paraId="4E11A055" w14:textId="77777777" w:rsidTr="00F22AE5">
        <w:trPr>
          <w:trHeight w:val="1327"/>
        </w:trPr>
        <w:tc>
          <w:tcPr>
            <w:tcW w:w="439" w:type="pct"/>
            <w:tcBorders>
              <w:top w:val="single" w:sz="8" w:space="0" w:color="ECEDE9"/>
              <w:bottom w:val="single" w:sz="8" w:space="0" w:color="ECEDE9"/>
            </w:tcBorders>
          </w:tcPr>
          <w:p w14:paraId="7EAF931E" w14:textId="77777777" w:rsidR="002C0562" w:rsidRDefault="002C0562" w:rsidP="00F22AE5">
            <w:r>
              <w:t>8.4</w:t>
            </w:r>
          </w:p>
        </w:tc>
        <w:tc>
          <w:tcPr>
            <w:tcW w:w="4561" w:type="pct"/>
            <w:gridSpan w:val="2"/>
            <w:tcBorders>
              <w:top w:val="single" w:sz="8" w:space="0" w:color="ECEDE9"/>
              <w:bottom w:val="single" w:sz="8" w:space="0" w:color="ECEDE9"/>
            </w:tcBorders>
          </w:tcPr>
          <w:p w14:paraId="30ABE8E0" w14:textId="77777777" w:rsidR="002C0562" w:rsidRDefault="002C0562" w:rsidP="00F22AE5">
            <w:r>
              <w:t>The Monetary Policy Board’s external members should be able to make a significant contribution to monetary policy setting through expertise in areas such as open-economy macroeconomics, the financial system, labour markets, or the supply side of the economy, and in the context of decision making</w:t>
            </w:r>
            <w:r>
              <w:rPr>
                <w:spacing w:val="80"/>
              </w:rPr>
              <w:t xml:space="preserve"> </w:t>
            </w:r>
            <w:r>
              <w:t>under uncertainty.</w:t>
            </w:r>
          </w:p>
        </w:tc>
      </w:tr>
      <w:tr w:rsidR="002C0562" w14:paraId="3BBEC094" w14:textId="77777777" w:rsidTr="00FA4DE9">
        <w:trPr>
          <w:trHeight w:val="1327"/>
        </w:trPr>
        <w:tc>
          <w:tcPr>
            <w:tcW w:w="439" w:type="pct"/>
            <w:tcBorders>
              <w:top w:val="single" w:sz="8" w:space="0" w:color="ECEDE9"/>
              <w:bottom w:val="single" w:sz="8" w:space="0" w:color="ECEDE9"/>
            </w:tcBorders>
          </w:tcPr>
          <w:p w14:paraId="1540B73F" w14:textId="77777777" w:rsidR="002C0562" w:rsidRDefault="002C0562" w:rsidP="00F22AE5">
            <w:r>
              <w:t>8.5</w:t>
            </w:r>
          </w:p>
        </w:tc>
        <w:tc>
          <w:tcPr>
            <w:tcW w:w="4561" w:type="pct"/>
            <w:gridSpan w:val="2"/>
            <w:tcBorders>
              <w:top w:val="single" w:sz="8" w:space="0" w:color="ECEDE9"/>
              <w:bottom w:val="single" w:sz="8" w:space="0" w:color="ECEDE9"/>
            </w:tcBorders>
          </w:tcPr>
          <w:p w14:paraId="6EC2A19C" w14:textId="77777777" w:rsidR="002C0562" w:rsidRDefault="002C0562" w:rsidP="00F22AE5">
            <w:r>
              <w:t>External Monetary Policy Board members should be appointed through a transparent process. Positions should be advertised for expressions of interest, drawing on a matrix of required skills and experience. A panel comprising the Treasury Secretary, the Governor and a third party should recommend options for suitable candidates to the Treasurer.</w:t>
            </w:r>
          </w:p>
        </w:tc>
      </w:tr>
      <w:tr w:rsidR="002C0562" w14:paraId="745011B1" w14:textId="77777777" w:rsidTr="00FA4DE9">
        <w:trPr>
          <w:trHeight w:val="1327"/>
        </w:trPr>
        <w:tc>
          <w:tcPr>
            <w:tcW w:w="439" w:type="pct"/>
            <w:tcBorders>
              <w:top w:val="single" w:sz="8" w:space="0" w:color="ECEDE9"/>
            </w:tcBorders>
          </w:tcPr>
          <w:p w14:paraId="1FEEBE9E" w14:textId="77777777" w:rsidR="002C0562" w:rsidRDefault="002C0562" w:rsidP="00F22AE5">
            <w:r>
              <w:t>8.6</w:t>
            </w:r>
          </w:p>
        </w:tc>
        <w:tc>
          <w:tcPr>
            <w:tcW w:w="4561" w:type="pct"/>
            <w:gridSpan w:val="2"/>
            <w:tcBorders>
              <w:top w:val="single" w:sz="8" w:space="0" w:color="ECEDE9"/>
            </w:tcBorders>
          </w:tcPr>
          <w:p w14:paraId="25136680" w14:textId="77777777" w:rsidR="002C0562" w:rsidRDefault="002C0562" w:rsidP="00F22AE5">
            <w:r>
              <w:t>External members of the Monetary Policy Board should be appointed for a term of 5 years, with the possibility of reappointment for up to one year, if flexibility is needed. End dates should be staggered.</w:t>
            </w:r>
          </w:p>
        </w:tc>
      </w:tr>
      <w:tr w:rsidR="002C0562" w14:paraId="720FACF5" w14:textId="77777777" w:rsidTr="00FA4DE9">
        <w:trPr>
          <w:trHeight w:val="1016"/>
        </w:trPr>
        <w:tc>
          <w:tcPr>
            <w:tcW w:w="5000" w:type="pct"/>
            <w:gridSpan w:val="3"/>
            <w:tcBorders>
              <w:bottom w:val="single" w:sz="8" w:space="0" w:color="ECEDE9"/>
            </w:tcBorders>
          </w:tcPr>
          <w:p w14:paraId="3EC3A14C" w14:textId="77777777" w:rsidR="002C0562" w:rsidRDefault="002C0562" w:rsidP="00F22AE5">
            <w:pPr>
              <w:pStyle w:val="Heading4"/>
            </w:pPr>
            <w:r>
              <w:t>Recommendation 9: Improve processes to support deeper consideration of monetary policy decisions, strategy and research</w:t>
            </w:r>
          </w:p>
        </w:tc>
      </w:tr>
      <w:tr w:rsidR="002C0562" w14:paraId="0EB39AB8" w14:textId="77777777" w:rsidTr="00F22AE5">
        <w:trPr>
          <w:trHeight w:val="1327"/>
        </w:trPr>
        <w:tc>
          <w:tcPr>
            <w:tcW w:w="439" w:type="pct"/>
            <w:tcBorders>
              <w:top w:val="single" w:sz="8" w:space="0" w:color="ECEDE9"/>
            </w:tcBorders>
          </w:tcPr>
          <w:p w14:paraId="5E6B36BA" w14:textId="77777777" w:rsidR="002C0562" w:rsidRDefault="002C0562" w:rsidP="00F22AE5">
            <w:r>
              <w:t>9.1</w:t>
            </w:r>
          </w:p>
        </w:tc>
        <w:tc>
          <w:tcPr>
            <w:tcW w:w="4561" w:type="pct"/>
            <w:gridSpan w:val="2"/>
            <w:tcBorders>
              <w:top w:val="single" w:sz="8" w:space="0" w:color="ECEDE9"/>
            </w:tcBorders>
          </w:tcPr>
          <w:p w14:paraId="521F63FF" w14:textId="77777777" w:rsidR="002C0562" w:rsidRDefault="002C0562" w:rsidP="00F22AE5">
            <w:r>
              <w:t>The Monetary Policy Board should meet 8 rather than 11 times a year to allow for more in-depth discussions including of the forecast, strategy and other monetary policy issues. The meeting cycles should:</w:t>
            </w:r>
          </w:p>
          <w:p w14:paraId="194C1318" w14:textId="77777777" w:rsidR="002C0562" w:rsidRDefault="002C0562" w:rsidP="0000278A">
            <w:pPr>
              <w:pStyle w:val="Bullet"/>
            </w:pPr>
            <w:r>
              <w:t>allow sufficient time between initial discussion of the issues and the final decision for members to reflect on the issues and request follow-up analysis as necessary</w:t>
            </w:r>
          </w:p>
          <w:p w14:paraId="168530F3" w14:textId="77777777" w:rsidR="002C0562" w:rsidRDefault="002C0562" w:rsidP="0000278A">
            <w:pPr>
              <w:pStyle w:val="Bullet"/>
            </w:pPr>
            <w:r>
              <w:t>provide</w:t>
            </w:r>
            <w:r>
              <w:rPr>
                <w:spacing w:val="2"/>
              </w:rPr>
              <w:t xml:space="preserve"> </w:t>
            </w:r>
            <w:r>
              <w:t>opportunities</w:t>
            </w:r>
            <w:r>
              <w:rPr>
                <w:spacing w:val="3"/>
              </w:rPr>
              <w:t xml:space="preserve"> </w:t>
            </w:r>
            <w:r>
              <w:t>for</w:t>
            </w:r>
            <w:r>
              <w:rPr>
                <w:spacing w:val="2"/>
              </w:rPr>
              <w:t xml:space="preserve"> </w:t>
            </w:r>
            <w:r>
              <w:t>the</w:t>
            </w:r>
            <w:r>
              <w:rPr>
                <w:spacing w:val="3"/>
              </w:rPr>
              <w:t xml:space="preserve"> </w:t>
            </w:r>
            <w:r>
              <w:t>Monetary</w:t>
            </w:r>
            <w:r>
              <w:rPr>
                <w:spacing w:val="2"/>
              </w:rPr>
              <w:t xml:space="preserve"> </w:t>
            </w:r>
            <w:r>
              <w:t>Policy</w:t>
            </w:r>
            <w:r>
              <w:rPr>
                <w:spacing w:val="3"/>
              </w:rPr>
              <w:t xml:space="preserve"> </w:t>
            </w:r>
            <w:r>
              <w:t>Board</w:t>
            </w:r>
            <w:r>
              <w:rPr>
                <w:spacing w:val="2"/>
              </w:rPr>
              <w:t xml:space="preserve"> </w:t>
            </w:r>
            <w:r>
              <w:t>to</w:t>
            </w:r>
            <w:r>
              <w:rPr>
                <w:spacing w:val="3"/>
              </w:rPr>
              <w:t xml:space="preserve"> </w:t>
            </w:r>
            <w:r>
              <w:t>hear</w:t>
            </w:r>
            <w:r>
              <w:rPr>
                <w:spacing w:val="2"/>
              </w:rPr>
              <w:t xml:space="preserve"> </w:t>
            </w:r>
            <w:r>
              <w:t>the</w:t>
            </w:r>
            <w:r>
              <w:rPr>
                <w:spacing w:val="3"/>
              </w:rPr>
              <w:t xml:space="preserve"> </w:t>
            </w:r>
            <w:r>
              <w:t>views</w:t>
            </w:r>
            <w:r>
              <w:rPr>
                <w:spacing w:val="2"/>
              </w:rPr>
              <w:t xml:space="preserve"> </w:t>
            </w:r>
            <w:r>
              <w:t>of</w:t>
            </w:r>
            <w:r>
              <w:rPr>
                <w:spacing w:val="3"/>
              </w:rPr>
              <w:t xml:space="preserve"> </w:t>
            </w:r>
            <w:r>
              <w:t>a</w:t>
            </w:r>
            <w:r>
              <w:rPr>
                <w:spacing w:val="3"/>
              </w:rPr>
              <w:t xml:space="preserve"> </w:t>
            </w:r>
            <w:r>
              <w:rPr>
                <w:spacing w:val="-2"/>
              </w:rPr>
              <w:t xml:space="preserve">wider </w:t>
            </w:r>
            <w:r>
              <w:t>range of RBA</w:t>
            </w:r>
            <w:r>
              <w:rPr>
                <w:spacing w:val="1"/>
              </w:rPr>
              <w:t xml:space="preserve"> </w:t>
            </w:r>
            <w:r>
              <w:t>staff on</w:t>
            </w:r>
            <w:r>
              <w:rPr>
                <w:spacing w:val="1"/>
              </w:rPr>
              <w:t xml:space="preserve"> </w:t>
            </w:r>
            <w:r>
              <w:t>issues that would</w:t>
            </w:r>
            <w:r>
              <w:rPr>
                <w:spacing w:val="1"/>
              </w:rPr>
              <w:t xml:space="preserve"> </w:t>
            </w:r>
            <w:r>
              <w:t>inform the</w:t>
            </w:r>
            <w:r>
              <w:rPr>
                <w:spacing w:val="1"/>
              </w:rPr>
              <w:t xml:space="preserve"> </w:t>
            </w:r>
            <w:r>
              <w:rPr>
                <w:spacing w:val="-2"/>
              </w:rPr>
              <w:t>decision.</w:t>
            </w:r>
          </w:p>
        </w:tc>
      </w:tr>
      <w:tr w:rsidR="002C0562" w14:paraId="0312FB74" w14:textId="77777777" w:rsidTr="00F22AE5">
        <w:trPr>
          <w:trHeight w:val="802"/>
        </w:trPr>
        <w:tc>
          <w:tcPr>
            <w:tcW w:w="439" w:type="pct"/>
            <w:tcBorders>
              <w:top w:val="single" w:sz="8" w:space="0" w:color="ECEDE9"/>
            </w:tcBorders>
          </w:tcPr>
          <w:p w14:paraId="1B43406A" w14:textId="77777777" w:rsidR="002C0562" w:rsidRDefault="002C0562" w:rsidP="00F22AE5">
            <w:r>
              <w:t>9.2</w:t>
            </w:r>
          </w:p>
        </w:tc>
        <w:tc>
          <w:tcPr>
            <w:tcW w:w="4561" w:type="pct"/>
            <w:gridSpan w:val="2"/>
            <w:tcBorders>
              <w:top w:val="single" w:sz="8" w:space="0" w:color="ECEDE9"/>
            </w:tcBorders>
          </w:tcPr>
          <w:p w14:paraId="7E0AE57E" w14:textId="77777777" w:rsidR="002C0562" w:rsidRDefault="002C0562" w:rsidP="00F22AE5">
            <w:r>
              <w:t>The 6</w:t>
            </w:r>
            <w:r>
              <w:rPr>
                <w:spacing w:val="3"/>
              </w:rPr>
              <w:t xml:space="preserve"> </w:t>
            </w:r>
            <w:r>
              <w:t>external</w:t>
            </w:r>
            <w:r>
              <w:rPr>
                <w:spacing w:val="3"/>
              </w:rPr>
              <w:t xml:space="preserve"> </w:t>
            </w:r>
            <w:r>
              <w:t>Monetary</w:t>
            </w:r>
            <w:r>
              <w:rPr>
                <w:spacing w:val="2"/>
              </w:rPr>
              <w:t xml:space="preserve"> </w:t>
            </w:r>
            <w:r>
              <w:t>Policy</w:t>
            </w:r>
            <w:r>
              <w:rPr>
                <w:spacing w:val="3"/>
              </w:rPr>
              <w:t xml:space="preserve"> </w:t>
            </w:r>
            <w:r>
              <w:t>Board</w:t>
            </w:r>
            <w:r>
              <w:rPr>
                <w:spacing w:val="3"/>
              </w:rPr>
              <w:t xml:space="preserve"> </w:t>
            </w:r>
            <w:r>
              <w:t>members</w:t>
            </w:r>
            <w:r>
              <w:rPr>
                <w:spacing w:val="2"/>
              </w:rPr>
              <w:t xml:space="preserve"> </w:t>
            </w:r>
            <w:r>
              <w:t>should</w:t>
            </w:r>
            <w:r>
              <w:rPr>
                <w:spacing w:val="3"/>
              </w:rPr>
              <w:t xml:space="preserve"> </w:t>
            </w:r>
            <w:r>
              <w:t>have</w:t>
            </w:r>
            <w:r>
              <w:rPr>
                <w:spacing w:val="3"/>
              </w:rPr>
              <w:t xml:space="preserve"> </w:t>
            </w:r>
            <w:r>
              <w:t>direct</w:t>
            </w:r>
            <w:r>
              <w:rPr>
                <w:spacing w:val="2"/>
              </w:rPr>
              <w:t xml:space="preserve"> </w:t>
            </w:r>
            <w:r>
              <w:t>access</w:t>
            </w:r>
            <w:r>
              <w:rPr>
                <w:spacing w:val="3"/>
              </w:rPr>
              <w:t xml:space="preserve"> </w:t>
            </w:r>
            <w:r>
              <w:t>to</w:t>
            </w:r>
            <w:r>
              <w:rPr>
                <w:spacing w:val="3"/>
              </w:rPr>
              <w:t xml:space="preserve"> </w:t>
            </w:r>
            <w:r>
              <w:t>RBA staff</w:t>
            </w:r>
            <w:r>
              <w:rPr>
                <w:spacing w:val="1"/>
              </w:rPr>
              <w:t xml:space="preserve"> </w:t>
            </w:r>
            <w:r>
              <w:t>for</w:t>
            </w:r>
            <w:r>
              <w:rPr>
                <w:spacing w:val="3"/>
              </w:rPr>
              <w:t xml:space="preserve"> </w:t>
            </w:r>
            <w:r>
              <w:t>support</w:t>
            </w:r>
            <w:r>
              <w:rPr>
                <w:spacing w:val="3"/>
              </w:rPr>
              <w:t xml:space="preserve"> </w:t>
            </w:r>
            <w:r>
              <w:t>on</w:t>
            </w:r>
            <w:r>
              <w:rPr>
                <w:spacing w:val="3"/>
              </w:rPr>
              <w:t xml:space="preserve"> </w:t>
            </w:r>
            <w:r>
              <w:t>technical</w:t>
            </w:r>
            <w:r>
              <w:rPr>
                <w:spacing w:val="3"/>
              </w:rPr>
              <w:t xml:space="preserve"> </w:t>
            </w:r>
            <w:r>
              <w:t>matters</w:t>
            </w:r>
            <w:r>
              <w:rPr>
                <w:spacing w:val="3"/>
              </w:rPr>
              <w:t xml:space="preserve"> </w:t>
            </w:r>
            <w:r>
              <w:t>and</w:t>
            </w:r>
            <w:r>
              <w:rPr>
                <w:spacing w:val="3"/>
              </w:rPr>
              <w:t xml:space="preserve"> </w:t>
            </w:r>
            <w:r>
              <w:t>additional</w:t>
            </w:r>
            <w:r>
              <w:rPr>
                <w:spacing w:val="3"/>
              </w:rPr>
              <w:t xml:space="preserve"> </w:t>
            </w:r>
            <w:r>
              <w:t>analysis</w:t>
            </w:r>
            <w:r>
              <w:rPr>
                <w:spacing w:val="3"/>
              </w:rPr>
              <w:t xml:space="preserve"> </w:t>
            </w:r>
            <w:r>
              <w:t>when</w:t>
            </w:r>
            <w:r>
              <w:rPr>
                <w:spacing w:val="3"/>
              </w:rPr>
              <w:t xml:space="preserve"> </w:t>
            </w:r>
            <w:r>
              <w:rPr>
                <w:spacing w:val="-2"/>
              </w:rPr>
              <w:t>requested.</w:t>
            </w:r>
          </w:p>
        </w:tc>
      </w:tr>
      <w:tr w:rsidR="002C0562" w14:paraId="0B1A0BB4" w14:textId="77777777" w:rsidTr="00F22AE5">
        <w:trPr>
          <w:trHeight w:val="1327"/>
        </w:trPr>
        <w:tc>
          <w:tcPr>
            <w:tcW w:w="439" w:type="pct"/>
            <w:tcBorders>
              <w:top w:val="single" w:sz="8" w:space="0" w:color="ECEDE9"/>
            </w:tcBorders>
          </w:tcPr>
          <w:p w14:paraId="0A453B2E" w14:textId="77777777" w:rsidR="002C0562" w:rsidRDefault="002C0562" w:rsidP="00F22AE5">
            <w:r>
              <w:lastRenderedPageBreak/>
              <w:t>9.3</w:t>
            </w:r>
          </w:p>
        </w:tc>
        <w:tc>
          <w:tcPr>
            <w:tcW w:w="4561" w:type="pct"/>
            <w:gridSpan w:val="2"/>
            <w:tcBorders>
              <w:top w:val="single" w:sz="8" w:space="0" w:color="ECEDE9"/>
            </w:tcBorders>
          </w:tcPr>
          <w:p w14:paraId="1CFC035F" w14:textId="77777777" w:rsidR="002C0562" w:rsidRDefault="002C0562" w:rsidP="00F22AE5">
            <w:r>
              <w:t>The RBA should increase its forecasting and macroeconometric modelling capability, for</w:t>
            </w:r>
            <w:r>
              <w:rPr>
                <w:spacing w:val="-1"/>
              </w:rPr>
              <w:t xml:space="preserve"> </w:t>
            </w:r>
            <w:r>
              <w:t>example</w:t>
            </w:r>
            <w:r>
              <w:rPr>
                <w:spacing w:val="-1"/>
              </w:rPr>
              <w:t xml:space="preserve"> </w:t>
            </w:r>
            <w:r>
              <w:t>around</w:t>
            </w:r>
            <w:r>
              <w:rPr>
                <w:spacing w:val="-1"/>
              </w:rPr>
              <w:t xml:space="preserve"> </w:t>
            </w:r>
            <w:r>
              <w:t>the</w:t>
            </w:r>
            <w:r>
              <w:rPr>
                <w:spacing w:val="-1"/>
              </w:rPr>
              <w:t xml:space="preserve"> </w:t>
            </w:r>
            <w:r>
              <w:t>supply</w:t>
            </w:r>
            <w:r>
              <w:rPr>
                <w:spacing w:val="-1"/>
              </w:rPr>
              <w:t xml:space="preserve"> </w:t>
            </w:r>
            <w:r>
              <w:t>side</w:t>
            </w:r>
            <w:r>
              <w:rPr>
                <w:spacing w:val="-1"/>
              </w:rPr>
              <w:t xml:space="preserve"> </w:t>
            </w:r>
            <w:r>
              <w:t>of</w:t>
            </w:r>
            <w:r>
              <w:rPr>
                <w:spacing w:val="-1"/>
              </w:rPr>
              <w:t xml:space="preserve"> </w:t>
            </w:r>
            <w:r>
              <w:t>the</w:t>
            </w:r>
            <w:r>
              <w:rPr>
                <w:spacing w:val="-1"/>
              </w:rPr>
              <w:t xml:space="preserve"> </w:t>
            </w:r>
            <w:r>
              <w:t>economy</w:t>
            </w:r>
            <w:r>
              <w:rPr>
                <w:spacing w:val="-1"/>
              </w:rPr>
              <w:t xml:space="preserve"> </w:t>
            </w:r>
            <w:r>
              <w:t>and</w:t>
            </w:r>
            <w:r>
              <w:rPr>
                <w:spacing w:val="-1"/>
              </w:rPr>
              <w:t xml:space="preserve"> </w:t>
            </w:r>
            <w:r>
              <w:t>fiscal</w:t>
            </w:r>
            <w:r>
              <w:rPr>
                <w:spacing w:val="-1"/>
              </w:rPr>
              <w:t xml:space="preserve"> </w:t>
            </w:r>
            <w:r>
              <w:t>policy</w:t>
            </w:r>
            <w:r>
              <w:rPr>
                <w:spacing w:val="-1"/>
              </w:rPr>
              <w:t xml:space="preserve"> </w:t>
            </w:r>
            <w:r>
              <w:t>and</w:t>
            </w:r>
            <w:r>
              <w:rPr>
                <w:spacing w:val="-1"/>
              </w:rPr>
              <w:t xml:space="preserve"> </w:t>
            </w:r>
            <w:r>
              <w:t>continue</w:t>
            </w:r>
            <w:r>
              <w:rPr>
                <w:spacing w:val="-1"/>
              </w:rPr>
              <w:t xml:space="preserve"> </w:t>
            </w:r>
            <w:r>
              <w:t>to build on its use of new data sets. This will support better consideration of monetary policy strategy under uncertainty.</w:t>
            </w:r>
          </w:p>
        </w:tc>
      </w:tr>
      <w:tr w:rsidR="002C0562" w14:paraId="0ED30688" w14:textId="77777777" w:rsidTr="00FA4DE9">
        <w:trPr>
          <w:trHeight w:val="904"/>
        </w:trPr>
        <w:tc>
          <w:tcPr>
            <w:tcW w:w="439" w:type="pct"/>
            <w:tcBorders>
              <w:top w:val="single" w:sz="8" w:space="0" w:color="ECEDE9"/>
              <w:bottom w:val="single" w:sz="8" w:space="0" w:color="ECEDE9"/>
            </w:tcBorders>
          </w:tcPr>
          <w:p w14:paraId="013FA577" w14:textId="77777777" w:rsidR="002C0562" w:rsidRDefault="002C0562" w:rsidP="00F22AE5">
            <w:r>
              <w:t>9.4</w:t>
            </w:r>
          </w:p>
        </w:tc>
        <w:tc>
          <w:tcPr>
            <w:tcW w:w="4561" w:type="pct"/>
            <w:gridSpan w:val="2"/>
            <w:tcBorders>
              <w:top w:val="single" w:sz="8" w:space="0" w:color="ECEDE9"/>
              <w:bottom w:val="single" w:sz="8" w:space="0" w:color="ECEDE9"/>
            </w:tcBorders>
          </w:tcPr>
          <w:p w14:paraId="01BB7062" w14:textId="77777777" w:rsidR="002C0562" w:rsidRDefault="002C0562" w:rsidP="00F22AE5">
            <w:r>
              <w:t>The Monetary Policy Board should convene and engage with an expert advisory group on monetary policy.</w:t>
            </w:r>
          </w:p>
        </w:tc>
      </w:tr>
      <w:tr w:rsidR="002C0562" w14:paraId="6407C6F2" w14:textId="77777777" w:rsidTr="00FA4DE9">
        <w:trPr>
          <w:trHeight w:val="1327"/>
        </w:trPr>
        <w:tc>
          <w:tcPr>
            <w:tcW w:w="439" w:type="pct"/>
            <w:tcBorders>
              <w:top w:val="single" w:sz="8" w:space="0" w:color="ECEDE9"/>
            </w:tcBorders>
          </w:tcPr>
          <w:p w14:paraId="50AE4919" w14:textId="77777777" w:rsidR="002C0562" w:rsidRDefault="002C0562" w:rsidP="00F22AE5">
            <w:r>
              <w:t>9.5</w:t>
            </w:r>
          </w:p>
        </w:tc>
        <w:tc>
          <w:tcPr>
            <w:tcW w:w="4561" w:type="pct"/>
            <w:gridSpan w:val="2"/>
            <w:tcBorders>
              <w:top w:val="single" w:sz="8" w:space="0" w:color="ECEDE9"/>
            </w:tcBorders>
          </w:tcPr>
          <w:p w14:paraId="49372809" w14:textId="77777777" w:rsidR="002C0562" w:rsidRDefault="002C0562" w:rsidP="00F22AE5">
            <w:r>
              <w:t>The Monetary Policy Board should receive, and request as necessary, briefings that more fully consider monetary policy strategy, alternate policy options, costs, benefits and risks.</w:t>
            </w:r>
          </w:p>
        </w:tc>
      </w:tr>
      <w:tr w:rsidR="002C0562" w:rsidRPr="007D532F" w14:paraId="4A637C95" w14:textId="77777777" w:rsidTr="00FA4DE9">
        <w:trPr>
          <w:trHeight w:val="409"/>
        </w:trPr>
        <w:tc>
          <w:tcPr>
            <w:tcW w:w="5000" w:type="pct"/>
            <w:gridSpan w:val="3"/>
            <w:tcBorders>
              <w:bottom w:val="single" w:sz="8" w:space="0" w:color="ECEDE9"/>
            </w:tcBorders>
          </w:tcPr>
          <w:p w14:paraId="19681E6A" w14:textId="77777777" w:rsidR="002C0562" w:rsidRPr="007D532F" w:rsidRDefault="002C0562" w:rsidP="00F22AE5">
            <w:pPr>
              <w:pStyle w:val="Heading4"/>
            </w:pPr>
            <w:r w:rsidRPr="007D532F">
              <w:t>Recommendation</w:t>
            </w:r>
            <w:r w:rsidRPr="007D532F">
              <w:rPr>
                <w:spacing w:val="2"/>
              </w:rPr>
              <w:t xml:space="preserve"> </w:t>
            </w:r>
            <w:r w:rsidRPr="007D532F">
              <w:t>10:</w:t>
            </w:r>
            <w:r w:rsidRPr="007D532F">
              <w:rPr>
                <w:spacing w:val="4"/>
              </w:rPr>
              <w:t xml:space="preserve"> </w:t>
            </w:r>
            <w:r w:rsidRPr="007D532F">
              <w:t>Strengthen</w:t>
            </w:r>
            <w:r w:rsidRPr="007D532F">
              <w:rPr>
                <w:spacing w:val="4"/>
              </w:rPr>
              <w:t xml:space="preserve"> </w:t>
            </w:r>
            <w:r w:rsidRPr="007D532F">
              <w:t>monetary</w:t>
            </w:r>
            <w:r w:rsidRPr="007D532F">
              <w:rPr>
                <w:spacing w:val="4"/>
              </w:rPr>
              <w:t xml:space="preserve"> </w:t>
            </w:r>
            <w:r w:rsidRPr="007D532F">
              <w:t>policy</w:t>
            </w:r>
            <w:r w:rsidRPr="007D532F">
              <w:rPr>
                <w:spacing w:val="4"/>
              </w:rPr>
              <w:t xml:space="preserve"> </w:t>
            </w:r>
            <w:r w:rsidRPr="007D532F">
              <w:t>transparency</w:t>
            </w:r>
            <w:r w:rsidRPr="007D532F">
              <w:rPr>
                <w:spacing w:val="4"/>
              </w:rPr>
              <w:t xml:space="preserve"> </w:t>
            </w:r>
            <w:r w:rsidRPr="007D532F">
              <w:t>and</w:t>
            </w:r>
            <w:r w:rsidRPr="007D532F">
              <w:rPr>
                <w:spacing w:val="4"/>
              </w:rPr>
              <w:t xml:space="preserve"> </w:t>
            </w:r>
            <w:r w:rsidRPr="007D532F">
              <w:rPr>
                <w:spacing w:val="-2"/>
              </w:rPr>
              <w:t>accountability</w:t>
            </w:r>
          </w:p>
        </w:tc>
      </w:tr>
      <w:tr w:rsidR="002C0562" w:rsidRPr="007D532F" w14:paraId="34F5A663" w14:textId="77777777" w:rsidTr="00F22AE5">
        <w:trPr>
          <w:trHeight w:val="801"/>
        </w:trPr>
        <w:tc>
          <w:tcPr>
            <w:tcW w:w="467" w:type="pct"/>
            <w:gridSpan w:val="2"/>
            <w:tcBorders>
              <w:top w:val="single" w:sz="8" w:space="0" w:color="ECEDE9"/>
              <w:bottom w:val="single" w:sz="8" w:space="0" w:color="ECEDE9"/>
            </w:tcBorders>
          </w:tcPr>
          <w:p w14:paraId="65AF432F" w14:textId="77777777" w:rsidR="002C0562" w:rsidRPr="007D532F" w:rsidRDefault="002C0562" w:rsidP="00F22AE5">
            <w:r w:rsidRPr="007D532F">
              <w:t>10.1</w:t>
            </w:r>
          </w:p>
        </w:tc>
        <w:tc>
          <w:tcPr>
            <w:tcW w:w="4533" w:type="pct"/>
            <w:tcBorders>
              <w:top w:val="single" w:sz="8" w:space="0" w:color="ECEDE9"/>
              <w:bottom w:val="single" w:sz="8" w:space="0" w:color="ECEDE9"/>
            </w:tcBorders>
          </w:tcPr>
          <w:p w14:paraId="0FB140DD" w14:textId="77777777" w:rsidR="002C0562" w:rsidRPr="007D532F" w:rsidRDefault="002C0562" w:rsidP="00F22AE5">
            <w:r w:rsidRPr="007D532F">
              <w:t>The</w:t>
            </w:r>
            <w:r w:rsidRPr="007D532F">
              <w:rPr>
                <w:spacing w:val="-1"/>
              </w:rPr>
              <w:t xml:space="preserve"> </w:t>
            </w:r>
            <w:r w:rsidRPr="007D532F">
              <w:t>Governor</w:t>
            </w:r>
            <w:r w:rsidRPr="007D532F">
              <w:rPr>
                <w:spacing w:val="1"/>
              </w:rPr>
              <w:t xml:space="preserve"> </w:t>
            </w:r>
            <w:r w:rsidRPr="007D532F">
              <w:t>should</w:t>
            </w:r>
            <w:r w:rsidRPr="007D532F">
              <w:rPr>
                <w:spacing w:val="1"/>
              </w:rPr>
              <w:t xml:space="preserve"> </w:t>
            </w:r>
            <w:r w:rsidRPr="007D532F">
              <w:t>hold</w:t>
            </w:r>
            <w:r w:rsidRPr="007D532F">
              <w:rPr>
                <w:spacing w:val="1"/>
              </w:rPr>
              <w:t xml:space="preserve"> </w:t>
            </w:r>
            <w:r w:rsidRPr="007D532F">
              <w:t>a</w:t>
            </w:r>
            <w:r w:rsidRPr="007D532F">
              <w:rPr>
                <w:spacing w:val="1"/>
              </w:rPr>
              <w:t xml:space="preserve"> </w:t>
            </w:r>
            <w:r w:rsidRPr="007D532F">
              <w:t>press</w:t>
            </w:r>
            <w:r w:rsidRPr="007D532F">
              <w:rPr>
                <w:spacing w:val="1"/>
              </w:rPr>
              <w:t xml:space="preserve"> </w:t>
            </w:r>
            <w:r w:rsidRPr="007D532F">
              <w:t>conference</w:t>
            </w:r>
            <w:r w:rsidRPr="007D532F">
              <w:rPr>
                <w:spacing w:val="1"/>
              </w:rPr>
              <w:t xml:space="preserve"> </w:t>
            </w:r>
            <w:r w:rsidRPr="007D532F">
              <w:t>after</w:t>
            </w:r>
            <w:r w:rsidRPr="007D532F">
              <w:rPr>
                <w:spacing w:val="1"/>
              </w:rPr>
              <w:t xml:space="preserve"> </w:t>
            </w:r>
            <w:r w:rsidRPr="007D532F">
              <w:t>each</w:t>
            </w:r>
            <w:r w:rsidRPr="007D532F">
              <w:rPr>
                <w:spacing w:val="1"/>
              </w:rPr>
              <w:t xml:space="preserve"> </w:t>
            </w:r>
            <w:r w:rsidRPr="007D532F">
              <w:t>decision</w:t>
            </w:r>
            <w:r w:rsidRPr="007D532F">
              <w:rPr>
                <w:spacing w:val="1"/>
              </w:rPr>
              <w:t xml:space="preserve"> </w:t>
            </w:r>
            <w:r w:rsidRPr="007D532F">
              <w:t>meeting</w:t>
            </w:r>
            <w:r w:rsidRPr="007D532F">
              <w:rPr>
                <w:spacing w:val="2"/>
              </w:rPr>
              <w:t xml:space="preserve"> </w:t>
            </w:r>
            <w:r w:rsidRPr="007D532F">
              <w:rPr>
                <w:spacing w:val="-5"/>
              </w:rPr>
              <w:t>to</w:t>
            </w:r>
          </w:p>
          <w:p w14:paraId="1E120926" w14:textId="77777777" w:rsidR="002C0562" w:rsidRPr="007D532F" w:rsidRDefault="002C0562" w:rsidP="00F22AE5">
            <w:r w:rsidRPr="007D532F">
              <w:t>explain</w:t>
            </w:r>
            <w:r w:rsidRPr="007D532F">
              <w:rPr>
                <w:spacing w:val="1"/>
              </w:rPr>
              <w:t xml:space="preserve"> </w:t>
            </w:r>
            <w:r w:rsidRPr="007D532F">
              <w:t>the</w:t>
            </w:r>
            <w:r w:rsidRPr="007D532F">
              <w:rPr>
                <w:spacing w:val="3"/>
              </w:rPr>
              <w:t xml:space="preserve"> </w:t>
            </w:r>
            <w:r w:rsidRPr="007D532F">
              <w:t>Monetary</w:t>
            </w:r>
            <w:r w:rsidRPr="007D532F">
              <w:rPr>
                <w:spacing w:val="4"/>
              </w:rPr>
              <w:t xml:space="preserve"> </w:t>
            </w:r>
            <w:r w:rsidRPr="007D532F">
              <w:t>Policy</w:t>
            </w:r>
            <w:r w:rsidRPr="007D532F">
              <w:rPr>
                <w:spacing w:val="3"/>
              </w:rPr>
              <w:t xml:space="preserve"> </w:t>
            </w:r>
            <w:r w:rsidRPr="007D532F">
              <w:t>Board’s</w:t>
            </w:r>
            <w:r w:rsidRPr="007D532F">
              <w:rPr>
                <w:spacing w:val="4"/>
              </w:rPr>
              <w:t xml:space="preserve"> </w:t>
            </w:r>
            <w:r w:rsidRPr="007D532F">
              <w:t>view</w:t>
            </w:r>
            <w:r w:rsidRPr="007D532F">
              <w:rPr>
                <w:spacing w:val="3"/>
              </w:rPr>
              <w:t xml:space="preserve"> </w:t>
            </w:r>
            <w:r w:rsidRPr="007D532F">
              <w:t>of</w:t>
            </w:r>
            <w:r w:rsidRPr="007D532F">
              <w:rPr>
                <w:spacing w:val="3"/>
              </w:rPr>
              <w:t xml:space="preserve"> </w:t>
            </w:r>
            <w:r w:rsidRPr="007D532F">
              <w:t>policy</w:t>
            </w:r>
            <w:r w:rsidRPr="007D532F">
              <w:rPr>
                <w:spacing w:val="4"/>
              </w:rPr>
              <w:t xml:space="preserve"> </w:t>
            </w:r>
            <w:r w:rsidRPr="007D532F">
              <w:t>and</w:t>
            </w:r>
            <w:r w:rsidRPr="007D532F">
              <w:rPr>
                <w:spacing w:val="3"/>
              </w:rPr>
              <w:t xml:space="preserve"> </w:t>
            </w:r>
            <w:r w:rsidRPr="007D532F">
              <w:t>economic</w:t>
            </w:r>
            <w:r w:rsidRPr="007D532F">
              <w:rPr>
                <w:spacing w:val="4"/>
              </w:rPr>
              <w:t xml:space="preserve"> </w:t>
            </w:r>
            <w:r w:rsidRPr="007D532F">
              <w:rPr>
                <w:spacing w:val="-2"/>
              </w:rPr>
              <w:t>developments.</w:t>
            </w:r>
          </w:p>
        </w:tc>
      </w:tr>
      <w:tr w:rsidR="002C0562" w:rsidRPr="007D532F" w14:paraId="59D98476" w14:textId="77777777" w:rsidTr="00F22AE5">
        <w:trPr>
          <w:trHeight w:val="1031"/>
        </w:trPr>
        <w:tc>
          <w:tcPr>
            <w:tcW w:w="467" w:type="pct"/>
            <w:gridSpan w:val="2"/>
            <w:tcBorders>
              <w:top w:val="single" w:sz="8" w:space="0" w:color="ECEDE9"/>
              <w:bottom w:val="single" w:sz="8" w:space="0" w:color="ECEDE9"/>
            </w:tcBorders>
          </w:tcPr>
          <w:p w14:paraId="4EFCE48D" w14:textId="77777777" w:rsidR="002C0562" w:rsidRPr="007D532F" w:rsidRDefault="002C0562" w:rsidP="00F22AE5">
            <w:r w:rsidRPr="007D532F">
              <w:t>10.2</w:t>
            </w:r>
          </w:p>
        </w:tc>
        <w:tc>
          <w:tcPr>
            <w:tcW w:w="4533" w:type="pct"/>
            <w:tcBorders>
              <w:top w:val="single" w:sz="8" w:space="0" w:color="ECEDE9"/>
              <w:bottom w:val="single" w:sz="8" w:space="0" w:color="ECEDE9"/>
            </w:tcBorders>
          </w:tcPr>
          <w:p w14:paraId="56D8E517" w14:textId="77777777" w:rsidR="002C0562" w:rsidRPr="007D532F" w:rsidRDefault="002C0562" w:rsidP="00F22AE5">
            <w:r w:rsidRPr="007D532F">
              <w:t>External Monetary Policy Board members should be expected to discuss the decisions</w:t>
            </w:r>
            <w:r w:rsidRPr="007D532F">
              <w:rPr>
                <w:spacing w:val="-1"/>
              </w:rPr>
              <w:t xml:space="preserve"> </w:t>
            </w:r>
            <w:r w:rsidRPr="007D532F">
              <w:t>and</w:t>
            </w:r>
            <w:r w:rsidRPr="007D532F">
              <w:rPr>
                <w:spacing w:val="-1"/>
              </w:rPr>
              <w:t xml:space="preserve"> </w:t>
            </w:r>
            <w:r w:rsidRPr="007D532F">
              <w:t>thinking</w:t>
            </w:r>
            <w:r w:rsidRPr="007D532F">
              <w:rPr>
                <w:spacing w:val="-1"/>
              </w:rPr>
              <w:t xml:space="preserve"> </w:t>
            </w:r>
            <w:r w:rsidRPr="007D532F">
              <w:t>of</w:t>
            </w:r>
            <w:r w:rsidRPr="007D532F">
              <w:rPr>
                <w:spacing w:val="-1"/>
              </w:rPr>
              <w:t xml:space="preserve"> </w:t>
            </w:r>
            <w:r w:rsidRPr="007D532F">
              <w:t>the</w:t>
            </w:r>
            <w:r w:rsidRPr="007D532F">
              <w:rPr>
                <w:spacing w:val="-1"/>
              </w:rPr>
              <w:t xml:space="preserve"> </w:t>
            </w:r>
            <w:r w:rsidRPr="007D532F">
              <w:t>Board</w:t>
            </w:r>
            <w:r w:rsidRPr="007D532F">
              <w:rPr>
                <w:spacing w:val="-1"/>
              </w:rPr>
              <w:t xml:space="preserve"> </w:t>
            </w:r>
            <w:r w:rsidRPr="007D532F">
              <w:t>publicly,</w:t>
            </w:r>
            <w:r w:rsidRPr="007D532F">
              <w:rPr>
                <w:spacing w:val="-1"/>
              </w:rPr>
              <w:t xml:space="preserve"> </w:t>
            </w:r>
            <w:r w:rsidRPr="007D532F">
              <w:t>including</w:t>
            </w:r>
            <w:r w:rsidRPr="007D532F">
              <w:rPr>
                <w:spacing w:val="-1"/>
              </w:rPr>
              <w:t xml:space="preserve"> </w:t>
            </w:r>
            <w:r w:rsidRPr="007D532F">
              <w:t>through</w:t>
            </w:r>
            <w:r w:rsidRPr="007D532F">
              <w:rPr>
                <w:spacing w:val="-1"/>
              </w:rPr>
              <w:t xml:space="preserve"> </w:t>
            </w:r>
            <w:r w:rsidRPr="007D532F">
              <w:t>at</w:t>
            </w:r>
            <w:r w:rsidRPr="007D532F">
              <w:rPr>
                <w:spacing w:val="-1"/>
              </w:rPr>
              <w:t xml:space="preserve"> </w:t>
            </w:r>
            <w:r w:rsidRPr="007D532F">
              <w:t>least</w:t>
            </w:r>
            <w:r w:rsidRPr="007D532F">
              <w:rPr>
                <w:spacing w:val="-1"/>
              </w:rPr>
              <w:t xml:space="preserve"> </w:t>
            </w:r>
            <w:r w:rsidRPr="007D532F">
              <w:t>one</w:t>
            </w:r>
            <w:r w:rsidRPr="007D532F">
              <w:rPr>
                <w:spacing w:val="-1"/>
              </w:rPr>
              <w:t xml:space="preserve"> </w:t>
            </w:r>
            <w:r w:rsidRPr="007D532F">
              <w:t>speech or public engagement a year.</w:t>
            </w:r>
          </w:p>
        </w:tc>
      </w:tr>
      <w:tr w:rsidR="002C0562" w:rsidRPr="007D532F" w14:paraId="495C213F" w14:textId="77777777" w:rsidTr="00F22AE5">
        <w:trPr>
          <w:trHeight w:val="1031"/>
        </w:trPr>
        <w:tc>
          <w:tcPr>
            <w:tcW w:w="467" w:type="pct"/>
            <w:gridSpan w:val="2"/>
            <w:tcBorders>
              <w:top w:val="single" w:sz="8" w:space="0" w:color="ECEDE9"/>
              <w:bottom w:val="single" w:sz="8" w:space="0" w:color="ECEDE9"/>
            </w:tcBorders>
          </w:tcPr>
          <w:p w14:paraId="08BB8C4C" w14:textId="77777777" w:rsidR="002C0562" w:rsidRPr="007D532F" w:rsidRDefault="002C0562" w:rsidP="00F22AE5">
            <w:r w:rsidRPr="007D532F">
              <w:t>10.3</w:t>
            </w:r>
          </w:p>
        </w:tc>
        <w:tc>
          <w:tcPr>
            <w:tcW w:w="4533" w:type="pct"/>
            <w:tcBorders>
              <w:top w:val="single" w:sz="8" w:space="0" w:color="ECEDE9"/>
              <w:bottom w:val="single" w:sz="8" w:space="0" w:color="ECEDE9"/>
            </w:tcBorders>
          </w:tcPr>
          <w:p w14:paraId="1E01E287" w14:textId="77777777" w:rsidR="002C0562" w:rsidRPr="007D532F" w:rsidRDefault="002C0562" w:rsidP="00F22AE5">
            <w:r w:rsidRPr="007D532F">
              <w:t>The public statement after each Board meeting should be released by the Monetary Policy Board and approved by members as a fair reflection of the decision and discussion. The statement should report unattributed votes.</w:t>
            </w:r>
          </w:p>
        </w:tc>
      </w:tr>
      <w:tr w:rsidR="002C0562" w:rsidRPr="007D532F" w14:paraId="2D9FB130" w14:textId="77777777" w:rsidTr="00F22AE5">
        <w:trPr>
          <w:trHeight w:val="1261"/>
        </w:trPr>
        <w:tc>
          <w:tcPr>
            <w:tcW w:w="467" w:type="pct"/>
            <w:gridSpan w:val="2"/>
            <w:tcBorders>
              <w:top w:val="single" w:sz="8" w:space="0" w:color="ECEDE9"/>
              <w:bottom w:val="single" w:sz="8" w:space="0" w:color="ECEDE9"/>
            </w:tcBorders>
          </w:tcPr>
          <w:p w14:paraId="6E743D4F" w14:textId="77777777" w:rsidR="002C0562" w:rsidRPr="007D532F" w:rsidRDefault="002C0562" w:rsidP="00F22AE5">
            <w:r w:rsidRPr="007D532F">
              <w:t>10.4</w:t>
            </w:r>
          </w:p>
        </w:tc>
        <w:tc>
          <w:tcPr>
            <w:tcW w:w="4533" w:type="pct"/>
            <w:tcBorders>
              <w:top w:val="single" w:sz="8" w:space="0" w:color="ECEDE9"/>
              <w:bottom w:val="single" w:sz="8" w:space="0" w:color="ECEDE9"/>
            </w:tcBorders>
          </w:tcPr>
          <w:p w14:paraId="7C60EE37" w14:textId="77777777" w:rsidR="002C0562" w:rsidRPr="007D532F" w:rsidRDefault="002C0562" w:rsidP="00F22AE5">
            <w:r w:rsidRPr="007D532F">
              <w:t>The RBA should publish more of the information underlying the Monetary Policy Board’s decisions, including detailed forecast data and assumptions and insights from business and community liaison. Board papers should be published after</w:t>
            </w:r>
            <w:r>
              <w:t xml:space="preserve"> </w:t>
            </w:r>
            <w:r w:rsidRPr="007D532F">
              <w:t>5</w:t>
            </w:r>
            <w:r>
              <w:rPr>
                <w:spacing w:val="-2"/>
              </w:rPr>
              <w:t> </w:t>
            </w:r>
            <w:r w:rsidRPr="007D532F">
              <w:rPr>
                <w:spacing w:val="-2"/>
              </w:rPr>
              <w:t>years.</w:t>
            </w:r>
          </w:p>
        </w:tc>
      </w:tr>
      <w:tr w:rsidR="002C0562" w:rsidRPr="007D532F" w14:paraId="20275A4D" w14:textId="77777777" w:rsidTr="00F22AE5">
        <w:trPr>
          <w:trHeight w:val="801"/>
        </w:trPr>
        <w:tc>
          <w:tcPr>
            <w:tcW w:w="467" w:type="pct"/>
            <w:gridSpan w:val="2"/>
            <w:tcBorders>
              <w:top w:val="single" w:sz="8" w:space="0" w:color="ECEDE9"/>
              <w:bottom w:val="single" w:sz="8" w:space="0" w:color="ECEDE9"/>
            </w:tcBorders>
          </w:tcPr>
          <w:p w14:paraId="625D45FE" w14:textId="77777777" w:rsidR="002C0562" w:rsidRPr="007D532F" w:rsidRDefault="002C0562" w:rsidP="00F22AE5">
            <w:r w:rsidRPr="007D532F">
              <w:t>10.5</w:t>
            </w:r>
          </w:p>
        </w:tc>
        <w:tc>
          <w:tcPr>
            <w:tcW w:w="4533" w:type="pct"/>
            <w:tcBorders>
              <w:top w:val="single" w:sz="8" w:space="0" w:color="ECEDE9"/>
              <w:bottom w:val="single" w:sz="8" w:space="0" w:color="ECEDE9"/>
            </w:tcBorders>
          </w:tcPr>
          <w:p w14:paraId="2F530D06" w14:textId="77777777" w:rsidR="002C0562" w:rsidRPr="007D532F" w:rsidRDefault="002C0562" w:rsidP="00F22AE5">
            <w:r w:rsidRPr="007D532F">
              <w:t>The RBA should strengthen its professional capability in strategic communications to support both the Monetary Policy Board and the RBA executive.</w:t>
            </w:r>
          </w:p>
        </w:tc>
      </w:tr>
      <w:tr w:rsidR="002C0562" w:rsidRPr="007D532F" w14:paraId="00650D91" w14:textId="77777777" w:rsidTr="00F22AE5">
        <w:trPr>
          <w:trHeight w:val="637"/>
        </w:trPr>
        <w:tc>
          <w:tcPr>
            <w:tcW w:w="467" w:type="pct"/>
            <w:gridSpan w:val="2"/>
            <w:tcBorders>
              <w:top w:val="single" w:sz="8" w:space="0" w:color="ECEDE9"/>
            </w:tcBorders>
          </w:tcPr>
          <w:p w14:paraId="20BFFB84" w14:textId="77777777" w:rsidR="002C0562" w:rsidRPr="007D532F" w:rsidRDefault="002C0562" w:rsidP="00F22AE5">
            <w:r w:rsidRPr="007D532F">
              <w:t>10.6</w:t>
            </w:r>
          </w:p>
        </w:tc>
        <w:tc>
          <w:tcPr>
            <w:tcW w:w="4533" w:type="pct"/>
            <w:tcBorders>
              <w:top w:val="single" w:sz="8" w:space="0" w:color="ECEDE9"/>
            </w:tcBorders>
          </w:tcPr>
          <w:p w14:paraId="0020ABA2" w14:textId="77777777" w:rsidR="002C0562" w:rsidRPr="007D532F" w:rsidRDefault="002C0562" w:rsidP="00F22AE5">
            <w:r w:rsidRPr="007D532F">
              <w:t>The RBA should strengthen conflict of interest policies for members of the RBA’s Boards to provide additional appropriate restrictions on financial transactions.</w:t>
            </w:r>
          </w:p>
        </w:tc>
      </w:tr>
    </w:tbl>
    <w:p w14:paraId="2D2E6C79" w14:textId="77777777" w:rsidR="002C0562" w:rsidRDefault="002C0562" w:rsidP="00CC3154"/>
    <w:p w14:paraId="770782FA" w14:textId="77777777" w:rsidR="00C40FA4" w:rsidRDefault="00C40FA4">
      <w:pPr>
        <w:spacing w:before="0" w:after="160" w:line="259" w:lineRule="auto"/>
      </w:pPr>
      <w:r>
        <w:br w:type="page"/>
      </w:r>
    </w:p>
    <w:p w14:paraId="735C3985" w14:textId="77777777" w:rsidR="00456856" w:rsidRDefault="00456856" w:rsidP="00456856">
      <w:pPr>
        <w:pStyle w:val="Heading2"/>
      </w:pPr>
      <w:bookmarkStart w:id="46" w:name="_Toc134221016"/>
      <w:r>
        <w:lastRenderedPageBreak/>
        <w:t>Monetary</w:t>
      </w:r>
      <w:r>
        <w:rPr>
          <w:spacing w:val="-18"/>
        </w:rPr>
        <w:t xml:space="preserve"> </w:t>
      </w:r>
      <w:r>
        <w:t>policy</w:t>
      </w:r>
      <w:r>
        <w:rPr>
          <w:spacing w:val="-15"/>
        </w:rPr>
        <w:t xml:space="preserve"> </w:t>
      </w:r>
      <w:r>
        <w:t>decision-making</w:t>
      </w:r>
      <w:r>
        <w:rPr>
          <w:spacing w:val="-15"/>
        </w:rPr>
        <w:t xml:space="preserve"> </w:t>
      </w:r>
      <w:r>
        <w:t>arrangements</w:t>
      </w:r>
      <w:bookmarkEnd w:id="46"/>
    </w:p>
    <w:p w14:paraId="0AE8CB7B" w14:textId="77777777" w:rsidR="00456856" w:rsidRDefault="00456856" w:rsidP="00456856">
      <w:pPr>
        <w:pStyle w:val="Heading3"/>
      </w:pPr>
      <w:r>
        <w:t>Board</w:t>
      </w:r>
      <w:r>
        <w:rPr>
          <w:spacing w:val="-11"/>
        </w:rPr>
        <w:t xml:space="preserve"> </w:t>
      </w:r>
      <w:r>
        <w:t>composition</w:t>
      </w:r>
      <w:r>
        <w:rPr>
          <w:spacing w:val="-10"/>
        </w:rPr>
        <w:t xml:space="preserve"> </w:t>
      </w:r>
      <w:r>
        <w:t>and</w:t>
      </w:r>
      <w:r>
        <w:rPr>
          <w:spacing w:val="-10"/>
        </w:rPr>
        <w:t xml:space="preserve"> </w:t>
      </w:r>
      <w:r>
        <w:rPr>
          <w:spacing w:val="-2"/>
        </w:rPr>
        <w:t>processes</w:t>
      </w:r>
    </w:p>
    <w:p w14:paraId="1FD2F192" w14:textId="08775F13" w:rsidR="00456856" w:rsidRDefault="00456856" w:rsidP="00456856">
      <w:r>
        <w:t>The RBA’s governance arrangements for monetary policy are set out in the RBA Act</w:t>
      </w:r>
      <w:r w:rsidR="0068598E">
        <w:rPr>
          <w:spacing w:val="-19"/>
        </w:rPr>
        <w:t>.</w:t>
      </w:r>
      <w:r>
        <w:rPr>
          <w:w w:val="85"/>
        </w:rPr>
        <w:t xml:space="preserve"> </w:t>
      </w:r>
      <w:r>
        <w:t>The RBA Act specifies that the RBA has 2 boards – the Reserve Bank Board and the Payments System Board – and sets out their respective responsibilities</w:t>
      </w:r>
      <w:r w:rsidR="0068598E">
        <w:rPr>
          <w:spacing w:val="-23"/>
        </w:rPr>
        <w:t>.</w:t>
      </w:r>
      <w:r>
        <w:rPr>
          <w:w w:val="85"/>
        </w:rPr>
        <w:t xml:space="preserve"> </w:t>
      </w:r>
      <w:r>
        <w:t>The Review considered only the responsibilities of the Reserve Bank Board in line with the Review’s Terms of Reference (see Appendix 1).</w:t>
      </w:r>
    </w:p>
    <w:p w14:paraId="2376311F" w14:textId="09B7273A" w:rsidR="00456856" w:rsidRDefault="00456856" w:rsidP="00456856">
      <w:r>
        <w:t>The RBA Act gives the Reserve Bank Board responsibility for the RBA’s monetary and banking policy decisions and RBA policy on ‘all other matters’, except its payments system policy</w:t>
      </w:r>
      <w:r w:rsidR="0068598E">
        <w:rPr>
          <w:spacing w:val="-18"/>
        </w:rPr>
        <w:t>.</w:t>
      </w:r>
      <w:r>
        <w:rPr>
          <w:w w:val="85"/>
        </w:rPr>
        <w:t xml:space="preserve"> </w:t>
      </w:r>
      <w:r>
        <w:t>In practice, the Reserve Bank Board is primarily responsible for monetary policy and assumes a very limited role in overseeing other RBA policies (see Chapter 5 for details on the Reserve Bank Board’s roles and responsibilities)</w:t>
      </w:r>
      <w:r w:rsidR="0068598E">
        <w:rPr>
          <w:spacing w:val="-25"/>
        </w:rPr>
        <w:t>.</w:t>
      </w:r>
    </w:p>
    <w:p w14:paraId="314DDDFB" w14:textId="77777777" w:rsidR="00456856" w:rsidRDefault="00456856" w:rsidP="00CF134F">
      <w:pPr>
        <w:pStyle w:val="Heading4"/>
      </w:pPr>
      <w:r>
        <w:t>Reserve</w:t>
      </w:r>
      <w:r>
        <w:rPr>
          <w:spacing w:val="2"/>
        </w:rPr>
        <w:t xml:space="preserve"> </w:t>
      </w:r>
      <w:r>
        <w:t>Bank</w:t>
      </w:r>
      <w:r>
        <w:rPr>
          <w:spacing w:val="3"/>
        </w:rPr>
        <w:t xml:space="preserve"> </w:t>
      </w:r>
      <w:r>
        <w:t>Board</w:t>
      </w:r>
      <w:r>
        <w:rPr>
          <w:spacing w:val="3"/>
        </w:rPr>
        <w:t xml:space="preserve"> </w:t>
      </w:r>
      <w:r>
        <w:rPr>
          <w:spacing w:val="-2"/>
        </w:rPr>
        <w:t>composition</w:t>
      </w:r>
    </w:p>
    <w:p w14:paraId="1349C07A" w14:textId="2AF563AD" w:rsidR="00456856" w:rsidRDefault="00456856" w:rsidP="00456856">
      <w:r>
        <w:t>Under the RBA Act, the Reserve Bank Board comprises 9 members: the Governor (who is Chair),</w:t>
      </w:r>
      <w:r>
        <w:rPr>
          <w:spacing w:val="40"/>
        </w:rPr>
        <w:t xml:space="preserve"> </w:t>
      </w:r>
      <w:r>
        <w:t>the Deputy Governor (who is Deputy Chair), the Treasury Secretary, and 6 external members who are appointed by the Treasurer</w:t>
      </w:r>
      <w:r w:rsidR="009E4DBB">
        <w:rPr>
          <w:spacing w:val="-21"/>
        </w:rPr>
        <w:t>.</w:t>
      </w:r>
      <w:r w:rsidR="009E4DBB">
        <w:rPr>
          <w:rStyle w:val="FootnoteReference"/>
          <w:spacing w:val="-21"/>
        </w:rPr>
        <w:footnoteReference w:id="8"/>
      </w:r>
      <w:r w:rsidR="009E4DBB">
        <w:rPr>
          <w:spacing w:val="-21"/>
        </w:rPr>
        <w:t xml:space="preserve"> </w:t>
      </w:r>
      <w:r>
        <w:t>The Governor and Deputy Governor are appointed for terms of up to 7 years and are eligible for reappointment. The Treasury Secretary is an ex officio member. The</w:t>
      </w:r>
      <w:r>
        <w:rPr>
          <w:spacing w:val="-2"/>
        </w:rPr>
        <w:t xml:space="preserve"> </w:t>
      </w:r>
      <w:r>
        <w:t>external</w:t>
      </w:r>
      <w:r>
        <w:rPr>
          <w:spacing w:val="-2"/>
        </w:rPr>
        <w:t xml:space="preserve"> </w:t>
      </w:r>
      <w:r>
        <w:t>members</w:t>
      </w:r>
      <w:r>
        <w:rPr>
          <w:spacing w:val="-2"/>
        </w:rPr>
        <w:t xml:space="preserve"> </w:t>
      </w:r>
      <w:r>
        <w:t>are</w:t>
      </w:r>
      <w:r>
        <w:rPr>
          <w:spacing w:val="-2"/>
        </w:rPr>
        <w:t xml:space="preserve"> </w:t>
      </w:r>
      <w:r>
        <w:t>appointed</w:t>
      </w:r>
      <w:r>
        <w:rPr>
          <w:spacing w:val="-2"/>
        </w:rPr>
        <w:t xml:space="preserve"> </w:t>
      </w:r>
      <w:r>
        <w:t>for</w:t>
      </w:r>
      <w:r>
        <w:rPr>
          <w:spacing w:val="-2"/>
        </w:rPr>
        <w:t xml:space="preserve"> </w:t>
      </w:r>
      <w:r>
        <w:t>terms</w:t>
      </w:r>
      <w:r>
        <w:rPr>
          <w:spacing w:val="-2"/>
        </w:rPr>
        <w:t xml:space="preserve"> </w:t>
      </w:r>
      <w:r>
        <w:t>of</w:t>
      </w:r>
      <w:r>
        <w:rPr>
          <w:spacing w:val="-2"/>
        </w:rPr>
        <w:t xml:space="preserve"> </w:t>
      </w:r>
      <w:r>
        <w:t>up</w:t>
      </w:r>
      <w:r>
        <w:rPr>
          <w:spacing w:val="-2"/>
        </w:rPr>
        <w:t xml:space="preserve"> </w:t>
      </w:r>
      <w:r>
        <w:t>to</w:t>
      </w:r>
      <w:r>
        <w:rPr>
          <w:spacing w:val="-2"/>
        </w:rPr>
        <w:t xml:space="preserve"> </w:t>
      </w:r>
      <w:r>
        <w:t>5</w:t>
      </w:r>
      <w:r>
        <w:rPr>
          <w:spacing w:val="-2"/>
        </w:rPr>
        <w:t xml:space="preserve"> </w:t>
      </w:r>
      <w:r>
        <w:t>years</w:t>
      </w:r>
      <w:r w:rsidR="0068598E">
        <w:rPr>
          <w:spacing w:val="-25"/>
        </w:rPr>
        <w:t>.</w:t>
      </w:r>
      <w:r>
        <w:rPr>
          <w:w w:val="85"/>
        </w:rPr>
        <w:t xml:space="preserve"> </w:t>
      </w:r>
      <w:r>
        <w:t>There</w:t>
      </w:r>
      <w:r>
        <w:rPr>
          <w:spacing w:val="-2"/>
        </w:rPr>
        <w:t xml:space="preserve"> </w:t>
      </w:r>
      <w:r>
        <w:t>is</w:t>
      </w:r>
      <w:r>
        <w:rPr>
          <w:spacing w:val="-2"/>
        </w:rPr>
        <w:t xml:space="preserve"> </w:t>
      </w:r>
      <w:r>
        <w:t>no</w:t>
      </w:r>
      <w:r>
        <w:rPr>
          <w:spacing w:val="-2"/>
        </w:rPr>
        <w:t xml:space="preserve"> </w:t>
      </w:r>
      <w:r>
        <w:t>limit</w:t>
      </w:r>
      <w:r>
        <w:rPr>
          <w:spacing w:val="-2"/>
        </w:rPr>
        <w:t xml:space="preserve"> </w:t>
      </w:r>
      <w:r>
        <w:t>on</w:t>
      </w:r>
      <w:r>
        <w:rPr>
          <w:spacing w:val="-2"/>
        </w:rPr>
        <w:t xml:space="preserve"> </w:t>
      </w:r>
      <w:r>
        <w:t>the</w:t>
      </w:r>
      <w:r>
        <w:rPr>
          <w:spacing w:val="-2"/>
        </w:rPr>
        <w:t xml:space="preserve"> </w:t>
      </w:r>
      <w:r>
        <w:t>number</w:t>
      </w:r>
      <w:r>
        <w:rPr>
          <w:spacing w:val="-2"/>
        </w:rPr>
        <w:t xml:space="preserve"> </w:t>
      </w:r>
      <w:r>
        <w:t>of terms they may serve</w:t>
      </w:r>
      <w:r w:rsidR="0068598E">
        <w:rPr>
          <w:spacing w:val="-9"/>
        </w:rPr>
        <w:t>.</w:t>
      </w:r>
    </w:p>
    <w:p w14:paraId="0F69B714" w14:textId="06EF9AF9" w:rsidR="00456856" w:rsidRDefault="00456856" w:rsidP="00456856">
      <w:r>
        <w:t xml:space="preserve">The </w:t>
      </w:r>
      <w:r>
        <w:rPr>
          <w:i/>
        </w:rPr>
        <w:t>Statement on the Conduct of Monetary Policy</w:t>
      </w:r>
      <w:r>
        <w:t>, agreed between the Treasurer and the Governor, sets out the current procedure for new external appointments to the Reserve Bank Board</w:t>
      </w:r>
      <w:r w:rsidR="0068598E">
        <w:rPr>
          <w:spacing w:val="-18"/>
        </w:rPr>
        <w:t>.</w:t>
      </w:r>
      <w:r>
        <w:rPr>
          <w:w w:val="85"/>
        </w:rPr>
        <w:t xml:space="preserve"> </w:t>
      </w:r>
      <w:r>
        <w:t>The Treasurer appoints Reserve Bank Board members from a shortlist of candidates maintained by the Treasury Secretary and the Governor</w:t>
      </w:r>
      <w:r w:rsidR="0068598E">
        <w:rPr>
          <w:spacing w:val="-18"/>
        </w:rPr>
        <w:t>.</w:t>
      </w:r>
      <w:r>
        <w:rPr>
          <w:w w:val="85"/>
        </w:rPr>
        <w:t xml:space="preserve"> </w:t>
      </w:r>
      <w:r>
        <w:t>The current members are from business, academia, public policy and the not-for-profit sector.</w:t>
      </w:r>
    </w:p>
    <w:p w14:paraId="65A13AED" w14:textId="06BD7BBB" w:rsidR="00456856" w:rsidRDefault="00456856" w:rsidP="00456856">
      <w:r>
        <w:t>The Reserve Bank Board meets 11 times a year, typically for a little under 4 hours, on the first Tuesday of each month except January</w:t>
      </w:r>
      <w:r w:rsidR="0068598E">
        <w:rPr>
          <w:spacing w:val="-19"/>
        </w:rPr>
        <w:t>.</w:t>
      </w:r>
      <w:r>
        <w:rPr>
          <w:w w:val="85"/>
        </w:rPr>
        <w:t xml:space="preserve"> </w:t>
      </w:r>
      <w:r>
        <w:t>Consistent with the RBA Act, the Reserve Bank Board makes decisions by a majority of the members present, with 5 members forming a quorum</w:t>
      </w:r>
      <w:r w:rsidR="0068598E">
        <w:rPr>
          <w:spacing w:val="-22"/>
        </w:rPr>
        <w:t>.</w:t>
      </w:r>
      <w:r>
        <w:rPr>
          <w:w w:val="85"/>
        </w:rPr>
        <w:t xml:space="preserve"> </w:t>
      </w:r>
      <w:r>
        <w:t>The Chair has a casting vote if necessary</w:t>
      </w:r>
      <w:r w:rsidR="0068598E">
        <w:rPr>
          <w:spacing w:val="-19"/>
        </w:rPr>
        <w:t>.</w:t>
      </w:r>
      <w:r>
        <w:rPr>
          <w:w w:val="85"/>
        </w:rPr>
        <w:t xml:space="preserve"> </w:t>
      </w:r>
      <w:r>
        <w:t>In practice, the Board reaches decisions through a broad agreement of Board members without recording or publishing individual votes (Australian House of Representatives 2019).</w:t>
      </w:r>
    </w:p>
    <w:p w14:paraId="475189CF" w14:textId="77777777" w:rsidR="00456856" w:rsidRDefault="00456856" w:rsidP="00CF134F">
      <w:pPr>
        <w:pStyle w:val="Heading4"/>
      </w:pPr>
      <w:r>
        <w:t>Information</w:t>
      </w:r>
      <w:r>
        <w:rPr>
          <w:spacing w:val="-1"/>
        </w:rPr>
        <w:t xml:space="preserve"> </w:t>
      </w:r>
      <w:r>
        <w:t>provided</w:t>
      </w:r>
      <w:r>
        <w:rPr>
          <w:spacing w:val="2"/>
        </w:rPr>
        <w:t xml:space="preserve"> </w:t>
      </w:r>
      <w:r>
        <w:t>to</w:t>
      </w:r>
      <w:r>
        <w:rPr>
          <w:spacing w:val="1"/>
        </w:rPr>
        <w:t xml:space="preserve"> </w:t>
      </w:r>
      <w:r>
        <w:t>the</w:t>
      </w:r>
      <w:r>
        <w:rPr>
          <w:spacing w:val="2"/>
        </w:rPr>
        <w:t xml:space="preserve"> </w:t>
      </w:r>
      <w:r>
        <w:t>Reserve</w:t>
      </w:r>
      <w:r>
        <w:rPr>
          <w:spacing w:val="1"/>
        </w:rPr>
        <w:t xml:space="preserve"> </w:t>
      </w:r>
      <w:r>
        <w:t>Bank</w:t>
      </w:r>
      <w:r>
        <w:rPr>
          <w:spacing w:val="2"/>
        </w:rPr>
        <w:t xml:space="preserve"> </w:t>
      </w:r>
      <w:r>
        <w:t>Board</w:t>
      </w:r>
      <w:r>
        <w:rPr>
          <w:spacing w:val="1"/>
        </w:rPr>
        <w:t xml:space="preserve"> </w:t>
      </w:r>
      <w:r>
        <w:t>to</w:t>
      </w:r>
      <w:r>
        <w:rPr>
          <w:spacing w:val="2"/>
        </w:rPr>
        <w:t xml:space="preserve"> </w:t>
      </w:r>
      <w:r>
        <w:t>support</w:t>
      </w:r>
      <w:r>
        <w:rPr>
          <w:spacing w:val="1"/>
        </w:rPr>
        <w:t xml:space="preserve"> </w:t>
      </w:r>
      <w:r>
        <w:t>decision</w:t>
      </w:r>
      <w:r>
        <w:rPr>
          <w:spacing w:val="2"/>
        </w:rPr>
        <w:t xml:space="preserve"> </w:t>
      </w:r>
      <w:r>
        <w:rPr>
          <w:spacing w:val="-2"/>
        </w:rPr>
        <w:t>making</w:t>
      </w:r>
    </w:p>
    <w:p w14:paraId="1E20B413" w14:textId="2F0431EB" w:rsidR="00456856" w:rsidRDefault="00456856" w:rsidP="00456856">
      <w:pPr>
        <w:rPr>
          <w:w w:val="85"/>
        </w:rPr>
      </w:pPr>
      <w:r>
        <w:t>Papers support the Reserve Bank Board’s deliberations</w:t>
      </w:r>
      <w:r w:rsidR="0068598E">
        <w:rPr>
          <w:spacing w:val="-16"/>
        </w:rPr>
        <w:t>.</w:t>
      </w:r>
      <w:r>
        <w:rPr>
          <w:w w:val="85"/>
        </w:rPr>
        <w:t xml:space="preserve"> </w:t>
      </w:r>
      <w:r>
        <w:t>These papers cover domestic and international economic developments, monetary policy considerations and special topics of interest. RBA staff members prepare most papers with oversight from Assistant Governors of policy groups, the Deputy Governor and the Governor (the executive)</w:t>
      </w:r>
      <w:r w:rsidR="0068598E">
        <w:rPr>
          <w:spacing w:val="-23"/>
        </w:rPr>
        <w:t>.</w:t>
      </w:r>
      <w:r>
        <w:rPr>
          <w:w w:val="85"/>
        </w:rPr>
        <w:t xml:space="preserve"> </w:t>
      </w:r>
      <w:r>
        <w:t>The executive prepares the paper on monetary policy considerations</w:t>
      </w:r>
      <w:r w:rsidR="0068598E">
        <w:rPr>
          <w:spacing w:val="-20"/>
        </w:rPr>
        <w:t>.</w:t>
      </w:r>
      <w:r>
        <w:rPr>
          <w:w w:val="85"/>
        </w:rPr>
        <w:t xml:space="preserve"> </w:t>
      </w:r>
      <w:r>
        <w:t>This paper typically includes a policy recommendation, although in some cases more recently, multiple options have been put forward for discussion by the Reserve Bank Board</w:t>
      </w:r>
      <w:r w:rsidR="0068598E">
        <w:rPr>
          <w:spacing w:val="-9"/>
        </w:rPr>
        <w:t>.</w:t>
      </w:r>
    </w:p>
    <w:p w14:paraId="43D01C5B" w14:textId="12C97F5C" w:rsidR="00DB5F6B" w:rsidRDefault="00DB5F6B" w:rsidP="00DB5F6B">
      <w:r>
        <w:t>The papers are prepared by RBA staff members as part of a 2-week monetary policy formulation process</w:t>
      </w:r>
      <w:r w:rsidR="0068598E">
        <w:rPr>
          <w:spacing w:val="-17"/>
        </w:rPr>
        <w:t>.</w:t>
      </w:r>
      <w:r>
        <w:rPr>
          <w:w w:val="85"/>
        </w:rPr>
        <w:t xml:space="preserve"> </w:t>
      </w:r>
      <w:r>
        <w:t xml:space="preserve">Around 2 weeks before the Reserve Bank Board meeting, the Governor and Deputy Governor attend meetings with all policy staff in Economic Group and Financial Markets Group. At these </w:t>
      </w:r>
      <w:r>
        <w:lastRenderedPageBreak/>
        <w:t>meetings, staff members present key updates in their areas of responsibility, followed by a discussion of monetary policy</w:t>
      </w:r>
      <w:r w:rsidR="0068598E">
        <w:rPr>
          <w:spacing w:val="-18"/>
        </w:rPr>
        <w:t>.</w:t>
      </w:r>
      <w:r>
        <w:rPr>
          <w:w w:val="85"/>
        </w:rPr>
        <w:t xml:space="preserve"> </w:t>
      </w:r>
      <w:r>
        <w:t>One week before the Reserve Bank Board meeting, executives and senior staff members from across policy departments meet to discuss the Board papers and policy considerations. Following this process, the papers and policy recommendation are finalised and distributed to Reserve Bank Board members on the Friday before the Tuesday meeting.</w:t>
      </w:r>
    </w:p>
    <w:p w14:paraId="2A0BC86F" w14:textId="77777777" w:rsidR="00DB5F6B" w:rsidRDefault="00DB5F6B" w:rsidP="00DB5F6B">
      <w:pPr>
        <w:pStyle w:val="Heading3"/>
      </w:pPr>
      <w:r>
        <w:t>Accountability</w:t>
      </w:r>
      <w:r>
        <w:rPr>
          <w:spacing w:val="-12"/>
        </w:rPr>
        <w:t xml:space="preserve"> </w:t>
      </w:r>
      <w:r>
        <w:t>and</w:t>
      </w:r>
      <w:r>
        <w:rPr>
          <w:spacing w:val="-11"/>
        </w:rPr>
        <w:t xml:space="preserve"> </w:t>
      </w:r>
      <w:r>
        <w:rPr>
          <w:spacing w:val="-2"/>
        </w:rPr>
        <w:t>transparency</w:t>
      </w:r>
    </w:p>
    <w:p w14:paraId="21151807" w14:textId="20AE2C4B" w:rsidR="00DB5F6B" w:rsidRDefault="00DB5F6B" w:rsidP="00DB5F6B">
      <w:r>
        <w:t>The RBA is granted significant operational independence to make policy decisions in pursuit of its objectives. The Review strongly affirms this independence and considers it an essential ingredient for</w:t>
      </w:r>
      <w:r>
        <w:rPr>
          <w:spacing w:val="-6"/>
        </w:rPr>
        <w:t xml:space="preserve"> </w:t>
      </w:r>
      <w:r>
        <w:t>sound monetary policy decision making (see Chapter 2)</w:t>
      </w:r>
      <w:r w:rsidR="0068598E">
        <w:rPr>
          <w:spacing w:val="-12"/>
        </w:rPr>
        <w:t>.</w:t>
      </w:r>
      <w:r>
        <w:rPr>
          <w:w w:val="85"/>
        </w:rPr>
        <w:t xml:space="preserve"> </w:t>
      </w:r>
      <w:r>
        <w:t>Independence requires transparency and accountability for how the RBA’s powers are being exercised</w:t>
      </w:r>
      <w:r w:rsidR="0068598E">
        <w:rPr>
          <w:spacing w:val="-17"/>
        </w:rPr>
        <w:t>.</w:t>
      </w:r>
    </w:p>
    <w:p w14:paraId="6FE7F18F" w14:textId="77777777" w:rsidR="00DB5F6B" w:rsidRDefault="00DB5F6B" w:rsidP="00DB5F6B">
      <w:pPr>
        <w:pStyle w:val="Heading4"/>
      </w:pPr>
      <w:r>
        <w:t>Accountability</w:t>
      </w:r>
    </w:p>
    <w:p w14:paraId="302AFF93" w14:textId="1C0FF5E4" w:rsidR="00DB5F6B" w:rsidRDefault="00DB5F6B" w:rsidP="00DB5F6B">
      <w:r>
        <w:t xml:space="preserve">The </w:t>
      </w:r>
      <w:r>
        <w:rPr>
          <w:i/>
        </w:rPr>
        <w:t xml:space="preserve">Statement on the Conduct of Monetary Policy </w:t>
      </w:r>
      <w:r>
        <w:t>sets out accountability measures to support transparency around the conduct of monetary policy</w:t>
      </w:r>
      <w:r w:rsidR="0068598E">
        <w:rPr>
          <w:spacing w:val="-19"/>
        </w:rPr>
        <w:t>.</w:t>
      </w:r>
      <w:r>
        <w:rPr>
          <w:w w:val="85"/>
        </w:rPr>
        <w:t xml:space="preserve"> </w:t>
      </w:r>
      <w:r>
        <w:t>This includes that the RBA will announce and explain its monetary policy decisions, release minutes of Reserve Bank Board meetings and provide commentary and analysis on the economic outlook</w:t>
      </w:r>
      <w:r w:rsidR="0068598E">
        <w:rPr>
          <w:spacing w:val="-13"/>
        </w:rPr>
        <w:t>.</w:t>
      </w:r>
    </w:p>
    <w:p w14:paraId="7C9B715B" w14:textId="0B1CA947" w:rsidR="00DB5F6B" w:rsidRDefault="00DB5F6B" w:rsidP="00DB5F6B">
      <w:r>
        <w:t>As noted in the previous section, the Reserve Bank Board makes decisions by broad agreement, and individual votes and dissent are not recorded or published</w:t>
      </w:r>
      <w:r w:rsidR="0068598E">
        <w:rPr>
          <w:spacing w:val="-20"/>
        </w:rPr>
        <w:t>.</w:t>
      </w:r>
      <w:r>
        <w:rPr>
          <w:w w:val="85"/>
        </w:rPr>
        <w:t xml:space="preserve"> </w:t>
      </w:r>
      <w:r>
        <w:t xml:space="preserve">In addition, Reserve Bank Board members currently agree as part of the </w:t>
      </w:r>
      <w:r>
        <w:rPr>
          <w:i/>
        </w:rPr>
        <w:t xml:space="preserve">Code of Conduct for Reserve Bank Board Members </w:t>
      </w:r>
      <w:r>
        <w:t>(</w:t>
      </w:r>
      <w:r>
        <w:rPr>
          <w:i/>
        </w:rPr>
        <w:t>Code of Conduct</w:t>
      </w:r>
      <w:r>
        <w:t>)</w:t>
      </w:r>
      <w:r>
        <w:rPr>
          <w:spacing w:val="-1"/>
        </w:rPr>
        <w:t xml:space="preserve"> </w:t>
      </w:r>
      <w:r>
        <w:t>that</w:t>
      </w:r>
      <w:r>
        <w:rPr>
          <w:spacing w:val="-1"/>
        </w:rPr>
        <w:t xml:space="preserve"> </w:t>
      </w:r>
      <w:r>
        <w:t>the</w:t>
      </w:r>
      <w:r>
        <w:rPr>
          <w:spacing w:val="-1"/>
        </w:rPr>
        <w:t xml:space="preserve"> </w:t>
      </w:r>
      <w:r>
        <w:t>Governor,</w:t>
      </w:r>
      <w:r>
        <w:rPr>
          <w:spacing w:val="-1"/>
        </w:rPr>
        <w:t xml:space="preserve"> </w:t>
      </w:r>
      <w:r>
        <w:t>and</w:t>
      </w:r>
      <w:r>
        <w:rPr>
          <w:spacing w:val="-1"/>
        </w:rPr>
        <w:t xml:space="preserve"> </w:t>
      </w:r>
      <w:r>
        <w:t>where</w:t>
      </w:r>
      <w:r>
        <w:rPr>
          <w:spacing w:val="-1"/>
        </w:rPr>
        <w:t xml:space="preserve"> </w:t>
      </w:r>
      <w:r>
        <w:t>appropriate</w:t>
      </w:r>
      <w:r>
        <w:rPr>
          <w:spacing w:val="-1"/>
        </w:rPr>
        <w:t xml:space="preserve"> </w:t>
      </w:r>
      <w:r>
        <w:t>the</w:t>
      </w:r>
      <w:r>
        <w:rPr>
          <w:spacing w:val="-1"/>
        </w:rPr>
        <w:t xml:space="preserve"> </w:t>
      </w:r>
      <w:r>
        <w:t>Deputy</w:t>
      </w:r>
      <w:r>
        <w:rPr>
          <w:spacing w:val="-1"/>
        </w:rPr>
        <w:t xml:space="preserve"> </w:t>
      </w:r>
      <w:r>
        <w:t>Governor,</w:t>
      </w:r>
      <w:r>
        <w:rPr>
          <w:spacing w:val="-1"/>
        </w:rPr>
        <w:t xml:space="preserve"> </w:t>
      </w:r>
      <w:r>
        <w:t>is</w:t>
      </w:r>
      <w:r>
        <w:rPr>
          <w:spacing w:val="-1"/>
        </w:rPr>
        <w:t xml:space="preserve"> </w:t>
      </w:r>
      <w:r>
        <w:t>the</w:t>
      </w:r>
      <w:r>
        <w:rPr>
          <w:spacing w:val="-1"/>
        </w:rPr>
        <w:t xml:space="preserve"> </w:t>
      </w:r>
      <w:r>
        <w:t>spokesperson</w:t>
      </w:r>
      <w:r>
        <w:rPr>
          <w:spacing w:val="-1"/>
        </w:rPr>
        <w:t xml:space="preserve"> </w:t>
      </w:r>
      <w:r>
        <w:t>for the Board on monetary and financial system stability policy.</w:t>
      </w:r>
    </w:p>
    <w:p w14:paraId="7258B0C8" w14:textId="0275584F" w:rsidR="00DB5F6B" w:rsidRDefault="00DB5F6B" w:rsidP="00DB5F6B">
      <w:r>
        <w:t xml:space="preserve">The </w:t>
      </w:r>
      <w:r>
        <w:rPr>
          <w:i/>
        </w:rPr>
        <w:t xml:space="preserve">Statement on the Conduct of Monetary Policy </w:t>
      </w:r>
      <w:r>
        <w:t>states that the Governor will appear before the House of Representatives Standing Committee on Economics twice a year to report on the conduct of</w:t>
      </w:r>
      <w:r>
        <w:rPr>
          <w:spacing w:val="13"/>
        </w:rPr>
        <w:t xml:space="preserve"> </w:t>
      </w:r>
      <w:r>
        <w:t>monetary</w:t>
      </w:r>
      <w:r>
        <w:rPr>
          <w:spacing w:val="13"/>
        </w:rPr>
        <w:t xml:space="preserve"> </w:t>
      </w:r>
      <w:r>
        <w:t>policy</w:t>
      </w:r>
      <w:r>
        <w:rPr>
          <w:spacing w:val="13"/>
        </w:rPr>
        <w:t xml:space="preserve"> </w:t>
      </w:r>
      <w:r>
        <w:t>and</w:t>
      </w:r>
      <w:r>
        <w:rPr>
          <w:spacing w:val="13"/>
        </w:rPr>
        <w:t xml:space="preserve"> </w:t>
      </w:r>
      <w:r>
        <w:t>other</w:t>
      </w:r>
      <w:r>
        <w:rPr>
          <w:spacing w:val="13"/>
        </w:rPr>
        <w:t xml:space="preserve"> </w:t>
      </w:r>
      <w:r>
        <w:t>matters</w:t>
      </w:r>
      <w:r>
        <w:rPr>
          <w:spacing w:val="13"/>
        </w:rPr>
        <w:t xml:space="preserve"> </w:t>
      </w:r>
      <w:r>
        <w:t>falling</w:t>
      </w:r>
      <w:r>
        <w:rPr>
          <w:spacing w:val="13"/>
        </w:rPr>
        <w:t xml:space="preserve"> </w:t>
      </w:r>
      <w:r>
        <w:t>within</w:t>
      </w:r>
      <w:r>
        <w:rPr>
          <w:spacing w:val="13"/>
        </w:rPr>
        <w:t xml:space="preserve"> </w:t>
      </w:r>
      <w:r>
        <w:t>the</w:t>
      </w:r>
      <w:r>
        <w:rPr>
          <w:spacing w:val="13"/>
        </w:rPr>
        <w:t xml:space="preserve"> </w:t>
      </w:r>
      <w:r>
        <w:t>responsibility</w:t>
      </w:r>
      <w:r>
        <w:rPr>
          <w:spacing w:val="13"/>
        </w:rPr>
        <w:t xml:space="preserve"> </w:t>
      </w:r>
      <w:r>
        <w:t>of</w:t>
      </w:r>
      <w:r>
        <w:rPr>
          <w:spacing w:val="13"/>
        </w:rPr>
        <w:t xml:space="preserve"> </w:t>
      </w:r>
      <w:r>
        <w:t>the</w:t>
      </w:r>
      <w:r>
        <w:rPr>
          <w:spacing w:val="13"/>
        </w:rPr>
        <w:t xml:space="preserve"> </w:t>
      </w:r>
      <w:r>
        <w:t>RBA</w:t>
      </w:r>
      <w:r w:rsidR="0068598E">
        <w:rPr>
          <w:spacing w:val="-18"/>
        </w:rPr>
        <w:t>.</w:t>
      </w:r>
      <w:r>
        <w:rPr>
          <w:spacing w:val="13"/>
        </w:rPr>
        <w:t xml:space="preserve"> </w:t>
      </w:r>
      <w:r>
        <w:t>Senior</w:t>
      </w:r>
      <w:r>
        <w:rPr>
          <w:spacing w:val="13"/>
        </w:rPr>
        <w:t xml:space="preserve"> </w:t>
      </w:r>
      <w:r>
        <w:t>RBA officials</w:t>
      </w:r>
      <w:r>
        <w:rPr>
          <w:spacing w:val="18"/>
        </w:rPr>
        <w:t xml:space="preserve"> </w:t>
      </w:r>
      <w:r>
        <w:t>participate</w:t>
      </w:r>
      <w:r>
        <w:rPr>
          <w:spacing w:val="18"/>
        </w:rPr>
        <w:t xml:space="preserve"> </w:t>
      </w:r>
      <w:r>
        <w:t>in</w:t>
      </w:r>
      <w:r>
        <w:rPr>
          <w:spacing w:val="18"/>
        </w:rPr>
        <w:t xml:space="preserve"> </w:t>
      </w:r>
      <w:r>
        <w:t>other</w:t>
      </w:r>
      <w:r>
        <w:rPr>
          <w:spacing w:val="18"/>
        </w:rPr>
        <w:t xml:space="preserve"> </w:t>
      </w:r>
      <w:r>
        <w:t>Parliamentary</w:t>
      </w:r>
      <w:r>
        <w:rPr>
          <w:spacing w:val="18"/>
        </w:rPr>
        <w:t xml:space="preserve"> </w:t>
      </w:r>
      <w:r>
        <w:t>processes</w:t>
      </w:r>
      <w:r>
        <w:rPr>
          <w:spacing w:val="18"/>
        </w:rPr>
        <w:t xml:space="preserve"> </w:t>
      </w:r>
      <w:r>
        <w:t>to</w:t>
      </w:r>
      <w:r>
        <w:rPr>
          <w:spacing w:val="18"/>
        </w:rPr>
        <w:t xml:space="preserve"> </w:t>
      </w:r>
      <w:r>
        <w:t>answer</w:t>
      </w:r>
      <w:r>
        <w:rPr>
          <w:spacing w:val="18"/>
        </w:rPr>
        <w:t xml:space="preserve"> </w:t>
      </w:r>
      <w:r>
        <w:t>questions</w:t>
      </w:r>
      <w:r>
        <w:rPr>
          <w:spacing w:val="18"/>
        </w:rPr>
        <w:t xml:space="preserve"> </w:t>
      </w:r>
      <w:r>
        <w:t>about</w:t>
      </w:r>
      <w:r>
        <w:rPr>
          <w:spacing w:val="18"/>
        </w:rPr>
        <w:t xml:space="preserve"> </w:t>
      </w:r>
      <w:r>
        <w:t>the</w:t>
      </w:r>
      <w:r>
        <w:rPr>
          <w:spacing w:val="18"/>
        </w:rPr>
        <w:t xml:space="preserve"> </w:t>
      </w:r>
      <w:r>
        <w:t>operations and performance of the RBA (see Chapter 5). External Reserve Bank Board members do not appear before Parliament or other forums to answer questions about monetary policy</w:t>
      </w:r>
      <w:r w:rsidR="0068598E">
        <w:rPr>
          <w:spacing w:val="-16"/>
        </w:rPr>
        <w:t>.</w:t>
      </w:r>
    </w:p>
    <w:p w14:paraId="4F82EB41" w14:textId="21A3761C" w:rsidR="00DB5F6B" w:rsidRDefault="00DB5F6B" w:rsidP="00DB5F6B">
      <w:r>
        <w:t>In</w:t>
      </w:r>
      <w:r>
        <w:rPr>
          <w:spacing w:val="-3"/>
        </w:rPr>
        <w:t xml:space="preserve"> </w:t>
      </w:r>
      <w:r>
        <w:t>addition,</w:t>
      </w:r>
      <w:r>
        <w:rPr>
          <w:spacing w:val="-3"/>
        </w:rPr>
        <w:t xml:space="preserve"> </w:t>
      </w:r>
      <w:r>
        <w:t>the</w:t>
      </w:r>
      <w:r>
        <w:rPr>
          <w:spacing w:val="-4"/>
        </w:rPr>
        <w:t xml:space="preserve"> </w:t>
      </w:r>
      <w:r>
        <w:rPr>
          <w:i/>
        </w:rPr>
        <w:t>Public</w:t>
      </w:r>
      <w:r>
        <w:rPr>
          <w:i/>
          <w:spacing w:val="-3"/>
        </w:rPr>
        <w:t xml:space="preserve"> </w:t>
      </w:r>
      <w:r>
        <w:rPr>
          <w:i/>
        </w:rPr>
        <w:t>Governance,</w:t>
      </w:r>
      <w:r>
        <w:rPr>
          <w:i/>
          <w:spacing w:val="-3"/>
        </w:rPr>
        <w:t xml:space="preserve"> </w:t>
      </w:r>
      <w:r>
        <w:rPr>
          <w:i/>
        </w:rPr>
        <w:t>Performance</w:t>
      </w:r>
      <w:r>
        <w:rPr>
          <w:i/>
          <w:spacing w:val="-3"/>
        </w:rPr>
        <w:t xml:space="preserve"> </w:t>
      </w:r>
      <w:r>
        <w:rPr>
          <w:i/>
        </w:rPr>
        <w:t>and</w:t>
      </w:r>
      <w:r>
        <w:rPr>
          <w:i/>
          <w:spacing w:val="-3"/>
        </w:rPr>
        <w:t xml:space="preserve"> </w:t>
      </w:r>
      <w:r>
        <w:rPr>
          <w:i/>
        </w:rPr>
        <w:t>Accountability</w:t>
      </w:r>
      <w:r>
        <w:rPr>
          <w:i/>
          <w:spacing w:val="-3"/>
        </w:rPr>
        <w:t xml:space="preserve"> </w:t>
      </w:r>
      <w:r>
        <w:rPr>
          <w:i/>
        </w:rPr>
        <w:t>Act</w:t>
      </w:r>
      <w:r>
        <w:rPr>
          <w:i/>
          <w:spacing w:val="-3"/>
        </w:rPr>
        <w:t xml:space="preserve"> </w:t>
      </w:r>
      <w:r>
        <w:rPr>
          <w:i/>
        </w:rPr>
        <w:t>2013</w:t>
      </w:r>
      <w:r>
        <w:rPr>
          <w:i/>
          <w:spacing w:val="-3"/>
        </w:rPr>
        <w:t xml:space="preserve"> </w:t>
      </w:r>
      <w:r>
        <w:t>(the</w:t>
      </w:r>
      <w:r>
        <w:rPr>
          <w:spacing w:val="-3"/>
        </w:rPr>
        <w:t xml:space="preserve"> </w:t>
      </w:r>
      <w:r>
        <w:t>PGPA</w:t>
      </w:r>
      <w:r>
        <w:rPr>
          <w:spacing w:val="-3"/>
        </w:rPr>
        <w:t xml:space="preserve"> </w:t>
      </w:r>
      <w:r>
        <w:t>Act)</w:t>
      </w:r>
      <w:r>
        <w:rPr>
          <w:spacing w:val="-3"/>
        </w:rPr>
        <w:t xml:space="preserve"> </w:t>
      </w:r>
      <w:r>
        <w:t>requires that the RBA and other Commonwealth entities maintain high standards of accountability (see Chapter</w:t>
      </w:r>
      <w:r>
        <w:rPr>
          <w:spacing w:val="-1"/>
        </w:rPr>
        <w:t xml:space="preserve"> </w:t>
      </w:r>
      <w:r>
        <w:t>5</w:t>
      </w:r>
      <w:r>
        <w:rPr>
          <w:spacing w:val="-1"/>
        </w:rPr>
        <w:t xml:space="preserve"> </w:t>
      </w:r>
      <w:r>
        <w:t>for</w:t>
      </w:r>
      <w:r>
        <w:rPr>
          <w:spacing w:val="-1"/>
        </w:rPr>
        <w:t xml:space="preserve"> </w:t>
      </w:r>
      <w:r>
        <w:t>details</w:t>
      </w:r>
      <w:r>
        <w:rPr>
          <w:spacing w:val="-1"/>
        </w:rPr>
        <w:t xml:space="preserve"> </w:t>
      </w:r>
      <w:r>
        <w:t>on</w:t>
      </w:r>
      <w:r>
        <w:rPr>
          <w:spacing w:val="-1"/>
        </w:rPr>
        <w:t xml:space="preserve"> </w:t>
      </w:r>
      <w:r>
        <w:t>the</w:t>
      </w:r>
      <w:r>
        <w:rPr>
          <w:spacing w:val="-1"/>
        </w:rPr>
        <w:t xml:space="preserve"> </w:t>
      </w:r>
      <w:r>
        <w:t>PGPA</w:t>
      </w:r>
      <w:r>
        <w:rPr>
          <w:spacing w:val="-1"/>
        </w:rPr>
        <w:t xml:space="preserve"> </w:t>
      </w:r>
      <w:r>
        <w:t>Act)</w:t>
      </w:r>
      <w:r w:rsidR="0068598E">
        <w:rPr>
          <w:spacing w:val="-22"/>
        </w:rPr>
        <w:t>.</w:t>
      </w:r>
      <w:r>
        <w:rPr>
          <w:w w:val="85"/>
        </w:rPr>
        <w:t xml:space="preserve"> </w:t>
      </w:r>
      <w:r>
        <w:t>At</w:t>
      </w:r>
      <w:r>
        <w:rPr>
          <w:spacing w:val="-1"/>
        </w:rPr>
        <w:t xml:space="preserve"> </w:t>
      </w:r>
      <w:r>
        <w:t>the</w:t>
      </w:r>
      <w:r>
        <w:rPr>
          <w:spacing w:val="-1"/>
        </w:rPr>
        <w:t xml:space="preserve"> </w:t>
      </w:r>
      <w:r>
        <w:t>RBA,</w:t>
      </w:r>
      <w:r>
        <w:rPr>
          <w:spacing w:val="-1"/>
        </w:rPr>
        <w:t xml:space="preserve"> </w:t>
      </w:r>
      <w:r>
        <w:t>responsibility</w:t>
      </w:r>
      <w:r>
        <w:rPr>
          <w:spacing w:val="-1"/>
        </w:rPr>
        <w:t xml:space="preserve"> </w:t>
      </w:r>
      <w:r>
        <w:t>for</w:t>
      </w:r>
      <w:r>
        <w:rPr>
          <w:spacing w:val="-1"/>
        </w:rPr>
        <w:t xml:space="preserve"> </w:t>
      </w:r>
      <w:r>
        <w:t>this</w:t>
      </w:r>
      <w:r>
        <w:rPr>
          <w:spacing w:val="-1"/>
        </w:rPr>
        <w:t xml:space="preserve"> </w:t>
      </w:r>
      <w:r>
        <w:t>largely</w:t>
      </w:r>
      <w:r>
        <w:rPr>
          <w:spacing w:val="-1"/>
        </w:rPr>
        <w:t xml:space="preserve"> </w:t>
      </w:r>
      <w:r>
        <w:t>rests</w:t>
      </w:r>
      <w:r>
        <w:rPr>
          <w:spacing w:val="-1"/>
        </w:rPr>
        <w:t xml:space="preserve"> </w:t>
      </w:r>
      <w:r>
        <w:t>with</w:t>
      </w:r>
      <w:r>
        <w:rPr>
          <w:spacing w:val="-1"/>
        </w:rPr>
        <w:t xml:space="preserve"> </w:t>
      </w:r>
      <w:r>
        <w:t>the Governor,</w:t>
      </w:r>
      <w:r>
        <w:rPr>
          <w:spacing w:val="-1"/>
        </w:rPr>
        <w:t xml:space="preserve"> </w:t>
      </w:r>
      <w:r>
        <w:t>the</w:t>
      </w:r>
      <w:r>
        <w:rPr>
          <w:spacing w:val="-1"/>
        </w:rPr>
        <w:t xml:space="preserve"> </w:t>
      </w:r>
      <w:r>
        <w:t>accountable</w:t>
      </w:r>
      <w:r>
        <w:rPr>
          <w:spacing w:val="-1"/>
        </w:rPr>
        <w:t xml:space="preserve"> </w:t>
      </w:r>
      <w:r>
        <w:t>authority</w:t>
      </w:r>
      <w:r>
        <w:rPr>
          <w:spacing w:val="-1"/>
        </w:rPr>
        <w:t xml:space="preserve"> </w:t>
      </w:r>
      <w:r>
        <w:t>in</w:t>
      </w:r>
      <w:r>
        <w:rPr>
          <w:spacing w:val="-1"/>
        </w:rPr>
        <w:t xml:space="preserve"> </w:t>
      </w:r>
      <w:r>
        <w:t>respect</w:t>
      </w:r>
      <w:r>
        <w:rPr>
          <w:spacing w:val="-1"/>
        </w:rPr>
        <w:t xml:space="preserve"> </w:t>
      </w:r>
      <w:r>
        <w:t>of</w:t>
      </w:r>
      <w:r>
        <w:rPr>
          <w:spacing w:val="-1"/>
        </w:rPr>
        <w:t xml:space="preserve"> </w:t>
      </w:r>
      <w:r>
        <w:t>the</w:t>
      </w:r>
      <w:r>
        <w:rPr>
          <w:spacing w:val="-1"/>
        </w:rPr>
        <w:t xml:space="preserve"> </w:t>
      </w:r>
      <w:r>
        <w:t>PGPA</w:t>
      </w:r>
      <w:r>
        <w:rPr>
          <w:spacing w:val="-1"/>
        </w:rPr>
        <w:t xml:space="preserve"> </w:t>
      </w:r>
      <w:r>
        <w:t>Act</w:t>
      </w:r>
      <w:r w:rsidR="0068598E">
        <w:rPr>
          <w:spacing w:val="-22"/>
        </w:rPr>
        <w:t>.</w:t>
      </w:r>
      <w:r>
        <w:rPr>
          <w:w w:val="85"/>
        </w:rPr>
        <w:t xml:space="preserve"> </w:t>
      </w:r>
      <w:r>
        <w:t>As</w:t>
      </w:r>
      <w:r>
        <w:rPr>
          <w:spacing w:val="-1"/>
        </w:rPr>
        <w:t xml:space="preserve"> </w:t>
      </w:r>
      <w:r>
        <w:t>part</w:t>
      </w:r>
      <w:r>
        <w:rPr>
          <w:spacing w:val="-1"/>
        </w:rPr>
        <w:t xml:space="preserve"> </w:t>
      </w:r>
      <w:r>
        <w:t>of</w:t>
      </w:r>
      <w:r>
        <w:rPr>
          <w:spacing w:val="-1"/>
        </w:rPr>
        <w:t xml:space="preserve"> </w:t>
      </w:r>
      <w:r>
        <w:t>this</w:t>
      </w:r>
      <w:r>
        <w:rPr>
          <w:spacing w:val="-1"/>
        </w:rPr>
        <w:t xml:space="preserve"> </w:t>
      </w:r>
      <w:r>
        <w:t>responsibility,</w:t>
      </w:r>
      <w:r>
        <w:rPr>
          <w:spacing w:val="-1"/>
        </w:rPr>
        <w:t xml:space="preserve"> </w:t>
      </w:r>
      <w:r>
        <w:t>the Governor prepares an annual report for presentation to the Treasurer and tabling in Parliament</w:t>
      </w:r>
      <w:r w:rsidR="0068598E">
        <w:rPr>
          <w:spacing w:val="-23"/>
        </w:rPr>
        <w:t>.</w:t>
      </w:r>
      <w:r>
        <w:t xml:space="preserve"> The report includes a statement about the RBA’s performance over the period</w:t>
      </w:r>
      <w:r w:rsidR="0068598E">
        <w:rPr>
          <w:spacing w:val="-17"/>
        </w:rPr>
        <w:t>.</w:t>
      </w:r>
    </w:p>
    <w:p w14:paraId="6C880D87" w14:textId="77777777" w:rsidR="00DB5F6B" w:rsidRDefault="00DB5F6B" w:rsidP="00DB5F6B">
      <w:r>
        <w:t>Other duties of the RBA in relation to accountability are set out in the</w:t>
      </w:r>
      <w:r>
        <w:rPr>
          <w:spacing w:val="-1"/>
        </w:rPr>
        <w:t xml:space="preserve"> </w:t>
      </w:r>
      <w:r>
        <w:rPr>
          <w:i/>
        </w:rPr>
        <w:t>Freedom of Information Act 1982</w:t>
      </w:r>
      <w:r>
        <w:t xml:space="preserve">, </w:t>
      </w:r>
      <w:r>
        <w:rPr>
          <w:i/>
        </w:rPr>
        <w:t>Archives Act 1983</w:t>
      </w:r>
      <w:r>
        <w:t xml:space="preserve">, </w:t>
      </w:r>
      <w:r>
        <w:rPr>
          <w:i/>
        </w:rPr>
        <w:t xml:space="preserve">Privacy Act 1988 </w:t>
      </w:r>
      <w:r>
        <w:t>and guidance from the Australian Public Service Commission related to the receipt of gifts and benefits.</w:t>
      </w:r>
    </w:p>
    <w:p w14:paraId="7B0065FC" w14:textId="77777777" w:rsidR="00946C0F" w:rsidRDefault="00946C0F" w:rsidP="00750B89">
      <w:pPr>
        <w:pStyle w:val="Heading4"/>
      </w:pPr>
      <w:r>
        <w:t>Conflict</w:t>
      </w:r>
      <w:r>
        <w:rPr>
          <w:spacing w:val="1"/>
        </w:rPr>
        <w:t xml:space="preserve"> </w:t>
      </w:r>
      <w:r>
        <w:t>of</w:t>
      </w:r>
      <w:r>
        <w:rPr>
          <w:spacing w:val="2"/>
        </w:rPr>
        <w:t xml:space="preserve"> </w:t>
      </w:r>
      <w:r>
        <w:t>interest</w:t>
      </w:r>
      <w:r>
        <w:rPr>
          <w:spacing w:val="2"/>
        </w:rPr>
        <w:t xml:space="preserve"> </w:t>
      </w:r>
      <w:r>
        <w:t>arrangements</w:t>
      </w:r>
      <w:r>
        <w:rPr>
          <w:spacing w:val="2"/>
        </w:rPr>
        <w:t xml:space="preserve"> </w:t>
      </w:r>
      <w:r>
        <w:t>for</w:t>
      </w:r>
      <w:r>
        <w:rPr>
          <w:spacing w:val="2"/>
        </w:rPr>
        <w:t xml:space="preserve"> </w:t>
      </w:r>
      <w:r>
        <w:t>Reserve</w:t>
      </w:r>
      <w:r>
        <w:rPr>
          <w:spacing w:val="2"/>
        </w:rPr>
        <w:t xml:space="preserve"> </w:t>
      </w:r>
      <w:r>
        <w:t>Bank</w:t>
      </w:r>
      <w:r>
        <w:rPr>
          <w:spacing w:val="1"/>
        </w:rPr>
        <w:t xml:space="preserve"> </w:t>
      </w:r>
      <w:r>
        <w:t>Board</w:t>
      </w:r>
      <w:r>
        <w:rPr>
          <w:spacing w:val="2"/>
        </w:rPr>
        <w:t xml:space="preserve"> </w:t>
      </w:r>
      <w:r>
        <w:rPr>
          <w:spacing w:val="-2"/>
        </w:rPr>
        <w:t>members</w:t>
      </w:r>
    </w:p>
    <w:p w14:paraId="59557E1B" w14:textId="13E4C72B" w:rsidR="00946C0F" w:rsidRDefault="00946C0F" w:rsidP="00946C0F">
      <w:r>
        <w:t xml:space="preserve">The RBA Act, PGPA Act, the </w:t>
      </w:r>
      <w:r>
        <w:rPr>
          <w:i/>
        </w:rPr>
        <w:t xml:space="preserve">Public Governance, Performance and Accountability Rule 2014 </w:t>
      </w:r>
      <w:r>
        <w:t xml:space="preserve">and the </w:t>
      </w:r>
      <w:r>
        <w:rPr>
          <w:i/>
        </w:rPr>
        <w:t xml:space="preserve">Code of Conduct </w:t>
      </w:r>
      <w:r>
        <w:t>provide the framework for managing conflicts of interest of Reserve Bank Board members (including the Governor and Deputy Governor)</w:t>
      </w:r>
      <w:r w:rsidR="0068598E">
        <w:rPr>
          <w:spacing w:val="-16"/>
        </w:rPr>
        <w:t>.</w:t>
      </w:r>
      <w:r>
        <w:rPr>
          <w:w w:val="85"/>
        </w:rPr>
        <w:t xml:space="preserve"> </w:t>
      </w:r>
      <w:r>
        <w:t>These include that Reserve Bank Board members:</w:t>
      </w:r>
    </w:p>
    <w:p w14:paraId="3FD3AF65" w14:textId="77777777" w:rsidR="00946C0F" w:rsidRDefault="00946C0F" w:rsidP="0000278A">
      <w:pPr>
        <w:pStyle w:val="Bullet"/>
        <w:rPr>
          <w:i/>
        </w:rPr>
      </w:pPr>
      <w:r>
        <w:t xml:space="preserve">must not hold positions in any authorised deposit-taking institutions or finance provider, and at least 5 of the 6 external members cannot also be a staff member of the Reserve Bank or appointed or engaged under the </w:t>
      </w:r>
      <w:r>
        <w:rPr>
          <w:i/>
        </w:rPr>
        <w:t>Public Service Act 1999</w:t>
      </w:r>
    </w:p>
    <w:p w14:paraId="36FC8A83" w14:textId="6DE8A65F" w:rsidR="00946C0F" w:rsidRDefault="00946C0F" w:rsidP="0000278A">
      <w:pPr>
        <w:pStyle w:val="Bullet"/>
      </w:pPr>
      <w:r>
        <w:lastRenderedPageBreak/>
        <w:t>are</w:t>
      </w:r>
      <w:r>
        <w:rPr>
          <w:spacing w:val="-2"/>
        </w:rPr>
        <w:t xml:space="preserve"> </w:t>
      </w:r>
      <w:r>
        <w:t>required</w:t>
      </w:r>
      <w:r>
        <w:rPr>
          <w:spacing w:val="-2"/>
        </w:rPr>
        <w:t xml:space="preserve"> </w:t>
      </w:r>
      <w:r>
        <w:t>to</w:t>
      </w:r>
      <w:r>
        <w:rPr>
          <w:spacing w:val="-2"/>
        </w:rPr>
        <w:t xml:space="preserve"> </w:t>
      </w:r>
      <w:r>
        <w:t>provide</w:t>
      </w:r>
      <w:r>
        <w:rPr>
          <w:spacing w:val="-2"/>
        </w:rPr>
        <w:t xml:space="preserve"> </w:t>
      </w:r>
      <w:r>
        <w:t>an</w:t>
      </w:r>
      <w:r>
        <w:rPr>
          <w:spacing w:val="-2"/>
        </w:rPr>
        <w:t xml:space="preserve"> </w:t>
      </w:r>
      <w:r>
        <w:t>annual</w:t>
      </w:r>
      <w:r>
        <w:rPr>
          <w:spacing w:val="-2"/>
        </w:rPr>
        <w:t xml:space="preserve"> </w:t>
      </w:r>
      <w:r>
        <w:t>disclosure</w:t>
      </w:r>
      <w:r>
        <w:rPr>
          <w:spacing w:val="-2"/>
        </w:rPr>
        <w:t xml:space="preserve"> </w:t>
      </w:r>
      <w:r>
        <w:t>of</w:t>
      </w:r>
      <w:r>
        <w:rPr>
          <w:spacing w:val="-2"/>
        </w:rPr>
        <w:t xml:space="preserve"> </w:t>
      </w:r>
      <w:r>
        <w:t>their</w:t>
      </w:r>
      <w:r>
        <w:rPr>
          <w:spacing w:val="-2"/>
        </w:rPr>
        <w:t xml:space="preserve"> </w:t>
      </w:r>
      <w:r>
        <w:t>material</w:t>
      </w:r>
      <w:r>
        <w:rPr>
          <w:spacing w:val="-2"/>
        </w:rPr>
        <w:t xml:space="preserve"> </w:t>
      </w:r>
      <w:r>
        <w:t>personal</w:t>
      </w:r>
      <w:r>
        <w:rPr>
          <w:spacing w:val="-2"/>
        </w:rPr>
        <w:t xml:space="preserve"> </w:t>
      </w:r>
      <w:r>
        <w:t>interests</w:t>
      </w:r>
      <w:r>
        <w:rPr>
          <w:spacing w:val="-2"/>
        </w:rPr>
        <w:t xml:space="preserve"> </w:t>
      </w:r>
      <w:r>
        <w:t>to</w:t>
      </w:r>
      <w:r>
        <w:rPr>
          <w:spacing w:val="-2"/>
        </w:rPr>
        <w:t xml:space="preserve"> </w:t>
      </w:r>
      <w:r>
        <w:t>the</w:t>
      </w:r>
      <w:r>
        <w:rPr>
          <w:spacing w:val="-2"/>
        </w:rPr>
        <w:t xml:space="preserve"> </w:t>
      </w:r>
      <w:r>
        <w:t>Treasurer (and inform the Board if new material personal interests arise since their last disclosure)</w:t>
      </w:r>
      <w:r w:rsidR="0068598E">
        <w:rPr>
          <w:spacing w:val="-19"/>
        </w:rPr>
        <w:t>.</w:t>
      </w:r>
      <w:r>
        <w:rPr>
          <w:w w:val="85"/>
        </w:rPr>
        <w:t xml:space="preserve"> </w:t>
      </w:r>
      <w:r>
        <w:t>Only the declarations of the Governor and Deputy Governor are made public (on a voluntary basis)</w:t>
      </w:r>
      <w:r w:rsidR="0068598E">
        <w:rPr>
          <w:spacing w:val="-19"/>
        </w:rPr>
        <w:t>.</w:t>
      </w:r>
    </w:p>
    <w:p w14:paraId="5A22EFFB" w14:textId="56653DB7" w:rsidR="00946C0F" w:rsidRDefault="00946C0F" w:rsidP="0000278A">
      <w:pPr>
        <w:pStyle w:val="Bullet"/>
      </w:pPr>
      <w:r>
        <w:t>must</w:t>
      </w:r>
      <w:r w:rsidRPr="00946C0F">
        <w:rPr>
          <w:spacing w:val="1"/>
        </w:rPr>
        <w:t xml:space="preserve"> </w:t>
      </w:r>
      <w:r>
        <w:t>advise</w:t>
      </w:r>
      <w:r w:rsidRPr="00946C0F">
        <w:rPr>
          <w:spacing w:val="1"/>
        </w:rPr>
        <w:t xml:space="preserve"> </w:t>
      </w:r>
      <w:r>
        <w:t>the</w:t>
      </w:r>
      <w:r w:rsidRPr="00946C0F">
        <w:rPr>
          <w:spacing w:val="2"/>
        </w:rPr>
        <w:t xml:space="preserve"> </w:t>
      </w:r>
      <w:r>
        <w:t>Governor</w:t>
      </w:r>
      <w:r w:rsidRPr="00946C0F">
        <w:rPr>
          <w:spacing w:val="1"/>
        </w:rPr>
        <w:t xml:space="preserve"> </w:t>
      </w:r>
      <w:r>
        <w:t>of</w:t>
      </w:r>
      <w:r w:rsidRPr="00946C0F">
        <w:rPr>
          <w:spacing w:val="1"/>
        </w:rPr>
        <w:t xml:space="preserve"> </w:t>
      </w:r>
      <w:r>
        <w:t>any</w:t>
      </w:r>
      <w:r w:rsidRPr="00946C0F">
        <w:rPr>
          <w:spacing w:val="2"/>
        </w:rPr>
        <w:t xml:space="preserve"> </w:t>
      </w:r>
      <w:r>
        <w:t>material</w:t>
      </w:r>
      <w:r w:rsidRPr="00946C0F">
        <w:rPr>
          <w:spacing w:val="1"/>
        </w:rPr>
        <w:t xml:space="preserve"> </w:t>
      </w:r>
      <w:r>
        <w:t>personal</w:t>
      </w:r>
      <w:r w:rsidRPr="00946C0F">
        <w:rPr>
          <w:spacing w:val="1"/>
        </w:rPr>
        <w:t xml:space="preserve"> </w:t>
      </w:r>
      <w:r>
        <w:t>interest</w:t>
      </w:r>
      <w:r w:rsidRPr="00946C0F">
        <w:rPr>
          <w:spacing w:val="2"/>
        </w:rPr>
        <w:t xml:space="preserve"> </w:t>
      </w:r>
      <w:r>
        <w:t>in</w:t>
      </w:r>
      <w:r w:rsidRPr="00946C0F">
        <w:rPr>
          <w:spacing w:val="1"/>
        </w:rPr>
        <w:t xml:space="preserve"> </w:t>
      </w:r>
      <w:r>
        <w:t>an</w:t>
      </w:r>
      <w:r w:rsidRPr="00946C0F">
        <w:rPr>
          <w:spacing w:val="1"/>
        </w:rPr>
        <w:t xml:space="preserve"> </w:t>
      </w:r>
      <w:r>
        <w:t>authorised</w:t>
      </w:r>
      <w:r w:rsidRPr="00946C0F">
        <w:rPr>
          <w:spacing w:val="2"/>
        </w:rPr>
        <w:t xml:space="preserve"> </w:t>
      </w:r>
      <w:r>
        <w:t>deposit-</w:t>
      </w:r>
      <w:r w:rsidRPr="00946C0F">
        <w:rPr>
          <w:spacing w:val="-2"/>
        </w:rPr>
        <w:t>taking</w:t>
      </w:r>
      <w:r>
        <w:rPr>
          <w:spacing w:val="-2"/>
        </w:rPr>
        <w:t xml:space="preserve"> </w:t>
      </w:r>
      <w:r>
        <w:t>institution</w:t>
      </w:r>
      <w:r w:rsidRPr="00946C0F">
        <w:rPr>
          <w:spacing w:val="4"/>
        </w:rPr>
        <w:t xml:space="preserve"> </w:t>
      </w:r>
      <w:r>
        <w:t>or</w:t>
      </w:r>
      <w:r w:rsidRPr="00946C0F">
        <w:rPr>
          <w:spacing w:val="4"/>
        </w:rPr>
        <w:t xml:space="preserve"> </w:t>
      </w:r>
      <w:r>
        <w:t>financial</w:t>
      </w:r>
      <w:r w:rsidRPr="00946C0F">
        <w:rPr>
          <w:spacing w:val="4"/>
        </w:rPr>
        <w:t xml:space="preserve"> </w:t>
      </w:r>
      <w:r w:rsidRPr="00946C0F">
        <w:rPr>
          <w:spacing w:val="-2"/>
        </w:rPr>
        <w:t>entity</w:t>
      </w:r>
    </w:p>
    <w:p w14:paraId="095D4BAD" w14:textId="77777777" w:rsidR="00946C0F" w:rsidRDefault="00946C0F" w:rsidP="0000278A">
      <w:pPr>
        <w:pStyle w:val="Bullet"/>
      </w:pPr>
      <w:r>
        <w:t>must declare to other members of the Reserve Bank Board any material personal interest they have in a matter relating to the affairs of the Reserve Bank Board other than monetary and financial stability policies</w:t>
      </w:r>
    </w:p>
    <w:p w14:paraId="6241332D" w14:textId="6669E905" w:rsidR="00946C0F" w:rsidRDefault="00946C0F" w:rsidP="0000278A">
      <w:pPr>
        <w:pStyle w:val="Bullet"/>
      </w:pPr>
      <w:r>
        <w:t>must</w:t>
      </w:r>
      <w:r w:rsidRPr="00946C0F">
        <w:rPr>
          <w:spacing w:val="3"/>
        </w:rPr>
        <w:t xml:space="preserve"> </w:t>
      </w:r>
      <w:r>
        <w:t>not</w:t>
      </w:r>
      <w:r w:rsidRPr="00946C0F">
        <w:rPr>
          <w:spacing w:val="3"/>
        </w:rPr>
        <w:t xml:space="preserve"> </w:t>
      </w:r>
      <w:r>
        <w:t>trade</w:t>
      </w:r>
      <w:r w:rsidRPr="00946C0F">
        <w:rPr>
          <w:spacing w:val="3"/>
        </w:rPr>
        <w:t xml:space="preserve"> </w:t>
      </w:r>
      <w:r>
        <w:t>some</w:t>
      </w:r>
      <w:r w:rsidRPr="00946C0F">
        <w:rPr>
          <w:spacing w:val="3"/>
        </w:rPr>
        <w:t xml:space="preserve"> </w:t>
      </w:r>
      <w:r>
        <w:t>financial</w:t>
      </w:r>
      <w:r w:rsidRPr="00946C0F">
        <w:rPr>
          <w:spacing w:val="4"/>
        </w:rPr>
        <w:t xml:space="preserve"> </w:t>
      </w:r>
      <w:r>
        <w:t>instruments</w:t>
      </w:r>
      <w:r w:rsidRPr="00946C0F">
        <w:rPr>
          <w:spacing w:val="3"/>
        </w:rPr>
        <w:t xml:space="preserve"> </w:t>
      </w:r>
      <w:r>
        <w:t>in</w:t>
      </w:r>
      <w:r w:rsidRPr="00946C0F">
        <w:rPr>
          <w:spacing w:val="3"/>
        </w:rPr>
        <w:t xml:space="preserve"> </w:t>
      </w:r>
      <w:r>
        <w:t>the</w:t>
      </w:r>
      <w:r w:rsidRPr="00946C0F">
        <w:rPr>
          <w:spacing w:val="3"/>
        </w:rPr>
        <w:t xml:space="preserve"> </w:t>
      </w:r>
      <w:r>
        <w:t>‘blackout</w:t>
      </w:r>
      <w:r w:rsidRPr="00946C0F">
        <w:rPr>
          <w:spacing w:val="4"/>
        </w:rPr>
        <w:t xml:space="preserve"> </w:t>
      </w:r>
      <w:r>
        <w:t>period’</w:t>
      </w:r>
      <w:r w:rsidRPr="00946C0F">
        <w:rPr>
          <w:spacing w:val="3"/>
        </w:rPr>
        <w:t xml:space="preserve"> </w:t>
      </w:r>
      <w:r>
        <w:t>between</w:t>
      </w:r>
      <w:r w:rsidRPr="00946C0F">
        <w:rPr>
          <w:spacing w:val="3"/>
        </w:rPr>
        <w:t xml:space="preserve"> </w:t>
      </w:r>
      <w:r>
        <w:t>when</w:t>
      </w:r>
      <w:r w:rsidRPr="00946C0F">
        <w:rPr>
          <w:spacing w:val="3"/>
        </w:rPr>
        <w:t xml:space="preserve"> </w:t>
      </w:r>
      <w:r>
        <w:t>they</w:t>
      </w:r>
      <w:r w:rsidRPr="00946C0F">
        <w:rPr>
          <w:spacing w:val="4"/>
        </w:rPr>
        <w:t xml:space="preserve"> </w:t>
      </w:r>
      <w:r w:rsidRPr="00946C0F">
        <w:rPr>
          <w:spacing w:val="-2"/>
        </w:rPr>
        <w:t>receive</w:t>
      </w:r>
      <w:r>
        <w:rPr>
          <w:spacing w:val="-2"/>
        </w:rPr>
        <w:t xml:space="preserve"> </w:t>
      </w:r>
      <w:r w:rsidRPr="00946C0F">
        <w:rPr>
          <w:color w:val="231F20"/>
        </w:rPr>
        <w:t>Reserve</w:t>
      </w:r>
      <w:r w:rsidRPr="00946C0F">
        <w:rPr>
          <w:color w:val="231F20"/>
          <w:spacing w:val="3"/>
        </w:rPr>
        <w:t xml:space="preserve"> </w:t>
      </w:r>
      <w:r w:rsidRPr="00946C0F">
        <w:rPr>
          <w:color w:val="231F20"/>
        </w:rPr>
        <w:t>Bank</w:t>
      </w:r>
      <w:r w:rsidRPr="00946C0F">
        <w:rPr>
          <w:color w:val="231F20"/>
          <w:spacing w:val="3"/>
        </w:rPr>
        <w:t xml:space="preserve"> </w:t>
      </w:r>
      <w:r w:rsidRPr="00946C0F">
        <w:rPr>
          <w:color w:val="231F20"/>
        </w:rPr>
        <w:t>Board</w:t>
      </w:r>
      <w:r w:rsidRPr="00946C0F">
        <w:rPr>
          <w:color w:val="231F20"/>
          <w:spacing w:val="3"/>
        </w:rPr>
        <w:t xml:space="preserve"> </w:t>
      </w:r>
      <w:r w:rsidRPr="00946C0F">
        <w:rPr>
          <w:color w:val="231F20"/>
        </w:rPr>
        <w:t>papers</w:t>
      </w:r>
      <w:r w:rsidRPr="00946C0F">
        <w:rPr>
          <w:color w:val="231F20"/>
          <w:spacing w:val="3"/>
        </w:rPr>
        <w:t xml:space="preserve"> </w:t>
      </w:r>
      <w:r w:rsidRPr="00946C0F">
        <w:rPr>
          <w:color w:val="231F20"/>
        </w:rPr>
        <w:t>and</w:t>
      </w:r>
      <w:r w:rsidRPr="00946C0F">
        <w:rPr>
          <w:color w:val="231F20"/>
          <w:spacing w:val="4"/>
        </w:rPr>
        <w:t xml:space="preserve"> </w:t>
      </w:r>
      <w:r w:rsidRPr="00946C0F">
        <w:rPr>
          <w:color w:val="231F20"/>
        </w:rPr>
        <w:t>when</w:t>
      </w:r>
      <w:r w:rsidRPr="00946C0F">
        <w:rPr>
          <w:color w:val="231F20"/>
          <w:spacing w:val="3"/>
        </w:rPr>
        <w:t xml:space="preserve"> </w:t>
      </w:r>
      <w:r w:rsidRPr="00946C0F">
        <w:rPr>
          <w:color w:val="231F20"/>
        </w:rPr>
        <w:t>the</w:t>
      </w:r>
      <w:r w:rsidRPr="00946C0F">
        <w:rPr>
          <w:color w:val="231F20"/>
          <w:spacing w:val="3"/>
        </w:rPr>
        <w:t xml:space="preserve"> </w:t>
      </w:r>
      <w:r w:rsidRPr="00946C0F">
        <w:rPr>
          <w:color w:val="231F20"/>
        </w:rPr>
        <w:t>monetary</w:t>
      </w:r>
      <w:r w:rsidRPr="00946C0F">
        <w:rPr>
          <w:color w:val="231F20"/>
          <w:spacing w:val="3"/>
        </w:rPr>
        <w:t xml:space="preserve"> </w:t>
      </w:r>
      <w:r w:rsidRPr="00946C0F">
        <w:rPr>
          <w:color w:val="231F20"/>
        </w:rPr>
        <w:t>policy</w:t>
      </w:r>
      <w:r w:rsidRPr="00946C0F">
        <w:rPr>
          <w:color w:val="231F20"/>
          <w:spacing w:val="4"/>
        </w:rPr>
        <w:t xml:space="preserve"> </w:t>
      </w:r>
      <w:r w:rsidRPr="00946C0F">
        <w:rPr>
          <w:color w:val="231F20"/>
        </w:rPr>
        <w:t>decision</w:t>
      </w:r>
      <w:r w:rsidRPr="00946C0F">
        <w:rPr>
          <w:color w:val="231F20"/>
          <w:spacing w:val="3"/>
        </w:rPr>
        <w:t xml:space="preserve"> </w:t>
      </w:r>
      <w:r w:rsidRPr="00946C0F">
        <w:rPr>
          <w:color w:val="231F20"/>
        </w:rPr>
        <w:t>is</w:t>
      </w:r>
      <w:r w:rsidRPr="00946C0F">
        <w:rPr>
          <w:color w:val="231F20"/>
          <w:spacing w:val="3"/>
        </w:rPr>
        <w:t xml:space="preserve"> </w:t>
      </w:r>
      <w:r w:rsidRPr="00946C0F">
        <w:rPr>
          <w:color w:val="231F20"/>
        </w:rPr>
        <w:t>announced</w:t>
      </w:r>
      <w:r w:rsidR="0068598E">
        <w:rPr>
          <w:color w:val="231F20"/>
          <w:spacing w:val="-22"/>
        </w:rPr>
        <w:t>.</w:t>
      </w:r>
    </w:p>
    <w:p w14:paraId="7A55422D" w14:textId="67B40546" w:rsidR="00946C0F" w:rsidRDefault="00946C0F" w:rsidP="00946C0F">
      <w:r>
        <w:t>More broadly, while members of the Reserve Bank Board are not subject to the directors’ duties of private companies, they do have statutory duties which emphasise similar obligations</w:t>
      </w:r>
      <w:r w:rsidR="0068598E">
        <w:rPr>
          <w:spacing w:val="-23"/>
        </w:rPr>
        <w:t>.</w:t>
      </w:r>
      <w:r>
        <w:rPr>
          <w:w w:val="85"/>
        </w:rPr>
        <w:t xml:space="preserve"> </w:t>
      </w:r>
      <w:r>
        <w:t>As members of the Reserve Bank Board, they are bound by the duty to ensure that the policies of the Reserve Bank Board are ‘directed to the greatest advantage of the people of Australia’, and that the Reserve Bank Board exercises its powers ‘in such a manner as, in the opinion of the Reserve Bank Board,</w:t>
      </w:r>
      <w:r>
        <w:rPr>
          <w:spacing w:val="80"/>
        </w:rPr>
        <w:t xml:space="preserve"> </w:t>
      </w:r>
      <w:r>
        <w:t>will best contribute to the stability of the currency of Australia, the maintenance of full employment in Australia and the economic prosperity and welfare of the people of Australia’ (RBA Act, s 10(2)).</w:t>
      </w:r>
    </w:p>
    <w:p w14:paraId="19F3A494" w14:textId="0689F9F1" w:rsidR="00946C0F" w:rsidRDefault="00946C0F" w:rsidP="00946C0F">
      <w:r>
        <w:t>Under</w:t>
      </w:r>
      <w:r>
        <w:rPr>
          <w:spacing w:val="-3"/>
        </w:rPr>
        <w:t xml:space="preserve"> </w:t>
      </w:r>
      <w:r>
        <w:t>the PGPA Act</w:t>
      </w:r>
      <w:r>
        <w:rPr>
          <w:spacing w:val="-1"/>
        </w:rPr>
        <w:t xml:space="preserve"> </w:t>
      </w:r>
      <w:r>
        <w:t>(ss 25 to 29),</w:t>
      </w:r>
      <w:r>
        <w:rPr>
          <w:spacing w:val="-1"/>
        </w:rPr>
        <w:t xml:space="preserve"> </w:t>
      </w:r>
      <w:r>
        <w:t>Reserve Bank Board members</w:t>
      </w:r>
      <w:r>
        <w:rPr>
          <w:spacing w:val="-1"/>
        </w:rPr>
        <w:t xml:space="preserve"> </w:t>
      </w:r>
      <w:r>
        <w:t xml:space="preserve">also have general </w:t>
      </w:r>
      <w:r>
        <w:rPr>
          <w:spacing w:val="-2"/>
        </w:rPr>
        <w:t>duties,</w:t>
      </w:r>
      <w:r w:rsidR="008D4E16">
        <w:rPr>
          <w:spacing w:val="-2"/>
        </w:rPr>
        <w:t xml:space="preserve"> </w:t>
      </w:r>
      <w:r>
        <w:t>including</w:t>
      </w:r>
      <w:r>
        <w:rPr>
          <w:spacing w:val="1"/>
        </w:rPr>
        <w:t xml:space="preserve"> </w:t>
      </w:r>
      <w:r>
        <w:rPr>
          <w:spacing w:val="-5"/>
        </w:rPr>
        <w:t>to:</w:t>
      </w:r>
    </w:p>
    <w:p w14:paraId="32FD861A" w14:textId="77777777" w:rsidR="00946C0F" w:rsidRDefault="00946C0F" w:rsidP="0000278A">
      <w:pPr>
        <w:pStyle w:val="Bullet"/>
      </w:pPr>
      <w:r>
        <w:t>perform</w:t>
      </w:r>
      <w:r>
        <w:rPr>
          <w:spacing w:val="3"/>
        </w:rPr>
        <w:t xml:space="preserve"> </w:t>
      </w:r>
      <w:r>
        <w:t>their</w:t>
      </w:r>
      <w:r>
        <w:rPr>
          <w:spacing w:val="3"/>
        </w:rPr>
        <w:t xml:space="preserve"> </w:t>
      </w:r>
      <w:r>
        <w:t>functions</w:t>
      </w:r>
      <w:r>
        <w:rPr>
          <w:spacing w:val="4"/>
        </w:rPr>
        <w:t xml:space="preserve"> </w:t>
      </w:r>
      <w:r>
        <w:t>with</w:t>
      </w:r>
      <w:r>
        <w:rPr>
          <w:spacing w:val="3"/>
        </w:rPr>
        <w:t xml:space="preserve"> </w:t>
      </w:r>
      <w:r>
        <w:t>reasonable</w:t>
      </w:r>
      <w:r>
        <w:rPr>
          <w:spacing w:val="4"/>
        </w:rPr>
        <w:t xml:space="preserve"> </w:t>
      </w:r>
      <w:r>
        <w:t>care</w:t>
      </w:r>
      <w:r>
        <w:rPr>
          <w:spacing w:val="3"/>
        </w:rPr>
        <w:t xml:space="preserve"> </w:t>
      </w:r>
      <w:r>
        <w:t>and</w:t>
      </w:r>
      <w:r>
        <w:rPr>
          <w:spacing w:val="4"/>
        </w:rPr>
        <w:t xml:space="preserve"> </w:t>
      </w:r>
      <w:r>
        <w:rPr>
          <w:spacing w:val="-2"/>
        </w:rPr>
        <w:t>diligence</w:t>
      </w:r>
    </w:p>
    <w:p w14:paraId="430E6019" w14:textId="77777777" w:rsidR="00946C0F" w:rsidRDefault="00946C0F" w:rsidP="0000278A">
      <w:pPr>
        <w:pStyle w:val="Bullet"/>
      </w:pPr>
      <w:r>
        <w:t>act honestly,</w:t>
      </w:r>
      <w:r>
        <w:rPr>
          <w:spacing w:val="1"/>
        </w:rPr>
        <w:t xml:space="preserve"> </w:t>
      </w:r>
      <w:r>
        <w:t>in</w:t>
      </w:r>
      <w:r>
        <w:rPr>
          <w:spacing w:val="1"/>
        </w:rPr>
        <w:t xml:space="preserve"> </w:t>
      </w:r>
      <w:r>
        <w:t>good faith</w:t>
      </w:r>
      <w:r>
        <w:rPr>
          <w:spacing w:val="1"/>
        </w:rPr>
        <w:t xml:space="preserve"> </w:t>
      </w:r>
      <w:r>
        <w:t>and</w:t>
      </w:r>
      <w:r>
        <w:rPr>
          <w:spacing w:val="1"/>
        </w:rPr>
        <w:t xml:space="preserve"> </w:t>
      </w:r>
      <w:r>
        <w:t>for a</w:t>
      </w:r>
      <w:r>
        <w:rPr>
          <w:spacing w:val="1"/>
        </w:rPr>
        <w:t xml:space="preserve"> </w:t>
      </w:r>
      <w:r>
        <w:t>proper</w:t>
      </w:r>
      <w:r>
        <w:rPr>
          <w:spacing w:val="1"/>
        </w:rPr>
        <w:t xml:space="preserve"> </w:t>
      </w:r>
      <w:r>
        <w:rPr>
          <w:spacing w:val="-2"/>
        </w:rPr>
        <w:t>purpose</w:t>
      </w:r>
    </w:p>
    <w:p w14:paraId="198971F5" w14:textId="77777777" w:rsidR="00946C0F" w:rsidRDefault="00946C0F" w:rsidP="0000278A">
      <w:pPr>
        <w:pStyle w:val="Bullet"/>
      </w:pPr>
      <w:r>
        <w:t>not improperly</w:t>
      </w:r>
      <w:r>
        <w:rPr>
          <w:spacing w:val="1"/>
        </w:rPr>
        <w:t xml:space="preserve"> </w:t>
      </w:r>
      <w:r>
        <w:t>use</w:t>
      </w:r>
      <w:r>
        <w:rPr>
          <w:spacing w:val="1"/>
        </w:rPr>
        <w:t xml:space="preserve"> </w:t>
      </w:r>
      <w:r>
        <w:t>their</w:t>
      </w:r>
      <w:r>
        <w:rPr>
          <w:spacing w:val="1"/>
        </w:rPr>
        <w:t xml:space="preserve"> </w:t>
      </w:r>
      <w:r>
        <w:t>position or</w:t>
      </w:r>
      <w:r>
        <w:rPr>
          <w:spacing w:val="1"/>
        </w:rPr>
        <w:t xml:space="preserve"> </w:t>
      </w:r>
      <w:r>
        <w:t>information</w:t>
      </w:r>
      <w:r>
        <w:rPr>
          <w:spacing w:val="1"/>
        </w:rPr>
        <w:t xml:space="preserve"> </w:t>
      </w:r>
      <w:r>
        <w:t>to</w:t>
      </w:r>
      <w:r>
        <w:rPr>
          <w:spacing w:val="1"/>
        </w:rPr>
        <w:t xml:space="preserve"> </w:t>
      </w:r>
      <w:r>
        <w:t>gain advantage</w:t>
      </w:r>
      <w:r>
        <w:rPr>
          <w:spacing w:val="1"/>
        </w:rPr>
        <w:t xml:space="preserve"> </w:t>
      </w:r>
      <w:r>
        <w:t>or</w:t>
      </w:r>
      <w:r>
        <w:rPr>
          <w:spacing w:val="1"/>
        </w:rPr>
        <w:t xml:space="preserve"> </w:t>
      </w:r>
      <w:r>
        <w:t>cause</w:t>
      </w:r>
      <w:r>
        <w:rPr>
          <w:spacing w:val="1"/>
        </w:rPr>
        <w:t xml:space="preserve"> </w:t>
      </w:r>
      <w:r>
        <w:rPr>
          <w:spacing w:val="-4"/>
        </w:rPr>
        <w:t>harm</w:t>
      </w:r>
    </w:p>
    <w:p w14:paraId="48E5736F" w14:textId="7D9AD626" w:rsidR="00946C0F" w:rsidRDefault="00946C0F" w:rsidP="0000278A">
      <w:pPr>
        <w:pStyle w:val="Bullet"/>
      </w:pPr>
      <w:r>
        <w:t>disclose</w:t>
      </w:r>
      <w:r>
        <w:rPr>
          <w:spacing w:val="3"/>
        </w:rPr>
        <w:t xml:space="preserve"> </w:t>
      </w:r>
      <w:r>
        <w:t>material</w:t>
      </w:r>
      <w:r>
        <w:rPr>
          <w:spacing w:val="3"/>
        </w:rPr>
        <w:t xml:space="preserve"> </w:t>
      </w:r>
      <w:r>
        <w:t>personal</w:t>
      </w:r>
      <w:r>
        <w:rPr>
          <w:spacing w:val="4"/>
        </w:rPr>
        <w:t xml:space="preserve"> </w:t>
      </w:r>
      <w:r>
        <w:t>interests</w:t>
      </w:r>
      <w:r w:rsidR="0068598E">
        <w:rPr>
          <w:spacing w:val="-22"/>
        </w:rPr>
        <w:t>.</w:t>
      </w:r>
    </w:p>
    <w:p w14:paraId="258A4257" w14:textId="3B5CB882" w:rsidR="00946C0F" w:rsidRDefault="00946C0F" w:rsidP="008D4E16">
      <w:r>
        <w:t>Separate from their role as a Reserve Bank Board member, the Treasury Secretary, in their substantive position, has additional roles and responsibilities under s 57 of the Public Service Act 1999</w:t>
      </w:r>
      <w:r w:rsidR="0068598E">
        <w:rPr>
          <w:spacing w:val="-25"/>
        </w:rPr>
        <w:t>.</w:t>
      </w:r>
      <w:r>
        <w:rPr>
          <w:w w:val="85"/>
        </w:rPr>
        <w:t xml:space="preserve"> </w:t>
      </w:r>
      <w:r>
        <w:t>These</w:t>
      </w:r>
      <w:r>
        <w:rPr>
          <w:spacing w:val="-3"/>
        </w:rPr>
        <w:t xml:space="preserve"> </w:t>
      </w:r>
      <w:r>
        <w:t>include</w:t>
      </w:r>
      <w:r>
        <w:rPr>
          <w:spacing w:val="-3"/>
        </w:rPr>
        <w:t xml:space="preserve"> </w:t>
      </w:r>
      <w:r>
        <w:t>advising</w:t>
      </w:r>
      <w:r>
        <w:rPr>
          <w:spacing w:val="-3"/>
        </w:rPr>
        <w:t xml:space="preserve"> </w:t>
      </w:r>
      <w:r>
        <w:t>the</w:t>
      </w:r>
      <w:r>
        <w:rPr>
          <w:spacing w:val="-3"/>
        </w:rPr>
        <w:t xml:space="preserve"> </w:t>
      </w:r>
      <w:r>
        <w:t>Treasurer,</w:t>
      </w:r>
      <w:r>
        <w:rPr>
          <w:spacing w:val="-3"/>
        </w:rPr>
        <w:t xml:space="preserve"> </w:t>
      </w:r>
      <w:r>
        <w:t>managing</w:t>
      </w:r>
      <w:r>
        <w:rPr>
          <w:spacing w:val="-3"/>
        </w:rPr>
        <w:t xml:space="preserve"> </w:t>
      </w:r>
      <w:r>
        <w:t>the</w:t>
      </w:r>
      <w:r>
        <w:rPr>
          <w:spacing w:val="-3"/>
        </w:rPr>
        <w:t xml:space="preserve"> </w:t>
      </w:r>
      <w:r>
        <w:t>Department</w:t>
      </w:r>
      <w:r>
        <w:rPr>
          <w:spacing w:val="-3"/>
        </w:rPr>
        <w:t xml:space="preserve"> </w:t>
      </w:r>
      <w:r>
        <w:t>of</w:t>
      </w:r>
      <w:r>
        <w:rPr>
          <w:spacing w:val="-3"/>
        </w:rPr>
        <w:t xml:space="preserve"> </w:t>
      </w:r>
      <w:r>
        <w:t>the</w:t>
      </w:r>
      <w:r>
        <w:rPr>
          <w:spacing w:val="-3"/>
        </w:rPr>
        <w:t xml:space="preserve"> </w:t>
      </w:r>
      <w:r>
        <w:t>Treasury</w:t>
      </w:r>
      <w:r>
        <w:rPr>
          <w:spacing w:val="-3"/>
        </w:rPr>
        <w:t xml:space="preserve"> </w:t>
      </w:r>
      <w:r>
        <w:t>and</w:t>
      </w:r>
      <w:r>
        <w:rPr>
          <w:spacing w:val="-3"/>
        </w:rPr>
        <w:t xml:space="preserve"> </w:t>
      </w:r>
      <w:r>
        <w:t>assisting Treasury portfolio Ministers with their responsibilities in the Treasury portfolio</w:t>
      </w:r>
      <w:r w:rsidR="0068598E">
        <w:rPr>
          <w:spacing w:val="-17"/>
        </w:rPr>
        <w:t>.</w:t>
      </w:r>
      <w:r>
        <w:rPr>
          <w:w w:val="85"/>
        </w:rPr>
        <w:t xml:space="preserve"> </w:t>
      </w:r>
      <w:r>
        <w:t>The Treasury Secretary is also the accountable authority of the Department of Treasury and subject to the duties in sections 15 to 19 of the PGPA Act in respect of that Department.</w:t>
      </w:r>
    </w:p>
    <w:p w14:paraId="62EAE574" w14:textId="5C42BB2C" w:rsidR="00A950AC" w:rsidRDefault="00A950AC">
      <w:pPr>
        <w:spacing w:before="0" w:after="160" w:line="259" w:lineRule="auto"/>
      </w:pPr>
      <w:r>
        <w:br w:type="page"/>
      </w:r>
    </w:p>
    <w:p w14:paraId="60898D7F" w14:textId="7E20E3F7" w:rsidR="00A950AC" w:rsidRDefault="00A950AC" w:rsidP="00A950AC">
      <w:pPr>
        <w:pStyle w:val="Heading2"/>
      </w:pPr>
      <w:bookmarkStart w:id="47" w:name="_Toc134221017"/>
      <w:r>
        <w:lastRenderedPageBreak/>
        <w:t>Recommendation 8: Constitute an expert Monetary Policy Board with diverse perspectives and knowledge</w:t>
      </w:r>
      <w:bookmarkEnd w:id="47"/>
    </w:p>
    <w:tbl>
      <w:tblPr>
        <w:tblW w:w="5000" w:type="pct"/>
        <w:tblCellMar>
          <w:left w:w="0" w:type="dxa"/>
          <w:right w:w="0" w:type="dxa"/>
        </w:tblCellMar>
        <w:tblLook w:val="01E0" w:firstRow="1" w:lastRow="1" w:firstColumn="1" w:lastColumn="1" w:noHBand="0" w:noVBand="0"/>
      </w:tblPr>
      <w:tblGrid>
        <w:gridCol w:w="796"/>
        <w:gridCol w:w="8274"/>
      </w:tblGrid>
      <w:tr w:rsidR="00A950AC" w14:paraId="418A0959" w14:textId="77777777" w:rsidTr="00F22AE5">
        <w:trPr>
          <w:trHeight w:val="791"/>
        </w:trPr>
        <w:tc>
          <w:tcPr>
            <w:tcW w:w="5000" w:type="pct"/>
            <w:gridSpan w:val="2"/>
            <w:tcBorders>
              <w:bottom w:val="single" w:sz="8" w:space="0" w:color="ECEDE9"/>
            </w:tcBorders>
          </w:tcPr>
          <w:p w14:paraId="18063774" w14:textId="77777777" w:rsidR="00A950AC" w:rsidRDefault="00A950AC" w:rsidP="00F22AE5">
            <w:pPr>
              <w:pStyle w:val="Heading4"/>
            </w:pPr>
            <w:r>
              <w:t>Recommendation 8: Constitute an expert Monetary Policy Board with diverse perspectives and knowledge</w:t>
            </w:r>
          </w:p>
        </w:tc>
      </w:tr>
      <w:tr w:rsidR="00A950AC" w14:paraId="552A9B04" w14:textId="77777777" w:rsidTr="00F22AE5">
        <w:trPr>
          <w:trHeight w:val="1031"/>
        </w:trPr>
        <w:tc>
          <w:tcPr>
            <w:tcW w:w="439" w:type="pct"/>
            <w:tcBorders>
              <w:top w:val="single" w:sz="8" w:space="0" w:color="ECEDE9"/>
              <w:bottom w:val="single" w:sz="8" w:space="0" w:color="ECEDE9"/>
            </w:tcBorders>
          </w:tcPr>
          <w:p w14:paraId="67957B9D" w14:textId="77777777" w:rsidR="00A950AC" w:rsidRDefault="00A950AC" w:rsidP="00F22AE5">
            <w:r>
              <w:t>8.1</w:t>
            </w:r>
          </w:p>
        </w:tc>
        <w:tc>
          <w:tcPr>
            <w:tcW w:w="4561" w:type="pct"/>
            <w:tcBorders>
              <w:top w:val="single" w:sz="8" w:space="0" w:color="ECEDE9"/>
              <w:bottom w:val="single" w:sz="8" w:space="0" w:color="ECEDE9"/>
            </w:tcBorders>
          </w:tcPr>
          <w:p w14:paraId="6CB41F88" w14:textId="77777777" w:rsidR="00A950AC" w:rsidRDefault="00A950AC" w:rsidP="00F22AE5">
            <w:r>
              <w:t>The Government should constitute a Monetary Policy Board with responsibility for monetary policy decisions and oversight of the RBA’s contribution to financial system stability (except payments system policy), but not broader corporate governance.</w:t>
            </w:r>
          </w:p>
        </w:tc>
      </w:tr>
      <w:tr w:rsidR="00A950AC" w14:paraId="154EA296" w14:textId="77777777" w:rsidTr="00F22AE5">
        <w:trPr>
          <w:trHeight w:val="801"/>
        </w:trPr>
        <w:tc>
          <w:tcPr>
            <w:tcW w:w="439" w:type="pct"/>
            <w:tcBorders>
              <w:top w:val="single" w:sz="8" w:space="0" w:color="ECEDE9"/>
              <w:bottom w:val="single" w:sz="8" w:space="0" w:color="ECEDE9"/>
            </w:tcBorders>
          </w:tcPr>
          <w:p w14:paraId="5E89D6F9" w14:textId="77777777" w:rsidR="00A950AC" w:rsidRDefault="00A950AC" w:rsidP="00F22AE5">
            <w:r>
              <w:t>8.2</w:t>
            </w:r>
          </w:p>
        </w:tc>
        <w:tc>
          <w:tcPr>
            <w:tcW w:w="4561" w:type="pct"/>
            <w:tcBorders>
              <w:top w:val="single" w:sz="8" w:space="0" w:color="ECEDE9"/>
              <w:bottom w:val="single" w:sz="8" w:space="0" w:color="ECEDE9"/>
            </w:tcBorders>
          </w:tcPr>
          <w:p w14:paraId="6908E539" w14:textId="77777777" w:rsidR="00A950AC" w:rsidRDefault="00A950AC" w:rsidP="00F22AE5">
            <w:r>
              <w:t>The Monetary Policy Board should comprise the Governor, Deputy Governor, Treasury Secretary and 6 external members, with the Governor as chair.</w:t>
            </w:r>
          </w:p>
        </w:tc>
      </w:tr>
      <w:tr w:rsidR="00A950AC" w14:paraId="35CE0A9E" w14:textId="77777777" w:rsidTr="00F22AE5">
        <w:trPr>
          <w:trHeight w:val="1491"/>
        </w:trPr>
        <w:tc>
          <w:tcPr>
            <w:tcW w:w="439" w:type="pct"/>
            <w:tcBorders>
              <w:top w:val="single" w:sz="8" w:space="0" w:color="ECEDE9"/>
              <w:bottom w:val="single" w:sz="8" w:space="0" w:color="ECEDE9"/>
            </w:tcBorders>
          </w:tcPr>
          <w:p w14:paraId="04C01708" w14:textId="77777777" w:rsidR="00A950AC" w:rsidRDefault="00A950AC" w:rsidP="00F22AE5">
            <w:r>
              <w:t>8.3</w:t>
            </w:r>
          </w:p>
        </w:tc>
        <w:tc>
          <w:tcPr>
            <w:tcW w:w="4561" w:type="pct"/>
            <w:tcBorders>
              <w:top w:val="single" w:sz="8" w:space="0" w:color="ECEDE9"/>
              <w:bottom w:val="single" w:sz="8" w:space="0" w:color="ECEDE9"/>
            </w:tcBorders>
          </w:tcPr>
          <w:p w14:paraId="58404CC5" w14:textId="77777777" w:rsidR="00A950AC" w:rsidRDefault="00A950AC" w:rsidP="00F22AE5">
            <w:r>
              <w:t xml:space="preserve">The Government should clarify in the </w:t>
            </w:r>
            <w:r>
              <w:rPr>
                <w:i/>
              </w:rPr>
              <w:t xml:space="preserve">Reserve Bank Act 1959 </w:t>
            </w:r>
            <w:r>
              <w:t xml:space="preserve">that the Treasury Secretary acts on the Monetary Policy Board in their individual capacity not at the direction of the Treasurer. The </w:t>
            </w:r>
            <w:r>
              <w:rPr>
                <w:i/>
              </w:rPr>
              <w:t xml:space="preserve">Statement on the Conduct of Monetary Policy </w:t>
            </w:r>
            <w:r>
              <w:t>should state that the Treasury Secretary has a responsibility to provide insight on the outlook for the economy and for fiscal policy.</w:t>
            </w:r>
          </w:p>
        </w:tc>
      </w:tr>
      <w:tr w:rsidR="00A950AC" w14:paraId="03D7FDCC" w14:textId="77777777" w:rsidTr="00F22AE5">
        <w:trPr>
          <w:trHeight w:val="1327"/>
        </w:trPr>
        <w:tc>
          <w:tcPr>
            <w:tcW w:w="439" w:type="pct"/>
            <w:tcBorders>
              <w:top w:val="single" w:sz="8" w:space="0" w:color="ECEDE9"/>
              <w:bottom w:val="single" w:sz="8" w:space="0" w:color="ECEDE9"/>
            </w:tcBorders>
          </w:tcPr>
          <w:p w14:paraId="3C7A1C33" w14:textId="77777777" w:rsidR="00A950AC" w:rsidRDefault="00A950AC" w:rsidP="00F22AE5">
            <w:r>
              <w:t>8.4</w:t>
            </w:r>
          </w:p>
        </w:tc>
        <w:tc>
          <w:tcPr>
            <w:tcW w:w="4561" w:type="pct"/>
            <w:tcBorders>
              <w:top w:val="single" w:sz="8" w:space="0" w:color="ECEDE9"/>
              <w:bottom w:val="single" w:sz="8" w:space="0" w:color="ECEDE9"/>
            </w:tcBorders>
          </w:tcPr>
          <w:p w14:paraId="3398B156" w14:textId="77777777" w:rsidR="00A950AC" w:rsidRDefault="00A950AC" w:rsidP="00F22AE5">
            <w:r>
              <w:t>The Monetary Policy Board’s external members should be able to make a significant contribution to monetary policy setting through expertise in areas such as open-economy macroeconomics, the financial system, labour markets, or the supply side of the economy, and in the context of decision making</w:t>
            </w:r>
            <w:r>
              <w:rPr>
                <w:spacing w:val="80"/>
              </w:rPr>
              <w:t xml:space="preserve"> </w:t>
            </w:r>
            <w:r>
              <w:t>under uncertainty.</w:t>
            </w:r>
          </w:p>
        </w:tc>
      </w:tr>
      <w:tr w:rsidR="00A950AC" w14:paraId="5FB174C1" w14:textId="77777777" w:rsidTr="00F22AE5">
        <w:trPr>
          <w:trHeight w:val="1327"/>
        </w:trPr>
        <w:tc>
          <w:tcPr>
            <w:tcW w:w="439" w:type="pct"/>
            <w:tcBorders>
              <w:top w:val="single" w:sz="8" w:space="0" w:color="ECEDE9"/>
            </w:tcBorders>
          </w:tcPr>
          <w:p w14:paraId="10302E83" w14:textId="77777777" w:rsidR="00A950AC" w:rsidRDefault="00A950AC" w:rsidP="00F22AE5">
            <w:r>
              <w:t>8.5</w:t>
            </w:r>
          </w:p>
        </w:tc>
        <w:tc>
          <w:tcPr>
            <w:tcW w:w="4561" w:type="pct"/>
            <w:tcBorders>
              <w:top w:val="single" w:sz="8" w:space="0" w:color="ECEDE9"/>
            </w:tcBorders>
          </w:tcPr>
          <w:p w14:paraId="2375224C" w14:textId="77777777" w:rsidR="00A950AC" w:rsidRDefault="00A950AC" w:rsidP="00F22AE5">
            <w:r>
              <w:t>External Monetary Policy Board members should be appointed through a transparent process. Positions should be advertised for expressions of interest, drawing on a matrix of required skills and experience. A panel comprising the Treasury Secretary, the Governor and a third party should recommend options for suitable candidates to the Treasurer.</w:t>
            </w:r>
          </w:p>
        </w:tc>
      </w:tr>
      <w:tr w:rsidR="00A950AC" w14:paraId="33BAFAF7" w14:textId="77777777" w:rsidTr="00F22AE5">
        <w:trPr>
          <w:trHeight w:val="1327"/>
        </w:trPr>
        <w:tc>
          <w:tcPr>
            <w:tcW w:w="439" w:type="pct"/>
            <w:tcBorders>
              <w:top w:val="single" w:sz="8" w:space="0" w:color="ECEDE9"/>
              <w:bottom w:val="single" w:sz="8" w:space="0" w:color="ECEDE9"/>
            </w:tcBorders>
          </w:tcPr>
          <w:p w14:paraId="35D90454" w14:textId="77777777" w:rsidR="00A950AC" w:rsidRDefault="00A950AC" w:rsidP="00F22AE5">
            <w:r>
              <w:t>8.6</w:t>
            </w:r>
          </w:p>
        </w:tc>
        <w:tc>
          <w:tcPr>
            <w:tcW w:w="4561" w:type="pct"/>
            <w:tcBorders>
              <w:top w:val="single" w:sz="8" w:space="0" w:color="ECEDE9"/>
              <w:bottom w:val="single" w:sz="8" w:space="0" w:color="ECEDE9"/>
            </w:tcBorders>
          </w:tcPr>
          <w:p w14:paraId="6187D9CA" w14:textId="77777777" w:rsidR="00A950AC" w:rsidRDefault="00A950AC" w:rsidP="00F22AE5">
            <w:r>
              <w:t>External members of the Monetary Policy Board should be appointed for a term of 5 years, with the possibility of reappointment for up to one year, if flexibility is needed. End dates should be staggered.</w:t>
            </w:r>
          </w:p>
        </w:tc>
      </w:tr>
    </w:tbl>
    <w:p w14:paraId="5A980CA0" w14:textId="7D73F753" w:rsidR="005B40BC" w:rsidRDefault="005B40BC" w:rsidP="005B40BC">
      <w:r>
        <w:t>Monetary policy decision makers are often required to make expert judgements about policy in complex and uncertain environments (see Chapter 1)</w:t>
      </w:r>
      <w:r w:rsidR="0068598E">
        <w:rPr>
          <w:spacing w:val="-24"/>
        </w:rPr>
        <w:t>.</w:t>
      </w:r>
      <w:r>
        <w:rPr>
          <w:w w:val="85"/>
        </w:rPr>
        <w:t xml:space="preserve"> </w:t>
      </w:r>
      <w:r>
        <w:t>The Review expects this to remain true in the future, as central banks use a wider range of monetary policy tools and face economic disruptions that create material and complicated trade-offs. These trade-offs must be understood and</w:t>
      </w:r>
      <w:r>
        <w:rPr>
          <w:spacing w:val="80"/>
        </w:rPr>
        <w:t xml:space="preserve"> </w:t>
      </w:r>
      <w:r>
        <w:t>assessed to make sound monetary policy decisions</w:t>
      </w:r>
      <w:r w:rsidR="0068598E">
        <w:rPr>
          <w:spacing w:val="-11"/>
        </w:rPr>
        <w:t>.</w:t>
      </w:r>
    </w:p>
    <w:p w14:paraId="16292ED8" w14:textId="2037D59E" w:rsidR="005B40BC" w:rsidRDefault="005B40BC" w:rsidP="005B40BC">
      <w:r>
        <w:t>In this environment, the best chance of good outcomes is to combine the judgement of a group with deep and relevant expertise, with all members able to robustly challenge the views of others and bring an independent perspective</w:t>
      </w:r>
      <w:r w:rsidR="0068598E">
        <w:rPr>
          <w:spacing w:val="-8"/>
        </w:rPr>
        <w:t>.</w:t>
      </w:r>
    </w:p>
    <w:p w14:paraId="4ABD5C72" w14:textId="509C336E" w:rsidR="005B40BC" w:rsidRDefault="005B40BC" w:rsidP="005B40BC">
      <w:r>
        <w:t>The</w:t>
      </w:r>
      <w:r>
        <w:rPr>
          <w:spacing w:val="-5"/>
        </w:rPr>
        <w:t xml:space="preserve"> </w:t>
      </w:r>
      <w:r>
        <w:t>external</w:t>
      </w:r>
      <w:r>
        <w:rPr>
          <w:spacing w:val="-3"/>
        </w:rPr>
        <w:t xml:space="preserve"> </w:t>
      </w:r>
      <w:r>
        <w:t>members</w:t>
      </w:r>
      <w:r>
        <w:rPr>
          <w:spacing w:val="-3"/>
        </w:rPr>
        <w:t xml:space="preserve"> </w:t>
      </w:r>
      <w:r>
        <w:t>of</w:t>
      </w:r>
      <w:r>
        <w:rPr>
          <w:spacing w:val="-3"/>
        </w:rPr>
        <w:t xml:space="preserve"> </w:t>
      </w:r>
      <w:r>
        <w:t>the</w:t>
      </w:r>
      <w:r>
        <w:rPr>
          <w:spacing w:val="-3"/>
        </w:rPr>
        <w:t xml:space="preserve"> </w:t>
      </w:r>
      <w:r>
        <w:t>Reserve</w:t>
      </w:r>
      <w:r>
        <w:rPr>
          <w:spacing w:val="-3"/>
        </w:rPr>
        <w:t xml:space="preserve"> </w:t>
      </w:r>
      <w:r>
        <w:t>Bank</w:t>
      </w:r>
      <w:r>
        <w:rPr>
          <w:spacing w:val="-3"/>
        </w:rPr>
        <w:t xml:space="preserve"> </w:t>
      </w:r>
      <w:r>
        <w:t>Board</w:t>
      </w:r>
      <w:r>
        <w:rPr>
          <w:spacing w:val="-3"/>
        </w:rPr>
        <w:t xml:space="preserve"> </w:t>
      </w:r>
      <w:r>
        <w:t>have</w:t>
      </w:r>
      <w:r>
        <w:rPr>
          <w:spacing w:val="-3"/>
        </w:rPr>
        <w:t xml:space="preserve"> </w:t>
      </w:r>
      <w:r>
        <w:t>been</w:t>
      </w:r>
      <w:r>
        <w:rPr>
          <w:spacing w:val="-3"/>
        </w:rPr>
        <w:t xml:space="preserve"> </w:t>
      </w:r>
      <w:r>
        <w:t>outstanding</w:t>
      </w:r>
      <w:r>
        <w:rPr>
          <w:spacing w:val="-3"/>
        </w:rPr>
        <w:t xml:space="preserve"> </w:t>
      </w:r>
      <w:r>
        <w:t>leaders</w:t>
      </w:r>
      <w:r>
        <w:rPr>
          <w:spacing w:val="-3"/>
        </w:rPr>
        <w:t xml:space="preserve"> </w:t>
      </w:r>
      <w:r>
        <w:t>in</w:t>
      </w:r>
      <w:r>
        <w:rPr>
          <w:spacing w:val="-3"/>
        </w:rPr>
        <w:t xml:space="preserve"> </w:t>
      </w:r>
      <w:r>
        <w:t>their</w:t>
      </w:r>
      <w:r>
        <w:rPr>
          <w:spacing w:val="-3"/>
        </w:rPr>
        <w:t xml:space="preserve"> </w:t>
      </w:r>
      <w:r>
        <w:rPr>
          <w:spacing w:val="-2"/>
        </w:rPr>
        <w:t xml:space="preserve">fields. </w:t>
      </w:r>
      <w:r>
        <w:t>People</w:t>
      </w:r>
      <w:r>
        <w:rPr>
          <w:spacing w:val="-4"/>
        </w:rPr>
        <w:t xml:space="preserve"> </w:t>
      </w:r>
      <w:r>
        <w:t>consulted</w:t>
      </w:r>
      <w:r>
        <w:rPr>
          <w:spacing w:val="-4"/>
        </w:rPr>
        <w:t xml:space="preserve"> </w:t>
      </w:r>
      <w:r>
        <w:t>by</w:t>
      </w:r>
      <w:r>
        <w:rPr>
          <w:spacing w:val="-4"/>
        </w:rPr>
        <w:t xml:space="preserve"> </w:t>
      </w:r>
      <w:r>
        <w:t>the</w:t>
      </w:r>
      <w:r>
        <w:rPr>
          <w:spacing w:val="-4"/>
        </w:rPr>
        <w:t xml:space="preserve"> </w:t>
      </w:r>
      <w:r>
        <w:t>Review</w:t>
      </w:r>
      <w:r>
        <w:rPr>
          <w:spacing w:val="-4"/>
        </w:rPr>
        <w:t xml:space="preserve"> </w:t>
      </w:r>
      <w:r>
        <w:t>spoke</w:t>
      </w:r>
      <w:r>
        <w:rPr>
          <w:spacing w:val="-4"/>
        </w:rPr>
        <w:t xml:space="preserve"> </w:t>
      </w:r>
      <w:r>
        <w:t>with</w:t>
      </w:r>
      <w:r>
        <w:rPr>
          <w:spacing w:val="-3"/>
        </w:rPr>
        <w:t xml:space="preserve"> </w:t>
      </w:r>
      <w:r>
        <w:t>respect</w:t>
      </w:r>
      <w:r>
        <w:rPr>
          <w:spacing w:val="-4"/>
        </w:rPr>
        <w:t xml:space="preserve"> </w:t>
      </w:r>
      <w:r>
        <w:t>about</w:t>
      </w:r>
      <w:r>
        <w:rPr>
          <w:spacing w:val="-4"/>
        </w:rPr>
        <w:t xml:space="preserve"> </w:t>
      </w:r>
      <w:r>
        <w:t>Reserve</w:t>
      </w:r>
      <w:r>
        <w:rPr>
          <w:spacing w:val="-4"/>
        </w:rPr>
        <w:t xml:space="preserve"> </w:t>
      </w:r>
      <w:r>
        <w:t>Bank</w:t>
      </w:r>
      <w:r>
        <w:rPr>
          <w:spacing w:val="-4"/>
        </w:rPr>
        <w:t xml:space="preserve"> </w:t>
      </w:r>
      <w:r>
        <w:t>Board</w:t>
      </w:r>
      <w:r>
        <w:rPr>
          <w:spacing w:val="-4"/>
        </w:rPr>
        <w:t xml:space="preserve"> </w:t>
      </w:r>
      <w:r>
        <w:t>members</w:t>
      </w:r>
      <w:r w:rsidR="0068598E">
        <w:rPr>
          <w:spacing w:val="-24"/>
        </w:rPr>
        <w:t>.</w:t>
      </w:r>
    </w:p>
    <w:p w14:paraId="093439D2" w14:textId="31C64AC1" w:rsidR="005B40BC" w:rsidRDefault="005B40BC" w:rsidP="005B40BC">
      <w:r>
        <w:t>However, many consulted by the Review were concerned that the Reserve Bank Board as currently set up can provide only limited challenge to the view of the RBA executive</w:t>
      </w:r>
      <w:r w:rsidR="0068598E">
        <w:rPr>
          <w:spacing w:val="-24"/>
        </w:rPr>
        <w:t>.</w:t>
      </w:r>
      <w:r>
        <w:rPr>
          <w:w w:val="85"/>
        </w:rPr>
        <w:t xml:space="preserve"> </w:t>
      </w:r>
      <w:r>
        <w:t>The Reserve Bank Board has not voted against a recommendation of the RBA executive in at least the last decade (RBA 2022g)</w:t>
      </w:r>
      <w:r w:rsidR="0068598E">
        <w:rPr>
          <w:spacing w:val="-17"/>
        </w:rPr>
        <w:t>.</w:t>
      </w:r>
      <w:r>
        <w:t xml:space="preserve"> Current and former Reserve Bank Board members themselves described the Reserve</w:t>
      </w:r>
      <w:r>
        <w:rPr>
          <w:spacing w:val="80"/>
        </w:rPr>
        <w:t xml:space="preserve"> </w:t>
      </w:r>
      <w:r>
        <w:t xml:space="preserve">Bank Board’s </w:t>
      </w:r>
      <w:r>
        <w:lastRenderedPageBreak/>
        <w:t>role in various ways, ranging from providing real-time feedback on the economy, to</w:t>
      </w:r>
      <w:r>
        <w:rPr>
          <w:spacing w:val="80"/>
        </w:rPr>
        <w:t xml:space="preserve"> </w:t>
      </w:r>
      <w:r>
        <w:t>an informed second opinion, to a ‘pub test’ of how decisions might be understood by the public</w:t>
      </w:r>
      <w:r w:rsidR="0068598E">
        <w:rPr>
          <w:spacing w:val="-20"/>
        </w:rPr>
        <w:t>.</w:t>
      </w:r>
      <w:r w:rsidR="00956DA5">
        <w:rPr>
          <w:w w:val="85"/>
        </w:rPr>
        <w:t xml:space="preserve"> </w:t>
      </w:r>
      <w:r>
        <w:t>These explanations centred on the external members providing a non-expert challenge to the RBA executive’s proposed monetary policy approach. That leaves the underlying economic and financial judgements with insufficient external scrutiny or challenge and represents a missed opportunity.</w:t>
      </w:r>
    </w:p>
    <w:p w14:paraId="55ED250C" w14:textId="1A00BF50" w:rsidR="005B40BC" w:rsidRDefault="005B40BC" w:rsidP="005B40BC">
      <w:r>
        <w:t>The economic expertise of the Reserve Bank Board’s external members is lower than for comparable central banks, such as the Bank of England, US Federal Reserve, Norges Bank and Reserve Bank of New Zealand. This has limited the depth of challenge and debate at the Reserve Bank Board. For example, during the pandemic, people with a deeper understanding of the</w:t>
      </w:r>
      <w:r>
        <w:rPr>
          <w:spacing w:val="40"/>
        </w:rPr>
        <w:t xml:space="preserve"> </w:t>
      </w:r>
      <w:r>
        <w:t>financial system may have been better placed to offer alternate views on the design of the complex monetary policy tools proposed (see Chapter 1)</w:t>
      </w:r>
      <w:r w:rsidR="0068598E">
        <w:rPr>
          <w:spacing w:val="-18"/>
        </w:rPr>
        <w:t>.</w:t>
      </w:r>
      <w:r>
        <w:rPr>
          <w:w w:val="85"/>
        </w:rPr>
        <w:t xml:space="preserve"> </w:t>
      </w:r>
      <w:r>
        <w:t>The level of economic expertise among external Reserve Bank Board members was a factor that some (both inside and outside the RBA) pointed</w:t>
      </w:r>
      <w:r w:rsidR="00956DA5">
        <w:t xml:space="preserve"> </w:t>
      </w:r>
      <w:r>
        <w:t>to</w:t>
      </w:r>
      <w:r>
        <w:rPr>
          <w:spacing w:val="-2"/>
        </w:rPr>
        <w:t xml:space="preserve"> </w:t>
      </w:r>
      <w:r>
        <w:t>as</w:t>
      </w:r>
      <w:r>
        <w:rPr>
          <w:spacing w:val="-2"/>
        </w:rPr>
        <w:t xml:space="preserve"> </w:t>
      </w:r>
      <w:r>
        <w:t>lowering</w:t>
      </w:r>
      <w:r>
        <w:rPr>
          <w:spacing w:val="-2"/>
        </w:rPr>
        <w:t xml:space="preserve"> </w:t>
      </w:r>
      <w:r>
        <w:t>the</w:t>
      </w:r>
      <w:r>
        <w:rPr>
          <w:spacing w:val="-2"/>
        </w:rPr>
        <w:t xml:space="preserve"> </w:t>
      </w:r>
      <w:r>
        <w:t>demand</w:t>
      </w:r>
      <w:r>
        <w:rPr>
          <w:spacing w:val="-2"/>
        </w:rPr>
        <w:t xml:space="preserve"> </w:t>
      </w:r>
      <w:r>
        <w:t>for</w:t>
      </w:r>
      <w:r>
        <w:rPr>
          <w:spacing w:val="-2"/>
        </w:rPr>
        <w:t xml:space="preserve"> </w:t>
      </w:r>
      <w:r>
        <w:t>technical</w:t>
      </w:r>
      <w:r>
        <w:rPr>
          <w:spacing w:val="-2"/>
        </w:rPr>
        <w:t xml:space="preserve"> </w:t>
      </w:r>
      <w:r>
        <w:t>insight</w:t>
      </w:r>
      <w:r>
        <w:rPr>
          <w:spacing w:val="-2"/>
        </w:rPr>
        <w:t xml:space="preserve"> </w:t>
      </w:r>
      <w:r>
        <w:t>and</w:t>
      </w:r>
      <w:r>
        <w:rPr>
          <w:spacing w:val="-2"/>
        </w:rPr>
        <w:t xml:space="preserve"> </w:t>
      </w:r>
      <w:r>
        <w:t>research</w:t>
      </w:r>
      <w:r>
        <w:rPr>
          <w:spacing w:val="-2"/>
        </w:rPr>
        <w:t xml:space="preserve"> </w:t>
      </w:r>
      <w:r>
        <w:t>within</w:t>
      </w:r>
      <w:r>
        <w:rPr>
          <w:spacing w:val="-2"/>
        </w:rPr>
        <w:t xml:space="preserve"> </w:t>
      </w:r>
      <w:r>
        <w:t>the</w:t>
      </w:r>
      <w:r>
        <w:rPr>
          <w:spacing w:val="-2"/>
        </w:rPr>
        <w:t xml:space="preserve"> </w:t>
      </w:r>
      <w:r>
        <w:t>RBA</w:t>
      </w:r>
      <w:r>
        <w:rPr>
          <w:spacing w:val="-2"/>
        </w:rPr>
        <w:t xml:space="preserve"> </w:t>
      </w:r>
      <w:r>
        <w:t>(see</w:t>
      </w:r>
      <w:r>
        <w:rPr>
          <w:spacing w:val="-2"/>
        </w:rPr>
        <w:t xml:space="preserve"> </w:t>
      </w:r>
      <w:r>
        <w:t>Chapter</w:t>
      </w:r>
      <w:r>
        <w:rPr>
          <w:spacing w:val="-3"/>
        </w:rPr>
        <w:t xml:space="preserve"> </w:t>
      </w:r>
      <w:r>
        <w:t>4)</w:t>
      </w:r>
      <w:r w:rsidR="0068598E">
        <w:rPr>
          <w:spacing w:val="-25"/>
        </w:rPr>
        <w:t>.</w:t>
      </w:r>
      <w:r>
        <w:rPr>
          <w:w w:val="85"/>
        </w:rPr>
        <w:t xml:space="preserve"> </w:t>
      </w:r>
      <w:r>
        <w:t>It</w:t>
      </w:r>
      <w:r>
        <w:rPr>
          <w:spacing w:val="-2"/>
        </w:rPr>
        <w:t xml:space="preserve"> </w:t>
      </w:r>
      <w:r>
        <w:t>has likely contributed to a research culture</w:t>
      </w:r>
      <w:r>
        <w:rPr>
          <w:spacing w:val="1"/>
        </w:rPr>
        <w:t xml:space="preserve"> </w:t>
      </w:r>
      <w:r>
        <w:t>at the RBA that is not</w:t>
      </w:r>
      <w:r>
        <w:rPr>
          <w:spacing w:val="1"/>
        </w:rPr>
        <w:t xml:space="preserve"> </w:t>
      </w:r>
      <w:r>
        <w:t>well embedded in the policy process</w:t>
      </w:r>
      <w:r w:rsidR="0068598E">
        <w:rPr>
          <w:spacing w:val="-23"/>
        </w:rPr>
        <w:t>.</w:t>
      </w:r>
    </w:p>
    <w:p w14:paraId="62B16D26" w14:textId="4B41B4E9" w:rsidR="005B40BC" w:rsidRDefault="005B40BC" w:rsidP="005B40BC">
      <w:r>
        <w:t>The Review recommends changing the structure of the Board to ensure decision makers in future have the expertise to understand complex economic assessments on issues that are relevant</w:t>
      </w:r>
      <w:r w:rsidR="00956DA5">
        <w:t xml:space="preserve"> </w:t>
      </w:r>
      <w:r>
        <w:t>to monetary policy and offer their own well-considered views with confidence. The Review considers that the Board members should, collectively, have a deep understanding of areas such as open-economy macroeconomics, the financial system, labour markets and the supply side</w:t>
      </w:r>
      <w:r w:rsidR="00956DA5">
        <w:t xml:space="preserve"> </w:t>
      </w:r>
      <w:r>
        <w:t>of the economy</w:t>
      </w:r>
      <w:r w:rsidR="0068598E">
        <w:rPr>
          <w:spacing w:val="-20"/>
        </w:rPr>
        <w:t>.</w:t>
      </w:r>
      <w:r>
        <w:rPr>
          <w:w w:val="85"/>
        </w:rPr>
        <w:t xml:space="preserve"> </w:t>
      </w:r>
      <w:r>
        <w:t>The focus on expertise should not be interpreted to mean that the Review is recommending a purely academic Monetary Policy Board; it is not, although it would very likely</w:t>
      </w:r>
      <w:r>
        <w:rPr>
          <w:spacing w:val="40"/>
        </w:rPr>
        <w:t xml:space="preserve"> </w:t>
      </w:r>
      <w:r>
        <w:t>mean more academic expertise than is currently on the Reserve Bank Board</w:t>
      </w:r>
      <w:r w:rsidR="0068598E">
        <w:rPr>
          <w:spacing w:val="-23"/>
        </w:rPr>
        <w:t>.</w:t>
      </w:r>
      <w:r>
        <w:rPr>
          <w:w w:val="85"/>
        </w:rPr>
        <w:t xml:space="preserve"> </w:t>
      </w:r>
      <w:r>
        <w:t>The Review interprets expertise and diversity of perspectives broadly</w:t>
      </w:r>
      <w:r w:rsidR="0068598E">
        <w:rPr>
          <w:spacing w:val="-8"/>
        </w:rPr>
        <w:t>.</w:t>
      </w:r>
    </w:p>
    <w:p w14:paraId="4BB5350D" w14:textId="43F086FD" w:rsidR="005B40BC" w:rsidRDefault="005B40BC" w:rsidP="005B40BC">
      <w:r>
        <w:t>The Review recommends implementing an open and transparent appointment process for the RBA’s Boards</w:t>
      </w:r>
      <w:r w:rsidR="0068598E">
        <w:rPr>
          <w:spacing w:val="-24"/>
        </w:rPr>
        <w:t>.</w:t>
      </w:r>
      <w:r>
        <w:rPr>
          <w:w w:val="85"/>
        </w:rPr>
        <w:t xml:space="preserve"> </w:t>
      </w:r>
      <w:r>
        <w:t>It agrees with comments received during the consultations that the current process is opaque, with limited accountability and safeguards against bias. This may affect its ability to get the right skills and experience</w:t>
      </w:r>
      <w:r w:rsidR="0068598E">
        <w:rPr>
          <w:spacing w:val="-18"/>
        </w:rPr>
        <w:t>.</w:t>
      </w:r>
      <w:r>
        <w:rPr>
          <w:w w:val="85"/>
        </w:rPr>
        <w:t xml:space="preserve"> </w:t>
      </w:r>
      <w:r>
        <w:t>The Australian Banking Association and a number of individuals shared similar views in their submissions to the Review and in consultations</w:t>
      </w:r>
      <w:r w:rsidR="0068598E">
        <w:rPr>
          <w:spacing w:val="-18"/>
        </w:rPr>
        <w:t>.</w:t>
      </w:r>
    </w:p>
    <w:p w14:paraId="071368C5" w14:textId="655D0C3D" w:rsidR="00DB5F6B" w:rsidRDefault="005B40BC" w:rsidP="005B40BC">
      <w:pPr>
        <w:rPr>
          <w:w w:val="85"/>
        </w:rPr>
      </w:pPr>
      <w:r>
        <w:t>The</w:t>
      </w:r>
      <w:r>
        <w:rPr>
          <w:spacing w:val="-1"/>
        </w:rPr>
        <w:t xml:space="preserve"> </w:t>
      </w:r>
      <w:r>
        <w:t>full</w:t>
      </w:r>
      <w:r>
        <w:rPr>
          <w:spacing w:val="-1"/>
        </w:rPr>
        <w:t xml:space="preserve"> </w:t>
      </w:r>
      <w:r>
        <w:t>implementation</w:t>
      </w:r>
      <w:r>
        <w:rPr>
          <w:spacing w:val="-1"/>
        </w:rPr>
        <w:t xml:space="preserve"> </w:t>
      </w:r>
      <w:r>
        <w:t>of</w:t>
      </w:r>
      <w:r>
        <w:rPr>
          <w:spacing w:val="-1"/>
        </w:rPr>
        <w:t xml:space="preserve"> </w:t>
      </w:r>
      <w:r>
        <w:t>Recommendation</w:t>
      </w:r>
      <w:r>
        <w:rPr>
          <w:spacing w:val="-1"/>
        </w:rPr>
        <w:t xml:space="preserve"> </w:t>
      </w:r>
      <w:r>
        <w:t>8</w:t>
      </w:r>
      <w:r>
        <w:rPr>
          <w:spacing w:val="-1"/>
        </w:rPr>
        <w:t xml:space="preserve"> </w:t>
      </w:r>
      <w:r>
        <w:t>would</w:t>
      </w:r>
      <w:r>
        <w:rPr>
          <w:spacing w:val="-1"/>
        </w:rPr>
        <w:t xml:space="preserve"> </w:t>
      </w:r>
      <w:r>
        <w:t>require</w:t>
      </w:r>
      <w:r>
        <w:rPr>
          <w:spacing w:val="-1"/>
        </w:rPr>
        <w:t xml:space="preserve"> </w:t>
      </w:r>
      <w:r>
        <w:t>changes</w:t>
      </w:r>
      <w:r>
        <w:rPr>
          <w:spacing w:val="-1"/>
        </w:rPr>
        <w:t xml:space="preserve"> </w:t>
      </w:r>
      <w:r>
        <w:t>to</w:t>
      </w:r>
      <w:r>
        <w:rPr>
          <w:spacing w:val="-1"/>
        </w:rPr>
        <w:t xml:space="preserve"> </w:t>
      </w:r>
      <w:r>
        <w:t>the</w:t>
      </w:r>
      <w:r>
        <w:rPr>
          <w:spacing w:val="-1"/>
        </w:rPr>
        <w:t xml:space="preserve"> </w:t>
      </w:r>
      <w:r>
        <w:t>RBA</w:t>
      </w:r>
      <w:r>
        <w:rPr>
          <w:spacing w:val="-1"/>
        </w:rPr>
        <w:t xml:space="preserve"> </w:t>
      </w:r>
      <w:r>
        <w:t>Act</w:t>
      </w:r>
      <w:r w:rsidR="0068598E">
        <w:rPr>
          <w:spacing w:val="-25"/>
        </w:rPr>
        <w:t>.</w:t>
      </w:r>
      <w:r>
        <w:rPr>
          <w:w w:val="85"/>
        </w:rPr>
        <w:t xml:space="preserve"> </w:t>
      </w:r>
      <w:r>
        <w:t>Chapter</w:t>
      </w:r>
      <w:r>
        <w:rPr>
          <w:spacing w:val="-1"/>
        </w:rPr>
        <w:t xml:space="preserve"> </w:t>
      </w:r>
      <w:r>
        <w:t>7 discusses this and what changes might be possible without legislative change</w:t>
      </w:r>
      <w:r w:rsidR="0068598E">
        <w:rPr>
          <w:spacing w:val="-17"/>
        </w:rPr>
        <w:t>.</w:t>
      </w:r>
    </w:p>
    <w:p w14:paraId="137ED447" w14:textId="77777777" w:rsidR="009A19CA" w:rsidRDefault="009A19CA" w:rsidP="009A19CA">
      <w:pPr>
        <w:pStyle w:val="Heading3"/>
      </w:pPr>
      <w:r>
        <w:t>Recommendation</w:t>
      </w:r>
      <w:r>
        <w:rPr>
          <w:spacing w:val="-10"/>
        </w:rPr>
        <w:t xml:space="preserve"> </w:t>
      </w:r>
      <w:r>
        <w:t>8.1:</w:t>
      </w:r>
      <w:r>
        <w:rPr>
          <w:spacing w:val="-10"/>
        </w:rPr>
        <w:t xml:space="preserve"> </w:t>
      </w:r>
      <w:r>
        <w:t>A</w:t>
      </w:r>
      <w:r>
        <w:rPr>
          <w:spacing w:val="-10"/>
        </w:rPr>
        <w:t xml:space="preserve"> </w:t>
      </w:r>
      <w:r>
        <w:t>Monetary</w:t>
      </w:r>
      <w:r>
        <w:rPr>
          <w:spacing w:val="-10"/>
        </w:rPr>
        <w:t xml:space="preserve"> </w:t>
      </w:r>
      <w:r>
        <w:t>Policy</w:t>
      </w:r>
      <w:r>
        <w:rPr>
          <w:spacing w:val="-10"/>
        </w:rPr>
        <w:t xml:space="preserve"> </w:t>
      </w:r>
      <w:r>
        <w:t>Board</w:t>
      </w:r>
      <w:r>
        <w:rPr>
          <w:spacing w:val="-10"/>
        </w:rPr>
        <w:t xml:space="preserve"> </w:t>
      </w:r>
      <w:r>
        <w:t>deeply</w:t>
      </w:r>
      <w:r>
        <w:rPr>
          <w:spacing w:val="-10"/>
        </w:rPr>
        <w:t xml:space="preserve"> </w:t>
      </w:r>
      <w:r>
        <w:t>engaged</w:t>
      </w:r>
      <w:r>
        <w:rPr>
          <w:spacing w:val="-10"/>
        </w:rPr>
        <w:t xml:space="preserve"> </w:t>
      </w:r>
      <w:r>
        <w:t>in</w:t>
      </w:r>
      <w:r>
        <w:rPr>
          <w:spacing w:val="-10"/>
        </w:rPr>
        <w:t xml:space="preserve"> </w:t>
      </w:r>
      <w:r>
        <w:t>the policy process</w:t>
      </w:r>
    </w:p>
    <w:p w14:paraId="03A26FA7" w14:textId="0FAC567C" w:rsidR="009A19CA" w:rsidRDefault="009A19CA" w:rsidP="009A19CA">
      <w:r>
        <w:t>The Review recommends that monetary policy be set by a dedicated Monetary Policy Board</w:t>
      </w:r>
      <w:r w:rsidR="0068598E">
        <w:rPr>
          <w:spacing w:val="-23"/>
        </w:rPr>
        <w:t>.</w:t>
      </w:r>
      <w:r>
        <w:rPr>
          <w:w w:val="85"/>
        </w:rPr>
        <w:t xml:space="preserve"> </w:t>
      </w:r>
      <w:r>
        <w:t>The RBA Act should be amended to state that the Monetary Policy Board is responsible exclusively</w:t>
      </w:r>
      <w:r>
        <w:rPr>
          <w:spacing w:val="80"/>
        </w:rPr>
        <w:t xml:space="preserve"> </w:t>
      </w:r>
      <w:r>
        <w:t>for setting monetary policy and oversight of the RBA’s contribution to the stability of the financial system, except in respect of payments system policy</w:t>
      </w:r>
      <w:r w:rsidR="0068598E">
        <w:rPr>
          <w:spacing w:val="-19"/>
        </w:rPr>
        <w:t>.</w:t>
      </w:r>
      <w:r>
        <w:rPr>
          <w:w w:val="85"/>
        </w:rPr>
        <w:t xml:space="preserve"> </w:t>
      </w:r>
      <w:r>
        <w:t>The Monetary Policy Board would replace the existing Reserve Bank Board as the monetary policy decision-making body</w:t>
      </w:r>
      <w:r w:rsidR="0068598E">
        <w:rPr>
          <w:spacing w:val="-15"/>
        </w:rPr>
        <w:t>.</w:t>
      </w:r>
    </w:p>
    <w:p w14:paraId="09A21491" w14:textId="77777777" w:rsidR="009A19CA" w:rsidRDefault="009A19CA" w:rsidP="009A19CA">
      <w:r>
        <w:t>The</w:t>
      </w:r>
      <w:r>
        <w:rPr>
          <w:spacing w:val="3"/>
        </w:rPr>
        <w:t xml:space="preserve"> </w:t>
      </w:r>
      <w:r>
        <w:t>Monetary</w:t>
      </w:r>
      <w:r>
        <w:rPr>
          <w:spacing w:val="4"/>
        </w:rPr>
        <w:t xml:space="preserve"> </w:t>
      </w:r>
      <w:r>
        <w:t>Policy</w:t>
      </w:r>
      <w:r>
        <w:rPr>
          <w:spacing w:val="3"/>
        </w:rPr>
        <w:t xml:space="preserve"> </w:t>
      </w:r>
      <w:r>
        <w:t>Board</w:t>
      </w:r>
      <w:r>
        <w:rPr>
          <w:spacing w:val="4"/>
        </w:rPr>
        <w:t xml:space="preserve"> </w:t>
      </w:r>
      <w:r>
        <w:t>would</w:t>
      </w:r>
      <w:r>
        <w:rPr>
          <w:spacing w:val="3"/>
        </w:rPr>
        <w:t xml:space="preserve"> </w:t>
      </w:r>
      <w:r>
        <w:t>be</w:t>
      </w:r>
      <w:r>
        <w:rPr>
          <w:spacing w:val="4"/>
        </w:rPr>
        <w:t xml:space="preserve"> </w:t>
      </w:r>
      <w:r>
        <w:t>responsible</w:t>
      </w:r>
      <w:r>
        <w:rPr>
          <w:spacing w:val="4"/>
        </w:rPr>
        <w:t xml:space="preserve"> </w:t>
      </w:r>
      <w:r>
        <w:rPr>
          <w:spacing w:val="-4"/>
        </w:rPr>
        <w:t>for:</w:t>
      </w:r>
    </w:p>
    <w:p w14:paraId="29FBA950" w14:textId="77777777" w:rsidR="009A19CA" w:rsidRDefault="009A19CA" w:rsidP="0000278A">
      <w:pPr>
        <w:pStyle w:val="Bullet"/>
      </w:pPr>
      <w:r>
        <w:t>all policies, instruments and facilities intended primarily to influence monetary conditions or to influence supply and demand in the foreign exchange market</w:t>
      </w:r>
    </w:p>
    <w:p w14:paraId="789E6965" w14:textId="45D0CAB9" w:rsidR="009A19CA" w:rsidRDefault="009A19CA" w:rsidP="0000278A">
      <w:pPr>
        <w:pStyle w:val="Bullet"/>
      </w:pPr>
      <w:r>
        <w:t>policy</w:t>
      </w:r>
      <w:r w:rsidRPr="009A19CA">
        <w:rPr>
          <w:spacing w:val="2"/>
        </w:rPr>
        <w:t xml:space="preserve"> </w:t>
      </w:r>
      <w:r>
        <w:t>decisions</w:t>
      </w:r>
      <w:r w:rsidRPr="009A19CA">
        <w:rPr>
          <w:spacing w:val="5"/>
        </w:rPr>
        <w:t xml:space="preserve"> </w:t>
      </w:r>
      <w:r>
        <w:t>related</w:t>
      </w:r>
      <w:r w:rsidRPr="009A19CA">
        <w:rPr>
          <w:spacing w:val="5"/>
        </w:rPr>
        <w:t xml:space="preserve"> </w:t>
      </w:r>
      <w:r>
        <w:t>to</w:t>
      </w:r>
      <w:r w:rsidRPr="009A19CA">
        <w:rPr>
          <w:spacing w:val="5"/>
        </w:rPr>
        <w:t xml:space="preserve"> </w:t>
      </w:r>
      <w:r>
        <w:t>financial</w:t>
      </w:r>
      <w:r w:rsidRPr="009A19CA">
        <w:rPr>
          <w:spacing w:val="5"/>
        </w:rPr>
        <w:t xml:space="preserve"> </w:t>
      </w:r>
      <w:r>
        <w:t>system</w:t>
      </w:r>
      <w:r w:rsidRPr="009A19CA">
        <w:rPr>
          <w:spacing w:val="4"/>
        </w:rPr>
        <w:t xml:space="preserve"> </w:t>
      </w:r>
      <w:r>
        <w:t>stability</w:t>
      </w:r>
      <w:r w:rsidRPr="009A19CA">
        <w:rPr>
          <w:spacing w:val="5"/>
        </w:rPr>
        <w:t xml:space="preserve"> </w:t>
      </w:r>
      <w:r>
        <w:t>(except</w:t>
      </w:r>
      <w:r w:rsidRPr="009A19CA">
        <w:rPr>
          <w:spacing w:val="5"/>
        </w:rPr>
        <w:t xml:space="preserve"> </w:t>
      </w:r>
      <w:r>
        <w:t>payments</w:t>
      </w:r>
      <w:r w:rsidRPr="009A19CA">
        <w:rPr>
          <w:spacing w:val="5"/>
        </w:rPr>
        <w:t xml:space="preserve"> </w:t>
      </w:r>
      <w:r>
        <w:t>system</w:t>
      </w:r>
      <w:r w:rsidRPr="009A19CA">
        <w:rPr>
          <w:spacing w:val="5"/>
        </w:rPr>
        <w:t xml:space="preserve"> </w:t>
      </w:r>
      <w:r>
        <w:t>policy),</w:t>
      </w:r>
      <w:r w:rsidRPr="009A19CA">
        <w:rPr>
          <w:spacing w:val="5"/>
        </w:rPr>
        <w:t xml:space="preserve"> </w:t>
      </w:r>
      <w:r w:rsidRPr="009A19CA">
        <w:rPr>
          <w:spacing w:val="-2"/>
        </w:rPr>
        <w:t>including</w:t>
      </w:r>
      <w:r>
        <w:rPr>
          <w:spacing w:val="-2"/>
        </w:rPr>
        <w:t xml:space="preserve"> </w:t>
      </w:r>
      <w:r>
        <w:t xml:space="preserve">lender and market-maker of last resort </w:t>
      </w:r>
      <w:r w:rsidRPr="009A19CA">
        <w:rPr>
          <w:spacing w:val="-2"/>
        </w:rPr>
        <w:t>interventions</w:t>
      </w:r>
    </w:p>
    <w:p w14:paraId="703E366F" w14:textId="77777777" w:rsidR="009A19CA" w:rsidRDefault="009A19CA" w:rsidP="0000278A">
      <w:pPr>
        <w:pStyle w:val="Bullet"/>
      </w:pPr>
      <w:r>
        <w:t>oversight of the implementation of policies, instruments, and facilities, including operations in financial markets to give effect to decisions (for example to keep the cash rate consistent with the target)</w:t>
      </w:r>
    </w:p>
    <w:p w14:paraId="1DBB2C26" w14:textId="77777777" w:rsidR="009A19CA" w:rsidRDefault="009A19CA" w:rsidP="0000278A">
      <w:pPr>
        <w:pStyle w:val="Bullet"/>
      </w:pPr>
      <w:r>
        <w:lastRenderedPageBreak/>
        <w:t>oversight of the RBA’s broader contribution to financial system stability including its financial stability analysis, engagement with the Council of Financial Regulators, and engagement in international forums</w:t>
      </w:r>
    </w:p>
    <w:p w14:paraId="09693F7C" w14:textId="742C694A" w:rsidR="009A19CA" w:rsidRDefault="009A19CA" w:rsidP="0000278A">
      <w:pPr>
        <w:pStyle w:val="Bullet"/>
      </w:pPr>
      <w:r>
        <w:t>communication</w:t>
      </w:r>
      <w:r w:rsidRPr="009A19CA">
        <w:rPr>
          <w:spacing w:val="3"/>
        </w:rPr>
        <w:t xml:space="preserve"> </w:t>
      </w:r>
      <w:r>
        <w:t>of</w:t>
      </w:r>
      <w:r w:rsidRPr="009A19CA">
        <w:rPr>
          <w:spacing w:val="4"/>
        </w:rPr>
        <w:t xml:space="preserve"> </w:t>
      </w:r>
      <w:r>
        <w:t>Monetary</w:t>
      </w:r>
      <w:r w:rsidRPr="009A19CA">
        <w:rPr>
          <w:spacing w:val="4"/>
        </w:rPr>
        <w:t xml:space="preserve"> </w:t>
      </w:r>
      <w:r>
        <w:t>Policy</w:t>
      </w:r>
      <w:r w:rsidRPr="009A19CA">
        <w:rPr>
          <w:spacing w:val="3"/>
        </w:rPr>
        <w:t xml:space="preserve"> </w:t>
      </w:r>
      <w:r>
        <w:t>Board</w:t>
      </w:r>
      <w:r w:rsidRPr="009A19CA">
        <w:rPr>
          <w:spacing w:val="4"/>
        </w:rPr>
        <w:t xml:space="preserve"> </w:t>
      </w:r>
      <w:r>
        <w:t>decisions,</w:t>
      </w:r>
      <w:r w:rsidRPr="009A19CA">
        <w:rPr>
          <w:spacing w:val="4"/>
        </w:rPr>
        <w:t xml:space="preserve"> </w:t>
      </w:r>
      <w:r>
        <w:t>including</w:t>
      </w:r>
      <w:r w:rsidRPr="009A19CA">
        <w:rPr>
          <w:spacing w:val="3"/>
        </w:rPr>
        <w:t xml:space="preserve"> </w:t>
      </w:r>
      <w:r>
        <w:t>the</w:t>
      </w:r>
      <w:r w:rsidRPr="009A19CA">
        <w:rPr>
          <w:spacing w:val="4"/>
        </w:rPr>
        <w:t xml:space="preserve"> </w:t>
      </w:r>
      <w:r>
        <w:t>post-meeting</w:t>
      </w:r>
      <w:r w:rsidRPr="009A19CA">
        <w:rPr>
          <w:spacing w:val="4"/>
        </w:rPr>
        <w:t xml:space="preserve"> </w:t>
      </w:r>
      <w:r>
        <w:t>statement</w:t>
      </w:r>
      <w:r w:rsidRPr="009A19CA">
        <w:rPr>
          <w:spacing w:val="4"/>
        </w:rPr>
        <w:t xml:space="preserve"> </w:t>
      </w:r>
      <w:r w:rsidRPr="009A19CA">
        <w:rPr>
          <w:spacing w:val="-4"/>
        </w:rPr>
        <w:t>(see</w:t>
      </w:r>
      <w:r>
        <w:rPr>
          <w:spacing w:val="-4"/>
        </w:rPr>
        <w:t xml:space="preserve"> </w:t>
      </w:r>
      <w:r w:rsidRPr="009A19CA">
        <w:rPr>
          <w:color w:val="231F20"/>
        </w:rPr>
        <w:t>Recommendation</w:t>
      </w:r>
      <w:r w:rsidRPr="009A19CA">
        <w:rPr>
          <w:color w:val="231F20"/>
          <w:spacing w:val="1"/>
        </w:rPr>
        <w:t xml:space="preserve"> </w:t>
      </w:r>
      <w:r w:rsidRPr="009A19CA">
        <w:rPr>
          <w:color w:val="231F20"/>
          <w:spacing w:val="-2"/>
        </w:rPr>
        <w:t>10.3).</w:t>
      </w:r>
    </w:p>
    <w:p w14:paraId="31F1C9C0" w14:textId="2E5F85D0" w:rsidR="009A19CA" w:rsidRDefault="009A19CA" w:rsidP="00492826">
      <w:r>
        <w:t>The</w:t>
      </w:r>
      <w:r>
        <w:rPr>
          <w:spacing w:val="2"/>
        </w:rPr>
        <w:t xml:space="preserve"> </w:t>
      </w:r>
      <w:r>
        <w:t>Payments</w:t>
      </w:r>
      <w:r>
        <w:rPr>
          <w:spacing w:val="3"/>
        </w:rPr>
        <w:t xml:space="preserve"> </w:t>
      </w:r>
      <w:r>
        <w:t>System</w:t>
      </w:r>
      <w:r>
        <w:rPr>
          <w:spacing w:val="3"/>
        </w:rPr>
        <w:t xml:space="preserve"> </w:t>
      </w:r>
      <w:r>
        <w:t>Board</w:t>
      </w:r>
      <w:r>
        <w:rPr>
          <w:spacing w:val="3"/>
        </w:rPr>
        <w:t xml:space="preserve"> </w:t>
      </w:r>
      <w:r>
        <w:t>would</w:t>
      </w:r>
      <w:r>
        <w:rPr>
          <w:spacing w:val="3"/>
        </w:rPr>
        <w:t xml:space="preserve"> </w:t>
      </w:r>
      <w:r>
        <w:t>continue</w:t>
      </w:r>
      <w:r>
        <w:rPr>
          <w:spacing w:val="2"/>
        </w:rPr>
        <w:t xml:space="preserve"> </w:t>
      </w:r>
      <w:r>
        <w:t>to</w:t>
      </w:r>
      <w:r>
        <w:rPr>
          <w:spacing w:val="3"/>
        </w:rPr>
        <w:t xml:space="preserve"> </w:t>
      </w:r>
      <w:r>
        <w:t>be</w:t>
      </w:r>
      <w:r>
        <w:rPr>
          <w:spacing w:val="3"/>
        </w:rPr>
        <w:t xml:space="preserve"> </w:t>
      </w:r>
      <w:r>
        <w:t>responsible</w:t>
      </w:r>
      <w:r>
        <w:rPr>
          <w:spacing w:val="3"/>
        </w:rPr>
        <w:t xml:space="preserve"> </w:t>
      </w:r>
      <w:r>
        <w:t>for</w:t>
      </w:r>
      <w:r>
        <w:rPr>
          <w:spacing w:val="3"/>
        </w:rPr>
        <w:t xml:space="preserve"> </w:t>
      </w:r>
      <w:r>
        <w:t>payments</w:t>
      </w:r>
      <w:r>
        <w:rPr>
          <w:spacing w:val="2"/>
        </w:rPr>
        <w:t xml:space="preserve"> </w:t>
      </w:r>
      <w:r>
        <w:t>system</w:t>
      </w:r>
      <w:r>
        <w:rPr>
          <w:spacing w:val="3"/>
        </w:rPr>
        <w:t xml:space="preserve"> </w:t>
      </w:r>
      <w:r>
        <w:t>policy</w:t>
      </w:r>
      <w:r w:rsidR="0068598E">
        <w:rPr>
          <w:spacing w:val="-22"/>
        </w:rPr>
        <w:t>.</w:t>
      </w:r>
      <w:r w:rsidR="00492826">
        <w:rPr>
          <w:spacing w:val="-10"/>
          <w:w w:val="85"/>
        </w:rPr>
        <w:t xml:space="preserve"> </w:t>
      </w:r>
      <w:r>
        <w:t>A Governance Board would be responsible for all other matters, including banking operations and the</w:t>
      </w:r>
      <w:r>
        <w:rPr>
          <w:spacing w:val="-6"/>
        </w:rPr>
        <w:t xml:space="preserve"> </w:t>
      </w:r>
      <w:r>
        <w:t>issuance of banknotes</w:t>
      </w:r>
      <w:r w:rsidR="0068598E">
        <w:rPr>
          <w:spacing w:val="-12"/>
        </w:rPr>
        <w:t>.</w:t>
      </w:r>
      <w:r>
        <w:rPr>
          <w:w w:val="85"/>
        </w:rPr>
        <w:t xml:space="preserve"> </w:t>
      </w:r>
      <w:r>
        <w:t>The Governance Board would be the accountable authority under the PGPA Act (see Box 5</w:t>
      </w:r>
      <w:r w:rsidR="0068598E">
        <w:rPr>
          <w:spacing w:val="-21"/>
        </w:rPr>
        <w:t>.</w:t>
      </w:r>
      <w:r>
        <w:rPr>
          <w:w w:val="126"/>
        </w:rPr>
        <w:t>4</w:t>
      </w:r>
      <w:r>
        <w:rPr>
          <w:w w:val="99"/>
        </w:rPr>
        <w:t xml:space="preserve"> </w:t>
      </w:r>
      <w:r>
        <w:t>in Chapter 5 for details on board responsibilities)</w:t>
      </w:r>
      <w:r w:rsidR="0068598E">
        <w:rPr>
          <w:spacing w:val="-21"/>
        </w:rPr>
        <w:t>.</w:t>
      </w:r>
    </w:p>
    <w:p w14:paraId="721E887C" w14:textId="665EEBA5" w:rsidR="009A19CA" w:rsidRDefault="009A19CA" w:rsidP="009A19CA">
      <w:pPr>
        <w:rPr>
          <w:color w:val="231F20"/>
          <w:w w:val="85"/>
        </w:rPr>
      </w:pPr>
      <w:r>
        <w:rPr>
          <w:color w:val="231F20"/>
        </w:rPr>
        <w:t>In carrying out its responsibilities, the Monetary Policy Board must act in a manner consistent with the RBA’s broader objectives, functions and role</w:t>
      </w:r>
      <w:r w:rsidR="0068598E">
        <w:rPr>
          <w:color w:val="231F20"/>
          <w:spacing w:val="-18"/>
        </w:rPr>
        <w:t>.</w:t>
      </w:r>
      <w:r>
        <w:rPr>
          <w:color w:val="231F20"/>
        </w:rPr>
        <w:t xml:space="preserve"> While the Monetary Policy Board would not be</w:t>
      </w:r>
      <w:r>
        <w:rPr>
          <w:color w:val="231F20"/>
          <w:spacing w:val="80"/>
        </w:rPr>
        <w:t xml:space="preserve"> </w:t>
      </w:r>
      <w:r>
        <w:rPr>
          <w:color w:val="231F20"/>
        </w:rPr>
        <w:t>the accountable authority of the RBA under the PGPA Act, it must uphold established risk practices and performance reporting obligations set by the Governance Board and take into account the effects of its decisions on the financial resources of the RBA. As is currently the case for members</w:t>
      </w:r>
      <w:r>
        <w:rPr>
          <w:color w:val="231F20"/>
          <w:spacing w:val="40"/>
        </w:rPr>
        <w:t xml:space="preserve"> </w:t>
      </w:r>
      <w:r>
        <w:rPr>
          <w:color w:val="231F20"/>
        </w:rPr>
        <w:t>of the RBA’s Boards, Monetary Policy Board members (except the Governor and Deputy Governor) would not be officials of the RBA under the PGPA Act but be subject to the general duties set out in sections 25 to 29 of the PGPA Act</w:t>
      </w:r>
      <w:r w:rsidR="0068598E">
        <w:rPr>
          <w:color w:val="231F20"/>
          <w:spacing w:val="-15"/>
        </w:rPr>
        <w:t>.</w:t>
      </w:r>
    </w:p>
    <w:p w14:paraId="4D5123A4" w14:textId="7C5A378D" w:rsidR="005A3A71" w:rsidRDefault="005A3A71" w:rsidP="005A3A71">
      <w:pPr>
        <w:pStyle w:val="Heading4"/>
      </w:pPr>
      <w:r>
        <w:t>The</w:t>
      </w:r>
      <w:r>
        <w:rPr>
          <w:spacing w:val="2"/>
        </w:rPr>
        <w:t xml:space="preserve"> </w:t>
      </w:r>
      <w:r>
        <w:t>Monetary</w:t>
      </w:r>
      <w:r>
        <w:rPr>
          <w:spacing w:val="3"/>
        </w:rPr>
        <w:t xml:space="preserve"> </w:t>
      </w:r>
      <w:r w:rsidRPr="005A3A71">
        <w:t>Policy</w:t>
      </w:r>
      <w:r>
        <w:rPr>
          <w:spacing w:val="2"/>
        </w:rPr>
        <w:t xml:space="preserve"> </w:t>
      </w:r>
      <w:r>
        <w:t>Board</w:t>
      </w:r>
      <w:r>
        <w:rPr>
          <w:spacing w:val="3"/>
        </w:rPr>
        <w:t xml:space="preserve"> </w:t>
      </w:r>
      <w:r>
        <w:t>should</w:t>
      </w:r>
      <w:r>
        <w:rPr>
          <w:spacing w:val="3"/>
        </w:rPr>
        <w:t xml:space="preserve"> </w:t>
      </w:r>
      <w:r>
        <w:t>be</w:t>
      </w:r>
      <w:r>
        <w:rPr>
          <w:spacing w:val="2"/>
        </w:rPr>
        <w:t xml:space="preserve"> </w:t>
      </w:r>
      <w:r>
        <w:t>focused</w:t>
      </w:r>
      <w:r>
        <w:rPr>
          <w:spacing w:val="3"/>
        </w:rPr>
        <w:t xml:space="preserve"> </w:t>
      </w:r>
      <w:r>
        <w:t>on</w:t>
      </w:r>
      <w:r>
        <w:rPr>
          <w:spacing w:val="2"/>
        </w:rPr>
        <w:t xml:space="preserve"> </w:t>
      </w:r>
      <w:r>
        <w:t>policy</w:t>
      </w:r>
      <w:r>
        <w:rPr>
          <w:spacing w:val="3"/>
        </w:rPr>
        <w:t xml:space="preserve"> </w:t>
      </w:r>
      <w:r>
        <w:t>decision</w:t>
      </w:r>
      <w:r>
        <w:rPr>
          <w:spacing w:val="3"/>
        </w:rPr>
        <w:t xml:space="preserve"> </w:t>
      </w:r>
      <w:r>
        <w:rPr>
          <w:spacing w:val="-2"/>
        </w:rPr>
        <w:t>making</w:t>
      </w:r>
    </w:p>
    <w:p w14:paraId="3CD134C1" w14:textId="4CF339D4" w:rsidR="005A3A71" w:rsidRDefault="005A3A71" w:rsidP="005A3A71">
      <w:r>
        <w:t>The Monetary Policy Board should have a clear focus on policy decision making, with no broader organisational role</w:t>
      </w:r>
      <w:r w:rsidR="0068598E">
        <w:rPr>
          <w:spacing w:val="-18"/>
        </w:rPr>
        <w:t>.</w:t>
      </w:r>
      <w:r>
        <w:rPr>
          <w:w w:val="85"/>
        </w:rPr>
        <w:t xml:space="preserve"> </w:t>
      </w:r>
      <w:r>
        <w:t>The oversight of management and corporate governance should be the responsibility of a separate body</w:t>
      </w:r>
      <w:r w:rsidR="0068598E">
        <w:rPr>
          <w:spacing w:val="-19"/>
        </w:rPr>
        <w:t>.</w:t>
      </w:r>
      <w:r>
        <w:rPr>
          <w:w w:val="85"/>
        </w:rPr>
        <w:t xml:space="preserve"> </w:t>
      </w:r>
      <w:r>
        <w:t>This reinforces other recommendations to create more opportunities for challenge and debate on policy among decision makers. A clear and narrow set of responsibilities fosters accountability</w:t>
      </w:r>
      <w:r w:rsidR="0068598E">
        <w:rPr>
          <w:spacing w:val="-23"/>
        </w:rPr>
        <w:t>.</w:t>
      </w:r>
      <w:r>
        <w:rPr>
          <w:w w:val="85"/>
        </w:rPr>
        <w:t xml:space="preserve"> </w:t>
      </w:r>
      <w:r>
        <w:t>In addition, this change resolves the current uncertainty about the Reserve Bank Board’s responsibilities regarding broader corporate governance, which has been interpreted by the Reserve Bank Board in different ways over time (see Chapter 5).</w:t>
      </w:r>
    </w:p>
    <w:p w14:paraId="40E1925A" w14:textId="737F7B3F" w:rsidR="005A3A71" w:rsidRDefault="005A3A71" w:rsidP="005A3A71">
      <w:r>
        <w:t>To enable its focus on policy decision making, the operational implementation of the Monetary Policy Board’s decisions should be the responsibility of the RBA executive</w:t>
      </w:r>
      <w:r w:rsidR="0068598E">
        <w:rPr>
          <w:spacing w:val="-18"/>
        </w:rPr>
        <w:t>.</w:t>
      </w:r>
      <w:r>
        <w:rPr>
          <w:w w:val="85"/>
        </w:rPr>
        <w:t xml:space="preserve"> </w:t>
      </w:r>
      <w:r>
        <w:t>This division of responsibilities</w:t>
      </w:r>
      <w:r>
        <w:rPr>
          <w:spacing w:val="-3"/>
        </w:rPr>
        <w:t xml:space="preserve"> </w:t>
      </w:r>
      <w:r>
        <w:t>should</w:t>
      </w:r>
      <w:r>
        <w:rPr>
          <w:spacing w:val="-3"/>
        </w:rPr>
        <w:t xml:space="preserve"> </w:t>
      </w:r>
      <w:r>
        <w:t>be</w:t>
      </w:r>
      <w:r>
        <w:rPr>
          <w:spacing w:val="-3"/>
        </w:rPr>
        <w:t xml:space="preserve"> </w:t>
      </w:r>
      <w:r>
        <w:t>clearly</w:t>
      </w:r>
      <w:r>
        <w:rPr>
          <w:spacing w:val="-3"/>
        </w:rPr>
        <w:t xml:space="preserve"> </w:t>
      </w:r>
      <w:r>
        <w:t>set</w:t>
      </w:r>
      <w:r>
        <w:rPr>
          <w:spacing w:val="-3"/>
        </w:rPr>
        <w:t xml:space="preserve"> </w:t>
      </w:r>
      <w:r>
        <w:t>out</w:t>
      </w:r>
      <w:r>
        <w:rPr>
          <w:spacing w:val="-3"/>
        </w:rPr>
        <w:t xml:space="preserve"> </w:t>
      </w:r>
      <w:r>
        <w:t>in</w:t>
      </w:r>
      <w:r>
        <w:rPr>
          <w:spacing w:val="-3"/>
        </w:rPr>
        <w:t xml:space="preserve"> </w:t>
      </w:r>
      <w:r>
        <w:t>a</w:t>
      </w:r>
      <w:r>
        <w:rPr>
          <w:spacing w:val="-3"/>
        </w:rPr>
        <w:t xml:space="preserve"> </w:t>
      </w:r>
      <w:r>
        <w:t>charter</w:t>
      </w:r>
      <w:r>
        <w:rPr>
          <w:spacing w:val="-3"/>
        </w:rPr>
        <w:t xml:space="preserve"> </w:t>
      </w:r>
      <w:r>
        <w:t>(see</w:t>
      </w:r>
      <w:r>
        <w:rPr>
          <w:spacing w:val="-3"/>
        </w:rPr>
        <w:t xml:space="preserve"> </w:t>
      </w:r>
      <w:r>
        <w:t>Recommendation</w:t>
      </w:r>
      <w:r>
        <w:rPr>
          <w:spacing w:val="-3"/>
        </w:rPr>
        <w:t xml:space="preserve"> </w:t>
      </w:r>
      <w:r>
        <w:t>12</w:t>
      </w:r>
      <w:r w:rsidR="0068598E">
        <w:rPr>
          <w:spacing w:val="-25"/>
        </w:rPr>
        <w:t>.</w:t>
      </w:r>
      <w:r>
        <w:rPr>
          <w:w w:val="126"/>
        </w:rPr>
        <w:t>3</w:t>
      </w:r>
      <w:r>
        <w:rPr>
          <w:spacing w:val="-2"/>
          <w:w w:val="99"/>
        </w:rPr>
        <w:t xml:space="preserve"> </w:t>
      </w:r>
      <w:r>
        <w:t>in</w:t>
      </w:r>
      <w:r>
        <w:rPr>
          <w:spacing w:val="-3"/>
        </w:rPr>
        <w:t xml:space="preserve"> </w:t>
      </w:r>
      <w:r>
        <w:t>Chapter</w:t>
      </w:r>
      <w:r>
        <w:rPr>
          <w:spacing w:val="-3"/>
        </w:rPr>
        <w:t xml:space="preserve"> </w:t>
      </w:r>
      <w:r>
        <w:t>5)</w:t>
      </w:r>
      <w:r w:rsidR="0068598E">
        <w:rPr>
          <w:spacing w:val="-25"/>
        </w:rPr>
        <w:t>.</w:t>
      </w:r>
      <w:r>
        <w:rPr>
          <w:w w:val="85"/>
        </w:rPr>
        <w:t xml:space="preserve"> </w:t>
      </w:r>
      <w:r>
        <w:t>The Monetary</w:t>
      </w:r>
      <w:r>
        <w:rPr>
          <w:spacing w:val="2"/>
        </w:rPr>
        <w:t xml:space="preserve"> </w:t>
      </w:r>
      <w:r>
        <w:t>Policy</w:t>
      </w:r>
      <w:r>
        <w:rPr>
          <w:spacing w:val="3"/>
        </w:rPr>
        <w:t xml:space="preserve"> </w:t>
      </w:r>
      <w:r>
        <w:t>Board</w:t>
      </w:r>
      <w:r>
        <w:rPr>
          <w:spacing w:val="3"/>
        </w:rPr>
        <w:t xml:space="preserve"> </w:t>
      </w:r>
      <w:r>
        <w:t>should</w:t>
      </w:r>
      <w:r>
        <w:rPr>
          <w:spacing w:val="3"/>
        </w:rPr>
        <w:t xml:space="preserve"> </w:t>
      </w:r>
      <w:r>
        <w:t>retain</w:t>
      </w:r>
      <w:r>
        <w:rPr>
          <w:spacing w:val="3"/>
        </w:rPr>
        <w:t xml:space="preserve"> </w:t>
      </w:r>
      <w:r>
        <w:t>an</w:t>
      </w:r>
      <w:r>
        <w:rPr>
          <w:spacing w:val="3"/>
        </w:rPr>
        <w:t xml:space="preserve"> </w:t>
      </w:r>
      <w:r>
        <w:t>oversight</w:t>
      </w:r>
      <w:r>
        <w:rPr>
          <w:spacing w:val="3"/>
        </w:rPr>
        <w:t xml:space="preserve"> </w:t>
      </w:r>
      <w:r>
        <w:t>role</w:t>
      </w:r>
      <w:r>
        <w:rPr>
          <w:spacing w:val="3"/>
        </w:rPr>
        <w:t xml:space="preserve"> </w:t>
      </w:r>
      <w:r>
        <w:t>for</w:t>
      </w:r>
      <w:r>
        <w:rPr>
          <w:spacing w:val="3"/>
        </w:rPr>
        <w:t xml:space="preserve"> </w:t>
      </w:r>
      <w:r>
        <w:t>market</w:t>
      </w:r>
      <w:r>
        <w:rPr>
          <w:spacing w:val="3"/>
        </w:rPr>
        <w:t xml:space="preserve"> </w:t>
      </w:r>
      <w:r>
        <w:t>operations</w:t>
      </w:r>
      <w:r>
        <w:rPr>
          <w:spacing w:val="3"/>
        </w:rPr>
        <w:t xml:space="preserve"> </w:t>
      </w:r>
      <w:r>
        <w:t>and</w:t>
      </w:r>
      <w:r>
        <w:rPr>
          <w:spacing w:val="3"/>
        </w:rPr>
        <w:t xml:space="preserve"> </w:t>
      </w:r>
      <w:r>
        <w:t>liquidity</w:t>
      </w:r>
      <w:r>
        <w:rPr>
          <w:spacing w:val="3"/>
        </w:rPr>
        <w:t xml:space="preserve"> </w:t>
      </w:r>
      <w:r>
        <w:t>facilities</w:t>
      </w:r>
      <w:r w:rsidR="0068598E">
        <w:rPr>
          <w:spacing w:val="-22"/>
        </w:rPr>
        <w:t>.</w:t>
      </w:r>
    </w:p>
    <w:p w14:paraId="41E3D5E5" w14:textId="49F6C989" w:rsidR="005A3A71" w:rsidRDefault="005A3A71" w:rsidP="005A3A71">
      <w:r>
        <w:t>In relation to financial system stability, the Monetary Policy Board should decide on any advice</w:t>
      </w:r>
      <w:r>
        <w:rPr>
          <w:spacing w:val="40"/>
        </w:rPr>
        <w:t xml:space="preserve"> </w:t>
      </w:r>
      <w:r>
        <w:t>to</w:t>
      </w:r>
      <w:r>
        <w:rPr>
          <w:spacing w:val="-1"/>
        </w:rPr>
        <w:t xml:space="preserve"> </w:t>
      </w:r>
      <w:r>
        <w:t>APRA</w:t>
      </w:r>
      <w:r>
        <w:rPr>
          <w:spacing w:val="-1"/>
        </w:rPr>
        <w:t xml:space="preserve"> </w:t>
      </w:r>
      <w:r>
        <w:t>on</w:t>
      </w:r>
      <w:r>
        <w:rPr>
          <w:spacing w:val="-1"/>
        </w:rPr>
        <w:t xml:space="preserve"> </w:t>
      </w:r>
      <w:r>
        <w:t>the</w:t>
      </w:r>
      <w:r>
        <w:rPr>
          <w:spacing w:val="-1"/>
        </w:rPr>
        <w:t xml:space="preserve"> </w:t>
      </w:r>
      <w:r>
        <w:t>use</w:t>
      </w:r>
      <w:r>
        <w:rPr>
          <w:spacing w:val="-1"/>
        </w:rPr>
        <w:t xml:space="preserve"> </w:t>
      </w:r>
      <w:r>
        <w:t>of</w:t>
      </w:r>
      <w:r>
        <w:rPr>
          <w:spacing w:val="-1"/>
        </w:rPr>
        <w:t xml:space="preserve"> </w:t>
      </w:r>
      <w:r>
        <w:t>macroprudential</w:t>
      </w:r>
      <w:r>
        <w:rPr>
          <w:spacing w:val="-1"/>
        </w:rPr>
        <w:t xml:space="preserve"> </w:t>
      </w:r>
      <w:r>
        <w:t>tools</w:t>
      </w:r>
      <w:r>
        <w:rPr>
          <w:spacing w:val="-1"/>
        </w:rPr>
        <w:t xml:space="preserve"> </w:t>
      </w:r>
      <w:r>
        <w:t>(see</w:t>
      </w:r>
      <w:r>
        <w:rPr>
          <w:spacing w:val="-1"/>
        </w:rPr>
        <w:t xml:space="preserve"> </w:t>
      </w:r>
      <w:r>
        <w:t>Recommendation</w:t>
      </w:r>
      <w:r>
        <w:rPr>
          <w:spacing w:val="-1"/>
        </w:rPr>
        <w:t xml:space="preserve"> </w:t>
      </w:r>
      <w:r>
        <w:t>6.2</w:t>
      </w:r>
      <w:r>
        <w:rPr>
          <w:spacing w:val="-1"/>
        </w:rPr>
        <w:t xml:space="preserve"> </w:t>
      </w:r>
      <w:r>
        <w:t>in</w:t>
      </w:r>
      <w:r>
        <w:rPr>
          <w:spacing w:val="-1"/>
        </w:rPr>
        <w:t xml:space="preserve"> </w:t>
      </w:r>
      <w:r>
        <w:t>Chapter</w:t>
      </w:r>
      <w:r>
        <w:rPr>
          <w:spacing w:val="-1"/>
        </w:rPr>
        <w:t xml:space="preserve"> </w:t>
      </w:r>
      <w:r>
        <w:t>2).</w:t>
      </w:r>
      <w:r>
        <w:rPr>
          <w:spacing w:val="-1"/>
        </w:rPr>
        <w:t xml:space="preserve"> </w:t>
      </w:r>
      <w:r>
        <w:t>Further,</w:t>
      </w:r>
      <w:r>
        <w:rPr>
          <w:spacing w:val="-1"/>
        </w:rPr>
        <w:t xml:space="preserve"> </w:t>
      </w:r>
      <w:r>
        <w:t xml:space="preserve">it should decide on any crisis management actions such as lender or market-maker of last resort </w:t>
      </w:r>
      <w:r>
        <w:rPr>
          <w:color w:val="231F20"/>
        </w:rPr>
        <w:t>operations</w:t>
      </w:r>
      <w:r w:rsidR="0068598E">
        <w:rPr>
          <w:color w:val="231F20"/>
          <w:spacing w:val="-23"/>
        </w:rPr>
        <w:t>.</w:t>
      </w:r>
      <w:r>
        <w:rPr>
          <w:color w:val="231F20"/>
          <w:w w:val="85"/>
        </w:rPr>
        <w:t xml:space="preserve"> </w:t>
      </w:r>
      <w:r>
        <w:rPr>
          <w:color w:val="231F20"/>
        </w:rPr>
        <w:t>The Monetary Policy Board should establish a clear framework to enable rapid decision making during crises, with clear delegated authorities where appropriate</w:t>
      </w:r>
      <w:r w:rsidR="0068598E">
        <w:rPr>
          <w:color w:val="231F20"/>
          <w:spacing w:val="-15"/>
        </w:rPr>
        <w:t>.</w:t>
      </w:r>
    </w:p>
    <w:p w14:paraId="5C917D7E" w14:textId="252F933A" w:rsidR="005A3A71" w:rsidRDefault="005A3A71" w:rsidP="005A3A71">
      <w:r>
        <w:t>The Review expects that, given the broad scope of financial system stability issues, the Monetary Policy Board will rely to a somewhat greater extent on the advice of the RBA executive when making its decisions than is the case for monetary policy. That will particularly be so for financial stability issues that have a less direct bearing on monetary conditions and the achievement of its monetary policy objectives</w:t>
      </w:r>
      <w:r w:rsidR="0068598E">
        <w:rPr>
          <w:spacing w:val="-18"/>
        </w:rPr>
        <w:t>.</w:t>
      </w:r>
      <w:r>
        <w:rPr>
          <w:w w:val="85"/>
        </w:rPr>
        <w:t xml:space="preserve"> </w:t>
      </w:r>
      <w:r>
        <w:t>In line with this, the Monetary Policy Board should be informed and retain oversight of the RBA’s broader financial stability analysis, but the Governor and executive should be empowered to develop the RBA’s positions and to engage with other agencies through the Council of Financial Regulators.</w:t>
      </w:r>
    </w:p>
    <w:p w14:paraId="0919285F" w14:textId="77777777" w:rsidR="005A3A71" w:rsidRDefault="005A3A71" w:rsidP="005A3A71">
      <w:pPr>
        <w:pStyle w:val="Heading4"/>
      </w:pPr>
      <w:r>
        <w:t>A</w:t>
      </w:r>
      <w:r>
        <w:rPr>
          <w:spacing w:val="-1"/>
        </w:rPr>
        <w:t xml:space="preserve"> </w:t>
      </w:r>
      <w:r>
        <w:t>Monetary</w:t>
      </w:r>
      <w:r>
        <w:rPr>
          <w:spacing w:val="2"/>
        </w:rPr>
        <w:t xml:space="preserve"> </w:t>
      </w:r>
      <w:r>
        <w:t>Policy</w:t>
      </w:r>
      <w:r>
        <w:rPr>
          <w:spacing w:val="2"/>
        </w:rPr>
        <w:t xml:space="preserve"> </w:t>
      </w:r>
      <w:r>
        <w:t>Board</w:t>
      </w:r>
      <w:r>
        <w:rPr>
          <w:spacing w:val="1"/>
        </w:rPr>
        <w:t xml:space="preserve"> </w:t>
      </w:r>
      <w:r>
        <w:t>would</w:t>
      </w:r>
      <w:r>
        <w:rPr>
          <w:spacing w:val="2"/>
        </w:rPr>
        <w:t xml:space="preserve"> </w:t>
      </w:r>
      <w:r>
        <w:t>foster</w:t>
      </w:r>
      <w:r>
        <w:rPr>
          <w:spacing w:val="2"/>
        </w:rPr>
        <w:t xml:space="preserve"> </w:t>
      </w:r>
      <w:r>
        <w:t>debate</w:t>
      </w:r>
      <w:r>
        <w:rPr>
          <w:spacing w:val="1"/>
        </w:rPr>
        <w:t xml:space="preserve"> </w:t>
      </w:r>
      <w:r>
        <w:t>and</w:t>
      </w:r>
      <w:r>
        <w:rPr>
          <w:spacing w:val="2"/>
        </w:rPr>
        <w:t xml:space="preserve"> </w:t>
      </w:r>
      <w:r>
        <w:t>engagement</w:t>
      </w:r>
      <w:r>
        <w:rPr>
          <w:spacing w:val="2"/>
        </w:rPr>
        <w:t xml:space="preserve"> </w:t>
      </w:r>
      <w:r>
        <w:t>in</w:t>
      </w:r>
      <w:r>
        <w:rPr>
          <w:spacing w:val="1"/>
        </w:rPr>
        <w:t xml:space="preserve"> </w:t>
      </w:r>
      <w:r>
        <w:t>the</w:t>
      </w:r>
      <w:r>
        <w:rPr>
          <w:spacing w:val="2"/>
        </w:rPr>
        <w:t xml:space="preserve"> </w:t>
      </w:r>
      <w:r>
        <w:t>policy</w:t>
      </w:r>
      <w:r>
        <w:rPr>
          <w:spacing w:val="2"/>
        </w:rPr>
        <w:t xml:space="preserve"> </w:t>
      </w:r>
      <w:r>
        <w:rPr>
          <w:spacing w:val="-2"/>
        </w:rPr>
        <w:t>process</w:t>
      </w:r>
    </w:p>
    <w:p w14:paraId="252E706C" w14:textId="7AA81D6D" w:rsidR="005A3A71" w:rsidRDefault="005A3A71" w:rsidP="005A3A71">
      <w:r>
        <w:t>The Review envisages a Monetary Policy Board in which policymakers are more deeply engaged</w:t>
      </w:r>
      <w:r>
        <w:rPr>
          <w:spacing w:val="80"/>
        </w:rPr>
        <w:t xml:space="preserve"> </w:t>
      </w:r>
      <w:r>
        <w:t>in the policy formulation and deliberation process than the current Reserve Bank Board</w:t>
      </w:r>
      <w:r w:rsidR="0068598E">
        <w:rPr>
          <w:spacing w:val="-19"/>
        </w:rPr>
        <w:t>.</w:t>
      </w:r>
      <w:r>
        <w:rPr>
          <w:w w:val="85"/>
        </w:rPr>
        <w:t xml:space="preserve"> </w:t>
      </w:r>
      <w:r>
        <w:t xml:space="preserve">In this </w:t>
      </w:r>
      <w:r>
        <w:lastRenderedPageBreak/>
        <w:t>environment, Monetary Policy Board members develop their own policy views and bring different perspectives on the policy decision</w:t>
      </w:r>
      <w:r w:rsidR="0068598E">
        <w:rPr>
          <w:spacing w:val="-21"/>
        </w:rPr>
        <w:t>.</w:t>
      </w:r>
      <w:r>
        <w:rPr>
          <w:w w:val="85"/>
        </w:rPr>
        <w:t xml:space="preserve"> </w:t>
      </w:r>
      <w:r>
        <w:t>The Board genuinely considers and tests proposals before a decision is reached</w:t>
      </w:r>
      <w:r w:rsidR="0068598E">
        <w:rPr>
          <w:spacing w:val="-11"/>
        </w:rPr>
        <w:t>.</w:t>
      </w:r>
    </w:p>
    <w:p w14:paraId="4AE1C490" w14:textId="17D703C7" w:rsidR="005A3A71" w:rsidRDefault="005A3A71" w:rsidP="005A3A71">
      <w:pPr>
        <w:pStyle w:val="italicquote"/>
      </w:pPr>
      <w:r>
        <w:t>The Committee engages in a search for truth, exploring the economic landscape with no shortage of intellectual curiosity. Members seem to be testing out ideas and advance alternative hypotheses, which</w:t>
      </w:r>
      <w:r>
        <w:rPr>
          <w:spacing w:val="-4"/>
        </w:rPr>
        <w:t xml:space="preserve"> </w:t>
      </w:r>
      <w:r>
        <w:t>are</w:t>
      </w:r>
      <w:r>
        <w:rPr>
          <w:spacing w:val="-4"/>
        </w:rPr>
        <w:t xml:space="preserve"> </w:t>
      </w:r>
      <w:r>
        <w:t>then</w:t>
      </w:r>
      <w:r>
        <w:rPr>
          <w:spacing w:val="-4"/>
        </w:rPr>
        <w:t xml:space="preserve"> </w:t>
      </w:r>
      <w:r>
        <w:t>rigorously</w:t>
      </w:r>
      <w:r>
        <w:rPr>
          <w:spacing w:val="-4"/>
        </w:rPr>
        <w:t xml:space="preserve"> </w:t>
      </w:r>
      <w:r>
        <w:t>deliberated,</w:t>
      </w:r>
      <w:r>
        <w:rPr>
          <w:spacing w:val="-4"/>
        </w:rPr>
        <w:t xml:space="preserve"> </w:t>
      </w:r>
      <w:r>
        <w:t>debated,</w:t>
      </w:r>
      <w:r>
        <w:rPr>
          <w:spacing w:val="-4"/>
        </w:rPr>
        <w:t xml:space="preserve"> </w:t>
      </w:r>
      <w:r>
        <w:t>and,</w:t>
      </w:r>
      <w:r>
        <w:rPr>
          <w:spacing w:val="-4"/>
        </w:rPr>
        <w:t xml:space="preserve"> </w:t>
      </w:r>
      <w:r>
        <w:t>often,</w:t>
      </w:r>
      <w:r>
        <w:rPr>
          <w:spacing w:val="-4"/>
        </w:rPr>
        <w:t xml:space="preserve"> </w:t>
      </w:r>
      <w:r>
        <w:t>dismissed.</w:t>
      </w:r>
      <w:r>
        <w:rPr>
          <w:spacing w:val="-4"/>
        </w:rPr>
        <w:t xml:space="preserve"> </w:t>
      </w:r>
      <w:r>
        <w:t>This</w:t>
      </w:r>
      <w:r>
        <w:rPr>
          <w:spacing w:val="-4"/>
        </w:rPr>
        <w:t xml:space="preserve"> </w:t>
      </w:r>
      <w:r>
        <w:t>is</w:t>
      </w:r>
      <w:r>
        <w:rPr>
          <w:spacing w:val="-4"/>
        </w:rPr>
        <w:t xml:space="preserve"> </w:t>
      </w:r>
      <w:r>
        <w:t>a</w:t>
      </w:r>
      <w:r>
        <w:rPr>
          <w:spacing w:val="-4"/>
        </w:rPr>
        <w:t xml:space="preserve"> </w:t>
      </w:r>
      <w:r>
        <w:t>genuine</w:t>
      </w:r>
      <w:r>
        <w:rPr>
          <w:spacing w:val="-4"/>
        </w:rPr>
        <w:t xml:space="preserve"> </w:t>
      </w:r>
      <w:r>
        <w:t>deliberation, and one that plays a key role in guiding the Committee’s decision the following day.’</w:t>
      </w:r>
    </w:p>
    <w:p w14:paraId="523E9710" w14:textId="77777777" w:rsidR="005A3A71" w:rsidRDefault="005A3A71" w:rsidP="005A3A71">
      <w:pPr>
        <w:pStyle w:val="italicquote"/>
      </w:pPr>
      <w:r>
        <w:t>–</w:t>
      </w:r>
      <w:r>
        <w:rPr>
          <w:spacing w:val="-3"/>
        </w:rPr>
        <w:t xml:space="preserve"> </w:t>
      </w:r>
      <w:r>
        <w:t>Observations on</w:t>
      </w:r>
      <w:r>
        <w:rPr>
          <w:spacing w:val="-1"/>
        </w:rPr>
        <w:t xml:space="preserve"> </w:t>
      </w:r>
      <w:r>
        <w:t>the Bank of</w:t>
      </w:r>
      <w:r>
        <w:rPr>
          <w:spacing w:val="-1"/>
        </w:rPr>
        <w:t xml:space="preserve"> </w:t>
      </w:r>
      <w:r>
        <w:t>England’s Monetary</w:t>
      </w:r>
      <w:r>
        <w:rPr>
          <w:spacing w:val="-1"/>
        </w:rPr>
        <w:t xml:space="preserve"> </w:t>
      </w:r>
      <w:r>
        <w:t>Policy Committee by</w:t>
      </w:r>
      <w:r>
        <w:rPr>
          <w:spacing w:val="-1"/>
        </w:rPr>
        <w:t xml:space="preserve"> </w:t>
      </w:r>
      <w:r>
        <w:t xml:space="preserve">Kevin Warsh, </w:t>
      </w:r>
      <w:r>
        <w:rPr>
          <w:spacing w:val="-4"/>
        </w:rPr>
        <w:t>2014</w:t>
      </w:r>
    </w:p>
    <w:p w14:paraId="530D7847" w14:textId="5DC23141" w:rsidR="00914BEB" w:rsidRDefault="00914BEB" w:rsidP="00914BEB">
      <w:r>
        <w:t>Some</w:t>
      </w:r>
      <w:r>
        <w:rPr>
          <w:spacing w:val="-4"/>
        </w:rPr>
        <w:t xml:space="preserve"> </w:t>
      </w:r>
      <w:r>
        <w:t>of</w:t>
      </w:r>
      <w:r>
        <w:rPr>
          <w:spacing w:val="-4"/>
        </w:rPr>
        <w:t xml:space="preserve"> </w:t>
      </w:r>
      <w:r>
        <w:t>those</w:t>
      </w:r>
      <w:r>
        <w:rPr>
          <w:spacing w:val="-4"/>
        </w:rPr>
        <w:t xml:space="preserve"> </w:t>
      </w:r>
      <w:r>
        <w:t>consulted</w:t>
      </w:r>
      <w:r>
        <w:rPr>
          <w:spacing w:val="-4"/>
        </w:rPr>
        <w:t xml:space="preserve"> </w:t>
      </w:r>
      <w:r>
        <w:t>by</w:t>
      </w:r>
      <w:r>
        <w:rPr>
          <w:spacing w:val="-4"/>
        </w:rPr>
        <w:t xml:space="preserve"> </w:t>
      </w:r>
      <w:r>
        <w:t>the</w:t>
      </w:r>
      <w:r>
        <w:rPr>
          <w:spacing w:val="-4"/>
        </w:rPr>
        <w:t xml:space="preserve"> </w:t>
      </w:r>
      <w:r>
        <w:t>Review</w:t>
      </w:r>
      <w:r>
        <w:rPr>
          <w:spacing w:val="-4"/>
        </w:rPr>
        <w:t xml:space="preserve"> </w:t>
      </w:r>
      <w:r>
        <w:t>favoured</w:t>
      </w:r>
      <w:r>
        <w:rPr>
          <w:spacing w:val="-4"/>
        </w:rPr>
        <w:t xml:space="preserve"> </w:t>
      </w:r>
      <w:r>
        <w:t>the</w:t>
      </w:r>
      <w:r>
        <w:rPr>
          <w:spacing w:val="-4"/>
        </w:rPr>
        <w:t xml:space="preserve"> </w:t>
      </w:r>
      <w:r>
        <w:t>RBA</w:t>
      </w:r>
      <w:r>
        <w:rPr>
          <w:spacing w:val="-4"/>
        </w:rPr>
        <w:t xml:space="preserve"> </w:t>
      </w:r>
      <w:r>
        <w:t>having</w:t>
      </w:r>
      <w:r>
        <w:rPr>
          <w:spacing w:val="-4"/>
        </w:rPr>
        <w:t xml:space="preserve"> </w:t>
      </w:r>
      <w:r>
        <w:t>a</w:t>
      </w:r>
      <w:r>
        <w:rPr>
          <w:spacing w:val="-4"/>
        </w:rPr>
        <w:t xml:space="preserve"> </w:t>
      </w:r>
      <w:r>
        <w:t>more-</w:t>
      </w:r>
      <w:r>
        <w:rPr>
          <w:spacing w:val="-2"/>
        </w:rPr>
        <w:t xml:space="preserve">specialised </w:t>
      </w:r>
      <w:r>
        <w:t>decision-making body for monetary policy</w:t>
      </w:r>
      <w:r w:rsidR="0068598E">
        <w:rPr>
          <w:spacing w:val="-22"/>
        </w:rPr>
        <w:t>.</w:t>
      </w:r>
      <w:r>
        <w:rPr>
          <w:w w:val="85"/>
        </w:rPr>
        <w:t xml:space="preserve"> </w:t>
      </w:r>
      <w:r>
        <w:t>Public submissions by the Business Council of Australia and</w:t>
      </w:r>
      <w:r>
        <w:rPr>
          <w:spacing w:val="-3"/>
        </w:rPr>
        <w:t xml:space="preserve"> </w:t>
      </w:r>
      <w:r>
        <w:t>academic</w:t>
      </w:r>
      <w:r>
        <w:rPr>
          <w:spacing w:val="-3"/>
        </w:rPr>
        <w:t xml:space="preserve"> </w:t>
      </w:r>
      <w:r>
        <w:t>experts</w:t>
      </w:r>
      <w:r>
        <w:rPr>
          <w:spacing w:val="-3"/>
        </w:rPr>
        <w:t xml:space="preserve"> </w:t>
      </w:r>
      <w:r>
        <w:t>offered</w:t>
      </w:r>
      <w:r>
        <w:rPr>
          <w:spacing w:val="-3"/>
        </w:rPr>
        <w:t xml:space="preserve"> </w:t>
      </w:r>
      <w:r>
        <w:t>support.</w:t>
      </w:r>
      <w:r>
        <w:rPr>
          <w:spacing w:val="-3"/>
        </w:rPr>
        <w:t xml:space="preserve"> </w:t>
      </w:r>
      <w:r>
        <w:t>The</w:t>
      </w:r>
      <w:r>
        <w:rPr>
          <w:spacing w:val="-3"/>
        </w:rPr>
        <w:t xml:space="preserve"> </w:t>
      </w:r>
      <w:r>
        <w:t>Monetary</w:t>
      </w:r>
      <w:r>
        <w:rPr>
          <w:spacing w:val="-3"/>
        </w:rPr>
        <w:t xml:space="preserve"> </w:t>
      </w:r>
      <w:r>
        <w:t>Policy</w:t>
      </w:r>
      <w:r>
        <w:rPr>
          <w:spacing w:val="-3"/>
        </w:rPr>
        <w:t xml:space="preserve"> </w:t>
      </w:r>
      <w:r>
        <w:t>Committee</w:t>
      </w:r>
      <w:r>
        <w:rPr>
          <w:spacing w:val="-3"/>
        </w:rPr>
        <w:t xml:space="preserve"> </w:t>
      </w:r>
      <w:r>
        <w:t>of</w:t>
      </w:r>
      <w:r>
        <w:rPr>
          <w:spacing w:val="-3"/>
        </w:rPr>
        <w:t xml:space="preserve"> </w:t>
      </w:r>
      <w:r>
        <w:t>the</w:t>
      </w:r>
      <w:r>
        <w:rPr>
          <w:spacing w:val="-3"/>
        </w:rPr>
        <w:t xml:space="preserve"> </w:t>
      </w:r>
      <w:r>
        <w:t>Bank</w:t>
      </w:r>
      <w:r>
        <w:rPr>
          <w:spacing w:val="-3"/>
        </w:rPr>
        <w:t xml:space="preserve"> </w:t>
      </w:r>
      <w:r>
        <w:t>of</w:t>
      </w:r>
      <w:r>
        <w:rPr>
          <w:spacing w:val="-3"/>
        </w:rPr>
        <w:t xml:space="preserve"> </w:t>
      </w:r>
      <w:r>
        <w:t>England</w:t>
      </w:r>
      <w:r>
        <w:rPr>
          <w:spacing w:val="-3"/>
        </w:rPr>
        <w:t xml:space="preserve"> </w:t>
      </w:r>
      <w:r>
        <w:t>and the US Federal Open Market Committee were considered successful examples of such bodies. The Reserve Bank of New Zealand recently established a dedicated Monetary Policy Committee.</w:t>
      </w:r>
    </w:p>
    <w:p w14:paraId="1FCE095C" w14:textId="13686033" w:rsidR="00914BEB" w:rsidRDefault="00914BEB" w:rsidP="00914BEB">
      <w:r>
        <w:t>Some of those consulted by the Review preferred the current model of a ‘generalist’ Reserve Bank Board</w:t>
      </w:r>
      <w:r w:rsidR="0068598E">
        <w:rPr>
          <w:spacing w:val="-17"/>
        </w:rPr>
        <w:t>.</w:t>
      </w:r>
      <w:r>
        <w:rPr>
          <w:w w:val="85"/>
        </w:rPr>
        <w:t xml:space="preserve"> </w:t>
      </w:r>
      <w:r>
        <w:t xml:space="preserve">They emphasised the value of non-expert challenge, the experience of business leaders </w:t>
      </w:r>
      <w:r>
        <w:rPr>
          <w:color w:val="231F20"/>
        </w:rPr>
        <w:t>in making judgements under uncertainty and the ability of business leaders to bring real-time information about economic conditions</w:t>
      </w:r>
      <w:r w:rsidR="0068598E">
        <w:rPr>
          <w:color w:val="231F20"/>
          <w:spacing w:val="-22"/>
        </w:rPr>
        <w:t>.</w:t>
      </w:r>
      <w:r>
        <w:rPr>
          <w:color w:val="231F20"/>
          <w:w w:val="85"/>
        </w:rPr>
        <w:t xml:space="preserve"> </w:t>
      </w:r>
      <w:r>
        <w:rPr>
          <w:color w:val="231F20"/>
        </w:rPr>
        <w:t>Some preferred an approach where the current Reserve Bank Board increases its responsibility for some corporate governance matters (see Chapter 7 for further discussion)</w:t>
      </w:r>
      <w:r w:rsidR="0068598E">
        <w:rPr>
          <w:color w:val="231F20"/>
          <w:spacing w:val="-17"/>
        </w:rPr>
        <w:t>.</w:t>
      </w:r>
    </w:p>
    <w:p w14:paraId="7B6F4F14" w14:textId="45654969" w:rsidR="00914BEB" w:rsidRDefault="00914BEB" w:rsidP="00914BEB">
      <w:r>
        <w:t>On balance, the Review considers that a more-specialised Monetary Policy Board would be best practice for fostering the type of genuine debate and engagement in the policy-formulation process that is needed to get the best monetary policy settings for Australia in the future</w:t>
      </w:r>
      <w:r w:rsidR="0068598E">
        <w:rPr>
          <w:spacing w:val="-19"/>
        </w:rPr>
        <w:t>.</w:t>
      </w:r>
      <w:r>
        <w:rPr>
          <w:w w:val="85"/>
        </w:rPr>
        <w:t xml:space="preserve"> </w:t>
      </w:r>
      <w:r>
        <w:t>The Monetary Policy Board should have greater depth of economic expertise to draw on, while retaining a diversity of experience and perspectives</w:t>
      </w:r>
      <w:r w:rsidR="0068598E">
        <w:rPr>
          <w:spacing w:val="-23"/>
        </w:rPr>
        <w:t>.</w:t>
      </w:r>
      <w:r>
        <w:rPr>
          <w:w w:val="85"/>
        </w:rPr>
        <w:t xml:space="preserve"> </w:t>
      </w:r>
      <w:r>
        <w:t>While the Monetary Policy Board would have fewer generalist members than the current Reserve Bank Board, decision makers would continue to benefit from the real-time insights on economic conditions uncovered through the RBA’s business liaison program</w:t>
      </w:r>
      <w:r w:rsidR="0068598E">
        <w:rPr>
          <w:spacing w:val="-18"/>
        </w:rPr>
        <w:t>.</w:t>
      </w:r>
      <w:r>
        <w:rPr>
          <w:w w:val="85"/>
        </w:rPr>
        <w:t xml:space="preserve"> </w:t>
      </w:r>
      <w:r>
        <w:t>The Review makes related recommendations on the balance of skills on</w:t>
      </w:r>
      <w:r>
        <w:rPr>
          <w:spacing w:val="-2"/>
        </w:rPr>
        <w:t xml:space="preserve"> </w:t>
      </w:r>
      <w:r>
        <w:t>the</w:t>
      </w:r>
      <w:r>
        <w:rPr>
          <w:spacing w:val="1"/>
        </w:rPr>
        <w:t xml:space="preserve"> </w:t>
      </w:r>
      <w:r>
        <w:t>Monetary</w:t>
      </w:r>
      <w:r>
        <w:rPr>
          <w:spacing w:val="1"/>
        </w:rPr>
        <w:t xml:space="preserve"> </w:t>
      </w:r>
      <w:r>
        <w:t>Policy Board</w:t>
      </w:r>
      <w:r>
        <w:rPr>
          <w:spacing w:val="1"/>
        </w:rPr>
        <w:t xml:space="preserve"> </w:t>
      </w:r>
      <w:r>
        <w:t>(see</w:t>
      </w:r>
      <w:r>
        <w:rPr>
          <w:spacing w:val="1"/>
        </w:rPr>
        <w:t xml:space="preserve"> </w:t>
      </w:r>
      <w:r>
        <w:t>Recommendation</w:t>
      </w:r>
      <w:r>
        <w:rPr>
          <w:spacing w:val="1"/>
        </w:rPr>
        <w:t xml:space="preserve"> </w:t>
      </w:r>
      <w:r>
        <w:t>8.4); and</w:t>
      </w:r>
      <w:r>
        <w:rPr>
          <w:spacing w:val="1"/>
        </w:rPr>
        <w:t xml:space="preserve"> </w:t>
      </w:r>
      <w:r>
        <w:t>for</w:t>
      </w:r>
      <w:r>
        <w:rPr>
          <w:spacing w:val="1"/>
        </w:rPr>
        <w:t xml:space="preserve"> </w:t>
      </w:r>
      <w:r>
        <w:t>a Governance</w:t>
      </w:r>
      <w:r>
        <w:rPr>
          <w:spacing w:val="1"/>
        </w:rPr>
        <w:t xml:space="preserve"> </w:t>
      </w:r>
      <w:r>
        <w:t>Board</w:t>
      </w:r>
      <w:r>
        <w:rPr>
          <w:spacing w:val="1"/>
        </w:rPr>
        <w:t xml:space="preserve"> </w:t>
      </w:r>
      <w:r>
        <w:t>to</w:t>
      </w:r>
      <w:r>
        <w:rPr>
          <w:spacing w:val="1"/>
        </w:rPr>
        <w:t xml:space="preserve"> </w:t>
      </w:r>
      <w:r>
        <w:rPr>
          <w:spacing w:val="-2"/>
        </w:rPr>
        <w:t>boost</w:t>
      </w:r>
      <w:r w:rsidR="002C62E4">
        <w:rPr>
          <w:spacing w:val="-2"/>
        </w:rPr>
        <w:t xml:space="preserve"> </w:t>
      </w:r>
      <w:r>
        <w:t>oversight</w:t>
      </w:r>
      <w:r>
        <w:rPr>
          <w:spacing w:val="-2"/>
        </w:rPr>
        <w:t xml:space="preserve"> </w:t>
      </w:r>
      <w:r>
        <w:t>of</w:t>
      </w:r>
      <w:r>
        <w:rPr>
          <w:spacing w:val="-1"/>
        </w:rPr>
        <w:t xml:space="preserve"> </w:t>
      </w:r>
      <w:r>
        <w:t>internal</w:t>
      </w:r>
      <w:r>
        <w:rPr>
          <w:spacing w:val="-1"/>
        </w:rPr>
        <w:t xml:space="preserve"> </w:t>
      </w:r>
      <w:r>
        <w:t>management</w:t>
      </w:r>
      <w:r>
        <w:rPr>
          <w:spacing w:val="-1"/>
        </w:rPr>
        <w:t xml:space="preserve"> </w:t>
      </w:r>
      <w:r>
        <w:t>(see</w:t>
      </w:r>
      <w:r>
        <w:rPr>
          <w:spacing w:val="-2"/>
        </w:rPr>
        <w:t xml:space="preserve"> </w:t>
      </w:r>
      <w:r>
        <w:t>Chapter</w:t>
      </w:r>
      <w:r>
        <w:rPr>
          <w:spacing w:val="-1"/>
        </w:rPr>
        <w:t xml:space="preserve"> </w:t>
      </w:r>
      <w:r>
        <w:t>5)</w:t>
      </w:r>
      <w:r w:rsidR="0068598E">
        <w:rPr>
          <w:spacing w:val="-24"/>
        </w:rPr>
        <w:t>.</w:t>
      </w:r>
    </w:p>
    <w:p w14:paraId="0D054108" w14:textId="7B99A844" w:rsidR="00914BEB" w:rsidRDefault="00914BEB" w:rsidP="00EF0C88">
      <w:pPr>
        <w:rPr>
          <w:sz w:val="17"/>
        </w:rPr>
      </w:pPr>
      <w:r>
        <w:t>The Review notes that reserving monetary policy responsibilities to a more specialised board echoes the structure in place for payments system policy</w:t>
      </w:r>
      <w:r w:rsidR="0068598E">
        <w:rPr>
          <w:spacing w:val="-23"/>
        </w:rPr>
        <w:t>.</w:t>
      </w:r>
      <w:r>
        <w:rPr>
          <w:w w:val="85"/>
        </w:rPr>
        <w:t xml:space="preserve"> </w:t>
      </w:r>
      <w:r>
        <w:t>The Payments System Board has had sole responsibility for the RBA’s payments system policy since the late 1990s</w:t>
      </w:r>
      <w:r w:rsidR="0068598E">
        <w:rPr>
          <w:spacing w:val="-17"/>
        </w:rPr>
        <w:t>.</w:t>
      </w:r>
    </w:p>
    <w:p w14:paraId="1D9C8DCD" w14:textId="77777777" w:rsidR="00914BEB" w:rsidRDefault="00914BEB" w:rsidP="002C62E4">
      <w:pPr>
        <w:pStyle w:val="Heading3"/>
      </w:pPr>
      <w:r>
        <w:t>Recommendation</w:t>
      </w:r>
      <w:r>
        <w:rPr>
          <w:spacing w:val="-8"/>
        </w:rPr>
        <w:t xml:space="preserve"> </w:t>
      </w:r>
      <w:r>
        <w:t>8.2:</w:t>
      </w:r>
      <w:r>
        <w:rPr>
          <w:spacing w:val="-8"/>
        </w:rPr>
        <w:t xml:space="preserve"> </w:t>
      </w:r>
      <w:r>
        <w:t>The</w:t>
      </w:r>
      <w:r>
        <w:rPr>
          <w:spacing w:val="-8"/>
        </w:rPr>
        <w:t xml:space="preserve"> </w:t>
      </w:r>
      <w:r>
        <w:t>Monetary</w:t>
      </w:r>
      <w:r>
        <w:rPr>
          <w:spacing w:val="-8"/>
        </w:rPr>
        <w:t xml:space="preserve"> </w:t>
      </w:r>
      <w:r>
        <w:t>Policy</w:t>
      </w:r>
      <w:r>
        <w:rPr>
          <w:spacing w:val="-8"/>
        </w:rPr>
        <w:t xml:space="preserve"> </w:t>
      </w:r>
      <w:r>
        <w:t>Board</w:t>
      </w:r>
      <w:r>
        <w:rPr>
          <w:spacing w:val="-8"/>
        </w:rPr>
        <w:t xml:space="preserve"> </w:t>
      </w:r>
      <w:r>
        <w:t>should</w:t>
      </w:r>
      <w:r>
        <w:rPr>
          <w:spacing w:val="-8"/>
        </w:rPr>
        <w:t xml:space="preserve"> </w:t>
      </w:r>
      <w:r>
        <w:t>have</w:t>
      </w:r>
      <w:r>
        <w:rPr>
          <w:spacing w:val="-8"/>
        </w:rPr>
        <w:t xml:space="preserve"> </w:t>
      </w:r>
      <w:r>
        <w:t>9</w:t>
      </w:r>
      <w:r>
        <w:rPr>
          <w:spacing w:val="-8"/>
        </w:rPr>
        <w:t xml:space="preserve"> </w:t>
      </w:r>
      <w:r>
        <w:t>members and be chaired by the Governor</w:t>
      </w:r>
    </w:p>
    <w:p w14:paraId="19F8A64D" w14:textId="7D911E05" w:rsidR="00914BEB" w:rsidRDefault="00914BEB" w:rsidP="002C62E4">
      <w:pPr>
        <w:rPr>
          <w:w w:val="85"/>
        </w:rPr>
      </w:pPr>
      <w:r>
        <w:t>The Review recommends that the Monetary Policy Board has 9 members, comprising the Governor, Deputy Governor, Treasury Secretary and 6 external members (Figure 3.1). In line with the arrangements of the current Reserve Bank Board, the Review recommends that the Governor chair the Monetary Policy Board, and that the Treasury Secretary be a voting member</w:t>
      </w:r>
      <w:r w:rsidR="0068598E">
        <w:rPr>
          <w:spacing w:val="-20"/>
        </w:rPr>
        <w:t>.</w:t>
      </w:r>
    </w:p>
    <w:p w14:paraId="580AA20A" w14:textId="77777777" w:rsidR="00611753" w:rsidRDefault="00611753" w:rsidP="002C62E4"/>
    <w:p w14:paraId="3B5DE512" w14:textId="4F61B1C2" w:rsidR="00BF24F1" w:rsidRDefault="00611753" w:rsidP="00EF0C88">
      <w:pPr>
        <w:pStyle w:val="BoxHeading"/>
        <w:rPr>
          <w:spacing w:val="-4"/>
        </w:rPr>
      </w:pPr>
      <w:r>
        <w:lastRenderedPageBreak/>
        <w:t>Figure</w:t>
      </w:r>
      <w:r>
        <w:rPr>
          <w:spacing w:val="-1"/>
        </w:rPr>
        <w:t xml:space="preserve"> </w:t>
      </w:r>
      <w:r>
        <w:t>3.1:</w:t>
      </w:r>
      <w:r>
        <w:rPr>
          <w:spacing w:val="-1"/>
        </w:rPr>
        <w:t xml:space="preserve"> </w:t>
      </w:r>
      <w:r>
        <w:t>Composition of</w:t>
      </w:r>
      <w:r>
        <w:rPr>
          <w:spacing w:val="-1"/>
        </w:rPr>
        <w:t xml:space="preserve"> </w:t>
      </w:r>
      <w:r>
        <w:t>the Monetary</w:t>
      </w:r>
      <w:r>
        <w:rPr>
          <w:spacing w:val="-1"/>
        </w:rPr>
        <w:t xml:space="preserve"> </w:t>
      </w:r>
      <w:r>
        <w:t xml:space="preserve">Policy </w:t>
      </w:r>
      <w:r>
        <w:rPr>
          <w:spacing w:val="-4"/>
        </w:rPr>
        <w:t>Board</w:t>
      </w:r>
    </w:p>
    <w:p w14:paraId="7D5E6451" w14:textId="071002F7" w:rsidR="00EF0C88" w:rsidRDefault="00955E33" w:rsidP="00955E33">
      <w:pPr>
        <w:jc w:val="center"/>
      </w:pPr>
      <w:r>
        <w:rPr>
          <w:noProof/>
        </w:rPr>
        <w:drawing>
          <wp:inline distT="0" distB="0" distL="0" distR="0" wp14:anchorId="0C4E7D20" wp14:editId="6034740B">
            <wp:extent cx="4893574" cy="5398019"/>
            <wp:effectExtent l="0" t="0" r="2540" b="0"/>
            <wp:docPr id="24" name="Picture 24" descr="An infographic showing how accountability, transparency and independence support good poli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 infographic showing how accountability, transparency and independence support good policy.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93574" cy="5398019"/>
                    </a:xfrm>
                    <a:prstGeom prst="rect">
                      <a:avLst/>
                    </a:prstGeom>
                  </pic:spPr>
                </pic:pic>
              </a:graphicData>
            </a:graphic>
          </wp:inline>
        </w:drawing>
      </w:r>
    </w:p>
    <w:p w14:paraId="41E6BC65" w14:textId="77777777" w:rsidR="00955E33" w:rsidRPr="00EF0C88" w:rsidRDefault="00955E33" w:rsidP="00955E33">
      <w:pPr>
        <w:jc w:val="center"/>
      </w:pPr>
    </w:p>
    <w:p w14:paraId="0E5F1D61" w14:textId="6B8BF89B" w:rsidR="004F542F" w:rsidRDefault="004F542F" w:rsidP="004F542F">
      <w:r>
        <w:t>By including</w:t>
      </w:r>
      <w:r>
        <w:rPr>
          <w:spacing w:val="-7"/>
        </w:rPr>
        <w:t xml:space="preserve"> </w:t>
      </w:r>
      <w:r>
        <w:t>6</w:t>
      </w:r>
      <w:r>
        <w:rPr>
          <w:spacing w:val="-7"/>
        </w:rPr>
        <w:t xml:space="preserve"> </w:t>
      </w:r>
      <w:r>
        <w:t>external</w:t>
      </w:r>
      <w:r>
        <w:rPr>
          <w:spacing w:val="-7"/>
        </w:rPr>
        <w:t xml:space="preserve"> </w:t>
      </w:r>
      <w:r>
        <w:t>members,</w:t>
      </w:r>
      <w:r>
        <w:rPr>
          <w:spacing w:val="-7"/>
        </w:rPr>
        <w:t xml:space="preserve"> </w:t>
      </w:r>
      <w:r>
        <w:t>the</w:t>
      </w:r>
      <w:r>
        <w:rPr>
          <w:spacing w:val="-7"/>
        </w:rPr>
        <w:t xml:space="preserve"> </w:t>
      </w:r>
      <w:r>
        <w:t>Monetary</w:t>
      </w:r>
      <w:r>
        <w:rPr>
          <w:spacing w:val="-7"/>
        </w:rPr>
        <w:t xml:space="preserve"> </w:t>
      </w:r>
      <w:r>
        <w:t>Policy</w:t>
      </w:r>
      <w:r>
        <w:rPr>
          <w:spacing w:val="-7"/>
        </w:rPr>
        <w:t xml:space="preserve"> </w:t>
      </w:r>
      <w:r>
        <w:t>Board</w:t>
      </w:r>
      <w:r>
        <w:rPr>
          <w:spacing w:val="-7"/>
        </w:rPr>
        <w:t xml:space="preserve"> </w:t>
      </w:r>
      <w:r>
        <w:t>would</w:t>
      </w:r>
      <w:r>
        <w:rPr>
          <w:spacing w:val="-7"/>
        </w:rPr>
        <w:t xml:space="preserve"> </w:t>
      </w:r>
      <w:r>
        <w:t>be</w:t>
      </w:r>
      <w:r>
        <w:rPr>
          <w:spacing w:val="-7"/>
        </w:rPr>
        <w:t xml:space="preserve"> </w:t>
      </w:r>
      <w:r>
        <w:t>weighted</w:t>
      </w:r>
      <w:r>
        <w:rPr>
          <w:spacing w:val="-7"/>
        </w:rPr>
        <w:t xml:space="preserve"> </w:t>
      </w:r>
      <w:r>
        <w:t>in</w:t>
      </w:r>
      <w:r>
        <w:rPr>
          <w:spacing w:val="-7"/>
        </w:rPr>
        <w:t xml:space="preserve"> </w:t>
      </w:r>
      <w:r>
        <w:t>favour</w:t>
      </w:r>
      <w:r>
        <w:rPr>
          <w:spacing w:val="-7"/>
        </w:rPr>
        <w:t xml:space="preserve"> </w:t>
      </w:r>
      <w:r>
        <w:t>of</w:t>
      </w:r>
      <w:r>
        <w:rPr>
          <w:spacing w:val="-7"/>
        </w:rPr>
        <w:t xml:space="preserve"> </w:t>
      </w:r>
      <w:r>
        <w:rPr>
          <w:spacing w:val="-2"/>
        </w:rPr>
        <w:t xml:space="preserve">external </w:t>
      </w:r>
      <w:r>
        <w:t>members.</w:t>
      </w:r>
      <w:r>
        <w:rPr>
          <w:spacing w:val="-12"/>
        </w:rPr>
        <w:t xml:space="preserve"> </w:t>
      </w:r>
      <w:r>
        <w:t>This</w:t>
      </w:r>
      <w:r>
        <w:rPr>
          <w:spacing w:val="-10"/>
        </w:rPr>
        <w:t xml:space="preserve"> </w:t>
      </w:r>
      <w:r>
        <w:t>would</w:t>
      </w:r>
      <w:r>
        <w:rPr>
          <w:spacing w:val="-10"/>
        </w:rPr>
        <w:t xml:space="preserve"> </w:t>
      </w:r>
      <w:r>
        <w:t>provide</w:t>
      </w:r>
      <w:r>
        <w:rPr>
          <w:spacing w:val="-10"/>
        </w:rPr>
        <w:t xml:space="preserve"> </w:t>
      </w:r>
      <w:r>
        <w:t>a</w:t>
      </w:r>
      <w:r>
        <w:rPr>
          <w:spacing w:val="-10"/>
        </w:rPr>
        <w:t xml:space="preserve"> </w:t>
      </w:r>
      <w:r>
        <w:t>healthy</w:t>
      </w:r>
      <w:r>
        <w:rPr>
          <w:spacing w:val="-10"/>
        </w:rPr>
        <w:t xml:space="preserve"> </w:t>
      </w:r>
      <w:r>
        <w:t>counterbalance</w:t>
      </w:r>
      <w:r>
        <w:rPr>
          <w:spacing w:val="-10"/>
        </w:rPr>
        <w:t xml:space="preserve"> </w:t>
      </w:r>
      <w:r>
        <w:t>to</w:t>
      </w:r>
      <w:r>
        <w:rPr>
          <w:spacing w:val="-10"/>
        </w:rPr>
        <w:t xml:space="preserve"> </w:t>
      </w:r>
      <w:r>
        <w:t>the</w:t>
      </w:r>
      <w:r>
        <w:rPr>
          <w:spacing w:val="-10"/>
        </w:rPr>
        <w:t xml:space="preserve"> </w:t>
      </w:r>
      <w:r>
        <w:t>influence</w:t>
      </w:r>
      <w:r>
        <w:rPr>
          <w:spacing w:val="-10"/>
        </w:rPr>
        <w:t xml:space="preserve"> </w:t>
      </w:r>
      <w:r>
        <w:t>of</w:t>
      </w:r>
      <w:r>
        <w:rPr>
          <w:spacing w:val="-10"/>
        </w:rPr>
        <w:t xml:space="preserve"> </w:t>
      </w:r>
      <w:r>
        <w:t>internal</w:t>
      </w:r>
      <w:r>
        <w:rPr>
          <w:spacing w:val="-10"/>
        </w:rPr>
        <w:t xml:space="preserve"> </w:t>
      </w:r>
      <w:r>
        <w:rPr>
          <w:spacing w:val="-2"/>
        </w:rPr>
        <w:t>members.</w:t>
      </w:r>
    </w:p>
    <w:p w14:paraId="71F6CABB" w14:textId="16499811" w:rsidR="004F542F" w:rsidRDefault="004F542F" w:rsidP="004F542F">
      <w:r>
        <w:t>Some consulted by the Review favoured appointing an external member of the Monetary Policy Board</w:t>
      </w:r>
      <w:r>
        <w:rPr>
          <w:spacing w:val="-1"/>
        </w:rPr>
        <w:t xml:space="preserve"> </w:t>
      </w:r>
      <w:r>
        <w:t>as</w:t>
      </w:r>
      <w:r>
        <w:rPr>
          <w:spacing w:val="-1"/>
        </w:rPr>
        <w:t xml:space="preserve"> </w:t>
      </w:r>
      <w:r>
        <w:t>chair.</w:t>
      </w:r>
      <w:r>
        <w:rPr>
          <w:spacing w:val="-1"/>
        </w:rPr>
        <w:t xml:space="preserve"> </w:t>
      </w:r>
      <w:r>
        <w:t>Gai</w:t>
      </w:r>
      <w:r>
        <w:rPr>
          <w:spacing w:val="-1"/>
        </w:rPr>
        <w:t xml:space="preserve"> </w:t>
      </w:r>
      <w:r>
        <w:t>(2023)</w:t>
      </w:r>
      <w:r>
        <w:rPr>
          <w:spacing w:val="-1"/>
        </w:rPr>
        <w:t xml:space="preserve"> </w:t>
      </w:r>
      <w:r>
        <w:t>and</w:t>
      </w:r>
      <w:r>
        <w:rPr>
          <w:spacing w:val="-1"/>
        </w:rPr>
        <w:t xml:space="preserve"> </w:t>
      </w:r>
      <w:r>
        <w:t>Levin</w:t>
      </w:r>
      <w:r>
        <w:rPr>
          <w:spacing w:val="-1"/>
        </w:rPr>
        <w:t xml:space="preserve"> </w:t>
      </w:r>
      <w:r>
        <w:t>(2023)</w:t>
      </w:r>
      <w:r>
        <w:rPr>
          <w:spacing w:val="-1"/>
        </w:rPr>
        <w:t xml:space="preserve"> </w:t>
      </w:r>
      <w:r>
        <w:t>shared</w:t>
      </w:r>
      <w:r>
        <w:rPr>
          <w:spacing w:val="-1"/>
        </w:rPr>
        <w:t xml:space="preserve"> </w:t>
      </w:r>
      <w:r>
        <w:t>this</w:t>
      </w:r>
      <w:r>
        <w:rPr>
          <w:spacing w:val="-1"/>
        </w:rPr>
        <w:t xml:space="preserve"> </w:t>
      </w:r>
      <w:r>
        <w:t>view.</w:t>
      </w:r>
      <w:r>
        <w:rPr>
          <w:spacing w:val="-1"/>
        </w:rPr>
        <w:t xml:space="preserve"> </w:t>
      </w:r>
      <w:r>
        <w:t>Chairs</w:t>
      </w:r>
      <w:r>
        <w:rPr>
          <w:spacing w:val="-1"/>
        </w:rPr>
        <w:t xml:space="preserve"> </w:t>
      </w:r>
      <w:r>
        <w:t>are</w:t>
      </w:r>
      <w:r>
        <w:rPr>
          <w:spacing w:val="-1"/>
        </w:rPr>
        <w:t xml:space="preserve"> </w:t>
      </w:r>
      <w:r>
        <w:t>influential</w:t>
      </w:r>
      <w:r>
        <w:rPr>
          <w:spacing w:val="-1"/>
        </w:rPr>
        <w:t xml:space="preserve"> </w:t>
      </w:r>
      <w:r>
        <w:t>in</w:t>
      </w:r>
      <w:r>
        <w:rPr>
          <w:spacing w:val="-1"/>
        </w:rPr>
        <w:t xml:space="preserve"> </w:t>
      </w:r>
      <w:r>
        <w:t>discussions because they set agendas and can frame and shape the discussion</w:t>
      </w:r>
      <w:r w:rsidR="0068598E">
        <w:rPr>
          <w:spacing w:val="-19"/>
        </w:rPr>
        <w:t>.</w:t>
      </w:r>
      <w:r>
        <w:rPr>
          <w:w w:val="85"/>
        </w:rPr>
        <w:t xml:space="preserve"> </w:t>
      </w:r>
      <w:r>
        <w:t>Choosing a chair from among the external members would help to decentralise power (Gai 2023; Levin 2023).</w:t>
      </w:r>
    </w:p>
    <w:p w14:paraId="0843D5F3" w14:textId="1DC35B06" w:rsidR="00785EAA" w:rsidRDefault="00785EAA" w:rsidP="00785EAA">
      <w:pPr>
        <w:rPr>
          <w:sz w:val="10"/>
        </w:rPr>
      </w:pPr>
      <w:r>
        <w:t>While acknowledging these points, the Review considers that the Governor is best placed to be</w:t>
      </w:r>
      <w:r>
        <w:rPr>
          <w:spacing w:val="80"/>
        </w:rPr>
        <w:t xml:space="preserve"> </w:t>
      </w:r>
      <w:r>
        <w:t>the chair of the Monetary Policy Board</w:t>
      </w:r>
      <w:r w:rsidR="0068598E">
        <w:rPr>
          <w:spacing w:val="-18"/>
        </w:rPr>
        <w:t>.</w:t>
      </w:r>
      <w:r>
        <w:rPr>
          <w:w w:val="85"/>
        </w:rPr>
        <w:t xml:space="preserve"> </w:t>
      </w:r>
      <w:r>
        <w:t>The Governor will be responsible for communicating the decisions and reasoning of the Monetary Policy Board through regular press conferences (see Recommendation 10.1). The Governor has depth of expertise and strong familiarity with monetary policy issues</w:t>
      </w:r>
      <w:r w:rsidR="0068598E">
        <w:rPr>
          <w:spacing w:val="-19"/>
        </w:rPr>
        <w:t>.</w:t>
      </w:r>
      <w:r>
        <w:rPr>
          <w:w w:val="85"/>
        </w:rPr>
        <w:t xml:space="preserve"> </w:t>
      </w:r>
      <w:r>
        <w:t>The Governor will be the only member of all the RBA’s Board</w:t>
      </w:r>
      <w:r w:rsidR="007E5C74">
        <w:t>s.</w:t>
      </w:r>
      <w:r w:rsidR="007E5C74">
        <w:rPr>
          <w:rStyle w:val="FootnoteReference"/>
        </w:rPr>
        <w:footnoteReference w:id="9"/>
      </w:r>
    </w:p>
    <w:p w14:paraId="2D738C3E" w14:textId="35CEDF31" w:rsidR="00785EAA" w:rsidRDefault="00785EAA" w:rsidP="00785EAA">
      <w:r>
        <w:lastRenderedPageBreak/>
        <w:t>The continued inclusion of the Deputy Governor in monetary policy decision making is valuable, given the Deputy Governor’s expertise and depth of understanding in monetary policy issues</w:t>
      </w:r>
      <w:r w:rsidR="0068598E">
        <w:rPr>
          <w:spacing w:val="-19"/>
        </w:rPr>
        <w:t>.</w:t>
      </w:r>
      <w:r>
        <w:rPr>
          <w:w w:val="85"/>
        </w:rPr>
        <w:t xml:space="preserve"> </w:t>
      </w:r>
      <w:r>
        <w:t>In practice, the Deputy Governor provides valuable alternate perspectives on issues and, as in other monetary policy committees, is free to vote differently from the Governor.</w:t>
      </w:r>
    </w:p>
    <w:p w14:paraId="2A9903BB" w14:textId="17E458EF" w:rsidR="00785EAA" w:rsidRDefault="00785EAA" w:rsidP="00785EAA">
      <w:r>
        <w:t>Including the Deputy Governor on the Monetary Policy Board also manages key person risk and succession planning with regard to the Governor, although it should not be assumed that a Deputy Governor is the next Governor in waiting</w:t>
      </w:r>
      <w:r w:rsidR="0068598E">
        <w:rPr>
          <w:spacing w:val="-18"/>
        </w:rPr>
        <w:t>.</w:t>
      </w:r>
      <w:r>
        <w:rPr>
          <w:w w:val="85"/>
        </w:rPr>
        <w:t xml:space="preserve"> </w:t>
      </w:r>
      <w:r>
        <w:t>At the moment, the Deputy Governor’s role is broad</w:t>
      </w:r>
      <w:r w:rsidR="00221383">
        <w:t xml:space="preserve"> </w:t>
      </w:r>
      <w:r>
        <w:t>and encompasses policy and the running of the institution</w:t>
      </w:r>
      <w:r w:rsidR="0068598E">
        <w:rPr>
          <w:spacing w:val="-19"/>
        </w:rPr>
        <w:t>.</w:t>
      </w:r>
      <w:r>
        <w:rPr>
          <w:w w:val="85"/>
        </w:rPr>
        <w:t xml:space="preserve"> </w:t>
      </w:r>
      <w:r>
        <w:t>To support the Deputy Governor’s effectiveness in their policy role, the Review recommends creating a complementary position of Chief Operating Officer (see Chapter 4).</w:t>
      </w:r>
    </w:p>
    <w:p w14:paraId="2D55DFAF" w14:textId="77777777" w:rsidR="00785EAA" w:rsidRDefault="00785EAA" w:rsidP="00785EAA">
      <w:pPr>
        <w:pStyle w:val="Heading4"/>
      </w:pPr>
      <w:r>
        <w:t>Treasury</w:t>
      </w:r>
      <w:r>
        <w:rPr>
          <w:spacing w:val="2"/>
        </w:rPr>
        <w:t xml:space="preserve"> </w:t>
      </w:r>
      <w:r>
        <w:t>Secretary</w:t>
      </w:r>
      <w:r>
        <w:rPr>
          <w:spacing w:val="2"/>
        </w:rPr>
        <w:t xml:space="preserve"> </w:t>
      </w:r>
      <w:r>
        <w:t>should</w:t>
      </w:r>
      <w:r>
        <w:rPr>
          <w:spacing w:val="2"/>
        </w:rPr>
        <w:t xml:space="preserve"> </w:t>
      </w:r>
      <w:r>
        <w:t>be</w:t>
      </w:r>
      <w:r>
        <w:rPr>
          <w:spacing w:val="2"/>
        </w:rPr>
        <w:t xml:space="preserve"> </w:t>
      </w:r>
      <w:r>
        <w:t>a</w:t>
      </w:r>
      <w:r>
        <w:rPr>
          <w:spacing w:val="2"/>
        </w:rPr>
        <w:t xml:space="preserve"> </w:t>
      </w:r>
      <w:r>
        <w:t>member</w:t>
      </w:r>
      <w:r>
        <w:rPr>
          <w:spacing w:val="2"/>
        </w:rPr>
        <w:t xml:space="preserve"> </w:t>
      </w:r>
      <w:r>
        <w:t>of</w:t>
      </w:r>
      <w:r>
        <w:rPr>
          <w:spacing w:val="2"/>
        </w:rPr>
        <w:t xml:space="preserve"> </w:t>
      </w:r>
      <w:r>
        <w:t>the</w:t>
      </w:r>
      <w:r>
        <w:rPr>
          <w:spacing w:val="2"/>
        </w:rPr>
        <w:t xml:space="preserve"> </w:t>
      </w:r>
      <w:r>
        <w:t>Monetary</w:t>
      </w:r>
      <w:r>
        <w:rPr>
          <w:spacing w:val="2"/>
        </w:rPr>
        <w:t xml:space="preserve"> </w:t>
      </w:r>
      <w:r>
        <w:t>Policy</w:t>
      </w:r>
      <w:r>
        <w:rPr>
          <w:spacing w:val="3"/>
        </w:rPr>
        <w:t xml:space="preserve"> </w:t>
      </w:r>
      <w:r>
        <w:rPr>
          <w:spacing w:val="-2"/>
        </w:rPr>
        <w:t>Board</w:t>
      </w:r>
    </w:p>
    <w:p w14:paraId="527314D7" w14:textId="39F1DDC4" w:rsidR="00785EAA" w:rsidRDefault="00785EAA" w:rsidP="00785EAA">
      <w:r>
        <w:t>The Treasury Secretary is well placed to provide an independent economic perspective and challenge the view of the RBA executive. The Treasury Secretary has access to expert Treasury staff views on economic conditions and to separate forecasts</w:t>
      </w:r>
      <w:r w:rsidR="0068598E">
        <w:rPr>
          <w:spacing w:val="-18"/>
        </w:rPr>
        <w:t>.</w:t>
      </w:r>
      <w:r>
        <w:rPr>
          <w:w w:val="85"/>
        </w:rPr>
        <w:t xml:space="preserve"> </w:t>
      </w:r>
      <w:r>
        <w:t>Consultations with current and former Reserve Bank Board members highlighted the value of these perspectives</w:t>
      </w:r>
      <w:r w:rsidR="0068598E">
        <w:rPr>
          <w:spacing w:val="-21"/>
        </w:rPr>
        <w:t>.</w:t>
      </w:r>
      <w:r>
        <w:rPr>
          <w:w w:val="85"/>
        </w:rPr>
        <w:t xml:space="preserve"> </w:t>
      </w:r>
      <w:r>
        <w:t>The Treasury Secretary also plays an important role as an information conduit between the decision-making bodies for fiscal and monetary policy, particularly during crises.</w:t>
      </w:r>
    </w:p>
    <w:p w14:paraId="080AE76B" w14:textId="3857BF3E" w:rsidR="00785EAA" w:rsidRDefault="00785EAA" w:rsidP="00785EAA">
      <w:r>
        <w:t>Some consultations and submissions raised concerns about having the Treasury Secretary on the Reserve Bank Board</w:t>
      </w:r>
      <w:r w:rsidR="0068598E">
        <w:rPr>
          <w:spacing w:val="-19"/>
        </w:rPr>
        <w:t>.</w:t>
      </w:r>
      <w:r>
        <w:rPr>
          <w:w w:val="85"/>
        </w:rPr>
        <w:t xml:space="preserve"> </w:t>
      </w:r>
      <w:r>
        <w:t>These included the risk of actual or perceived interference with the RBA’s</w:t>
      </w:r>
      <w:r>
        <w:rPr>
          <w:spacing w:val="-2"/>
        </w:rPr>
        <w:t xml:space="preserve"> </w:t>
      </w:r>
      <w:r>
        <w:t>independence</w:t>
      </w:r>
      <w:r w:rsidR="0068598E">
        <w:rPr>
          <w:spacing w:val="-25"/>
        </w:rPr>
        <w:t>.</w:t>
      </w:r>
      <w:r>
        <w:rPr>
          <w:w w:val="85"/>
        </w:rPr>
        <w:t xml:space="preserve"> </w:t>
      </w:r>
      <w:r>
        <w:t>Based</w:t>
      </w:r>
      <w:r>
        <w:rPr>
          <w:spacing w:val="-2"/>
        </w:rPr>
        <w:t xml:space="preserve"> </w:t>
      </w:r>
      <w:r>
        <w:t>on</w:t>
      </w:r>
      <w:r>
        <w:rPr>
          <w:spacing w:val="-2"/>
        </w:rPr>
        <w:t xml:space="preserve"> </w:t>
      </w:r>
      <w:r>
        <w:t>its</w:t>
      </w:r>
      <w:r>
        <w:rPr>
          <w:spacing w:val="-2"/>
        </w:rPr>
        <w:t xml:space="preserve"> </w:t>
      </w:r>
      <w:r>
        <w:t>conversations</w:t>
      </w:r>
      <w:r>
        <w:rPr>
          <w:spacing w:val="-2"/>
        </w:rPr>
        <w:t xml:space="preserve"> </w:t>
      </w:r>
      <w:r>
        <w:t>with</w:t>
      </w:r>
      <w:r>
        <w:rPr>
          <w:spacing w:val="-2"/>
        </w:rPr>
        <w:t xml:space="preserve"> </w:t>
      </w:r>
      <w:r>
        <w:t>current</w:t>
      </w:r>
      <w:r>
        <w:rPr>
          <w:spacing w:val="-2"/>
        </w:rPr>
        <w:t xml:space="preserve"> </w:t>
      </w:r>
      <w:r>
        <w:t>and</w:t>
      </w:r>
      <w:r>
        <w:rPr>
          <w:spacing w:val="-2"/>
        </w:rPr>
        <w:t xml:space="preserve"> </w:t>
      </w:r>
      <w:r>
        <w:t>former</w:t>
      </w:r>
      <w:r>
        <w:rPr>
          <w:spacing w:val="-2"/>
        </w:rPr>
        <w:t xml:space="preserve"> </w:t>
      </w:r>
      <w:r>
        <w:t>Treasurers,</w:t>
      </w:r>
      <w:r>
        <w:rPr>
          <w:spacing w:val="-2"/>
        </w:rPr>
        <w:t xml:space="preserve"> </w:t>
      </w:r>
      <w:r>
        <w:t>Treasury Secretaries</w:t>
      </w:r>
      <w:r>
        <w:rPr>
          <w:spacing w:val="-1"/>
        </w:rPr>
        <w:t xml:space="preserve"> </w:t>
      </w:r>
      <w:r>
        <w:t>and</w:t>
      </w:r>
      <w:r>
        <w:rPr>
          <w:spacing w:val="2"/>
        </w:rPr>
        <w:t xml:space="preserve"> </w:t>
      </w:r>
      <w:r>
        <w:t>Governors,</w:t>
      </w:r>
      <w:r>
        <w:rPr>
          <w:spacing w:val="1"/>
        </w:rPr>
        <w:t xml:space="preserve"> </w:t>
      </w:r>
      <w:r>
        <w:t>the</w:t>
      </w:r>
      <w:r>
        <w:rPr>
          <w:spacing w:val="2"/>
        </w:rPr>
        <w:t xml:space="preserve"> </w:t>
      </w:r>
      <w:r>
        <w:t>Review</w:t>
      </w:r>
      <w:r>
        <w:rPr>
          <w:spacing w:val="1"/>
        </w:rPr>
        <w:t xml:space="preserve"> </w:t>
      </w:r>
      <w:r>
        <w:t>is</w:t>
      </w:r>
      <w:r>
        <w:rPr>
          <w:spacing w:val="2"/>
        </w:rPr>
        <w:t xml:space="preserve"> </w:t>
      </w:r>
      <w:r>
        <w:t>confident</w:t>
      </w:r>
      <w:r>
        <w:rPr>
          <w:spacing w:val="2"/>
        </w:rPr>
        <w:t xml:space="preserve"> </w:t>
      </w:r>
      <w:r>
        <w:t>that</w:t>
      </w:r>
      <w:r>
        <w:rPr>
          <w:spacing w:val="1"/>
        </w:rPr>
        <w:t xml:space="preserve"> </w:t>
      </w:r>
      <w:r>
        <w:t>a</w:t>
      </w:r>
      <w:r>
        <w:rPr>
          <w:spacing w:val="2"/>
        </w:rPr>
        <w:t xml:space="preserve"> </w:t>
      </w:r>
      <w:r>
        <w:t>Treasury</w:t>
      </w:r>
      <w:r>
        <w:rPr>
          <w:spacing w:val="1"/>
        </w:rPr>
        <w:t xml:space="preserve"> </w:t>
      </w:r>
      <w:r>
        <w:t>Secretary</w:t>
      </w:r>
      <w:r>
        <w:rPr>
          <w:spacing w:val="2"/>
        </w:rPr>
        <w:t xml:space="preserve"> </w:t>
      </w:r>
      <w:r>
        <w:t>has</w:t>
      </w:r>
      <w:r>
        <w:rPr>
          <w:spacing w:val="1"/>
        </w:rPr>
        <w:t xml:space="preserve"> </w:t>
      </w:r>
      <w:r>
        <w:t>not</w:t>
      </w:r>
      <w:r>
        <w:rPr>
          <w:spacing w:val="2"/>
        </w:rPr>
        <w:t xml:space="preserve"> </w:t>
      </w:r>
      <w:r>
        <w:t>been</w:t>
      </w:r>
      <w:r>
        <w:rPr>
          <w:spacing w:val="2"/>
        </w:rPr>
        <w:t xml:space="preserve"> </w:t>
      </w:r>
      <w:r>
        <w:rPr>
          <w:spacing w:val="-2"/>
        </w:rPr>
        <w:t xml:space="preserve">directed </w:t>
      </w:r>
      <w:r>
        <w:t>in</w:t>
      </w:r>
      <w:r>
        <w:rPr>
          <w:spacing w:val="-1"/>
        </w:rPr>
        <w:t xml:space="preserve"> </w:t>
      </w:r>
      <w:r>
        <w:t>recent</w:t>
      </w:r>
      <w:r>
        <w:rPr>
          <w:spacing w:val="-1"/>
        </w:rPr>
        <w:t xml:space="preserve"> </w:t>
      </w:r>
      <w:r>
        <w:t>decades</w:t>
      </w:r>
      <w:r>
        <w:rPr>
          <w:spacing w:val="-1"/>
        </w:rPr>
        <w:t xml:space="preserve"> </w:t>
      </w:r>
      <w:r>
        <w:t>to argue</w:t>
      </w:r>
      <w:r>
        <w:rPr>
          <w:spacing w:val="-1"/>
        </w:rPr>
        <w:t xml:space="preserve"> </w:t>
      </w:r>
      <w:r>
        <w:t>the</w:t>
      </w:r>
      <w:r>
        <w:rPr>
          <w:spacing w:val="-1"/>
        </w:rPr>
        <w:t xml:space="preserve"> </w:t>
      </w:r>
      <w:r>
        <w:t>position of</w:t>
      </w:r>
      <w:r>
        <w:rPr>
          <w:spacing w:val="-1"/>
        </w:rPr>
        <w:t xml:space="preserve"> </w:t>
      </w:r>
      <w:r>
        <w:t>the</w:t>
      </w:r>
      <w:r>
        <w:rPr>
          <w:spacing w:val="-1"/>
        </w:rPr>
        <w:t xml:space="preserve"> </w:t>
      </w:r>
      <w:r>
        <w:t>Treasurer in</w:t>
      </w:r>
      <w:r>
        <w:rPr>
          <w:spacing w:val="-1"/>
        </w:rPr>
        <w:t xml:space="preserve"> </w:t>
      </w:r>
      <w:r>
        <w:t>the</w:t>
      </w:r>
      <w:r>
        <w:rPr>
          <w:spacing w:val="-1"/>
        </w:rPr>
        <w:t xml:space="preserve"> </w:t>
      </w:r>
      <w:r>
        <w:t>Reserve Bank</w:t>
      </w:r>
      <w:r>
        <w:rPr>
          <w:spacing w:val="-1"/>
        </w:rPr>
        <w:t xml:space="preserve"> </w:t>
      </w:r>
      <w:r>
        <w:t>Board</w:t>
      </w:r>
      <w:r w:rsidR="0068598E">
        <w:rPr>
          <w:spacing w:val="-24"/>
        </w:rPr>
        <w:t>.</w:t>
      </w:r>
    </w:p>
    <w:p w14:paraId="255C967D" w14:textId="42881F65" w:rsidR="00785EAA" w:rsidRDefault="00785EAA" w:rsidP="00785EAA">
      <w:r>
        <w:t>The Review acknowledges that inclusion of the Treasury Secretary as a voting member is unusual, and some stakeholders strongly disagreed with their full participation</w:t>
      </w:r>
      <w:r w:rsidR="0068598E">
        <w:rPr>
          <w:spacing w:val="-18"/>
        </w:rPr>
        <w:t>.</w:t>
      </w:r>
      <w:r>
        <w:rPr>
          <w:w w:val="85"/>
        </w:rPr>
        <w:t xml:space="preserve"> </w:t>
      </w:r>
      <w:r>
        <w:t>At most of the RBA’s peer central banks, an official of the treasury or finance ministry does not attend decision-making meetings for monetary policy. In a few cases, an official attends but does not vote (for example the Bank of England and the Reserve Bank of New Zealand).</w:t>
      </w:r>
    </w:p>
    <w:p w14:paraId="28028AB8" w14:textId="1EE2D79A" w:rsidR="00785EAA" w:rsidRDefault="00785EAA" w:rsidP="00785EAA">
      <w:r>
        <w:t>The</w:t>
      </w:r>
      <w:r>
        <w:rPr>
          <w:spacing w:val="-4"/>
        </w:rPr>
        <w:t xml:space="preserve"> </w:t>
      </w:r>
      <w:r>
        <w:t>Review’s</w:t>
      </w:r>
      <w:r>
        <w:rPr>
          <w:spacing w:val="-4"/>
        </w:rPr>
        <w:t xml:space="preserve"> </w:t>
      </w:r>
      <w:r>
        <w:t>assessment</w:t>
      </w:r>
      <w:r>
        <w:rPr>
          <w:spacing w:val="-3"/>
        </w:rPr>
        <w:t xml:space="preserve"> </w:t>
      </w:r>
      <w:r>
        <w:t>is</w:t>
      </w:r>
      <w:r>
        <w:rPr>
          <w:spacing w:val="-4"/>
        </w:rPr>
        <w:t xml:space="preserve"> </w:t>
      </w:r>
      <w:r>
        <w:t>that</w:t>
      </w:r>
      <w:r>
        <w:rPr>
          <w:spacing w:val="-3"/>
        </w:rPr>
        <w:t xml:space="preserve"> </w:t>
      </w:r>
      <w:r>
        <w:t>the</w:t>
      </w:r>
      <w:r>
        <w:rPr>
          <w:spacing w:val="-4"/>
        </w:rPr>
        <w:t xml:space="preserve"> </w:t>
      </w:r>
      <w:r>
        <w:t>risks</w:t>
      </w:r>
      <w:r>
        <w:rPr>
          <w:spacing w:val="-4"/>
        </w:rPr>
        <w:t xml:space="preserve"> </w:t>
      </w:r>
      <w:r>
        <w:t>to</w:t>
      </w:r>
      <w:r>
        <w:rPr>
          <w:spacing w:val="-3"/>
        </w:rPr>
        <w:t xml:space="preserve"> </w:t>
      </w:r>
      <w:r>
        <w:t>RBA</w:t>
      </w:r>
      <w:r>
        <w:rPr>
          <w:spacing w:val="-4"/>
        </w:rPr>
        <w:t xml:space="preserve"> </w:t>
      </w:r>
      <w:r>
        <w:t>independence</w:t>
      </w:r>
      <w:r>
        <w:rPr>
          <w:spacing w:val="-3"/>
        </w:rPr>
        <w:t xml:space="preserve"> </w:t>
      </w:r>
      <w:r>
        <w:t>from</w:t>
      </w:r>
      <w:r>
        <w:rPr>
          <w:spacing w:val="-4"/>
        </w:rPr>
        <w:t xml:space="preserve"> </w:t>
      </w:r>
      <w:r>
        <w:t>the</w:t>
      </w:r>
      <w:r>
        <w:rPr>
          <w:spacing w:val="-4"/>
        </w:rPr>
        <w:t xml:space="preserve"> </w:t>
      </w:r>
      <w:r>
        <w:t>influence</w:t>
      </w:r>
      <w:r>
        <w:rPr>
          <w:spacing w:val="-3"/>
        </w:rPr>
        <w:t xml:space="preserve"> </w:t>
      </w:r>
      <w:r>
        <w:t>of</w:t>
      </w:r>
      <w:r>
        <w:rPr>
          <w:spacing w:val="-4"/>
        </w:rPr>
        <w:t xml:space="preserve"> </w:t>
      </w:r>
      <w:r>
        <w:t>a</w:t>
      </w:r>
      <w:r>
        <w:rPr>
          <w:spacing w:val="-3"/>
        </w:rPr>
        <w:t xml:space="preserve"> </w:t>
      </w:r>
      <w:r>
        <w:rPr>
          <w:spacing w:val="-2"/>
        </w:rPr>
        <w:t xml:space="preserve">single </w:t>
      </w:r>
      <w:r>
        <w:t>member</w:t>
      </w:r>
      <w:r>
        <w:rPr>
          <w:spacing w:val="-8"/>
        </w:rPr>
        <w:t xml:space="preserve"> </w:t>
      </w:r>
      <w:r>
        <w:t>are</w:t>
      </w:r>
      <w:r>
        <w:rPr>
          <w:spacing w:val="-5"/>
        </w:rPr>
        <w:t xml:space="preserve"> </w:t>
      </w:r>
      <w:r>
        <w:t>limited</w:t>
      </w:r>
      <w:r>
        <w:rPr>
          <w:spacing w:val="-5"/>
        </w:rPr>
        <w:t xml:space="preserve"> </w:t>
      </w:r>
      <w:r>
        <w:t>and</w:t>
      </w:r>
      <w:r>
        <w:rPr>
          <w:spacing w:val="-5"/>
        </w:rPr>
        <w:t xml:space="preserve"> </w:t>
      </w:r>
      <w:r>
        <w:t>can</w:t>
      </w:r>
      <w:r>
        <w:rPr>
          <w:spacing w:val="-5"/>
        </w:rPr>
        <w:t xml:space="preserve"> </w:t>
      </w:r>
      <w:r>
        <w:t>be</w:t>
      </w:r>
      <w:r>
        <w:rPr>
          <w:spacing w:val="-5"/>
        </w:rPr>
        <w:t xml:space="preserve"> </w:t>
      </w:r>
      <w:r>
        <w:t>managed</w:t>
      </w:r>
      <w:r>
        <w:rPr>
          <w:spacing w:val="-5"/>
        </w:rPr>
        <w:t xml:space="preserve"> </w:t>
      </w:r>
      <w:r>
        <w:t>with</w:t>
      </w:r>
      <w:r>
        <w:rPr>
          <w:spacing w:val="-5"/>
        </w:rPr>
        <w:t xml:space="preserve"> </w:t>
      </w:r>
      <w:r>
        <w:t>the</w:t>
      </w:r>
      <w:r>
        <w:rPr>
          <w:spacing w:val="-5"/>
        </w:rPr>
        <w:t xml:space="preserve"> </w:t>
      </w:r>
      <w:r>
        <w:t>additional</w:t>
      </w:r>
      <w:r>
        <w:rPr>
          <w:spacing w:val="-5"/>
        </w:rPr>
        <w:t xml:space="preserve"> </w:t>
      </w:r>
      <w:r>
        <w:t>safeguards</w:t>
      </w:r>
      <w:r>
        <w:rPr>
          <w:spacing w:val="-5"/>
        </w:rPr>
        <w:t xml:space="preserve"> </w:t>
      </w:r>
      <w:r>
        <w:t>set</w:t>
      </w:r>
      <w:r>
        <w:rPr>
          <w:spacing w:val="-5"/>
        </w:rPr>
        <w:t xml:space="preserve"> </w:t>
      </w:r>
      <w:r>
        <w:t>out</w:t>
      </w:r>
      <w:r>
        <w:rPr>
          <w:spacing w:val="-5"/>
        </w:rPr>
        <w:t xml:space="preserve"> </w:t>
      </w:r>
      <w:r>
        <w:t>in</w:t>
      </w:r>
      <w:r>
        <w:rPr>
          <w:spacing w:val="-5"/>
        </w:rPr>
        <w:t xml:space="preserve"> </w:t>
      </w:r>
      <w:r>
        <w:rPr>
          <w:spacing w:val="-2"/>
        </w:rPr>
        <w:t xml:space="preserve">Recommendation </w:t>
      </w:r>
      <w:r>
        <w:t>8.3. In the Australian institutional context, the net benefits can be substantial. The Review</w:t>
      </w:r>
      <w:r>
        <w:rPr>
          <w:spacing w:val="40"/>
        </w:rPr>
        <w:t xml:space="preserve"> </w:t>
      </w:r>
      <w:r>
        <w:t>also</w:t>
      </w:r>
      <w:r>
        <w:rPr>
          <w:spacing w:val="-1"/>
        </w:rPr>
        <w:t xml:space="preserve"> </w:t>
      </w:r>
      <w:r>
        <w:t>recommends</w:t>
      </w:r>
      <w:r>
        <w:rPr>
          <w:spacing w:val="-1"/>
        </w:rPr>
        <w:t xml:space="preserve"> </w:t>
      </w:r>
      <w:r>
        <w:t>the</w:t>
      </w:r>
      <w:r>
        <w:rPr>
          <w:spacing w:val="-1"/>
        </w:rPr>
        <w:t xml:space="preserve"> </w:t>
      </w:r>
      <w:r>
        <w:t>removal</w:t>
      </w:r>
      <w:r>
        <w:rPr>
          <w:spacing w:val="-1"/>
        </w:rPr>
        <w:t xml:space="preserve"> </w:t>
      </w:r>
      <w:r>
        <w:t>of</w:t>
      </w:r>
      <w:r>
        <w:rPr>
          <w:spacing w:val="-1"/>
        </w:rPr>
        <w:t xml:space="preserve"> </w:t>
      </w:r>
      <w:r>
        <w:t>s</w:t>
      </w:r>
      <w:r>
        <w:rPr>
          <w:spacing w:val="-1"/>
        </w:rPr>
        <w:t xml:space="preserve"> </w:t>
      </w:r>
      <w:r>
        <w:t>11</w:t>
      </w:r>
      <w:r>
        <w:rPr>
          <w:spacing w:val="-1"/>
        </w:rPr>
        <w:t xml:space="preserve"> </w:t>
      </w:r>
      <w:r>
        <w:t>of</w:t>
      </w:r>
      <w:r>
        <w:rPr>
          <w:spacing w:val="-1"/>
        </w:rPr>
        <w:t xml:space="preserve"> </w:t>
      </w:r>
      <w:r>
        <w:t>the</w:t>
      </w:r>
      <w:r>
        <w:rPr>
          <w:spacing w:val="-1"/>
        </w:rPr>
        <w:t xml:space="preserve"> </w:t>
      </w:r>
      <w:r>
        <w:t>RBA</w:t>
      </w:r>
      <w:r>
        <w:rPr>
          <w:spacing w:val="-1"/>
        </w:rPr>
        <w:t xml:space="preserve"> </w:t>
      </w:r>
      <w:r>
        <w:t>Act</w:t>
      </w:r>
      <w:r>
        <w:rPr>
          <w:spacing w:val="-1"/>
        </w:rPr>
        <w:t xml:space="preserve"> </w:t>
      </w:r>
      <w:r>
        <w:t>in</w:t>
      </w:r>
      <w:r>
        <w:rPr>
          <w:spacing w:val="-1"/>
        </w:rPr>
        <w:t xml:space="preserve"> </w:t>
      </w:r>
      <w:r>
        <w:t>order</w:t>
      </w:r>
      <w:r>
        <w:rPr>
          <w:spacing w:val="-1"/>
        </w:rPr>
        <w:t xml:space="preserve"> </w:t>
      </w:r>
      <w:r>
        <w:t>to</w:t>
      </w:r>
      <w:r>
        <w:rPr>
          <w:spacing w:val="-1"/>
        </w:rPr>
        <w:t xml:space="preserve"> </w:t>
      </w:r>
      <w:r>
        <w:t>strengthen</w:t>
      </w:r>
      <w:r>
        <w:rPr>
          <w:spacing w:val="-1"/>
        </w:rPr>
        <w:t xml:space="preserve"> </w:t>
      </w:r>
      <w:r>
        <w:t>further</w:t>
      </w:r>
      <w:r>
        <w:rPr>
          <w:spacing w:val="-1"/>
        </w:rPr>
        <w:t xml:space="preserve"> </w:t>
      </w:r>
      <w:r>
        <w:t>the</w:t>
      </w:r>
      <w:r>
        <w:rPr>
          <w:spacing w:val="-1"/>
        </w:rPr>
        <w:t xml:space="preserve"> </w:t>
      </w:r>
      <w:r>
        <w:t>RBA’s independence (see Recommendation 1</w:t>
      </w:r>
      <w:r w:rsidR="0068598E">
        <w:rPr>
          <w:spacing w:val="-20"/>
        </w:rPr>
        <w:t>.</w:t>
      </w:r>
      <w:r>
        <w:rPr>
          <w:w w:val="126"/>
        </w:rPr>
        <w:t>1</w:t>
      </w:r>
      <w:r>
        <w:rPr>
          <w:w w:val="99"/>
        </w:rPr>
        <w:t xml:space="preserve"> </w:t>
      </w:r>
      <w:r>
        <w:t>in Chapter 2)</w:t>
      </w:r>
      <w:r w:rsidR="0068598E">
        <w:rPr>
          <w:spacing w:val="-20"/>
        </w:rPr>
        <w:t>.</w:t>
      </w:r>
    </w:p>
    <w:p w14:paraId="4D02DAE2" w14:textId="77777777" w:rsidR="00CE49D7" w:rsidRDefault="00CE49D7" w:rsidP="00CE49D7">
      <w:pPr>
        <w:pStyle w:val="Heading3"/>
      </w:pPr>
      <w:r>
        <w:t>Recommendation</w:t>
      </w:r>
      <w:r>
        <w:rPr>
          <w:spacing w:val="-10"/>
        </w:rPr>
        <w:t xml:space="preserve"> </w:t>
      </w:r>
      <w:r>
        <w:t>8.3:</w:t>
      </w:r>
      <w:r>
        <w:rPr>
          <w:spacing w:val="-7"/>
        </w:rPr>
        <w:t xml:space="preserve"> </w:t>
      </w:r>
      <w:r>
        <w:t>Clarify</w:t>
      </w:r>
      <w:r>
        <w:rPr>
          <w:spacing w:val="-7"/>
        </w:rPr>
        <w:t xml:space="preserve"> </w:t>
      </w:r>
      <w:r>
        <w:t>the</w:t>
      </w:r>
      <w:r>
        <w:rPr>
          <w:spacing w:val="-7"/>
        </w:rPr>
        <w:t xml:space="preserve"> </w:t>
      </w:r>
      <w:r>
        <w:t>role</w:t>
      </w:r>
      <w:r>
        <w:rPr>
          <w:spacing w:val="-8"/>
        </w:rPr>
        <w:t xml:space="preserve"> </w:t>
      </w:r>
      <w:r>
        <w:t>of</w:t>
      </w:r>
      <w:r>
        <w:rPr>
          <w:spacing w:val="-7"/>
        </w:rPr>
        <w:t xml:space="preserve"> </w:t>
      </w:r>
      <w:r>
        <w:t>the</w:t>
      </w:r>
      <w:r>
        <w:rPr>
          <w:spacing w:val="-7"/>
        </w:rPr>
        <w:t xml:space="preserve"> </w:t>
      </w:r>
      <w:r>
        <w:t>Treasury</w:t>
      </w:r>
      <w:r>
        <w:rPr>
          <w:spacing w:val="-7"/>
        </w:rPr>
        <w:t xml:space="preserve"> </w:t>
      </w:r>
      <w:r>
        <w:rPr>
          <w:spacing w:val="-2"/>
        </w:rPr>
        <w:t>Secretary</w:t>
      </w:r>
    </w:p>
    <w:p w14:paraId="0193E48D" w14:textId="5B504B3F" w:rsidR="00CE49D7" w:rsidRDefault="00CE49D7" w:rsidP="00CE49D7">
      <w:r>
        <w:t>The RBA Act should be amended to clarify that the Treasury Secretary acts on the Monetary Policy Board in their individual capacity and cannot be directed by the Treasurer</w:t>
      </w:r>
      <w:r w:rsidR="0068598E">
        <w:rPr>
          <w:spacing w:val="-20"/>
        </w:rPr>
        <w:t>.</w:t>
      </w:r>
      <w:r>
        <w:rPr>
          <w:w w:val="85"/>
        </w:rPr>
        <w:t xml:space="preserve"> </w:t>
      </w:r>
      <w:r>
        <w:t xml:space="preserve">The </w:t>
      </w:r>
      <w:r>
        <w:rPr>
          <w:i/>
        </w:rPr>
        <w:t xml:space="preserve">Statement on the Conduct of Monetary Policy </w:t>
      </w:r>
      <w:r>
        <w:t>should acknowledge the unique responsibility of the Treasury Secretary on the Board to provide insights on the outlook for the economy and fiscal policy (see Chapter 2</w:t>
      </w:r>
      <w:r>
        <w:rPr>
          <w:spacing w:val="80"/>
          <w:w w:val="150"/>
        </w:rPr>
        <w:t xml:space="preserve"> </w:t>
      </w:r>
      <w:r>
        <w:t>for further discussion)</w:t>
      </w:r>
      <w:r w:rsidR="0068598E">
        <w:rPr>
          <w:spacing w:val="-22"/>
        </w:rPr>
        <w:t>.</w:t>
      </w:r>
      <w:r>
        <w:rPr>
          <w:w w:val="85"/>
        </w:rPr>
        <w:t xml:space="preserve"> </w:t>
      </w:r>
      <w:r>
        <w:t>These changes would add safeguards around the continued involvement of the Treasury Secretary in monetary policy decision making and reinforce their role as an avenue for information sharing between monetary and fiscal authorities.</w:t>
      </w:r>
    </w:p>
    <w:p w14:paraId="21B39D89" w14:textId="6AD1DCB6" w:rsidR="00CE49D7" w:rsidRDefault="00CE49D7" w:rsidP="00CE49D7">
      <w:r>
        <w:t>Currently, there is no clear direction on the Treasury Secretary’s role on the Reserve Bank Board and the extent to which they represent the view of Treasury or the Government</w:t>
      </w:r>
      <w:r w:rsidR="0068598E">
        <w:rPr>
          <w:spacing w:val="-20"/>
        </w:rPr>
        <w:t>.</w:t>
      </w:r>
      <w:r>
        <w:rPr>
          <w:w w:val="85"/>
        </w:rPr>
        <w:t xml:space="preserve"> </w:t>
      </w:r>
      <w:r>
        <w:t>That said, the evidence the Review has found indicated that, for a number of decades, the Treasury Secretary has not been directed to argue the Government’s view to the Reserve Bank Board</w:t>
      </w:r>
      <w:r w:rsidR="0068598E">
        <w:rPr>
          <w:spacing w:val="-19"/>
        </w:rPr>
        <w:t>.</w:t>
      </w:r>
      <w:r>
        <w:rPr>
          <w:w w:val="85"/>
        </w:rPr>
        <w:t xml:space="preserve"> </w:t>
      </w:r>
      <w:r>
        <w:t>The current Treasury Secretary has stated publicly that they are acting in their individual capacity when on the Reserve Bank Board (Kennedy 2022).</w:t>
      </w:r>
    </w:p>
    <w:p w14:paraId="02AF5FF9" w14:textId="77777777" w:rsidR="00CE49D7" w:rsidRDefault="00CE49D7" w:rsidP="00CE49D7">
      <w:pPr>
        <w:pStyle w:val="BodyText"/>
        <w:rPr>
          <w:sz w:val="24"/>
        </w:rPr>
      </w:pPr>
    </w:p>
    <w:p w14:paraId="1D019236" w14:textId="77777777" w:rsidR="00CE49D7" w:rsidRDefault="00CE49D7" w:rsidP="00CE49D7">
      <w:pPr>
        <w:pStyle w:val="Heading3"/>
      </w:pPr>
      <w:r>
        <w:t>Recommendation</w:t>
      </w:r>
      <w:r>
        <w:rPr>
          <w:spacing w:val="-6"/>
        </w:rPr>
        <w:t xml:space="preserve"> </w:t>
      </w:r>
      <w:r>
        <w:t>8.4:</w:t>
      </w:r>
      <w:r>
        <w:rPr>
          <w:spacing w:val="-6"/>
        </w:rPr>
        <w:t xml:space="preserve"> </w:t>
      </w:r>
      <w:r>
        <w:t>Bolster</w:t>
      </w:r>
      <w:r>
        <w:rPr>
          <w:spacing w:val="-6"/>
        </w:rPr>
        <w:t xml:space="preserve"> </w:t>
      </w:r>
      <w:r>
        <w:t>expertise</w:t>
      </w:r>
      <w:r>
        <w:rPr>
          <w:spacing w:val="-6"/>
        </w:rPr>
        <w:t xml:space="preserve"> </w:t>
      </w:r>
      <w:r>
        <w:t>in</w:t>
      </w:r>
      <w:r>
        <w:rPr>
          <w:spacing w:val="-6"/>
        </w:rPr>
        <w:t xml:space="preserve"> </w:t>
      </w:r>
      <w:r>
        <w:t>line</w:t>
      </w:r>
      <w:r>
        <w:rPr>
          <w:spacing w:val="-6"/>
        </w:rPr>
        <w:t xml:space="preserve"> </w:t>
      </w:r>
      <w:r>
        <w:t>with</w:t>
      </w:r>
      <w:r>
        <w:rPr>
          <w:spacing w:val="-6"/>
        </w:rPr>
        <w:t xml:space="preserve"> </w:t>
      </w:r>
      <w:r>
        <w:t>a</w:t>
      </w:r>
      <w:r>
        <w:rPr>
          <w:spacing w:val="-6"/>
        </w:rPr>
        <w:t xml:space="preserve"> </w:t>
      </w:r>
      <w:r>
        <w:t>skills</w:t>
      </w:r>
      <w:r>
        <w:rPr>
          <w:spacing w:val="-6"/>
        </w:rPr>
        <w:t xml:space="preserve"> </w:t>
      </w:r>
      <w:r>
        <w:rPr>
          <w:spacing w:val="-2"/>
        </w:rPr>
        <w:t>matrix</w:t>
      </w:r>
    </w:p>
    <w:p w14:paraId="6052ED09" w14:textId="14A5DB0C" w:rsidR="00CE49D7" w:rsidRDefault="00CE49D7" w:rsidP="00CE49D7">
      <w:r>
        <w:t>The Review recognises the value of Board members who are not professional economists</w:t>
      </w:r>
      <w:r w:rsidR="0068598E">
        <w:rPr>
          <w:spacing w:val="-22"/>
        </w:rPr>
        <w:t>.</w:t>
      </w:r>
      <w:r>
        <w:rPr>
          <w:w w:val="85"/>
        </w:rPr>
        <w:t xml:space="preserve"> </w:t>
      </w:r>
      <w:r>
        <w:t>A group with diverse backgrounds brings a wider range of perspectives and expertise to decisions</w:t>
      </w:r>
      <w:r w:rsidR="0068598E">
        <w:rPr>
          <w:spacing w:val="-23"/>
        </w:rPr>
        <w:t>.</w:t>
      </w:r>
      <w:r>
        <w:rPr>
          <w:w w:val="85"/>
        </w:rPr>
        <w:t xml:space="preserve"> </w:t>
      </w:r>
      <w:r>
        <w:t>The RBA executive has stated that it values business people’s ability to make decisions under uncertainty (Australian House of Representatives 2019). The Review does not recommend the Monetary Policy Board be comprised solely of monetary policy and macroeconomic experts</w:t>
      </w:r>
      <w:r w:rsidR="0068598E">
        <w:rPr>
          <w:spacing w:val="-15"/>
        </w:rPr>
        <w:t>.</w:t>
      </w:r>
    </w:p>
    <w:p w14:paraId="685C4912" w14:textId="09A90F79" w:rsidR="00CE49D7" w:rsidRDefault="00CE49D7" w:rsidP="00CE49D7">
      <w:r>
        <w:t>At the same time, there are strong arguments for increasing economic expertise on the Monetary Policy Board</w:t>
      </w:r>
      <w:r w:rsidR="0068598E">
        <w:rPr>
          <w:spacing w:val="-20"/>
        </w:rPr>
        <w:t>.</w:t>
      </w:r>
      <w:r>
        <w:rPr>
          <w:w w:val="85"/>
        </w:rPr>
        <w:t xml:space="preserve"> </w:t>
      </w:r>
      <w:r>
        <w:t>The Review envisages a Monetary Policy Board deeply engaged in the policy process and</w:t>
      </w:r>
      <w:r>
        <w:rPr>
          <w:spacing w:val="15"/>
        </w:rPr>
        <w:t xml:space="preserve"> </w:t>
      </w:r>
      <w:r>
        <w:t>whose</w:t>
      </w:r>
      <w:r>
        <w:rPr>
          <w:spacing w:val="15"/>
        </w:rPr>
        <w:t xml:space="preserve"> </w:t>
      </w:r>
      <w:r>
        <w:t>members</w:t>
      </w:r>
      <w:r>
        <w:rPr>
          <w:spacing w:val="15"/>
        </w:rPr>
        <w:t xml:space="preserve"> </w:t>
      </w:r>
      <w:r>
        <w:t>provide</w:t>
      </w:r>
      <w:r>
        <w:rPr>
          <w:spacing w:val="15"/>
        </w:rPr>
        <w:t xml:space="preserve"> </w:t>
      </w:r>
      <w:r>
        <w:t>genuine</w:t>
      </w:r>
      <w:r>
        <w:rPr>
          <w:spacing w:val="15"/>
        </w:rPr>
        <w:t xml:space="preserve"> </w:t>
      </w:r>
      <w:r>
        <w:t>independent</w:t>
      </w:r>
      <w:r>
        <w:rPr>
          <w:spacing w:val="15"/>
        </w:rPr>
        <w:t xml:space="preserve"> </w:t>
      </w:r>
      <w:r>
        <w:t>views</w:t>
      </w:r>
      <w:r>
        <w:rPr>
          <w:spacing w:val="15"/>
        </w:rPr>
        <w:t xml:space="preserve"> </w:t>
      </w:r>
      <w:r>
        <w:t>and</w:t>
      </w:r>
      <w:r>
        <w:rPr>
          <w:spacing w:val="15"/>
        </w:rPr>
        <w:t xml:space="preserve"> </w:t>
      </w:r>
      <w:r>
        <w:t>challenge</w:t>
      </w:r>
      <w:r>
        <w:rPr>
          <w:spacing w:val="15"/>
        </w:rPr>
        <w:t xml:space="preserve"> </w:t>
      </w:r>
      <w:r>
        <w:t>the</w:t>
      </w:r>
      <w:r>
        <w:rPr>
          <w:spacing w:val="15"/>
        </w:rPr>
        <w:t xml:space="preserve"> </w:t>
      </w:r>
      <w:r>
        <w:t>prevailing</w:t>
      </w:r>
      <w:r>
        <w:rPr>
          <w:spacing w:val="15"/>
        </w:rPr>
        <w:t xml:space="preserve"> </w:t>
      </w:r>
      <w:r>
        <w:t>internal RBA thinking</w:t>
      </w:r>
      <w:r w:rsidR="0068598E">
        <w:rPr>
          <w:spacing w:val="-23"/>
        </w:rPr>
        <w:t>.</w:t>
      </w:r>
      <w:r>
        <w:rPr>
          <w:w w:val="85"/>
        </w:rPr>
        <w:t xml:space="preserve"> </w:t>
      </w:r>
      <w:r>
        <w:t>This is becoming more important in an increasingly complex and uncertain monetary policy environment</w:t>
      </w:r>
      <w:r w:rsidR="0068598E">
        <w:rPr>
          <w:spacing w:val="-21"/>
        </w:rPr>
        <w:t>.</w:t>
      </w:r>
      <w:r>
        <w:rPr>
          <w:w w:val="85"/>
        </w:rPr>
        <w:t xml:space="preserve"> </w:t>
      </w:r>
      <w:r>
        <w:t>The Review heard widespread support for increasing the level of expertise on the Reserve Bank Board. External experts commissioned by the Review shared this view (Gai 2023; Levin 2023).</w:t>
      </w:r>
    </w:p>
    <w:p w14:paraId="376C351F" w14:textId="56596516" w:rsidR="00CE49D7" w:rsidRDefault="00CE49D7" w:rsidP="00CE49D7">
      <w:r>
        <w:t>The Review recommends that, compared with the current Reserve Bank Board, the Monetary Policy Board should contain more members with deep formal expertise on economic and</w:t>
      </w:r>
      <w:r>
        <w:rPr>
          <w:spacing w:val="40"/>
        </w:rPr>
        <w:t xml:space="preserve"> </w:t>
      </w:r>
      <w:r>
        <w:t>financial system matters. Other members who bring a broader skillset, such as from business experience, should have sufficient knowledge, experience or training to make a significant and informed contribution to the formulation of monetary and financial system policy. This minimum requirement</w:t>
      </w:r>
      <w:r>
        <w:rPr>
          <w:spacing w:val="-7"/>
        </w:rPr>
        <w:t xml:space="preserve"> </w:t>
      </w:r>
      <w:r>
        <w:t>could</w:t>
      </w:r>
      <w:r>
        <w:rPr>
          <w:spacing w:val="-5"/>
        </w:rPr>
        <w:t xml:space="preserve"> </w:t>
      </w:r>
      <w:r>
        <w:t>be</w:t>
      </w:r>
      <w:r>
        <w:rPr>
          <w:spacing w:val="-5"/>
        </w:rPr>
        <w:t xml:space="preserve"> </w:t>
      </w:r>
      <w:r>
        <w:t>set</w:t>
      </w:r>
      <w:r>
        <w:rPr>
          <w:spacing w:val="-5"/>
        </w:rPr>
        <w:t xml:space="preserve"> </w:t>
      </w:r>
      <w:r>
        <w:t>out</w:t>
      </w:r>
      <w:r>
        <w:rPr>
          <w:spacing w:val="-5"/>
        </w:rPr>
        <w:t xml:space="preserve"> </w:t>
      </w:r>
      <w:r>
        <w:t>in</w:t>
      </w:r>
      <w:r>
        <w:rPr>
          <w:spacing w:val="-5"/>
        </w:rPr>
        <w:t xml:space="preserve"> </w:t>
      </w:r>
      <w:r>
        <w:t>the</w:t>
      </w:r>
      <w:r>
        <w:rPr>
          <w:spacing w:val="-5"/>
        </w:rPr>
        <w:t xml:space="preserve"> </w:t>
      </w:r>
      <w:r>
        <w:t>legislation</w:t>
      </w:r>
      <w:r>
        <w:rPr>
          <w:spacing w:val="-5"/>
        </w:rPr>
        <w:t xml:space="preserve"> </w:t>
      </w:r>
      <w:r>
        <w:t>(see</w:t>
      </w:r>
      <w:r>
        <w:rPr>
          <w:spacing w:val="-5"/>
        </w:rPr>
        <w:t xml:space="preserve"> </w:t>
      </w:r>
      <w:r>
        <w:t>Recommendation</w:t>
      </w:r>
      <w:r>
        <w:rPr>
          <w:spacing w:val="-5"/>
        </w:rPr>
        <w:t xml:space="preserve"> </w:t>
      </w:r>
      <w:r>
        <w:t>12</w:t>
      </w:r>
      <w:r w:rsidR="0068598E">
        <w:rPr>
          <w:spacing w:val="-25"/>
        </w:rPr>
        <w:t>.</w:t>
      </w:r>
      <w:r>
        <w:rPr>
          <w:w w:val="126"/>
        </w:rPr>
        <w:t>4</w:t>
      </w:r>
      <w:r>
        <w:rPr>
          <w:spacing w:val="-4"/>
          <w:w w:val="99"/>
        </w:rPr>
        <w:t xml:space="preserve"> </w:t>
      </w:r>
      <w:r>
        <w:t>for</w:t>
      </w:r>
      <w:r>
        <w:rPr>
          <w:spacing w:val="-5"/>
        </w:rPr>
        <w:t xml:space="preserve"> </w:t>
      </w:r>
      <w:r>
        <w:t>further</w:t>
      </w:r>
      <w:r>
        <w:rPr>
          <w:spacing w:val="-5"/>
        </w:rPr>
        <w:t xml:space="preserve"> </w:t>
      </w:r>
      <w:r>
        <w:t>discussion)</w:t>
      </w:r>
      <w:r w:rsidR="0068598E">
        <w:rPr>
          <w:spacing w:val="-25"/>
        </w:rPr>
        <w:t>.</w:t>
      </w:r>
    </w:p>
    <w:p w14:paraId="5D01CB36" w14:textId="10CA94C1" w:rsidR="00CE49D7" w:rsidRDefault="00CE49D7" w:rsidP="00CE49D7">
      <w:r>
        <w:t>The</w:t>
      </w:r>
      <w:r>
        <w:rPr>
          <w:spacing w:val="-1"/>
        </w:rPr>
        <w:t xml:space="preserve"> </w:t>
      </w:r>
      <w:r>
        <w:t>Review</w:t>
      </w:r>
      <w:r>
        <w:rPr>
          <w:spacing w:val="2"/>
        </w:rPr>
        <w:t xml:space="preserve"> </w:t>
      </w:r>
      <w:r>
        <w:t>recommends</w:t>
      </w:r>
      <w:r>
        <w:rPr>
          <w:spacing w:val="1"/>
        </w:rPr>
        <w:t xml:space="preserve"> </w:t>
      </w:r>
      <w:r>
        <w:t>that</w:t>
      </w:r>
      <w:r>
        <w:rPr>
          <w:spacing w:val="2"/>
        </w:rPr>
        <w:t xml:space="preserve"> </w:t>
      </w:r>
      <w:r>
        <w:t>a</w:t>
      </w:r>
      <w:r>
        <w:rPr>
          <w:spacing w:val="1"/>
        </w:rPr>
        <w:t xml:space="preserve"> </w:t>
      </w:r>
      <w:r>
        <w:t>skills</w:t>
      </w:r>
      <w:r>
        <w:rPr>
          <w:spacing w:val="2"/>
        </w:rPr>
        <w:t xml:space="preserve"> </w:t>
      </w:r>
      <w:r>
        <w:t>matrix</w:t>
      </w:r>
      <w:r>
        <w:rPr>
          <w:spacing w:val="2"/>
        </w:rPr>
        <w:t xml:space="preserve"> </w:t>
      </w:r>
      <w:r>
        <w:t>be</w:t>
      </w:r>
      <w:r>
        <w:rPr>
          <w:spacing w:val="1"/>
        </w:rPr>
        <w:t xml:space="preserve"> </w:t>
      </w:r>
      <w:r>
        <w:t>developed</w:t>
      </w:r>
      <w:r>
        <w:rPr>
          <w:spacing w:val="2"/>
        </w:rPr>
        <w:t xml:space="preserve"> </w:t>
      </w:r>
      <w:r>
        <w:t>that</w:t>
      </w:r>
      <w:r>
        <w:rPr>
          <w:spacing w:val="1"/>
        </w:rPr>
        <w:t xml:space="preserve"> </w:t>
      </w:r>
      <w:r>
        <w:t>sets</w:t>
      </w:r>
      <w:r>
        <w:rPr>
          <w:spacing w:val="2"/>
        </w:rPr>
        <w:t xml:space="preserve"> </w:t>
      </w:r>
      <w:r>
        <w:t>out</w:t>
      </w:r>
      <w:r>
        <w:rPr>
          <w:spacing w:val="1"/>
        </w:rPr>
        <w:t xml:space="preserve"> </w:t>
      </w:r>
      <w:r>
        <w:t>the</w:t>
      </w:r>
      <w:r>
        <w:rPr>
          <w:spacing w:val="2"/>
        </w:rPr>
        <w:t xml:space="preserve"> </w:t>
      </w:r>
      <w:r>
        <w:t>skills,</w:t>
      </w:r>
      <w:r>
        <w:rPr>
          <w:spacing w:val="2"/>
        </w:rPr>
        <w:t xml:space="preserve"> </w:t>
      </w:r>
      <w:r>
        <w:rPr>
          <w:spacing w:val="-2"/>
        </w:rPr>
        <w:t>experience</w:t>
      </w:r>
      <w:r w:rsidR="00A34BCC">
        <w:t xml:space="preserve"> </w:t>
      </w:r>
      <w:r>
        <w:t>and capabilities considered essential for the effectiveness of the Monetary Policy Board</w:t>
      </w:r>
      <w:r>
        <w:rPr>
          <w:spacing w:val="40"/>
        </w:rPr>
        <w:t xml:space="preserve"> </w:t>
      </w:r>
      <w:r>
        <w:t>(see</w:t>
      </w:r>
      <w:r>
        <w:rPr>
          <w:spacing w:val="-2"/>
        </w:rPr>
        <w:t xml:space="preserve"> </w:t>
      </w:r>
      <w:r>
        <w:t>Box</w:t>
      </w:r>
      <w:r>
        <w:rPr>
          <w:spacing w:val="-2"/>
        </w:rPr>
        <w:t xml:space="preserve"> </w:t>
      </w:r>
      <w:r>
        <w:t>3</w:t>
      </w:r>
      <w:r w:rsidR="0068598E">
        <w:rPr>
          <w:spacing w:val="-25"/>
        </w:rPr>
        <w:t>.</w:t>
      </w:r>
      <w:r>
        <w:rPr>
          <w:w w:val="117"/>
        </w:rPr>
        <w:t>2)</w:t>
      </w:r>
      <w:r w:rsidR="0068598E">
        <w:rPr>
          <w:spacing w:val="-24"/>
          <w:w w:val="99"/>
        </w:rPr>
        <w:t>.</w:t>
      </w:r>
      <w:r>
        <w:rPr>
          <w:w w:val="85"/>
        </w:rPr>
        <w:t xml:space="preserve"> </w:t>
      </w:r>
      <w:r>
        <w:t>The</w:t>
      </w:r>
      <w:r>
        <w:rPr>
          <w:spacing w:val="-2"/>
        </w:rPr>
        <w:t xml:space="preserve"> </w:t>
      </w:r>
      <w:r>
        <w:t>matrix</w:t>
      </w:r>
      <w:r>
        <w:rPr>
          <w:spacing w:val="-2"/>
        </w:rPr>
        <w:t xml:space="preserve"> </w:t>
      </w:r>
      <w:r>
        <w:t>would</w:t>
      </w:r>
      <w:r>
        <w:rPr>
          <w:spacing w:val="-2"/>
        </w:rPr>
        <w:t xml:space="preserve"> </w:t>
      </w:r>
      <w:r>
        <w:t>support</w:t>
      </w:r>
      <w:r>
        <w:rPr>
          <w:spacing w:val="-2"/>
        </w:rPr>
        <w:t xml:space="preserve"> </w:t>
      </w:r>
      <w:r>
        <w:t>future</w:t>
      </w:r>
      <w:r>
        <w:rPr>
          <w:spacing w:val="-2"/>
        </w:rPr>
        <w:t xml:space="preserve"> </w:t>
      </w:r>
      <w:r>
        <w:t>appointments</w:t>
      </w:r>
      <w:r>
        <w:rPr>
          <w:spacing w:val="-2"/>
        </w:rPr>
        <w:t xml:space="preserve"> </w:t>
      </w:r>
      <w:r>
        <w:t>to</w:t>
      </w:r>
      <w:r>
        <w:rPr>
          <w:spacing w:val="-2"/>
        </w:rPr>
        <w:t xml:space="preserve"> </w:t>
      </w:r>
      <w:r>
        <w:t>the</w:t>
      </w:r>
      <w:r>
        <w:rPr>
          <w:spacing w:val="-2"/>
        </w:rPr>
        <w:t xml:space="preserve"> </w:t>
      </w:r>
      <w:r>
        <w:t>Monetary</w:t>
      </w:r>
      <w:r>
        <w:rPr>
          <w:spacing w:val="-2"/>
        </w:rPr>
        <w:t xml:space="preserve"> </w:t>
      </w:r>
      <w:r>
        <w:t>Policy</w:t>
      </w:r>
      <w:r>
        <w:rPr>
          <w:spacing w:val="-2"/>
        </w:rPr>
        <w:t xml:space="preserve"> </w:t>
      </w:r>
      <w:r>
        <w:t>Board by identifying skill gaps and would assist with succession planning</w:t>
      </w:r>
      <w:r w:rsidR="0068598E">
        <w:rPr>
          <w:spacing w:val="-21"/>
        </w:rPr>
        <w:t>.</w:t>
      </w:r>
      <w:r>
        <w:rPr>
          <w:w w:val="85"/>
        </w:rPr>
        <w:t xml:space="preserve"> </w:t>
      </w:r>
      <w:r>
        <w:t>The skills matrix should emphasise practical experience and qualifications in the following fields: open-economy</w:t>
      </w:r>
      <w:r w:rsidR="00A34BCC">
        <w:t xml:space="preserve"> </w:t>
      </w:r>
      <w:r>
        <w:t>macroeconomics, the financial system, labour economics and the supply side of the economy. The skills matrix should be implemented outside the RBA Act, so it is flexible to evolving needs.</w:t>
      </w:r>
    </w:p>
    <w:p w14:paraId="28DDD0FA" w14:textId="3B5465DA" w:rsidR="00CE49D7" w:rsidRDefault="00CE49D7" w:rsidP="00CE49D7">
      <w:r>
        <w:t>Over</w:t>
      </w:r>
      <w:r>
        <w:rPr>
          <w:spacing w:val="-1"/>
        </w:rPr>
        <w:t xml:space="preserve"> </w:t>
      </w:r>
      <w:r>
        <w:t>time</w:t>
      </w:r>
      <w:r>
        <w:rPr>
          <w:spacing w:val="-1"/>
        </w:rPr>
        <w:t xml:space="preserve"> </w:t>
      </w:r>
      <w:r>
        <w:t>and</w:t>
      </w:r>
      <w:r>
        <w:rPr>
          <w:spacing w:val="-1"/>
        </w:rPr>
        <w:t xml:space="preserve"> </w:t>
      </w:r>
      <w:r>
        <w:t>as</w:t>
      </w:r>
      <w:r>
        <w:rPr>
          <w:spacing w:val="-1"/>
        </w:rPr>
        <w:t xml:space="preserve"> </w:t>
      </w:r>
      <w:r>
        <w:t>needs</w:t>
      </w:r>
      <w:r>
        <w:rPr>
          <w:spacing w:val="-1"/>
        </w:rPr>
        <w:t xml:space="preserve"> </w:t>
      </w:r>
      <w:r>
        <w:t>change,</w:t>
      </w:r>
      <w:r>
        <w:rPr>
          <w:spacing w:val="-1"/>
        </w:rPr>
        <w:t xml:space="preserve"> </w:t>
      </w:r>
      <w:r>
        <w:t>the</w:t>
      </w:r>
      <w:r>
        <w:rPr>
          <w:spacing w:val="-1"/>
        </w:rPr>
        <w:t xml:space="preserve"> </w:t>
      </w:r>
      <w:r>
        <w:t>Treasurer</w:t>
      </w:r>
      <w:r>
        <w:rPr>
          <w:spacing w:val="-1"/>
        </w:rPr>
        <w:t xml:space="preserve"> </w:t>
      </w:r>
      <w:r>
        <w:t>could</w:t>
      </w:r>
      <w:r>
        <w:rPr>
          <w:spacing w:val="-1"/>
        </w:rPr>
        <w:t xml:space="preserve"> </w:t>
      </w:r>
      <w:r>
        <w:t>approve</w:t>
      </w:r>
      <w:r>
        <w:rPr>
          <w:spacing w:val="-1"/>
        </w:rPr>
        <w:t xml:space="preserve"> </w:t>
      </w:r>
      <w:r>
        <w:t>changes</w:t>
      </w:r>
      <w:r>
        <w:rPr>
          <w:spacing w:val="-1"/>
        </w:rPr>
        <w:t xml:space="preserve"> </w:t>
      </w:r>
      <w:r>
        <w:t>to</w:t>
      </w:r>
      <w:r>
        <w:rPr>
          <w:spacing w:val="-1"/>
        </w:rPr>
        <w:t xml:space="preserve"> </w:t>
      </w:r>
      <w:r>
        <w:t>the</w:t>
      </w:r>
      <w:r>
        <w:rPr>
          <w:spacing w:val="-1"/>
        </w:rPr>
        <w:t xml:space="preserve"> </w:t>
      </w:r>
      <w:r>
        <w:t>skills</w:t>
      </w:r>
      <w:r>
        <w:rPr>
          <w:spacing w:val="-1"/>
        </w:rPr>
        <w:t xml:space="preserve"> </w:t>
      </w:r>
      <w:r>
        <w:t>matrix</w:t>
      </w:r>
      <w:r>
        <w:rPr>
          <w:spacing w:val="-1"/>
        </w:rPr>
        <w:t xml:space="preserve"> </w:t>
      </w:r>
      <w:r>
        <w:t>at</w:t>
      </w:r>
      <w:r>
        <w:rPr>
          <w:spacing w:val="-1"/>
        </w:rPr>
        <w:t xml:space="preserve"> </w:t>
      </w:r>
      <w:r>
        <w:t>the recommendation</w:t>
      </w:r>
      <w:r>
        <w:rPr>
          <w:spacing w:val="-7"/>
        </w:rPr>
        <w:t xml:space="preserve"> </w:t>
      </w:r>
      <w:r>
        <w:t>of the Monetary Policy Board</w:t>
      </w:r>
      <w:r w:rsidR="0068598E">
        <w:rPr>
          <w:spacing w:val="-12"/>
        </w:rPr>
        <w:t>.</w:t>
      </w:r>
      <w:r>
        <w:rPr>
          <w:w w:val="85"/>
        </w:rPr>
        <w:t xml:space="preserve"> </w:t>
      </w:r>
      <w:r>
        <w:t>The regular framework and tools review would provide an opportunity to reassess the skills matrix to ensure members collectively continue to have the skills needed to meet future challenges (see Chapter 2)</w:t>
      </w:r>
      <w:r w:rsidR="0068598E">
        <w:rPr>
          <w:spacing w:val="-18"/>
        </w:rPr>
        <w:t>.</w:t>
      </w:r>
    </w:p>
    <w:p w14:paraId="63E623F0" w14:textId="79B9D97E" w:rsidR="00F07B14" w:rsidRDefault="00F07B14" w:rsidP="00F07B14">
      <w:r>
        <w:t>The importance of appointing members with skills and focus that best serve each Board’s distinct and varied responsibilities means it would be likely there would be different external members on the 3 RBA Boards</w:t>
      </w:r>
      <w:r w:rsidR="0068598E">
        <w:rPr>
          <w:spacing w:val="-9"/>
        </w:rPr>
        <w:t>.</w:t>
      </w:r>
    </w:p>
    <w:p w14:paraId="7A567137" w14:textId="5ECC37E5" w:rsidR="005A3A71" w:rsidRDefault="00F07B14" w:rsidP="000E0EDE">
      <w:pPr>
        <w:tabs>
          <w:tab w:val="right" w:pos="9070"/>
        </w:tabs>
        <w:rPr>
          <w:color w:val="231F20"/>
          <w:spacing w:val="-10"/>
          <w:w w:val="85"/>
        </w:rPr>
      </w:pPr>
      <w:r>
        <w:rPr>
          <w:color w:val="231F20"/>
        </w:rPr>
        <w:t>These</w:t>
      </w:r>
      <w:r>
        <w:rPr>
          <w:color w:val="231F20"/>
          <w:spacing w:val="2"/>
        </w:rPr>
        <w:t xml:space="preserve"> </w:t>
      </w:r>
      <w:r>
        <w:rPr>
          <w:color w:val="231F20"/>
        </w:rPr>
        <w:t>changes</w:t>
      </w:r>
      <w:r>
        <w:rPr>
          <w:color w:val="231F20"/>
          <w:spacing w:val="3"/>
        </w:rPr>
        <w:t xml:space="preserve"> </w:t>
      </w:r>
      <w:r>
        <w:rPr>
          <w:color w:val="231F20"/>
        </w:rPr>
        <w:t>will</w:t>
      </w:r>
      <w:r>
        <w:rPr>
          <w:color w:val="231F20"/>
          <w:spacing w:val="3"/>
        </w:rPr>
        <w:t xml:space="preserve"> </w:t>
      </w:r>
      <w:r>
        <w:rPr>
          <w:color w:val="231F20"/>
        </w:rPr>
        <w:t>result</w:t>
      </w:r>
      <w:r>
        <w:rPr>
          <w:color w:val="231F20"/>
          <w:spacing w:val="2"/>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better</w:t>
      </w:r>
      <w:r>
        <w:rPr>
          <w:color w:val="231F20"/>
          <w:spacing w:val="3"/>
        </w:rPr>
        <w:t xml:space="preserve"> </w:t>
      </w:r>
      <w:r>
        <w:rPr>
          <w:color w:val="231F20"/>
        </w:rPr>
        <w:t>balance</w:t>
      </w:r>
      <w:r>
        <w:rPr>
          <w:color w:val="231F20"/>
          <w:spacing w:val="2"/>
        </w:rPr>
        <w:t xml:space="preserve"> </w:t>
      </w:r>
      <w:r>
        <w:rPr>
          <w:color w:val="231F20"/>
        </w:rPr>
        <w:t>between</w:t>
      </w:r>
      <w:r>
        <w:rPr>
          <w:color w:val="231F20"/>
          <w:spacing w:val="3"/>
        </w:rPr>
        <w:t xml:space="preserve"> </w:t>
      </w:r>
      <w:r>
        <w:rPr>
          <w:color w:val="231F20"/>
        </w:rPr>
        <w:t>expertise,</w:t>
      </w:r>
      <w:r>
        <w:rPr>
          <w:color w:val="231F20"/>
          <w:spacing w:val="3"/>
        </w:rPr>
        <w:t xml:space="preserve"> </w:t>
      </w:r>
      <w:r>
        <w:rPr>
          <w:color w:val="231F20"/>
        </w:rPr>
        <w:t>breadth</w:t>
      </w:r>
      <w:r>
        <w:rPr>
          <w:color w:val="231F20"/>
          <w:spacing w:val="2"/>
        </w:rPr>
        <w:t xml:space="preserve"> </w:t>
      </w:r>
      <w:r>
        <w:rPr>
          <w:color w:val="231F20"/>
        </w:rPr>
        <w:t>and</w:t>
      </w:r>
      <w:r>
        <w:rPr>
          <w:color w:val="231F20"/>
          <w:spacing w:val="3"/>
        </w:rPr>
        <w:t xml:space="preserve"> </w:t>
      </w:r>
      <w:r>
        <w:rPr>
          <w:color w:val="231F20"/>
        </w:rPr>
        <w:t>diversity</w:t>
      </w:r>
      <w:r w:rsidR="0068598E">
        <w:rPr>
          <w:color w:val="231F20"/>
          <w:spacing w:val="-22"/>
        </w:rPr>
        <w:t>.</w:t>
      </w:r>
      <w:r w:rsidR="000E0EDE">
        <w:rPr>
          <w:color w:val="231F20"/>
          <w:spacing w:val="-10"/>
          <w:w w:val="85"/>
        </w:rPr>
        <w:tab/>
      </w: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0E0EDE" w14:paraId="1A05B158" w14:textId="77777777" w:rsidTr="008D157E">
        <w:tc>
          <w:tcPr>
            <w:tcW w:w="5000" w:type="pct"/>
            <w:tcBorders>
              <w:top w:val="nil"/>
              <w:left w:val="nil"/>
              <w:bottom w:val="nil"/>
              <w:right w:val="nil"/>
            </w:tcBorders>
            <w:shd w:val="clear" w:color="auto" w:fill="F9EEDB" w:themeFill="accent6"/>
          </w:tcPr>
          <w:p w14:paraId="6C89F2A7" w14:textId="77777777" w:rsidR="000E0EDE" w:rsidRDefault="008D157E" w:rsidP="008D157E">
            <w:pPr>
              <w:pStyle w:val="BoxHeading"/>
              <w:rPr>
                <w:spacing w:val="3"/>
              </w:rPr>
            </w:pPr>
            <w:r>
              <w:lastRenderedPageBreak/>
              <w:t>Box</w:t>
            </w:r>
            <w:r>
              <w:rPr>
                <w:spacing w:val="3"/>
              </w:rPr>
              <w:t xml:space="preserve"> </w:t>
            </w:r>
            <w:r>
              <w:t>3.2:</w:t>
            </w:r>
            <w:r>
              <w:rPr>
                <w:spacing w:val="3"/>
              </w:rPr>
              <w:t xml:space="preserve"> </w:t>
            </w:r>
            <w:r>
              <w:t>Skills</w:t>
            </w:r>
            <w:r>
              <w:rPr>
                <w:spacing w:val="3"/>
              </w:rPr>
              <w:t xml:space="preserve"> </w:t>
            </w:r>
            <w:r>
              <w:t>matrix</w:t>
            </w:r>
            <w:r>
              <w:rPr>
                <w:spacing w:val="3"/>
              </w:rPr>
              <w:t xml:space="preserve"> </w:t>
            </w:r>
            <w:r>
              <w:t>for</w:t>
            </w:r>
            <w:r>
              <w:rPr>
                <w:spacing w:val="3"/>
              </w:rPr>
              <w:t xml:space="preserve"> </w:t>
            </w:r>
            <w:r>
              <w:t>the</w:t>
            </w:r>
            <w:r>
              <w:rPr>
                <w:spacing w:val="3"/>
              </w:rPr>
              <w:t xml:space="preserve"> </w:t>
            </w:r>
            <w:r>
              <w:t>Monetary</w:t>
            </w:r>
            <w:r>
              <w:rPr>
                <w:spacing w:val="3"/>
              </w:rPr>
              <w:t xml:space="preserve"> </w:t>
            </w:r>
            <w:r>
              <w:t>Policy</w:t>
            </w:r>
            <w:r>
              <w:rPr>
                <w:spacing w:val="3"/>
              </w:rPr>
              <w:t xml:space="preserve"> Board</w:t>
            </w:r>
          </w:p>
          <w:p w14:paraId="53B54C21" w14:textId="3AC38D34" w:rsidR="00564DA4" w:rsidRDefault="00564DA4" w:rsidP="00564DA4">
            <w:pPr>
              <w:pStyle w:val="BoxText"/>
            </w:pPr>
            <w:r>
              <w:t>The skills matrix should set out the skills, experience and capabilities considered essential for the Monetary Policy Board to operate as an effective monetary policy decision-making body</w:t>
            </w:r>
            <w:r w:rsidR="0068598E">
              <w:rPr>
                <w:spacing w:val="-19"/>
              </w:rPr>
              <w:t>.</w:t>
            </w:r>
            <w:r>
              <w:rPr>
                <w:w w:val="85"/>
              </w:rPr>
              <w:t xml:space="preserve"> </w:t>
            </w:r>
            <w:r>
              <w:t>Individual members would not be expected to have all attributes in the matrix but rather to bring different skills that complement other members. That said, all members should be independently minded and able to make a significant, informed contribution to the formulation of monetary and financial system policy. They must be of the highest integrity.</w:t>
            </w:r>
          </w:p>
          <w:p w14:paraId="6D36631B" w14:textId="7026723E" w:rsidR="00564DA4" w:rsidRDefault="00564DA4" w:rsidP="00564DA4">
            <w:pPr>
              <w:pStyle w:val="BoxText"/>
            </w:pPr>
            <w:r>
              <w:t>Table</w:t>
            </w:r>
            <w:r>
              <w:rPr>
                <w:spacing w:val="-5"/>
              </w:rPr>
              <w:t xml:space="preserve"> </w:t>
            </w:r>
            <w:r>
              <w:t>3</w:t>
            </w:r>
            <w:r w:rsidR="0068598E">
              <w:rPr>
                <w:spacing w:val="-25"/>
              </w:rPr>
              <w:t>.</w:t>
            </w:r>
            <w:r>
              <w:rPr>
                <w:w w:val="126"/>
              </w:rPr>
              <w:t>1</w:t>
            </w:r>
            <w:r>
              <w:rPr>
                <w:spacing w:val="-4"/>
                <w:w w:val="99"/>
              </w:rPr>
              <w:t xml:space="preserve"> </w:t>
            </w:r>
            <w:r>
              <w:t>is</w:t>
            </w:r>
            <w:r>
              <w:rPr>
                <w:spacing w:val="-5"/>
              </w:rPr>
              <w:t xml:space="preserve"> </w:t>
            </w:r>
            <w:r>
              <w:t>an</w:t>
            </w:r>
            <w:r>
              <w:rPr>
                <w:spacing w:val="-5"/>
              </w:rPr>
              <w:t xml:space="preserve"> </w:t>
            </w:r>
            <w:r>
              <w:t>example</w:t>
            </w:r>
            <w:r>
              <w:rPr>
                <w:spacing w:val="-5"/>
              </w:rPr>
              <w:t xml:space="preserve"> </w:t>
            </w:r>
            <w:r>
              <w:t>to</w:t>
            </w:r>
            <w:r>
              <w:rPr>
                <w:spacing w:val="-5"/>
              </w:rPr>
              <w:t xml:space="preserve"> </w:t>
            </w:r>
            <w:r>
              <w:t>make</w:t>
            </w:r>
            <w:r>
              <w:rPr>
                <w:spacing w:val="-5"/>
              </w:rPr>
              <w:t xml:space="preserve"> </w:t>
            </w:r>
            <w:r>
              <w:t>clear</w:t>
            </w:r>
            <w:r>
              <w:rPr>
                <w:spacing w:val="-5"/>
              </w:rPr>
              <w:t xml:space="preserve"> </w:t>
            </w:r>
            <w:r>
              <w:t>the</w:t>
            </w:r>
            <w:r>
              <w:rPr>
                <w:spacing w:val="-5"/>
              </w:rPr>
              <w:t xml:space="preserve"> </w:t>
            </w:r>
            <w:r>
              <w:t>direction</w:t>
            </w:r>
            <w:r>
              <w:rPr>
                <w:spacing w:val="-5"/>
              </w:rPr>
              <w:t xml:space="preserve"> </w:t>
            </w:r>
            <w:r>
              <w:t>of</w:t>
            </w:r>
            <w:r>
              <w:rPr>
                <w:spacing w:val="-5"/>
              </w:rPr>
              <w:t xml:space="preserve"> </w:t>
            </w:r>
            <w:r>
              <w:t>the</w:t>
            </w:r>
            <w:r>
              <w:rPr>
                <w:spacing w:val="-5"/>
              </w:rPr>
              <w:t xml:space="preserve"> </w:t>
            </w:r>
            <w:r>
              <w:t>Review’s</w:t>
            </w:r>
            <w:r>
              <w:rPr>
                <w:spacing w:val="-5"/>
              </w:rPr>
              <w:t xml:space="preserve"> </w:t>
            </w:r>
            <w:r>
              <w:t>recommendations</w:t>
            </w:r>
            <w:r>
              <w:rPr>
                <w:spacing w:val="-5"/>
              </w:rPr>
              <w:t xml:space="preserve"> </w:t>
            </w:r>
            <w:r>
              <w:t>on developing a skills matrix but is not prescriptive</w:t>
            </w:r>
            <w:r w:rsidR="0068598E">
              <w:rPr>
                <w:spacing w:val="-14"/>
              </w:rPr>
              <w:t>.</w:t>
            </w:r>
          </w:p>
          <w:p w14:paraId="380B874A" w14:textId="77777777" w:rsidR="00564DA4" w:rsidRDefault="00564DA4" w:rsidP="00564DA4">
            <w:pPr>
              <w:pStyle w:val="BoxHeading"/>
            </w:pPr>
            <w:r>
              <w:t>Table</w:t>
            </w:r>
            <w:r>
              <w:rPr>
                <w:spacing w:val="-1"/>
              </w:rPr>
              <w:t xml:space="preserve"> </w:t>
            </w:r>
            <w:r>
              <w:t>3.1:</w:t>
            </w:r>
            <w:r>
              <w:rPr>
                <w:spacing w:val="-1"/>
              </w:rPr>
              <w:t xml:space="preserve"> </w:t>
            </w:r>
            <w:r>
              <w:t>Example</w:t>
            </w:r>
            <w:r>
              <w:rPr>
                <w:spacing w:val="-1"/>
              </w:rPr>
              <w:t xml:space="preserve"> </w:t>
            </w:r>
            <w:r>
              <w:t>Monetary</w:t>
            </w:r>
            <w:r>
              <w:rPr>
                <w:spacing w:val="-1"/>
              </w:rPr>
              <w:t xml:space="preserve"> </w:t>
            </w:r>
            <w:r>
              <w:t>Policy</w:t>
            </w:r>
            <w:r>
              <w:rPr>
                <w:spacing w:val="-1"/>
              </w:rPr>
              <w:t xml:space="preserve"> </w:t>
            </w:r>
            <w:r>
              <w:t>Board</w:t>
            </w:r>
            <w:r>
              <w:rPr>
                <w:spacing w:val="-1"/>
              </w:rPr>
              <w:t xml:space="preserve"> </w:t>
            </w:r>
            <w:r>
              <w:t xml:space="preserve">skills </w:t>
            </w:r>
            <w:r>
              <w:rPr>
                <w:spacing w:val="-2"/>
              </w:rPr>
              <w:t>matrix</w:t>
            </w:r>
          </w:p>
          <w:p w14:paraId="6AAC0B69" w14:textId="77777777" w:rsidR="00B32B7C" w:rsidRPr="00B32B7C" w:rsidRDefault="00B32B7C" w:rsidP="00B32B7C"/>
          <w:tbl>
            <w:tblPr>
              <w:tblW w:w="5000" w:type="pct"/>
              <w:tblBorders>
                <w:top w:val="single" w:sz="2" w:space="0" w:color="1F4060"/>
                <w:left w:val="single" w:sz="2" w:space="0" w:color="1F4060"/>
                <w:bottom w:val="single" w:sz="2" w:space="0" w:color="1F4060"/>
                <w:right w:val="single" w:sz="2" w:space="0" w:color="1F4060"/>
                <w:insideH w:val="single" w:sz="2" w:space="0" w:color="1F4060"/>
                <w:insideV w:val="single" w:sz="2" w:space="0" w:color="1F4060"/>
              </w:tblBorders>
              <w:tblCellMar>
                <w:left w:w="0" w:type="dxa"/>
                <w:right w:w="0" w:type="dxa"/>
              </w:tblCellMar>
              <w:tblLook w:val="01E0" w:firstRow="1" w:lastRow="1" w:firstColumn="1" w:lastColumn="1" w:noHBand="0" w:noVBand="0"/>
            </w:tblPr>
            <w:tblGrid>
              <w:gridCol w:w="2406"/>
              <w:gridCol w:w="6096"/>
            </w:tblGrid>
            <w:tr w:rsidR="00B32B7C" w14:paraId="04C4A593" w14:textId="77777777" w:rsidTr="001F7967">
              <w:trPr>
                <w:trHeight w:val="364"/>
              </w:trPr>
              <w:tc>
                <w:tcPr>
                  <w:tcW w:w="1415" w:type="pct"/>
                  <w:tcBorders>
                    <w:top w:val="nil"/>
                    <w:left w:val="nil"/>
                    <w:bottom w:val="nil"/>
                  </w:tcBorders>
                  <w:shd w:val="clear" w:color="auto" w:fill="FFFFFF"/>
                </w:tcPr>
                <w:p w14:paraId="5453A8C2" w14:textId="77777777" w:rsidR="00B32B7C" w:rsidRDefault="00B32B7C" w:rsidP="00B32B7C">
                  <w:pPr>
                    <w:pStyle w:val="TableParagraph"/>
                    <w:spacing w:before="58"/>
                    <w:ind w:left="110"/>
                    <w:rPr>
                      <w:rFonts w:ascii="Open Sans"/>
                      <w:b/>
                      <w:sz w:val="18"/>
                    </w:rPr>
                  </w:pPr>
                  <w:r>
                    <w:rPr>
                      <w:rFonts w:ascii="Open Sans"/>
                      <w:b/>
                      <w:color w:val="231F20"/>
                      <w:sz w:val="18"/>
                    </w:rPr>
                    <w:t>Skills</w:t>
                  </w:r>
                  <w:r>
                    <w:rPr>
                      <w:rFonts w:ascii="Open Sans"/>
                      <w:b/>
                      <w:color w:val="231F20"/>
                      <w:spacing w:val="1"/>
                      <w:sz w:val="18"/>
                    </w:rPr>
                    <w:t xml:space="preserve"> </w:t>
                  </w:r>
                  <w:r>
                    <w:rPr>
                      <w:rFonts w:ascii="Open Sans"/>
                      <w:b/>
                      <w:color w:val="231F20"/>
                      <w:sz w:val="18"/>
                    </w:rPr>
                    <w:t>and</w:t>
                  </w:r>
                  <w:r>
                    <w:rPr>
                      <w:rFonts w:ascii="Open Sans"/>
                      <w:b/>
                      <w:color w:val="231F20"/>
                      <w:spacing w:val="1"/>
                      <w:sz w:val="18"/>
                    </w:rPr>
                    <w:t xml:space="preserve"> </w:t>
                  </w:r>
                  <w:r>
                    <w:rPr>
                      <w:rFonts w:ascii="Open Sans"/>
                      <w:b/>
                      <w:color w:val="231F20"/>
                      <w:spacing w:val="-2"/>
                      <w:sz w:val="18"/>
                    </w:rPr>
                    <w:t>experience</w:t>
                  </w:r>
                </w:p>
              </w:tc>
              <w:tc>
                <w:tcPr>
                  <w:tcW w:w="3585" w:type="pct"/>
                  <w:tcBorders>
                    <w:top w:val="nil"/>
                    <w:bottom w:val="nil"/>
                    <w:right w:val="nil"/>
                  </w:tcBorders>
                  <w:shd w:val="clear" w:color="auto" w:fill="FFFFFF"/>
                </w:tcPr>
                <w:p w14:paraId="287DFFA2" w14:textId="77777777" w:rsidR="00B32B7C" w:rsidRDefault="00B32B7C" w:rsidP="00B32B7C">
                  <w:pPr>
                    <w:pStyle w:val="TableParagraph"/>
                    <w:spacing w:before="58"/>
                    <w:ind w:left="111"/>
                    <w:rPr>
                      <w:rFonts w:ascii="Open Sans"/>
                      <w:b/>
                      <w:sz w:val="18"/>
                    </w:rPr>
                  </w:pPr>
                  <w:r>
                    <w:rPr>
                      <w:rFonts w:ascii="Open Sans"/>
                      <w:b/>
                      <w:color w:val="231F20"/>
                      <w:spacing w:val="-2"/>
                      <w:sz w:val="18"/>
                    </w:rPr>
                    <w:t>Description</w:t>
                  </w:r>
                </w:p>
              </w:tc>
            </w:tr>
            <w:tr w:rsidR="00B32B7C" w14:paraId="0FF4648C" w14:textId="77777777" w:rsidTr="001F7967">
              <w:trPr>
                <w:trHeight w:val="1258"/>
              </w:trPr>
              <w:tc>
                <w:tcPr>
                  <w:tcW w:w="1415" w:type="pct"/>
                  <w:tcBorders>
                    <w:top w:val="nil"/>
                    <w:left w:val="nil"/>
                    <w:bottom w:val="single" w:sz="2" w:space="0" w:color="7F859B"/>
                  </w:tcBorders>
                  <w:shd w:val="clear" w:color="auto" w:fill="auto"/>
                </w:tcPr>
                <w:p w14:paraId="0710A2F7" w14:textId="77777777" w:rsidR="00B32B7C" w:rsidRDefault="00B32B7C" w:rsidP="00564DA4">
                  <w:pPr>
                    <w:pStyle w:val="BoxText"/>
                  </w:pPr>
                  <w:r>
                    <w:t>Economic</w:t>
                  </w:r>
                  <w:r>
                    <w:rPr>
                      <w:spacing w:val="-3"/>
                    </w:rPr>
                    <w:t xml:space="preserve"> </w:t>
                  </w:r>
                  <w:r>
                    <w:rPr>
                      <w:spacing w:val="-2"/>
                    </w:rPr>
                    <w:t>expertise</w:t>
                  </w:r>
                </w:p>
              </w:tc>
              <w:tc>
                <w:tcPr>
                  <w:tcW w:w="3585" w:type="pct"/>
                  <w:tcBorders>
                    <w:top w:val="nil"/>
                    <w:bottom w:val="single" w:sz="2" w:space="0" w:color="7F859B"/>
                    <w:right w:val="nil"/>
                  </w:tcBorders>
                  <w:shd w:val="clear" w:color="auto" w:fill="auto"/>
                </w:tcPr>
                <w:p w14:paraId="244897CD" w14:textId="77777777" w:rsidR="00B32B7C" w:rsidRDefault="00B32B7C" w:rsidP="00564DA4">
                  <w:pPr>
                    <w:pStyle w:val="BoxText"/>
                    <w:ind w:left="139"/>
                  </w:pPr>
                  <w:r>
                    <w:t>Significant practical experience or qualifications in one of the following fields: open-economy macroeconomics, the financial system, labour markets and the supply side of the economy.</w:t>
                  </w:r>
                </w:p>
              </w:tc>
            </w:tr>
            <w:tr w:rsidR="00B32B7C" w14:paraId="72693670" w14:textId="77777777" w:rsidTr="001F7967">
              <w:trPr>
                <w:trHeight w:val="702"/>
              </w:trPr>
              <w:tc>
                <w:tcPr>
                  <w:tcW w:w="1415" w:type="pct"/>
                  <w:tcBorders>
                    <w:top w:val="single" w:sz="2" w:space="0" w:color="7F859B"/>
                    <w:left w:val="nil"/>
                    <w:bottom w:val="single" w:sz="2" w:space="0" w:color="7F859B"/>
                  </w:tcBorders>
                  <w:shd w:val="clear" w:color="auto" w:fill="auto"/>
                </w:tcPr>
                <w:p w14:paraId="2DC216DE" w14:textId="77777777" w:rsidR="00B32B7C" w:rsidRDefault="00B32B7C" w:rsidP="00564DA4">
                  <w:pPr>
                    <w:pStyle w:val="BoxText"/>
                  </w:pPr>
                  <w:r>
                    <w:t>Analytical</w:t>
                  </w:r>
                  <w:r>
                    <w:rPr>
                      <w:spacing w:val="18"/>
                    </w:rPr>
                    <w:t xml:space="preserve"> </w:t>
                  </w:r>
                  <w:r>
                    <w:rPr>
                      <w:spacing w:val="-2"/>
                    </w:rPr>
                    <w:t>ability</w:t>
                  </w:r>
                </w:p>
              </w:tc>
              <w:tc>
                <w:tcPr>
                  <w:tcW w:w="3585" w:type="pct"/>
                  <w:tcBorders>
                    <w:top w:val="single" w:sz="2" w:space="0" w:color="7F859B"/>
                    <w:bottom w:val="single" w:sz="2" w:space="0" w:color="7F859B"/>
                    <w:right w:val="nil"/>
                  </w:tcBorders>
                  <w:shd w:val="clear" w:color="auto" w:fill="auto"/>
                </w:tcPr>
                <w:p w14:paraId="09F40B7B" w14:textId="3AEB4B1E" w:rsidR="00B32B7C" w:rsidRDefault="00B32B7C" w:rsidP="00564DA4">
                  <w:pPr>
                    <w:pStyle w:val="BoxText"/>
                    <w:ind w:left="139"/>
                  </w:pPr>
                  <w:r>
                    <w:t>Demonstrated ability to digest large volumes of information and/ or research and develop reasoned views quickly</w:t>
                  </w:r>
                  <w:r w:rsidR="0068598E">
                    <w:rPr>
                      <w:spacing w:val="-13"/>
                    </w:rPr>
                    <w:t>.</w:t>
                  </w:r>
                </w:p>
              </w:tc>
            </w:tr>
            <w:tr w:rsidR="00B32B7C" w14:paraId="1D9CA2BB" w14:textId="77777777" w:rsidTr="001F7967">
              <w:trPr>
                <w:trHeight w:val="932"/>
              </w:trPr>
              <w:tc>
                <w:tcPr>
                  <w:tcW w:w="1415" w:type="pct"/>
                  <w:tcBorders>
                    <w:top w:val="single" w:sz="2" w:space="0" w:color="7F859B"/>
                    <w:left w:val="nil"/>
                    <w:bottom w:val="single" w:sz="2" w:space="0" w:color="7F859B"/>
                  </w:tcBorders>
                  <w:shd w:val="clear" w:color="auto" w:fill="auto"/>
                </w:tcPr>
                <w:p w14:paraId="495A4ED6" w14:textId="77777777" w:rsidR="00B32B7C" w:rsidRDefault="00B32B7C" w:rsidP="00564DA4">
                  <w:pPr>
                    <w:pStyle w:val="BoxText"/>
                  </w:pPr>
                  <w:r>
                    <w:t>Strategic</w:t>
                  </w:r>
                  <w:r>
                    <w:rPr>
                      <w:spacing w:val="2"/>
                    </w:rPr>
                    <w:t xml:space="preserve"> </w:t>
                  </w:r>
                  <w:r>
                    <w:rPr>
                      <w:spacing w:val="-2"/>
                    </w:rPr>
                    <w:t>perspective</w:t>
                  </w:r>
                </w:p>
              </w:tc>
              <w:tc>
                <w:tcPr>
                  <w:tcW w:w="3585" w:type="pct"/>
                  <w:tcBorders>
                    <w:top w:val="single" w:sz="2" w:space="0" w:color="7F859B"/>
                    <w:bottom w:val="single" w:sz="2" w:space="0" w:color="7F859B"/>
                    <w:right w:val="nil"/>
                  </w:tcBorders>
                  <w:shd w:val="clear" w:color="auto" w:fill="auto"/>
                </w:tcPr>
                <w:p w14:paraId="288F542A" w14:textId="70D128C5" w:rsidR="00B32B7C" w:rsidRDefault="00B32B7C" w:rsidP="00564DA4">
                  <w:pPr>
                    <w:pStyle w:val="BoxText"/>
                    <w:ind w:left="139"/>
                  </w:pPr>
                  <w:r>
                    <w:t>Demonstrated ability to decide and deliver on complex business plans under conditions of heightened uncertainty, anticipate emerging issues, and balance risks</w:t>
                  </w:r>
                  <w:r w:rsidR="0068598E">
                    <w:rPr>
                      <w:spacing w:val="-8"/>
                    </w:rPr>
                    <w:t>.</w:t>
                  </w:r>
                </w:p>
              </w:tc>
            </w:tr>
            <w:tr w:rsidR="00B32B7C" w14:paraId="419C6FDA" w14:textId="77777777" w:rsidTr="001F7967">
              <w:trPr>
                <w:trHeight w:val="702"/>
              </w:trPr>
              <w:tc>
                <w:tcPr>
                  <w:tcW w:w="1415" w:type="pct"/>
                  <w:tcBorders>
                    <w:top w:val="single" w:sz="2" w:space="0" w:color="7F859B"/>
                    <w:left w:val="nil"/>
                    <w:bottom w:val="single" w:sz="2" w:space="0" w:color="7F859B"/>
                  </w:tcBorders>
                  <w:shd w:val="clear" w:color="auto" w:fill="auto"/>
                </w:tcPr>
                <w:p w14:paraId="1D1BA0C0" w14:textId="77777777" w:rsidR="00B32B7C" w:rsidRDefault="00B32B7C" w:rsidP="00564DA4">
                  <w:pPr>
                    <w:pStyle w:val="BoxText"/>
                  </w:pPr>
                  <w:r>
                    <w:rPr>
                      <w:spacing w:val="-2"/>
                    </w:rPr>
                    <w:t>Communications</w:t>
                  </w:r>
                </w:p>
              </w:tc>
              <w:tc>
                <w:tcPr>
                  <w:tcW w:w="3585" w:type="pct"/>
                  <w:tcBorders>
                    <w:top w:val="single" w:sz="2" w:space="0" w:color="7F859B"/>
                    <w:bottom w:val="single" w:sz="2" w:space="0" w:color="7F859B"/>
                    <w:right w:val="nil"/>
                  </w:tcBorders>
                  <w:shd w:val="clear" w:color="auto" w:fill="auto"/>
                </w:tcPr>
                <w:p w14:paraId="47F29DCC" w14:textId="1F23DB70" w:rsidR="00B32B7C" w:rsidRDefault="00B32B7C" w:rsidP="00564DA4">
                  <w:pPr>
                    <w:pStyle w:val="BoxText"/>
                    <w:ind w:left="139"/>
                  </w:pPr>
                  <w:r>
                    <w:t>Experience communicating complex issues with complete credibility and ideally to diverse audiences</w:t>
                  </w:r>
                  <w:r w:rsidR="0068598E">
                    <w:rPr>
                      <w:spacing w:val="-10"/>
                    </w:rPr>
                    <w:t>.</w:t>
                  </w:r>
                </w:p>
              </w:tc>
            </w:tr>
            <w:tr w:rsidR="00B32B7C" w14:paraId="414458FE" w14:textId="77777777" w:rsidTr="001F7967">
              <w:trPr>
                <w:trHeight w:val="935"/>
              </w:trPr>
              <w:tc>
                <w:tcPr>
                  <w:tcW w:w="1415" w:type="pct"/>
                  <w:tcBorders>
                    <w:top w:val="single" w:sz="2" w:space="0" w:color="7F859B"/>
                    <w:left w:val="nil"/>
                    <w:bottom w:val="nil"/>
                  </w:tcBorders>
                  <w:shd w:val="clear" w:color="auto" w:fill="auto"/>
                </w:tcPr>
                <w:p w14:paraId="297BE8BF" w14:textId="77777777" w:rsidR="00B32B7C" w:rsidRDefault="00B32B7C" w:rsidP="00564DA4">
                  <w:pPr>
                    <w:pStyle w:val="BoxText"/>
                  </w:pPr>
                  <w:r>
                    <w:t>Leadership</w:t>
                  </w:r>
                  <w:r>
                    <w:rPr>
                      <w:spacing w:val="1"/>
                    </w:rPr>
                    <w:t xml:space="preserve"> </w:t>
                  </w:r>
                  <w:r>
                    <w:rPr>
                      <w:spacing w:val="-5"/>
                    </w:rPr>
                    <w:t>and</w:t>
                  </w:r>
                </w:p>
                <w:p w14:paraId="119CA61B" w14:textId="77777777" w:rsidR="00B32B7C" w:rsidRDefault="00B32B7C" w:rsidP="00564DA4">
                  <w:pPr>
                    <w:pStyle w:val="BoxText"/>
                  </w:pPr>
                  <w:r>
                    <w:t xml:space="preserve">corporate </w:t>
                  </w:r>
                  <w:r>
                    <w:rPr>
                      <w:spacing w:val="-2"/>
                    </w:rPr>
                    <w:t>experience</w:t>
                  </w:r>
                </w:p>
              </w:tc>
              <w:tc>
                <w:tcPr>
                  <w:tcW w:w="3585" w:type="pct"/>
                  <w:tcBorders>
                    <w:top w:val="single" w:sz="2" w:space="0" w:color="7F859B"/>
                    <w:bottom w:val="nil"/>
                    <w:right w:val="nil"/>
                  </w:tcBorders>
                  <w:shd w:val="clear" w:color="auto" w:fill="auto"/>
                </w:tcPr>
                <w:p w14:paraId="419D0E8F" w14:textId="285FE0E7" w:rsidR="00B32B7C" w:rsidRDefault="00B32B7C" w:rsidP="00564DA4">
                  <w:pPr>
                    <w:pStyle w:val="BoxText"/>
                    <w:ind w:left="139"/>
                  </w:pPr>
                  <w:r>
                    <w:t>Senior-level</w:t>
                  </w:r>
                  <w:r>
                    <w:rPr>
                      <w:spacing w:val="-2"/>
                    </w:rPr>
                    <w:t xml:space="preserve"> </w:t>
                  </w:r>
                  <w:r>
                    <w:t>experience</w:t>
                  </w:r>
                  <w:r>
                    <w:rPr>
                      <w:spacing w:val="-2"/>
                    </w:rPr>
                    <w:t xml:space="preserve"> </w:t>
                  </w:r>
                  <w:r>
                    <w:t>collaborating</w:t>
                  </w:r>
                  <w:r>
                    <w:rPr>
                      <w:spacing w:val="-2"/>
                    </w:rPr>
                    <w:t xml:space="preserve"> </w:t>
                  </w:r>
                  <w:r>
                    <w:t>in</w:t>
                  </w:r>
                  <w:r>
                    <w:rPr>
                      <w:spacing w:val="-2"/>
                    </w:rPr>
                    <w:t xml:space="preserve"> </w:t>
                  </w:r>
                  <w:r>
                    <w:t>an</w:t>
                  </w:r>
                  <w:r>
                    <w:rPr>
                      <w:spacing w:val="-2"/>
                    </w:rPr>
                    <w:t xml:space="preserve"> </w:t>
                  </w:r>
                  <w:r>
                    <w:t>environment</w:t>
                  </w:r>
                  <w:r>
                    <w:rPr>
                      <w:spacing w:val="-2"/>
                    </w:rPr>
                    <w:t xml:space="preserve"> </w:t>
                  </w:r>
                  <w:r>
                    <w:t>that requires constructive deliberation and debate, including in a committee or board context</w:t>
                  </w:r>
                  <w:r w:rsidR="0068598E">
                    <w:rPr>
                      <w:spacing w:val="-9"/>
                    </w:rPr>
                    <w:t>.</w:t>
                  </w:r>
                </w:p>
              </w:tc>
            </w:tr>
          </w:tbl>
          <w:p w14:paraId="2AE122ED" w14:textId="3ADA876B" w:rsidR="008D157E" w:rsidRPr="008D157E" w:rsidRDefault="008D157E" w:rsidP="008D157E"/>
        </w:tc>
      </w:tr>
    </w:tbl>
    <w:p w14:paraId="684424AF" w14:textId="77777777" w:rsidR="000E0EDE" w:rsidRDefault="000E0EDE" w:rsidP="00A8593F">
      <w:pPr>
        <w:pStyle w:val="Heading3"/>
      </w:pPr>
    </w:p>
    <w:p w14:paraId="5DCFDF78" w14:textId="15B5532A" w:rsidR="00A8593F" w:rsidRDefault="00A8593F" w:rsidP="00A8593F">
      <w:pPr>
        <w:pStyle w:val="Heading3"/>
      </w:pPr>
      <w:r>
        <w:t>Recommendations</w:t>
      </w:r>
      <w:r>
        <w:rPr>
          <w:spacing w:val="-9"/>
        </w:rPr>
        <w:t xml:space="preserve"> </w:t>
      </w:r>
      <w:r>
        <w:t>8.5</w:t>
      </w:r>
      <w:r>
        <w:rPr>
          <w:spacing w:val="-9"/>
        </w:rPr>
        <w:t xml:space="preserve"> </w:t>
      </w:r>
      <w:r>
        <w:t>and</w:t>
      </w:r>
      <w:r>
        <w:rPr>
          <w:spacing w:val="-9"/>
        </w:rPr>
        <w:t xml:space="preserve"> </w:t>
      </w:r>
      <w:r>
        <w:t>8.6:</w:t>
      </w:r>
      <w:r>
        <w:rPr>
          <w:spacing w:val="-9"/>
        </w:rPr>
        <w:t xml:space="preserve"> </w:t>
      </w:r>
      <w:r>
        <w:t>Adopt</w:t>
      </w:r>
      <w:r>
        <w:rPr>
          <w:spacing w:val="-9"/>
        </w:rPr>
        <w:t xml:space="preserve"> </w:t>
      </w:r>
      <w:r>
        <w:t>a</w:t>
      </w:r>
      <w:r>
        <w:rPr>
          <w:spacing w:val="-9"/>
        </w:rPr>
        <w:t xml:space="preserve"> </w:t>
      </w:r>
      <w:r>
        <w:t>more</w:t>
      </w:r>
      <w:r>
        <w:rPr>
          <w:spacing w:val="-9"/>
        </w:rPr>
        <w:t xml:space="preserve"> </w:t>
      </w:r>
      <w:r>
        <w:t>transparent</w:t>
      </w:r>
      <w:r>
        <w:rPr>
          <w:spacing w:val="-9"/>
        </w:rPr>
        <w:t xml:space="preserve"> </w:t>
      </w:r>
      <w:r>
        <w:t>and</w:t>
      </w:r>
      <w:r>
        <w:rPr>
          <w:spacing w:val="-9"/>
        </w:rPr>
        <w:t xml:space="preserve"> </w:t>
      </w:r>
      <w:r>
        <w:t>open appointment process</w:t>
      </w:r>
    </w:p>
    <w:p w14:paraId="0BCD54B9" w14:textId="77777777" w:rsidR="00A8593F" w:rsidRDefault="00A8593F" w:rsidP="00A8593F">
      <w:pPr>
        <w:pStyle w:val="Heading4"/>
      </w:pPr>
      <w:r>
        <w:t>Appointment</w:t>
      </w:r>
      <w:r>
        <w:rPr>
          <w:spacing w:val="1"/>
        </w:rPr>
        <w:t xml:space="preserve"> </w:t>
      </w:r>
      <w:r>
        <w:t>process</w:t>
      </w:r>
      <w:r>
        <w:rPr>
          <w:spacing w:val="2"/>
        </w:rPr>
        <w:t xml:space="preserve"> </w:t>
      </w:r>
      <w:r>
        <w:t>for</w:t>
      </w:r>
      <w:r>
        <w:rPr>
          <w:spacing w:val="2"/>
        </w:rPr>
        <w:t xml:space="preserve"> </w:t>
      </w:r>
      <w:r>
        <w:t>external</w:t>
      </w:r>
      <w:r>
        <w:rPr>
          <w:spacing w:val="1"/>
        </w:rPr>
        <w:t xml:space="preserve"> </w:t>
      </w:r>
      <w:r>
        <w:t>members</w:t>
      </w:r>
      <w:r>
        <w:rPr>
          <w:spacing w:val="2"/>
        </w:rPr>
        <w:t xml:space="preserve"> </w:t>
      </w:r>
      <w:r>
        <w:t>should</w:t>
      </w:r>
      <w:r>
        <w:rPr>
          <w:spacing w:val="2"/>
        </w:rPr>
        <w:t xml:space="preserve"> </w:t>
      </w:r>
      <w:r>
        <w:t>be</w:t>
      </w:r>
      <w:r>
        <w:rPr>
          <w:spacing w:val="1"/>
        </w:rPr>
        <w:t xml:space="preserve"> </w:t>
      </w:r>
      <w:r>
        <w:t>more</w:t>
      </w:r>
      <w:r>
        <w:rPr>
          <w:spacing w:val="2"/>
        </w:rPr>
        <w:t xml:space="preserve"> </w:t>
      </w:r>
      <w:r>
        <w:t>transparent</w:t>
      </w:r>
      <w:r>
        <w:rPr>
          <w:spacing w:val="2"/>
        </w:rPr>
        <w:t xml:space="preserve"> </w:t>
      </w:r>
      <w:r>
        <w:t>and</w:t>
      </w:r>
      <w:r>
        <w:rPr>
          <w:spacing w:val="2"/>
        </w:rPr>
        <w:t xml:space="preserve"> </w:t>
      </w:r>
      <w:r>
        <w:rPr>
          <w:spacing w:val="-4"/>
        </w:rPr>
        <w:t>open</w:t>
      </w:r>
    </w:p>
    <w:p w14:paraId="5F37E358" w14:textId="3C4FCDD6" w:rsidR="00A8593F" w:rsidRDefault="00A8593F" w:rsidP="00A8593F">
      <w:r>
        <w:t>The Review recommends that the appointment process for external members of the Monetary Policy</w:t>
      </w:r>
      <w:r>
        <w:rPr>
          <w:spacing w:val="-2"/>
        </w:rPr>
        <w:t xml:space="preserve"> </w:t>
      </w:r>
      <w:r>
        <w:t>Board</w:t>
      </w:r>
      <w:r>
        <w:rPr>
          <w:spacing w:val="-2"/>
        </w:rPr>
        <w:t xml:space="preserve"> </w:t>
      </w:r>
      <w:r>
        <w:t>be</w:t>
      </w:r>
      <w:r>
        <w:rPr>
          <w:spacing w:val="-2"/>
        </w:rPr>
        <w:t xml:space="preserve"> </w:t>
      </w:r>
      <w:r>
        <w:t>made</w:t>
      </w:r>
      <w:r>
        <w:rPr>
          <w:spacing w:val="-2"/>
        </w:rPr>
        <w:t xml:space="preserve"> </w:t>
      </w:r>
      <w:r>
        <w:t>more</w:t>
      </w:r>
      <w:r>
        <w:rPr>
          <w:spacing w:val="-2"/>
        </w:rPr>
        <w:t xml:space="preserve"> </w:t>
      </w:r>
      <w:r>
        <w:t>transparent</w:t>
      </w:r>
      <w:r>
        <w:rPr>
          <w:spacing w:val="-2"/>
        </w:rPr>
        <w:t xml:space="preserve"> </w:t>
      </w:r>
      <w:r>
        <w:t>and</w:t>
      </w:r>
      <w:r>
        <w:rPr>
          <w:spacing w:val="-2"/>
        </w:rPr>
        <w:t xml:space="preserve"> </w:t>
      </w:r>
      <w:r>
        <w:t>open</w:t>
      </w:r>
      <w:r w:rsidR="0068598E">
        <w:rPr>
          <w:spacing w:val="-25"/>
        </w:rPr>
        <w:t>.</w:t>
      </w:r>
      <w:r>
        <w:rPr>
          <w:w w:val="85"/>
        </w:rPr>
        <w:t xml:space="preserve"> </w:t>
      </w:r>
      <w:r>
        <w:t>This</w:t>
      </w:r>
      <w:r>
        <w:rPr>
          <w:spacing w:val="-2"/>
        </w:rPr>
        <w:t xml:space="preserve"> </w:t>
      </w:r>
      <w:r>
        <w:t>would</w:t>
      </w:r>
      <w:r>
        <w:rPr>
          <w:spacing w:val="-2"/>
        </w:rPr>
        <w:t xml:space="preserve"> </w:t>
      </w:r>
      <w:r>
        <w:t>reinforce</w:t>
      </w:r>
      <w:r>
        <w:rPr>
          <w:spacing w:val="-2"/>
        </w:rPr>
        <w:t xml:space="preserve"> </w:t>
      </w:r>
      <w:r>
        <w:t>the</w:t>
      </w:r>
      <w:r>
        <w:rPr>
          <w:spacing w:val="-2"/>
        </w:rPr>
        <w:t xml:space="preserve"> </w:t>
      </w:r>
      <w:r>
        <w:t>RBA’s</w:t>
      </w:r>
      <w:r>
        <w:rPr>
          <w:spacing w:val="-2"/>
        </w:rPr>
        <w:t xml:space="preserve"> </w:t>
      </w:r>
      <w:r>
        <w:t>independence, bolster public trust in the institution and increase the likelihood of identifying outstanding candidates</w:t>
      </w:r>
      <w:r w:rsidR="0068598E">
        <w:rPr>
          <w:spacing w:val="-25"/>
        </w:rPr>
        <w:t>.</w:t>
      </w:r>
    </w:p>
    <w:p w14:paraId="7E199243" w14:textId="7C1C868F" w:rsidR="00A8593F" w:rsidRDefault="00A8593F" w:rsidP="00A8593F">
      <w:r>
        <w:t>Positions should be open and advertised for expressions of interest, including to international applicants</w:t>
      </w:r>
      <w:r w:rsidR="0068598E">
        <w:rPr>
          <w:spacing w:val="-22"/>
        </w:rPr>
        <w:t>.</w:t>
      </w:r>
      <w:r>
        <w:rPr>
          <w:w w:val="85"/>
        </w:rPr>
        <w:t xml:space="preserve"> </w:t>
      </w:r>
      <w:r>
        <w:t>The selection criteria should be published</w:t>
      </w:r>
      <w:r w:rsidR="0068598E">
        <w:rPr>
          <w:spacing w:val="-22"/>
        </w:rPr>
        <w:t>.</w:t>
      </w:r>
      <w:r>
        <w:rPr>
          <w:w w:val="85"/>
        </w:rPr>
        <w:t xml:space="preserve"> </w:t>
      </w:r>
      <w:r>
        <w:t xml:space="preserve">These changes better align the appointment process with the best-practice approaches recommended by the Grattan Institute (Wood, Griffiths </w:t>
      </w:r>
      <w:r>
        <w:lastRenderedPageBreak/>
        <w:t>and Stobart 2022)</w:t>
      </w:r>
      <w:r w:rsidR="0068598E">
        <w:rPr>
          <w:spacing w:val="-20"/>
        </w:rPr>
        <w:t>.</w:t>
      </w:r>
      <w:r>
        <w:rPr>
          <w:w w:val="85"/>
        </w:rPr>
        <w:t xml:space="preserve"> </w:t>
      </w:r>
      <w:r>
        <w:t>Opening the process to international applicants could bring valuable outside perspectives</w:t>
      </w:r>
      <w:r>
        <w:rPr>
          <w:spacing w:val="-4"/>
        </w:rPr>
        <w:t xml:space="preserve"> </w:t>
      </w:r>
      <w:r>
        <w:t>and</w:t>
      </w:r>
      <w:r>
        <w:rPr>
          <w:spacing w:val="-4"/>
        </w:rPr>
        <w:t xml:space="preserve"> </w:t>
      </w:r>
      <w:r>
        <w:t>help</w:t>
      </w:r>
      <w:r>
        <w:rPr>
          <w:spacing w:val="-4"/>
        </w:rPr>
        <w:t xml:space="preserve"> </w:t>
      </w:r>
      <w:r>
        <w:t>to</w:t>
      </w:r>
      <w:r>
        <w:rPr>
          <w:spacing w:val="-4"/>
        </w:rPr>
        <w:t xml:space="preserve"> </w:t>
      </w:r>
      <w:r>
        <w:t>address</w:t>
      </w:r>
      <w:r>
        <w:rPr>
          <w:spacing w:val="-4"/>
        </w:rPr>
        <w:t xml:space="preserve"> </w:t>
      </w:r>
      <w:r>
        <w:t>concerns</w:t>
      </w:r>
      <w:r>
        <w:rPr>
          <w:spacing w:val="-4"/>
        </w:rPr>
        <w:t xml:space="preserve"> </w:t>
      </w:r>
      <w:r>
        <w:t>of</w:t>
      </w:r>
      <w:r>
        <w:rPr>
          <w:spacing w:val="-4"/>
        </w:rPr>
        <w:t xml:space="preserve"> </w:t>
      </w:r>
      <w:r>
        <w:t>some</w:t>
      </w:r>
      <w:r>
        <w:rPr>
          <w:spacing w:val="-4"/>
        </w:rPr>
        <w:t xml:space="preserve"> </w:t>
      </w:r>
      <w:r>
        <w:t>stakeholders</w:t>
      </w:r>
      <w:r>
        <w:rPr>
          <w:spacing w:val="-4"/>
        </w:rPr>
        <w:t xml:space="preserve"> </w:t>
      </w:r>
      <w:r>
        <w:t>about</w:t>
      </w:r>
      <w:r>
        <w:rPr>
          <w:spacing w:val="-4"/>
        </w:rPr>
        <w:t xml:space="preserve"> </w:t>
      </w:r>
      <w:r>
        <w:t>the</w:t>
      </w:r>
      <w:r>
        <w:rPr>
          <w:spacing w:val="-4"/>
        </w:rPr>
        <w:t xml:space="preserve"> </w:t>
      </w:r>
      <w:r>
        <w:t>ability</w:t>
      </w:r>
      <w:r>
        <w:rPr>
          <w:spacing w:val="-4"/>
        </w:rPr>
        <w:t xml:space="preserve"> </w:t>
      </w:r>
      <w:r>
        <w:t>to</w:t>
      </w:r>
      <w:r>
        <w:rPr>
          <w:spacing w:val="-4"/>
        </w:rPr>
        <w:t xml:space="preserve"> </w:t>
      </w:r>
      <w:r>
        <w:t>recruit</w:t>
      </w:r>
      <w:r>
        <w:rPr>
          <w:spacing w:val="-4"/>
        </w:rPr>
        <w:t xml:space="preserve"> </w:t>
      </w:r>
      <w:r>
        <w:t>enough suitable candidates in a country of Australia’s size. A specialised recruitment firm could be engaged to assist the recruitment process</w:t>
      </w:r>
      <w:r w:rsidR="0068598E">
        <w:rPr>
          <w:spacing w:val="-21"/>
        </w:rPr>
        <w:t>.</w:t>
      </w:r>
      <w:r>
        <w:rPr>
          <w:w w:val="85"/>
        </w:rPr>
        <w:t xml:space="preserve"> </w:t>
      </w:r>
      <w:r>
        <w:t>The pool of potential candidates should not be limited to those who responded to the expression of interest process</w:t>
      </w:r>
      <w:r w:rsidR="0068598E">
        <w:rPr>
          <w:spacing w:val="-16"/>
        </w:rPr>
        <w:t>.</w:t>
      </w:r>
    </w:p>
    <w:p w14:paraId="360D18BD" w14:textId="4B5AF4C5" w:rsidR="00A8593F" w:rsidRDefault="00A8593F" w:rsidP="00A8593F">
      <w:r>
        <w:t>A panel comprising the Treasury Secretary, Governor and a third independent party (for example the Chair of the Governance Board, a previous member of one of the Boards or another respected expert)</w:t>
      </w:r>
      <w:r>
        <w:rPr>
          <w:spacing w:val="-4"/>
        </w:rPr>
        <w:t xml:space="preserve"> </w:t>
      </w:r>
      <w:r>
        <w:t>should</w:t>
      </w:r>
      <w:r>
        <w:rPr>
          <w:spacing w:val="-3"/>
        </w:rPr>
        <w:t xml:space="preserve"> </w:t>
      </w:r>
      <w:r>
        <w:t>recommend</w:t>
      </w:r>
      <w:r>
        <w:rPr>
          <w:spacing w:val="-3"/>
        </w:rPr>
        <w:t xml:space="preserve"> </w:t>
      </w:r>
      <w:r>
        <w:t>a</w:t>
      </w:r>
      <w:r>
        <w:rPr>
          <w:spacing w:val="-3"/>
        </w:rPr>
        <w:t xml:space="preserve"> </w:t>
      </w:r>
      <w:r>
        <w:t>shortlist</w:t>
      </w:r>
      <w:r>
        <w:rPr>
          <w:spacing w:val="-3"/>
        </w:rPr>
        <w:t xml:space="preserve"> </w:t>
      </w:r>
      <w:r>
        <w:t>of</w:t>
      </w:r>
      <w:r>
        <w:rPr>
          <w:spacing w:val="-3"/>
        </w:rPr>
        <w:t xml:space="preserve"> </w:t>
      </w:r>
      <w:r>
        <w:t>suitable</w:t>
      </w:r>
      <w:r>
        <w:rPr>
          <w:spacing w:val="-3"/>
        </w:rPr>
        <w:t xml:space="preserve"> </w:t>
      </w:r>
      <w:r>
        <w:t>candidates</w:t>
      </w:r>
      <w:r>
        <w:rPr>
          <w:spacing w:val="-3"/>
        </w:rPr>
        <w:t xml:space="preserve"> </w:t>
      </w:r>
      <w:r>
        <w:t>to</w:t>
      </w:r>
      <w:r>
        <w:rPr>
          <w:spacing w:val="-3"/>
        </w:rPr>
        <w:t xml:space="preserve"> </w:t>
      </w:r>
      <w:r>
        <w:t>the</w:t>
      </w:r>
      <w:r>
        <w:rPr>
          <w:spacing w:val="-3"/>
        </w:rPr>
        <w:t xml:space="preserve"> </w:t>
      </w:r>
      <w:r>
        <w:t>Treasurer</w:t>
      </w:r>
      <w:r w:rsidR="0068598E">
        <w:rPr>
          <w:spacing w:val="-25"/>
        </w:rPr>
        <w:t>.</w:t>
      </w:r>
      <w:r>
        <w:rPr>
          <w:w w:val="85"/>
        </w:rPr>
        <w:t xml:space="preserve"> </w:t>
      </w:r>
      <w:r>
        <w:t>The</w:t>
      </w:r>
      <w:r>
        <w:rPr>
          <w:spacing w:val="-3"/>
        </w:rPr>
        <w:t xml:space="preserve"> </w:t>
      </w:r>
      <w:r>
        <w:t>Treasurer</w:t>
      </w:r>
      <w:r>
        <w:rPr>
          <w:spacing w:val="-3"/>
        </w:rPr>
        <w:t xml:space="preserve"> </w:t>
      </w:r>
      <w:r>
        <w:t>should make an appointment from this shortlist</w:t>
      </w:r>
      <w:r w:rsidR="0068598E">
        <w:rPr>
          <w:spacing w:val="-10"/>
        </w:rPr>
        <w:t>.</w:t>
      </w:r>
    </w:p>
    <w:p w14:paraId="2F7AE300" w14:textId="288CE5BD" w:rsidR="00A8593F" w:rsidRDefault="00A8593F" w:rsidP="00A8593F">
      <w:r>
        <w:t>To further reinforce the appointment process, it would be valuable to release information about how the appointee’s skills and experience will help the Board in achieving its objectives, when the appointment is announced</w:t>
      </w:r>
      <w:r w:rsidR="0068598E">
        <w:rPr>
          <w:spacing w:val="-23"/>
        </w:rPr>
        <w:t>.</w:t>
      </w:r>
      <w:r>
        <w:rPr>
          <w:w w:val="85"/>
        </w:rPr>
        <w:t xml:space="preserve"> </w:t>
      </w:r>
      <w:r>
        <w:t>This would be in line with information on new external appointments published by the Bank of England</w:t>
      </w:r>
      <w:r w:rsidR="0068598E">
        <w:rPr>
          <w:spacing w:val="-11"/>
        </w:rPr>
        <w:t>.</w:t>
      </w:r>
    </w:p>
    <w:p w14:paraId="3D50D081" w14:textId="44A5964C" w:rsidR="00A8593F" w:rsidRDefault="00A8593F" w:rsidP="00A8593F">
      <w:pPr>
        <w:tabs>
          <w:tab w:val="right" w:pos="9070"/>
        </w:tabs>
        <w:rPr>
          <w:color w:val="231F20"/>
          <w:w w:val="85"/>
        </w:rPr>
      </w:pPr>
      <w:r>
        <w:rPr>
          <w:color w:val="231F20"/>
        </w:rPr>
        <w:t>The Review notes that the Government has commenced a review of the process for public sector board appointments</w:t>
      </w:r>
      <w:r w:rsidR="0068598E">
        <w:rPr>
          <w:color w:val="231F20"/>
          <w:spacing w:val="-19"/>
        </w:rPr>
        <w:t>.</w:t>
      </w:r>
      <w:r>
        <w:rPr>
          <w:color w:val="231F20"/>
          <w:w w:val="85"/>
        </w:rPr>
        <w:t xml:space="preserve"> </w:t>
      </w:r>
      <w:r>
        <w:rPr>
          <w:color w:val="231F20"/>
        </w:rPr>
        <w:t xml:space="preserve">The </w:t>
      </w:r>
      <w:r>
        <w:rPr>
          <w:i/>
          <w:color w:val="231F20"/>
        </w:rPr>
        <w:t xml:space="preserve">Briggs Review of Public Sector Board Appointments Processes </w:t>
      </w:r>
      <w:r>
        <w:rPr>
          <w:color w:val="231F20"/>
        </w:rPr>
        <w:t>will consider how to make board recruitment more transparent, the advice ministers receive in making board appointments,</w:t>
      </w:r>
      <w:r>
        <w:rPr>
          <w:color w:val="231F20"/>
          <w:spacing w:val="11"/>
        </w:rPr>
        <w:t xml:space="preserve"> </w:t>
      </w:r>
      <w:r>
        <w:rPr>
          <w:color w:val="231F20"/>
        </w:rPr>
        <w:t>and</w:t>
      </w:r>
      <w:r>
        <w:rPr>
          <w:color w:val="231F20"/>
          <w:spacing w:val="11"/>
        </w:rPr>
        <w:t xml:space="preserve"> </w:t>
      </w:r>
      <w:r>
        <w:rPr>
          <w:color w:val="231F20"/>
        </w:rPr>
        <w:t>how</w:t>
      </w:r>
      <w:r>
        <w:rPr>
          <w:color w:val="231F20"/>
          <w:spacing w:val="11"/>
        </w:rPr>
        <w:t xml:space="preserve"> </w:t>
      </w:r>
      <w:r>
        <w:rPr>
          <w:color w:val="231F20"/>
        </w:rPr>
        <w:t>the</w:t>
      </w:r>
      <w:r>
        <w:rPr>
          <w:color w:val="231F20"/>
          <w:spacing w:val="11"/>
        </w:rPr>
        <w:t xml:space="preserve"> </w:t>
      </w:r>
      <w:r>
        <w:rPr>
          <w:color w:val="231F20"/>
        </w:rPr>
        <w:t>diversity</w:t>
      </w:r>
      <w:r>
        <w:rPr>
          <w:color w:val="231F20"/>
          <w:spacing w:val="11"/>
        </w:rPr>
        <w:t xml:space="preserve"> </w:t>
      </w:r>
      <w:r>
        <w:rPr>
          <w:color w:val="231F20"/>
        </w:rPr>
        <w:t>of</w:t>
      </w:r>
      <w:r>
        <w:rPr>
          <w:color w:val="231F20"/>
          <w:spacing w:val="11"/>
        </w:rPr>
        <w:t xml:space="preserve"> </w:t>
      </w:r>
      <w:r>
        <w:rPr>
          <w:color w:val="231F20"/>
        </w:rPr>
        <w:t>boards</w:t>
      </w:r>
      <w:r>
        <w:rPr>
          <w:color w:val="231F20"/>
          <w:spacing w:val="11"/>
        </w:rPr>
        <w:t xml:space="preserve"> </w:t>
      </w:r>
      <w:r>
        <w:rPr>
          <w:color w:val="231F20"/>
        </w:rPr>
        <w:t>can</w:t>
      </w:r>
      <w:r>
        <w:rPr>
          <w:color w:val="231F20"/>
          <w:spacing w:val="11"/>
        </w:rPr>
        <w:t xml:space="preserve"> </w:t>
      </w:r>
      <w:r>
        <w:rPr>
          <w:color w:val="231F20"/>
        </w:rPr>
        <w:t>be</w:t>
      </w:r>
      <w:r>
        <w:rPr>
          <w:color w:val="231F20"/>
          <w:spacing w:val="11"/>
        </w:rPr>
        <w:t xml:space="preserve"> </w:t>
      </w:r>
      <w:r>
        <w:rPr>
          <w:color w:val="231F20"/>
        </w:rPr>
        <w:t>improved.</w:t>
      </w:r>
      <w:r>
        <w:rPr>
          <w:color w:val="231F20"/>
          <w:spacing w:val="11"/>
        </w:rPr>
        <w:t xml:space="preserve"> </w:t>
      </w:r>
      <w:r>
        <w:rPr>
          <w:color w:val="231F20"/>
        </w:rPr>
        <w:t>A</w:t>
      </w:r>
      <w:r>
        <w:rPr>
          <w:color w:val="231F20"/>
          <w:spacing w:val="11"/>
        </w:rPr>
        <w:t xml:space="preserve"> </w:t>
      </w:r>
      <w:r>
        <w:rPr>
          <w:color w:val="231F20"/>
        </w:rPr>
        <w:t>final</w:t>
      </w:r>
      <w:r>
        <w:rPr>
          <w:color w:val="231F20"/>
          <w:spacing w:val="11"/>
        </w:rPr>
        <w:t xml:space="preserve"> </w:t>
      </w:r>
      <w:r>
        <w:rPr>
          <w:color w:val="231F20"/>
        </w:rPr>
        <w:t>report</w:t>
      </w:r>
      <w:r>
        <w:rPr>
          <w:color w:val="231F20"/>
          <w:spacing w:val="11"/>
        </w:rPr>
        <w:t xml:space="preserve"> </w:t>
      </w:r>
      <w:r>
        <w:rPr>
          <w:color w:val="231F20"/>
        </w:rPr>
        <w:t>is</w:t>
      </w:r>
      <w:r>
        <w:rPr>
          <w:color w:val="231F20"/>
          <w:spacing w:val="11"/>
        </w:rPr>
        <w:t xml:space="preserve"> </w:t>
      </w:r>
      <w:r>
        <w:rPr>
          <w:color w:val="231F20"/>
        </w:rPr>
        <w:t>to</w:t>
      </w:r>
      <w:r>
        <w:rPr>
          <w:color w:val="231F20"/>
          <w:spacing w:val="11"/>
        </w:rPr>
        <w:t xml:space="preserve"> </w:t>
      </w:r>
      <w:r>
        <w:rPr>
          <w:color w:val="231F20"/>
        </w:rPr>
        <w:t>be</w:t>
      </w:r>
      <w:r>
        <w:rPr>
          <w:color w:val="231F20"/>
          <w:spacing w:val="11"/>
        </w:rPr>
        <w:t xml:space="preserve"> </w:t>
      </w:r>
      <w:r>
        <w:rPr>
          <w:color w:val="231F20"/>
        </w:rPr>
        <w:t>delivered in mid-2023</w:t>
      </w:r>
      <w:r w:rsidR="0068598E">
        <w:rPr>
          <w:color w:val="231F20"/>
          <w:spacing w:val="-24"/>
        </w:rPr>
        <w:t>.</w:t>
      </w:r>
      <w:r>
        <w:rPr>
          <w:color w:val="231F20"/>
          <w:w w:val="85"/>
        </w:rPr>
        <w:t xml:space="preserve"> </w:t>
      </w:r>
      <w:r>
        <w:rPr>
          <w:color w:val="231F20"/>
        </w:rPr>
        <w:t>The Government should draw on the insights and suggestions from that report when amending the appointment process for the RBA’s boards</w:t>
      </w:r>
      <w:r w:rsidR="0068598E">
        <w:rPr>
          <w:color w:val="231F20"/>
          <w:spacing w:val="-15"/>
        </w:rPr>
        <w:t>.</w:t>
      </w:r>
    </w:p>
    <w:p w14:paraId="4B7B20BD" w14:textId="09D1E506" w:rsidR="005C1EB7" w:rsidRPr="005C1EB7" w:rsidRDefault="005C1EB7" w:rsidP="005C1EB7">
      <w:pPr>
        <w:pStyle w:val="Heading4"/>
      </w:pPr>
      <w:r w:rsidRPr="005C1EB7">
        <w:t>External members should be appointed for 5-year terms, with the option of a short reappointment</w:t>
      </w:r>
    </w:p>
    <w:p w14:paraId="202E1912" w14:textId="52A38686" w:rsidR="005C1EB7" w:rsidRDefault="005C1EB7" w:rsidP="005C1EB7">
      <w:r>
        <w:t>The Review recommends that external members of the Monetary Policy Board be appointed for a single 5-year term, with the possibility to be reappointed for up to one year</w:t>
      </w:r>
      <w:r w:rsidR="0068598E">
        <w:rPr>
          <w:spacing w:val="-20"/>
        </w:rPr>
        <w:t>.</w:t>
      </w:r>
      <w:r>
        <w:rPr>
          <w:w w:val="85"/>
        </w:rPr>
        <w:t xml:space="preserve"> </w:t>
      </w:r>
      <w:r>
        <w:t>This is comparable to the terms of external monetary policy decision makers in Sweden, Norway and the United Kingdom, which range from 3 to 6 years. It differs from the current approach of making appointments for up to 5 years with no limit on reappointments</w:t>
      </w:r>
      <w:r w:rsidR="0068598E">
        <w:rPr>
          <w:spacing w:val="-17"/>
        </w:rPr>
        <w:t>.</w:t>
      </w:r>
    </w:p>
    <w:p w14:paraId="5969F40D" w14:textId="7A34A009" w:rsidR="005C1EB7" w:rsidRDefault="005C1EB7" w:rsidP="00FA4DE9">
      <w:r>
        <w:t>Terms of 5 years provide members with enough time to ‘learn the ropes’ and make a substantive contribution</w:t>
      </w:r>
      <w:r w:rsidR="0068598E">
        <w:rPr>
          <w:spacing w:val="-17"/>
        </w:rPr>
        <w:t>.</w:t>
      </w:r>
      <w:r>
        <w:rPr>
          <w:w w:val="85"/>
        </w:rPr>
        <w:t xml:space="preserve"> </w:t>
      </w:r>
      <w:r>
        <w:t>They guard against actual or perceived political interference because the entire Monetary Policy Board could not be replaced within a single term of government</w:t>
      </w:r>
      <w:r w:rsidR="0068598E">
        <w:rPr>
          <w:spacing w:val="-20"/>
        </w:rPr>
        <w:t>.</w:t>
      </w:r>
      <w:r>
        <w:t xml:space="preserve"> The choice of</w:t>
      </w:r>
      <w:r w:rsidR="00FA4DE9">
        <w:rPr>
          <w:spacing w:val="80"/>
        </w:rPr>
        <w:t xml:space="preserve"> </w:t>
      </w:r>
      <w:r>
        <w:t>a single 5-year term for external Monetary Policy Board members is broadly consistent with the recommendations of Gai (2023) and Levin (2023). The Review acknowledges that shorter terms</w:t>
      </w:r>
      <w:r w:rsidR="000C543F">
        <w:t xml:space="preserve"> </w:t>
      </w:r>
      <w:r>
        <w:t>would</w:t>
      </w:r>
      <w:r>
        <w:rPr>
          <w:spacing w:val="-1"/>
        </w:rPr>
        <w:t xml:space="preserve"> </w:t>
      </w:r>
      <w:r>
        <w:t>offer</w:t>
      </w:r>
      <w:r>
        <w:rPr>
          <w:spacing w:val="1"/>
        </w:rPr>
        <w:t xml:space="preserve"> </w:t>
      </w:r>
      <w:r>
        <w:t>greater</w:t>
      </w:r>
      <w:r>
        <w:rPr>
          <w:spacing w:val="1"/>
        </w:rPr>
        <w:t xml:space="preserve"> </w:t>
      </w:r>
      <w:r>
        <w:t>flexibility</w:t>
      </w:r>
      <w:r>
        <w:rPr>
          <w:spacing w:val="1"/>
        </w:rPr>
        <w:t xml:space="preserve"> </w:t>
      </w:r>
      <w:r>
        <w:t>if</w:t>
      </w:r>
      <w:r>
        <w:rPr>
          <w:spacing w:val="1"/>
        </w:rPr>
        <w:t xml:space="preserve"> </w:t>
      </w:r>
      <w:r>
        <w:t>a</w:t>
      </w:r>
      <w:r>
        <w:rPr>
          <w:spacing w:val="1"/>
        </w:rPr>
        <w:t xml:space="preserve"> </w:t>
      </w:r>
      <w:r>
        <w:t>Monetary</w:t>
      </w:r>
      <w:r>
        <w:rPr>
          <w:spacing w:val="1"/>
        </w:rPr>
        <w:t xml:space="preserve"> </w:t>
      </w:r>
      <w:r>
        <w:t>Policy</w:t>
      </w:r>
      <w:r>
        <w:rPr>
          <w:spacing w:val="2"/>
        </w:rPr>
        <w:t xml:space="preserve"> </w:t>
      </w:r>
      <w:r>
        <w:t>Board</w:t>
      </w:r>
      <w:r>
        <w:rPr>
          <w:spacing w:val="1"/>
        </w:rPr>
        <w:t xml:space="preserve"> </w:t>
      </w:r>
      <w:r>
        <w:t>member</w:t>
      </w:r>
      <w:r>
        <w:rPr>
          <w:spacing w:val="1"/>
        </w:rPr>
        <w:t xml:space="preserve"> </w:t>
      </w:r>
      <w:r>
        <w:t>was</w:t>
      </w:r>
      <w:r>
        <w:rPr>
          <w:spacing w:val="1"/>
        </w:rPr>
        <w:t xml:space="preserve"> </w:t>
      </w:r>
      <w:r>
        <w:t>not</w:t>
      </w:r>
      <w:r>
        <w:rPr>
          <w:spacing w:val="1"/>
        </w:rPr>
        <w:t xml:space="preserve"> </w:t>
      </w:r>
      <w:r>
        <w:t>a</w:t>
      </w:r>
      <w:r>
        <w:rPr>
          <w:spacing w:val="1"/>
        </w:rPr>
        <w:t xml:space="preserve"> </w:t>
      </w:r>
      <w:r>
        <w:t>good</w:t>
      </w:r>
      <w:r>
        <w:rPr>
          <w:spacing w:val="1"/>
        </w:rPr>
        <w:t xml:space="preserve"> </w:t>
      </w:r>
      <w:r>
        <w:t>fit.</w:t>
      </w:r>
      <w:r>
        <w:rPr>
          <w:spacing w:val="1"/>
        </w:rPr>
        <w:t xml:space="preserve"> </w:t>
      </w:r>
      <w:r>
        <w:t>However,</w:t>
      </w:r>
      <w:r>
        <w:rPr>
          <w:spacing w:val="2"/>
        </w:rPr>
        <w:t xml:space="preserve"> </w:t>
      </w:r>
      <w:r>
        <w:rPr>
          <w:spacing w:val="-5"/>
        </w:rPr>
        <w:t>the</w:t>
      </w:r>
      <w:r w:rsidR="0068598E">
        <w:rPr>
          <w:spacing w:val="-5"/>
        </w:rPr>
        <w:t xml:space="preserve"> </w:t>
      </w:r>
      <w:r>
        <w:t>introduction of a more rigorous appointment process</w:t>
      </w:r>
      <w:r>
        <w:rPr>
          <w:spacing w:val="1"/>
        </w:rPr>
        <w:t xml:space="preserve"> </w:t>
      </w:r>
      <w:r>
        <w:t>should help to minimise this risk</w:t>
      </w:r>
      <w:r w:rsidR="0068598E">
        <w:rPr>
          <w:spacing w:val="-23"/>
        </w:rPr>
        <w:t>.</w:t>
      </w:r>
    </w:p>
    <w:p w14:paraId="50C48D42" w14:textId="346556B7" w:rsidR="005C1EB7" w:rsidRDefault="005C1EB7" w:rsidP="005C1EB7">
      <w:r>
        <w:t>The Review considers that having the option to reappoint Board members for up to one year would provide appropriate flexibility for unforeseen circumstances. For example, if a Board member decided to end their term early, it may be useful to extend the length of another member’s term to ensure an appropriate level of experience on the Monetary Policy Board</w:t>
      </w:r>
      <w:r w:rsidR="0068598E">
        <w:rPr>
          <w:spacing w:val="-17"/>
        </w:rPr>
        <w:t>.</w:t>
      </w:r>
    </w:p>
    <w:p w14:paraId="1F6C0474" w14:textId="03D866BE" w:rsidR="005C1EB7" w:rsidRDefault="005C1EB7" w:rsidP="005C1EB7">
      <w:r>
        <w:t>Appointments to the Monetary Policy Board should be staggered</w:t>
      </w:r>
      <w:r w:rsidR="0068598E">
        <w:rPr>
          <w:spacing w:val="-18"/>
        </w:rPr>
        <w:t>.</w:t>
      </w:r>
      <w:r>
        <w:rPr>
          <w:w w:val="85"/>
        </w:rPr>
        <w:t xml:space="preserve"> </w:t>
      </w:r>
      <w:r>
        <w:t>This can help to reduce groupthink while maintaining institutional memory of the Board (Gai 2023)</w:t>
      </w:r>
      <w:r w:rsidR="0068598E">
        <w:rPr>
          <w:spacing w:val="-22"/>
        </w:rPr>
        <w:t>.</w:t>
      </w:r>
      <w:r>
        <w:rPr>
          <w:w w:val="85"/>
        </w:rPr>
        <w:t xml:space="preserve"> </w:t>
      </w:r>
      <w:r>
        <w:t>It can act as a further safeguard</w:t>
      </w:r>
      <w:r>
        <w:rPr>
          <w:spacing w:val="-1"/>
        </w:rPr>
        <w:t xml:space="preserve"> </w:t>
      </w:r>
      <w:r>
        <w:t>to</w:t>
      </w:r>
      <w:r>
        <w:rPr>
          <w:spacing w:val="-1"/>
        </w:rPr>
        <w:t xml:space="preserve"> </w:t>
      </w:r>
      <w:r>
        <w:t>independence</w:t>
      </w:r>
      <w:r w:rsidR="0068598E">
        <w:rPr>
          <w:spacing w:val="-25"/>
        </w:rPr>
        <w:t>.</w:t>
      </w:r>
      <w:r>
        <w:rPr>
          <w:w w:val="85"/>
        </w:rPr>
        <w:t xml:space="preserve"> </w:t>
      </w:r>
      <w:r>
        <w:t>Ideally,</w:t>
      </w:r>
      <w:r>
        <w:rPr>
          <w:spacing w:val="-1"/>
        </w:rPr>
        <w:t xml:space="preserve"> </w:t>
      </w:r>
      <w:r>
        <w:t>one</w:t>
      </w:r>
      <w:r>
        <w:rPr>
          <w:spacing w:val="-1"/>
        </w:rPr>
        <w:t xml:space="preserve"> </w:t>
      </w:r>
      <w:r>
        <w:t>or</w:t>
      </w:r>
      <w:r>
        <w:rPr>
          <w:spacing w:val="-1"/>
        </w:rPr>
        <w:t xml:space="preserve"> </w:t>
      </w:r>
      <w:r>
        <w:t>at</w:t>
      </w:r>
      <w:r>
        <w:rPr>
          <w:spacing w:val="-1"/>
        </w:rPr>
        <w:t xml:space="preserve"> </w:t>
      </w:r>
      <w:r>
        <w:t>most</w:t>
      </w:r>
      <w:r>
        <w:rPr>
          <w:spacing w:val="-1"/>
        </w:rPr>
        <w:t xml:space="preserve"> </w:t>
      </w:r>
      <w:r>
        <w:t>two</w:t>
      </w:r>
      <w:r>
        <w:rPr>
          <w:spacing w:val="-1"/>
        </w:rPr>
        <w:t xml:space="preserve"> </w:t>
      </w:r>
      <w:r>
        <w:t>appointments</w:t>
      </w:r>
      <w:r>
        <w:rPr>
          <w:spacing w:val="-1"/>
        </w:rPr>
        <w:t xml:space="preserve"> </w:t>
      </w:r>
      <w:r>
        <w:t>would</w:t>
      </w:r>
      <w:r>
        <w:rPr>
          <w:spacing w:val="-1"/>
        </w:rPr>
        <w:t xml:space="preserve"> </w:t>
      </w:r>
      <w:r>
        <w:t>be</w:t>
      </w:r>
      <w:r>
        <w:rPr>
          <w:spacing w:val="-1"/>
        </w:rPr>
        <w:t xml:space="preserve"> </w:t>
      </w:r>
      <w:r>
        <w:t>made</w:t>
      </w:r>
      <w:r>
        <w:rPr>
          <w:spacing w:val="-1"/>
        </w:rPr>
        <w:t xml:space="preserve"> </w:t>
      </w:r>
      <w:r>
        <w:t>around</w:t>
      </w:r>
      <w:r>
        <w:rPr>
          <w:spacing w:val="-1"/>
        </w:rPr>
        <w:t xml:space="preserve"> </w:t>
      </w:r>
      <w:r>
        <w:t>the same time each year, for example in the middle of the year</w:t>
      </w:r>
      <w:r w:rsidR="0068598E">
        <w:rPr>
          <w:spacing w:val="-19"/>
        </w:rPr>
        <w:t>.</w:t>
      </w:r>
    </w:p>
    <w:p w14:paraId="57CFEC12" w14:textId="77777777" w:rsidR="005C1EB7" w:rsidRDefault="005C1EB7" w:rsidP="005C1EB7">
      <w:pPr>
        <w:pStyle w:val="Heading4"/>
      </w:pPr>
      <w:r>
        <w:t>The</w:t>
      </w:r>
      <w:r>
        <w:rPr>
          <w:spacing w:val="1"/>
        </w:rPr>
        <w:t xml:space="preserve"> </w:t>
      </w:r>
      <w:r>
        <w:t>appointment</w:t>
      </w:r>
      <w:r>
        <w:rPr>
          <w:spacing w:val="1"/>
        </w:rPr>
        <w:t xml:space="preserve"> </w:t>
      </w:r>
      <w:r>
        <w:t>process</w:t>
      </w:r>
      <w:r>
        <w:rPr>
          <w:spacing w:val="1"/>
        </w:rPr>
        <w:t xml:space="preserve"> </w:t>
      </w:r>
      <w:r>
        <w:t>for</w:t>
      </w:r>
      <w:r>
        <w:rPr>
          <w:spacing w:val="1"/>
        </w:rPr>
        <w:t xml:space="preserve"> </w:t>
      </w:r>
      <w:r>
        <w:t>the</w:t>
      </w:r>
      <w:r>
        <w:rPr>
          <w:spacing w:val="1"/>
        </w:rPr>
        <w:t xml:space="preserve"> </w:t>
      </w:r>
      <w:r>
        <w:t>Governor</w:t>
      </w:r>
      <w:r>
        <w:rPr>
          <w:spacing w:val="1"/>
        </w:rPr>
        <w:t xml:space="preserve"> </w:t>
      </w:r>
      <w:r>
        <w:t>and</w:t>
      </w:r>
      <w:r>
        <w:rPr>
          <w:spacing w:val="1"/>
        </w:rPr>
        <w:t xml:space="preserve"> </w:t>
      </w:r>
      <w:r>
        <w:t>Deputy</w:t>
      </w:r>
      <w:r>
        <w:rPr>
          <w:spacing w:val="2"/>
        </w:rPr>
        <w:t xml:space="preserve"> </w:t>
      </w:r>
      <w:r>
        <w:rPr>
          <w:spacing w:val="-2"/>
        </w:rPr>
        <w:t>Governor</w:t>
      </w:r>
    </w:p>
    <w:p w14:paraId="5EA05A96" w14:textId="78D8A666" w:rsidR="005C1EB7" w:rsidRDefault="005C1EB7" w:rsidP="005C1EB7">
      <w:r>
        <w:t>The</w:t>
      </w:r>
      <w:r>
        <w:rPr>
          <w:spacing w:val="-1"/>
        </w:rPr>
        <w:t xml:space="preserve"> </w:t>
      </w:r>
      <w:r>
        <w:t>Treasurer</w:t>
      </w:r>
      <w:r>
        <w:rPr>
          <w:spacing w:val="-1"/>
        </w:rPr>
        <w:t xml:space="preserve"> </w:t>
      </w:r>
      <w:r>
        <w:t>should</w:t>
      </w:r>
      <w:r>
        <w:rPr>
          <w:spacing w:val="-1"/>
        </w:rPr>
        <w:t xml:space="preserve"> </w:t>
      </w:r>
      <w:r>
        <w:t>continue</w:t>
      </w:r>
      <w:r>
        <w:rPr>
          <w:spacing w:val="-1"/>
        </w:rPr>
        <w:t xml:space="preserve"> </w:t>
      </w:r>
      <w:r>
        <w:t>to</w:t>
      </w:r>
      <w:r>
        <w:rPr>
          <w:spacing w:val="-1"/>
        </w:rPr>
        <w:t xml:space="preserve"> </w:t>
      </w:r>
      <w:r>
        <w:t>be</w:t>
      </w:r>
      <w:r>
        <w:rPr>
          <w:spacing w:val="-1"/>
        </w:rPr>
        <w:t xml:space="preserve"> </w:t>
      </w:r>
      <w:r>
        <w:t>responsible</w:t>
      </w:r>
      <w:r>
        <w:rPr>
          <w:spacing w:val="-1"/>
        </w:rPr>
        <w:t xml:space="preserve"> </w:t>
      </w:r>
      <w:r>
        <w:t>for</w:t>
      </w:r>
      <w:r>
        <w:rPr>
          <w:spacing w:val="-1"/>
        </w:rPr>
        <w:t xml:space="preserve"> </w:t>
      </w:r>
      <w:r>
        <w:t>choosing</w:t>
      </w:r>
      <w:r>
        <w:rPr>
          <w:spacing w:val="-1"/>
        </w:rPr>
        <w:t xml:space="preserve"> </w:t>
      </w:r>
      <w:r>
        <w:t>the</w:t>
      </w:r>
      <w:r>
        <w:rPr>
          <w:spacing w:val="-1"/>
        </w:rPr>
        <w:t xml:space="preserve"> </w:t>
      </w:r>
      <w:r>
        <w:t>Governor</w:t>
      </w:r>
      <w:r>
        <w:rPr>
          <w:spacing w:val="-1"/>
        </w:rPr>
        <w:t xml:space="preserve"> </w:t>
      </w:r>
      <w:r>
        <w:t>and</w:t>
      </w:r>
      <w:r>
        <w:rPr>
          <w:spacing w:val="-1"/>
        </w:rPr>
        <w:t xml:space="preserve"> </w:t>
      </w:r>
      <w:r>
        <w:t>Deputy</w:t>
      </w:r>
      <w:r>
        <w:rPr>
          <w:spacing w:val="-1"/>
        </w:rPr>
        <w:t xml:space="preserve"> </w:t>
      </w:r>
      <w:r>
        <w:t>Governor through the conventional cabinet processes</w:t>
      </w:r>
      <w:r w:rsidR="0068598E">
        <w:rPr>
          <w:spacing w:val="-8"/>
        </w:rPr>
        <w:t>.</w:t>
      </w:r>
    </w:p>
    <w:p w14:paraId="1A44095B" w14:textId="6B83E5FD" w:rsidR="005C1EB7" w:rsidRDefault="005C1EB7" w:rsidP="005C1EB7">
      <w:pPr>
        <w:tabs>
          <w:tab w:val="right" w:pos="9070"/>
        </w:tabs>
        <w:rPr>
          <w:color w:val="231F20"/>
          <w:w w:val="85"/>
        </w:rPr>
      </w:pPr>
      <w:r>
        <w:rPr>
          <w:color w:val="231F20"/>
        </w:rPr>
        <w:lastRenderedPageBreak/>
        <w:t>The Thodey Review recommended an open and transparent process supporting the advice to the Prime Minister on the appointment of departmental secretaries (Department of the Prime Minister and Cabinet 2019)</w:t>
      </w:r>
      <w:r w:rsidR="0068598E">
        <w:rPr>
          <w:color w:val="231F20"/>
          <w:spacing w:val="-20"/>
        </w:rPr>
        <w:t>.</w:t>
      </w:r>
      <w:r>
        <w:rPr>
          <w:color w:val="231F20"/>
          <w:w w:val="85"/>
        </w:rPr>
        <w:t xml:space="preserve"> </w:t>
      </w:r>
      <w:r>
        <w:rPr>
          <w:color w:val="231F20"/>
        </w:rPr>
        <w:t>If that occurs, it may have implications for the appointment process for the Governor and Deputy Governor, which would, regardless, remain the decision of the Treasurer</w:t>
      </w:r>
      <w:r w:rsidR="0068598E">
        <w:rPr>
          <w:color w:val="231F20"/>
          <w:spacing w:val="-19"/>
        </w:rPr>
        <w:t>.</w:t>
      </w:r>
    </w:p>
    <w:p w14:paraId="1060B608" w14:textId="77777777" w:rsidR="00FA2541" w:rsidRDefault="00FA2541">
      <w:pPr>
        <w:spacing w:before="0" w:after="160" w:line="259" w:lineRule="auto"/>
        <w:rPr>
          <w:color w:val="5C7857"/>
        </w:rPr>
      </w:pPr>
      <w:r>
        <w:rPr>
          <w:color w:val="5C7857"/>
        </w:rPr>
        <w:br w:type="page"/>
      </w:r>
    </w:p>
    <w:p w14:paraId="43DBC067" w14:textId="5683910E" w:rsidR="00FA2541" w:rsidRDefault="00FA2541" w:rsidP="00FA2541">
      <w:pPr>
        <w:pStyle w:val="Heading2"/>
      </w:pPr>
      <w:bookmarkStart w:id="48" w:name="_Toc134221018"/>
      <w:r>
        <w:lastRenderedPageBreak/>
        <w:t>Recommendation</w:t>
      </w:r>
      <w:r>
        <w:rPr>
          <w:spacing w:val="-16"/>
        </w:rPr>
        <w:t xml:space="preserve"> </w:t>
      </w:r>
      <w:r>
        <w:t>9:</w:t>
      </w:r>
      <w:r>
        <w:rPr>
          <w:spacing w:val="-16"/>
        </w:rPr>
        <w:t xml:space="preserve"> </w:t>
      </w:r>
      <w:r>
        <w:t>Improve</w:t>
      </w:r>
      <w:r>
        <w:rPr>
          <w:spacing w:val="-16"/>
        </w:rPr>
        <w:t xml:space="preserve"> </w:t>
      </w:r>
      <w:r>
        <w:t>processes</w:t>
      </w:r>
      <w:r>
        <w:rPr>
          <w:spacing w:val="-16"/>
        </w:rPr>
        <w:t xml:space="preserve"> </w:t>
      </w:r>
      <w:r>
        <w:t>to</w:t>
      </w:r>
      <w:r>
        <w:rPr>
          <w:spacing w:val="-16"/>
        </w:rPr>
        <w:t xml:space="preserve"> </w:t>
      </w:r>
      <w:r>
        <w:t xml:space="preserve">support </w:t>
      </w:r>
      <w:r>
        <w:rPr>
          <w:spacing w:val="-2"/>
        </w:rPr>
        <w:t>deeper</w:t>
      </w:r>
      <w:r>
        <w:rPr>
          <w:spacing w:val="-19"/>
        </w:rPr>
        <w:t xml:space="preserve"> </w:t>
      </w:r>
      <w:r>
        <w:rPr>
          <w:spacing w:val="-2"/>
        </w:rPr>
        <w:t>consideration</w:t>
      </w:r>
      <w:r>
        <w:rPr>
          <w:spacing w:val="-19"/>
        </w:rPr>
        <w:t xml:space="preserve"> </w:t>
      </w:r>
      <w:r>
        <w:rPr>
          <w:spacing w:val="-2"/>
        </w:rPr>
        <w:t>of</w:t>
      </w:r>
      <w:r>
        <w:rPr>
          <w:spacing w:val="-19"/>
        </w:rPr>
        <w:t xml:space="preserve"> </w:t>
      </w:r>
      <w:r>
        <w:rPr>
          <w:spacing w:val="-2"/>
        </w:rPr>
        <w:t>monetary</w:t>
      </w:r>
      <w:r>
        <w:rPr>
          <w:spacing w:val="-19"/>
        </w:rPr>
        <w:t xml:space="preserve"> </w:t>
      </w:r>
      <w:r>
        <w:rPr>
          <w:spacing w:val="-2"/>
        </w:rPr>
        <w:t>policy</w:t>
      </w:r>
      <w:r>
        <w:rPr>
          <w:spacing w:val="-18"/>
        </w:rPr>
        <w:t xml:space="preserve"> </w:t>
      </w:r>
      <w:r>
        <w:rPr>
          <w:spacing w:val="-2"/>
        </w:rPr>
        <w:t xml:space="preserve">decisions, </w:t>
      </w:r>
      <w:r>
        <w:t>strategy and research</w:t>
      </w:r>
      <w:bookmarkEnd w:id="48"/>
    </w:p>
    <w:tbl>
      <w:tblPr>
        <w:tblW w:w="5000" w:type="pct"/>
        <w:tblCellMar>
          <w:left w:w="0" w:type="dxa"/>
          <w:right w:w="0" w:type="dxa"/>
        </w:tblCellMar>
        <w:tblLook w:val="01E0" w:firstRow="1" w:lastRow="1" w:firstColumn="1" w:lastColumn="1" w:noHBand="0" w:noVBand="0"/>
      </w:tblPr>
      <w:tblGrid>
        <w:gridCol w:w="796"/>
        <w:gridCol w:w="8274"/>
      </w:tblGrid>
      <w:tr w:rsidR="00FA2541" w14:paraId="0C0B7AE5" w14:textId="77777777" w:rsidTr="00FA2541">
        <w:trPr>
          <w:trHeight w:val="1327"/>
        </w:trPr>
        <w:tc>
          <w:tcPr>
            <w:tcW w:w="5000" w:type="pct"/>
            <w:gridSpan w:val="2"/>
            <w:tcBorders>
              <w:bottom w:val="single" w:sz="8" w:space="0" w:color="ECEDE9"/>
            </w:tcBorders>
          </w:tcPr>
          <w:p w14:paraId="4E61767D" w14:textId="77777777" w:rsidR="00FA2541" w:rsidRDefault="00FA2541" w:rsidP="00F22AE5">
            <w:pPr>
              <w:pStyle w:val="Heading4"/>
            </w:pPr>
            <w:r>
              <w:t>Recommendation 9: Improve processes to support deeper consideration of monetary policy decisions, strategy and research</w:t>
            </w:r>
          </w:p>
        </w:tc>
      </w:tr>
      <w:tr w:rsidR="00FA2541" w14:paraId="5ADD0F74" w14:textId="77777777" w:rsidTr="00F22AE5">
        <w:trPr>
          <w:trHeight w:val="1327"/>
        </w:trPr>
        <w:tc>
          <w:tcPr>
            <w:tcW w:w="439" w:type="pct"/>
            <w:tcBorders>
              <w:top w:val="single" w:sz="8" w:space="0" w:color="ECEDE9"/>
            </w:tcBorders>
          </w:tcPr>
          <w:p w14:paraId="2F7662BB" w14:textId="77777777" w:rsidR="00FA2541" w:rsidRDefault="00FA2541" w:rsidP="00F22AE5">
            <w:r>
              <w:t>9.1</w:t>
            </w:r>
          </w:p>
        </w:tc>
        <w:tc>
          <w:tcPr>
            <w:tcW w:w="4561" w:type="pct"/>
            <w:tcBorders>
              <w:top w:val="single" w:sz="8" w:space="0" w:color="ECEDE9"/>
            </w:tcBorders>
          </w:tcPr>
          <w:p w14:paraId="6BB67AF8" w14:textId="77777777" w:rsidR="00FA2541" w:rsidRDefault="00FA2541" w:rsidP="00F22AE5">
            <w:r>
              <w:t>The Monetary Policy Board should meet 8 rather than 11 times a year to allow for more in-depth discussions including of the forecast, strategy and other monetary policy issues. The meeting cycles should:</w:t>
            </w:r>
          </w:p>
          <w:p w14:paraId="52987088" w14:textId="77777777" w:rsidR="00FA2541" w:rsidRDefault="00FA2541" w:rsidP="0000278A">
            <w:pPr>
              <w:pStyle w:val="Bullet"/>
            </w:pPr>
            <w:r>
              <w:t>allow sufficient time between initial discussion of the issues and the final decision for members to reflect on the issues and request follow-up analysis as necessary</w:t>
            </w:r>
          </w:p>
          <w:p w14:paraId="3D21F5BC" w14:textId="77777777" w:rsidR="00FA2541" w:rsidRDefault="00FA2541" w:rsidP="0000278A">
            <w:pPr>
              <w:pStyle w:val="Bullet"/>
            </w:pPr>
            <w:r>
              <w:t>provide</w:t>
            </w:r>
            <w:r>
              <w:rPr>
                <w:spacing w:val="2"/>
              </w:rPr>
              <w:t xml:space="preserve"> </w:t>
            </w:r>
            <w:r>
              <w:t>opportunities</w:t>
            </w:r>
            <w:r>
              <w:rPr>
                <w:spacing w:val="3"/>
              </w:rPr>
              <w:t xml:space="preserve"> </w:t>
            </w:r>
            <w:r>
              <w:t>for</w:t>
            </w:r>
            <w:r>
              <w:rPr>
                <w:spacing w:val="2"/>
              </w:rPr>
              <w:t xml:space="preserve"> </w:t>
            </w:r>
            <w:r>
              <w:t>the</w:t>
            </w:r>
            <w:r>
              <w:rPr>
                <w:spacing w:val="3"/>
              </w:rPr>
              <w:t xml:space="preserve"> </w:t>
            </w:r>
            <w:r>
              <w:t>Monetary</w:t>
            </w:r>
            <w:r>
              <w:rPr>
                <w:spacing w:val="2"/>
              </w:rPr>
              <w:t xml:space="preserve"> </w:t>
            </w:r>
            <w:r>
              <w:t>Policy</w:t>
            </w:r>
            <w:r>
              <w:rPr>
                <w:spacing w:val="3"/>
              </w:rPr>
              <w:t xml:space="preserve"> </w:t>
            </w:r>
            <w:r>
              <w:t>Board</w:t>
            </w:r>
            <w:r>
              <w:rPr>
                <w:spacing w:val="2"/>
              </w:rPr>
              <w:t xml:space="preserve"> </w:t>
            </w:r>
            <w:r>
              <w:t>to</w:t>
            </w:r>
            <w:r>
              <w:rPr>
                <w:spacing w:val="3"/>
              </w:rPr>
              <w:t xml:space="preserve"> </w:t>
            </w:r>
            <w:r>
              <w:t>hear</w:t>
            </w:r>
            <w:r>
              <w:rPr>
                <w:spacing w:val="2"/>
              </w:rPr>
              <w:t xml:space="preserve"> </w:t>
            </w:r>
            <w:r>
              <w:t>the</w:t>
            </w:r>
            <w:r>
              <w:rPr>
                <w:spacing w:val="3"/>
              </w:rPr>
              <w:t xml:space="preserve"> </w:t>
            </w:r>
            <w:r>
              <w:t>views</w:t>
            </w:r>
            <w:r>
              <w:rPr>
                <w:spacing w:val="2"/>
              </w:rPr>
              <w:t xml:space="preserve"> </w:t>
            </w:r>
            <w:r>
              <w:t>of</w:t>
            </w:r>
            <w:r>
              <w:rPr>
                <w:spacing w:val="3"/>
              </w:rPr>
              <w:t xml:space="preserve"> </w:t>
            </w:r>
            <w:r>
              <w:t>a</w:t>
            </w:r>
            <w:r>
              <w:rPr>
                <w:spacing w:val="3"/>
              </w:rPr>
              <w:t xml:space="preserve"> </w:t>
            </w:r>
            <w:r>
              <w:rPr>
                <w:spacing w:val="-2"/>
              </w:rPr>
              <w:t xml:space="preserve">wider </w:t>
            </w:r>
            <w:r>
              <w:t>range of RBA</w:t>
            </w:r>
            <w:r>
              <w:rPr>
                <w:spacing w:val="1"/>
              </w:rPr>
              <w:t xml:space="preserve"> </w:t>
            </w:r>
            <w:r>
              <w:t>staff on</w:t>
            </w:r>
            <w:r>
              <w:rPr>
                <w:spacing w:val="1"/>
              </w:rPr>
              <w:t xml:space="preserve"> </w:t>
            </w:r>
            <w:r>
              <w:t>issues that would</w:t>
            </w:r>
            <w:r>
              <w:rPr>
                <w:spacing w:val="1"/>
              </w:rPr>
              <w:t xml:space="preserve"> </w:t>
            </w:r>
            <w:r>
              <w:t>inform the</w:t>
            </w:r>
            <w:r>
              <w:rPr>
                <w:spacing w:val="1"/>
              </w:rPr>
              <w:t xml:space="preserve"> </w:t>
            </w:r>
            <w:r>
              <w:rPr>
                <w:spacing w:val="-2"/>
              </w:rPr>
              <w:t>decision.</w:t>
            </w:r>
          </w:p>
        </w:tc>
      </w:tr>
      <w:tr w:rsidR="00FA2541" w14:paraId="3E017DCB" w14:textId="77777777" w:rsidTr="00F22AE5">
        <w:trPr>
          <w:trHeight w:val="802"/>
        </w:trPr>
        <w:tc>
          <w:tcPr>
            <w:tcW w:w="439" w:type="pct"/>
            <w:tcBorders>
              <w:top w:val="single" w:sz="8" w:space="0" w:color="ECEDE9"/>
            </w:tcBorders>
          </w:tcPr>
          <w:p w14:paraId="6DA6AD07" w14:textId="77777777" w:rsidR="00FA2541" w:rsidRDefault="00FA2541" w:rsidP="00F22AE5">
            <w:r>
              <w:t>9.2</w:t>
            </w:r>
          </w:p>
        </w:tc>
        <w:tc>
          <w:tcPr>
            <w:tcW w:w="4561" w:type="pct"/>
            <w:tcBorders>
              <w:top w:val="single" w:sz="8" w:space="0" w:color="ECEDE9"/>
            </w:tcBorders>
          </w:tcPr>
          <w:p w14:paraId="2E48E838" w14:textId="77777777" w:rsidR="00FA2541" w:rsidRDefault="00FA2541" w:rsidP="00F22AE5">
            <w:r>
              <w:t>The 6</w:t>
            </w:r>
            <w:r>
              <w:rPr>
                <w:spacing w:val="3"/>
              </w:rPr>
              <w:t xml:space="preserve"> </w:t>
            </w:r>
            <w:r>
              <w:t>external</w:t>
            </w:r>
            <w:r>
              <w:rPr>
                <w:spacing w:val="3"/>
              </w:rPr>
              <w:t xml:space="preserve"> </w:t>
            </w:r>
            <w:r>
              <w:t>Monetary</w:t>
            </w:r>
            <w:r>
              <w:rPr>
                <w:spacing w:val="2"/>
              </w:rPr>
              <w:t xml:space="preserve"> </w:t>
            </w:r>
            <w:r>
              <w:t>Policy</w:t>
            </w:r>
            <w:r>
              <w:rPr>
                <w:spacing w:val="3"/>
              </w:rPr>
              <w:t xml:space="preserve"> </w:t>
            </w:r>
            <w:r>
              <w:t>Board</w:t>
            </w:r>
            <w:r>
              <w:rPr>
                <w:spacing w:val="3"/>
              </w:rPr>
              <w:t xml:space="preserve"> </w:t>
            </w:r>
            <w:r>
              <w:t>members</w:t>
            </w:r>
            <w:r>
              <w:rPr>
                <w:spacing w:val="2"/>
              </w:rPr>
              <w:t xml:space="preserve"> </w:t>
            </w:r>
            <w:r>
              <w:t>should</w:t>
            </w:r>
            <w:r>
              <w:rPr>
                <w:spacing w:val="3"/>
              </w:rPr>
              <w:t xml:space="preserve"> </w:t>
            </w:r>
            <w:r>
              <w:t>have</w:t>
            </w:r>
            <w:r>
              <w:rPr>
                <w:spacing w:val="3"/>
              </w:rPr>
              <w:t xml:space="preserve"> </w:t>
            </w:r>
            <w:r>
              <w:t>direct</w:t>
            </w:r>
            <w:r>
              <w:rPr>
                <w:spacing w:val="2"/>
              </w:rPr>
              <w:t xml:space="preserve"> </w:t>
            </w:r>
            <w:r>
              <w:t>access</w:t>
            </w:r>
            <w:r>
              <w:rPr>
                <w:spacing w:val="3"/>
              </w:rPr>
              <w:t xml:space="preserve"> </w:t>
            </w:r>
            <w:r>
              <w:t>to</w:t>
            </w:r>
            <w:r>
              <w:rPr>
                <w:spacing w:val="3"/>
              </w:rPr>
              <w:t xml:space="preserve"> </w:t>
            </w:r>
            <w:r>
              <w:t>RBA staff</w:t>
            </w:r>
            <w:r>
              <w:rPr>
                <w:spacing w:val="1"/>
              </w:rPr>
              <w:t xml:space="preserve"> </w:t>
            </w:r>
            <w:r>
              <w:t>for</w:t>
            </w:r>
            <w:r>
              <w:rPr>
                <w:spacing w:val="3"/>
              </w:rPr>
              <w:t xml:space="preserve"> </w:t>
            </w:r>
            <w:r>
              <w:t>support</w:t>
            </w:r>
            <w:r>
              <w:rPr>
                <w:spacing w:val="3"/>
              </w:rPr>
              <w:t xml:space="preserve"> </w:t>
            </w:r>
            <w:r>
              <w:t>on</w:t>
            </w:r>
            <w:r>
              <w:rPr>
                <w:spacing w:val="3"/>
              </w:rPr>
              <w:t xml:space="preserve"> </w:t>
            </w:r>
            <w:r>
              <w:t>technical</w:t>
            </w:r>
            <w:r>
              <w:rPr>
                <w:spacing w:val="3"/>
              </w:rPr>
              <w:t xml:space="preserve"> </w:t>
            </w:r>
            <w:r>
              <w:t>matters</w:t>
            </w:r>
            <w:r>
              <w:rPr>
                <w:spacing w:val="3"/>
              </w:rPr>
              <w:t xml:space="preserve"> </w:t>
            </w:r>
            <w:r>
              <w:t>and</w:t>
            </w:r>
            <w:r>
              <w:rPr>
                <w:spacing w:val="3"/>
              </w:rPr>
              <w:t xml:space="preserve"> </w:t>
            </w:r>
            <w:r>
              <w:t>additional</w:t>
            </w:r>
            <w:r>
              <w:rPr>
                <w:spacing w:val="3"/>
              </w:rPr>
              <w:t xml:space="preserve"> </w:t>
            </w:r>
            <w:r>
              <w:t>analysis</w:t>
            </w:r>
            <w:r>
              <w:rPr>
                <w:spacing w:val="3"/>
              </w:rPr>
              <w:t xml:space="preserve"> </w:t>
            </w:r>
            <w:r>
              <w:t>when</w:t>
            </w:r>
            <w:r>
              <w:rPr>
                <w:spacing w:val="3"/>
              </w:rPr>
              <w:t xml:space="preserve"> </w:t>
            </w:r>
            <w:r>
              <w:rPr>
                <w:spacing w:val="-2"/>
              </w:rPr>
              <w:t>requested.</w:t>
            </w:r>
          </w:p>
        </w:tc>
      </w:tr>
      <w:tr w:rsidR="00FA2541" w14:paraId="18637BD0" w14:textId="77777777" w:rsidTr="00F22AE5">
        <w:trPr>
          <w:trHeight w:val="1327"/>
        </w:trPr>
        <w:tc>
          <w:tcPr>
            <w:tcW w:w="439" w:type="pct"/>
            <w:tcBorders>
              <w:top w:val="single" w:sz="8" w:space="0" w:color="ECEDE9"/>
            </w:tcBorders>
          </w:tcPr>
          <w:p w14:paraId="5A43993B" w14:textId="77777777" w:rsidR="00FA2541" w:rsidRDefault="00FA2541" w:rsidP="00F22AE5">
            <w:r>
              <w:t>9.3</w:t>
            </w:r>
          </w:p>
        </w:tc>
        <w:tc>
          <w:tcPr>
            <w:tcW w:w="4561" w:type="pct"/>
            <w:tcBorders>
              <w:top w:val="single" w:sz="8" w:space="0" w:color="ECEDE9"/>
            </w:tcBorders>
          </w:tcPr>
          <w:p w14:paraId="6E5A4705" w14:textId="77777777" w:rsidR="00FA2541" w:rsidRDefault="00FA2541" w:rsidP="00F22AE5">
            <w:r>
              <w:t>The RBA should increase its forecasting and macroeconometric modelling capability, for</w:t>
            </w:r>
            <w:r>
              <w:rPr>
                <w:spacing w:val="-1"/>
              </w:rPr>
              <w:t xml:space="preserve"> </w:t>
            </w:r>
            <w:r>
              <w:t>example</w:t>
            </w:r>
            <w:r>
              <w:rPr>
                <w:spacing w:val="-1"/>
              </w:rPr>
              <w:t xml:space="preserve"> </w:t>
            </w:r>
            <w:r>
              <w:t>around</w:t>
            </w:r>
            <w:r>
              <w:rPr>
                <w:spacing w:val="-1"/>
              </w:rPr>
              <w:t xml:space="preserve"> </w:t>
            </w:r>
            <w:r>
              <w:t>the</w:t>
            </w:r>
            <w:r>
              <w:rPr>
                <w:spacing w:val="-1"/>
              </w:rPr>
              <w:t xml:space="preserve"> </w:t>
            </w:r>
            <w:r>
              <w:t>supply</w:t>
            </w:r>
            <w:r>
              <w:rPr>
                <w:spacing w:val="-1"/>
              </w:rPr>
              <w:t xml:space="preserve"> </w:t>
            </w:r>
            <w:r>
              <w:t>side</w:t>
            </w:r>
            <w:r>
              <w:rPr>
                <w:spacing w:val="-1"/>
              </w:rPr>
              <w:t xml:space="preserve"> </w:t>
            </w:r>
            <w:r>
              <w:t>of</w:t>
            </w:r>
            <w:r>
              <w:rPr>
                <w:spacing w:val="-1"/>
              </w:rPr>
              <w:t xml:space="preserve"> </w:t>
            </w:r>
            <w:r>
              <w:t>the</w:t>
            </w:r>
            <w:r>
              <w:rPr>
                <w:spacing w:val="-1"/>
              </w:rPr>
              <w:t xml:space="preserve"> </w:t>
            </w:r>
            <w:r>
              <w:t>economy</w:t>
            </w:r>
            <w:r>
              <w:rPr>
                <w:spacing w:val="-1"/>
              </w:rPr>
              <w:t xml:space="preserve"> </w:t>
            </w:r>
            <w:r>
              <w:t>and</w:t>
            </w:r>
            <w:r>
              <w:rPr>
                <w:spacing w:val="-1"/>
              </w:rPr>
              <w:t xml:space="preserve"> </w:t>
            </w:r>
            <w:r>
              <w:t>fiscal</w:t>
            </w:r>
            <w:r>
              <w:rPr>
                <w:spacing w:val="-1"/>
              </w:rPr>
              <w:t xml:space="preserve"> </w:t>
            </w:r>
            <w:r>
              <w:t>policy</w:t>
            </w:r>
            <w:r>
              <w:rPr>
                <w:spacing w:val="-1"/>
              </w:rPr>
              <w:t xml:space="preserve"> </w:t>
            </w:r>
            <w:r>
              <w:t>and</w:t>
            </w:r>
            <w:r>
              <w:rPr>
                <w:spacing w:val="-1"/>
              </w:rPr>
              <w:t xml:space="preserve"> </w:t>
            </w:r>
            <w:r>
              <w:t>continue</w:t>
            </w:r>
            <w:r>
              <w:rPr>
                <w:spacing w:val="-1"/>
              </w:rPr>
              <w:t xml:space="preserve"> </w:t>
            </w:r>
            <w:r>
              <w:t>to build on its use of new data sets. This will support better consideration of monetary policy strategy under uncertainty.</w:t>
            </w:r>
          </w:p>
        </w:tc>
      </w:tr>
      <w:tr w:rsidR="00FA2541" w14:paraId="48564189" w14:textId="77777777" w:rsidTr="00F22AE5">
        <w:trPr>
          <w:trHeight w:val="904"/>
        </w:trPr>
        <w:tc>
          <w:tcPr>
            <w:tcW w:w="439" w:type="pct"/>
            <w:tcBorders>
              <w:top w:val="single" w:sz="8" w:space="0" w:color="ECEDE9"/>
            </w:tcBorders>
          </w:tcPr>
          <w:p w14:paraId="3B918ABE" w14:textId="77777777" w:rsidR="00FA2541" w:rsidRDefault="00FA2541" w:rsidP="00F22AE5">
            <w:r>
              <w:t>9.4</w:t>
            </w:r>
          </w:p>
        </w:tc>
        <w:tc>
          <w:tcPr>
            <w:tcW w:w="4561" w:type="pct"/>
            <w:tcBorders>
              <w:top w:val="single" w:sz="8" w:space="0" w:color="ECEDE9"/>
            </w:tcBorders>
          </w:tcPr>
          <w:p w14:paraId="59846CFE" w14:textId="77777777" w:rsidR="00FA2541" w:rsidRDefault="00FA2541" w:rsidP="00F22AE5">
            <w:r>
              <w:t>The Monetary Policy Board should convene and engage with an expert advisory group on monetary policy.</w:t>
            </w:r>
          </w:p>
        </w:tc>
      </w:tr>
      <w:tr w:rsidR="00FA2541" w14:paraId="0AA44C62" w14:textId="77777777" w:rsidTr="00F22AE5">
        <w:trPr>
          <w:trHeight w:val="1327"/>
        </w:trPr>
        <w:tc>
          <w:tcPr>
            <w:tcW w:w="439" w:type="pct"/>
            <w:tcBorders>
              <w:top w:val="single" w:sz="8" w:space="0" w:color="ECEDE9"/>
              <w:bottom w:val="single" w:sz="8" w:space="0" w:color="ECEDE9"/>
            </w:tcBorders>
          </w:tcPr>
          <w:p w14:paraId="301D08E0" w14:textId="77777777" w:rsidR="00FA2541" w:rsidRDefault="00FA2541" w:rsidP="00F22AE5">
            <w:r>
              <w:t>9.5</w:t>
            </w:r>
          </w:p>
        </w:tc>
        <w:tc>
          <w:tcPr>
            <w:tcW w:w="4561" w:type="pct"/>
            <w:tcBorders>
              <w:top w:val="single" w:sz="8" w:space="0" w:color="ECEDE9"/>
              <w:bottom w:val="single" w:sz="8" w:space="0" w:color="ECEDE9"/>
            </w:tcBorders>
          </w:tcPr>
          <w:p w14:paraId="64EA46A0" w14:textId="77777777" w:rsidR="00FA2541" w:rsidRDefault="00FA2541" w:rsidP="00F22AE5">
            <w:r>
              <w:t>The Monetary Policy Board should receive, and request as necessary, briefings that more fully consider monetary policy strategy, alternate policy options, costs, benefits and risks.</w:t>
            </w:r>
          </w:p>
        </w:tc>
      </w:tr>
    </w:tbl>
    <w:p w14:paraId="0C6A27F0" w14:textId="286312DE" w:rsidR="000C543F" w:rsidRDefault="000C543F" w:rsidP="00FA2541"/>
    <w:p w14:paraId="7BD79980" w14:textId="77777777" w:rsidR="000C543F" w:rsidRDefault="000C543F">
      <w:pPr>
        <w:spacing w:before="0" w:after="160" w:line="259" w:lineRule="auto"/>
      </w:pPr>
      <w:r>
        <w:br w:type="page"/>
      </w:r>
    </w:p>
    <w:p w14:paraId="3D03A818" w14:textId="2EC6F1E9" w:rsidR="000C543F" w:rsidRDefault="000C543F" w:rsidP="000C543F">
      <w:r>
        <w:lastRenderedPageBreak/>
        <w:t>The Review’s assessment is that current processes do not sufficiently support Reserve Bank Board members to effectively challenge and develop their own independent views and contribute to discussion at the Board</w:t>
      </w:r>
      <w:r w:rsidR="0068598E">
        <w:rPr>
          <w:spacing w:val="-9"/>
        </w:rPr>
        <w:t>.</w:t>
      </w:r>
    </w:p>
    <w:p w14:paraId="505467FA" w14:textId="78DA946F" w:rsidR="000C543F" w:rsidRDefault="000C543F" w:rsidP="000C543F">
      <w:r>
        <w:t>Reserve Bank Board members do not have adequate time, resources or information to challenge the RBA executive’s view. By and large, Reserve Bank Board members do not have access to staff below Assistant Governor level or attend internal policy deliberations or briefings ahead of their decision. Papers are received on the Friday before the Tuesday Board meeting. Board members were complimentary of the quality of the papers they receive and of the RBA’s responsiveness to questions they ask at the time. However, the Review observed that current papers are limited in their discussion of policy considerations and alternate views, and the current schedule significantly limits the Board’s time to question or probe perspectives presented in the papers</w:t>
      </w:r>
      <w:r w:rsidR="0068598E">
        <w:rPr>
          <w:spacing w:val="-17"/>
        </w:rPr>
        <w:t>.</w:t>
      </w:r>
    </w:p>
    <w:p w14:paraId="6D82A61B" w14:textId="02583559" w:rsidR="000C543F" w:rsidRDefault="000C543F" w:rsidP="000C543F">
      <w:r>
        <w:t>In addition, there are examples of the Board not receiving nor requesting sufficient information to challenge the RBA executive’s view. For example, throughout the low inflation period between 2016 and 2019, the papers provided to the Reserve Bank Board focused on describing the flow of data and the economic outlook</w:t>
      </w:r>
      <w:r w:rsidR="0068598E">
        <w:rPr>
          <w:spacing w:val="-23"/>
        </w:rPr>
        <w:t>.</w:t>
      </w:r>
      <w:r>
        <w:rPr>
          <w:w w:val="85"/>
        </w:rPr>
        <w:t xml:space="preserve"> </w:t>
      </w:r>
      <w:r>
        <w:t>There was little discussion dedicated to the policy decision in the papers. Alternate policy choices – and their costs and benefits – were generally not presented in the papers (see Chapter 1). More recently, the Reserve Bank Board did not receive nor request sufficiently detailed cost-benefit analysis or financial risk assessments of the bond purchase program prior to approval</w:t>
      </w:r>
      <w:r w:rsidR="0068598E">
        <w:rPr>
          <w:spacing w:val="-20"/>
        </w:rPr>
        <w:t>.</w:t>
      </w:r>
      <w:r>
        <w:rPr>
          <w:w w:val="85"/>
        </w:rPr>
        <w:t xml:space="preserve"> </w:t>
      </w:r>
      <w:r>
        <w:t>While there was a need to act quickly in March 2020, this was less of a constraint in November 2020 when the Reserve Bank Board chose to implement the bond purchase program. Further, the Reserve Bank Board was not made aware of options discussed by senior staff members to discontinue the yield target in mid-2021.</w:t>
      </w:r>
    </w:p>
    <w:p w14:paraId="482B42EF" w14:textId="356A0923" w:rsidR="000C543F" w:rsidRDefault="000C543F" w:rsidP="000C543F">
      <w:r>
        <w:t>There is evidence that the Reserve Bank Board is not always fully involved in decisions. For example, the Reserve Bank Board was not consulted on the extension of the yield target in September 2020 and the choice not to defend the yield target in October 2021</w:t>
      </w:r>
      <w:r w:rsidR="0068598E">
        <w:rPr>
          <w:spacing w:val="-21"/>
        </w:rPr>
        <w:t>.</w:t>
      </w:r>
      <w:r>
        <w:t xml:space="preserve"> The introduction of the calendar-based element of forward guidance by the Governor in mid-October 2020 was not presented as a policy decision in the preceding Reserve Bank Board papers</w:t>
      </w:r>
      <w:r w:rsidR="0068598E">
        <w:rPr>
          <w:spacing w:val="-17"/>
        </w:rPr>
        <w:t>.</w:t>
      </w:r>
    </w:p>
    <w:p w14:paraId="3EB39EAB" w14:textId="08D45B70" w:rsidR="000C543F" w:rsidRDefault="000C543F" w:rsidP="000C543F">
      <w:r>
        <w:t>Current processes create a situation in which the Governor, Deputy Governor and Treasury Secretary have much more information than external Board members</w:t>
      </w:r>
      <w:r w:rsidR="0068598E">
        <w:rPr>
          <w:spacing w:val="-17"/>
        </w:rPr>
        <w:t>.</w:t>
      </w:r>
      <w:r>
        <w:rPr>
          <w:w w:val="85"/>
        </w:rPr>
        <w:t xml:space="preserve"> </w:t>
      </w:r>
      <w:r>
        <w:t>This, together with the expertise</w:t>
      </w:r>
      <w:r>
        <w:rPr>
          <w:spacing w:val="-2"/>
        </w:rPr>
        <w:t xml:space="preserve"> </w:t>
      </w:r>
      <w:r>
        <w:t>imbalance,</w:t>
      </w:r>
      <w:r>
        <w:rPr>
          <w:spacing w:val="-2"/>
        </w:rPr>
        <w:t xml:space="preserve"> </w:t>
      </w:r>
      <w:r>
        <w:t>reduces</w:t>
      </w:r>
      <w:r>
        <w:rPr>
          <w:spacing w:val="-2"/>
        </w:rPr>
        <w:t xml:space="preserve"> </w:t>
      </w:r>
      <w:r>
        <w:t>the</w:t>
      </w:r>
      <w:r>
        <w:rPr>
          <w:spacing w:val="-2"/>
        </w:rPr>
        <w:t xml:space="preserve"> </w:t>
      </w:r>
      <w:r>
        <w:t>ability</w:t>
      </w:r>
      <w:r>
        <w:rPr>
          <w:spacing w:val="-2"/>
        </w:rPr>
        <w:t xml:space="preserve"> </w:t>
      </w:r>
      <w:r>
        <w:t>of</w:t>
      </w:r>
      <w:r>
        <w:rPr>
          <w:spacing w:val="-2"/>
        </w:rPr>
        <w:t xml:space="preserve"> </w:t>
      </w:r>
      <w:r>
        <w:t>external</w:t>
      </w:r>
      <w:r>
        <w:rPr>
          <w:spacing w:val="-2"/>
        </w:rPr>
        <w:t xml:space="preserve"> </w:t>
      </w:r>
      <w:r>
        <w:t>board</w:t>
      </w:r>
      <w:r>
        <w:rPr>
          <w:spacing w:val="-2"/>
        </w:rPr>
        <w:t xml:space="preserve"> </w:t>
      </w:r>
      <w:r>
        <w:t>members</w:t>
      </w:r>
      <w:r>
        <w:rPr>
          <w:spacing w:val="-2"/>
        </w:rPr>
        <w:t xml:space="preserve"> </w:t>
      </w:r>
      <w:r>
        <w:t>to</w:t>
      </w:r>
      <w:r>
        <w:rPr>
          <w:spacing w:val="-2"/>
        </w:rPr>
        <w:t xml:space="preserve"> </w:t>
      </w:r>
      <w:r>
        <w:t>have</w:t>
      </w:r>
      <w:r>
        <w:rPr>
          <w:spacing w:val="-2"/>
        </w:rPr>
        <w:t xml:space="preserve"> </w:t>
      </w:r>
      <w:r>
        <w:t>a</w:t>
      </w:r>
      <w:r>
        <w:rPr>
          <w:spacing w:val="-2"/>
        </w:rPr>
        <w:t xml:space="preserve"> </w:t>
      </w:r>
      <w:r>
        <w:t>comparable</w:t>
      </w:r>
      <w:r>
        <w:rPr>
          <w:spacing w:val="-2"/>
        </w:rPr>
        <w:t xml:space="preserve"> </w:t>
      </w:r>
      <w:r>
        <w:t>influence on the decision (Box 3</w:t>
      </w:r>
      <w:r w:rsidR="0068598E">
        <w:rPr>
          <w:spacing w:val="-22"/>
        </w:rPr>
        <w:t>.</w:t>
      </w:r>
      <w:r>
        <w:rPr>
          <w:w w:val="117"/>
        </w:rPr>
        <w:t>1)</w:t>
      </w:r>
      <w:r w:rsidR="0068598E">
        <w:rPr>
          <w:spacing w:val="-21"/>
          <w:w w:val="99"/>
        </w:rPr>
        <w:t>.</w:t>
      </w:r>
      <w:r>
        <w:rPr>
          <w:w w:val="85"/>
        </w:rPr>
        <w:t xml:space="preserve"> </w:t>
      </w:r>
      <w:r>
        <w:t>While there will always be an information imbalance, the gap can and should</w:t>
      </w:r>
      <w:r>
        <w:rPr>
          <w:spacing w:val="-5"/>
        </w:rPr>
        <w:t xml:space="preserve"> </w:t>
      </w:r>
      <w:r>
        <w:t>be</w:t>
      </w:r>
      <w:r>
        <w:rPr>
          <w:spacing w:val="-5"/>
        </w:rPr>
        <w:t xml:space="preserve"> </w:t>
      </w:r>
      <w:r>
        <w:t>minimised,</w:t>
      </w:r>
      <w:r>
        <w:rPr>
          <w:spacing w:val="-5"/>
        </w:rPr>
        <w:t xml:space="preserve"> </w:t>
      </w:r>
      <w:r>
        <w:t>especially</w:t>
      </w:r>
      <w:r>
        <w:rPr>
          <w:spacing w:val="-5"/>
        </w:rPr>
        <w:t xml:space="preserve"> </w:t>
      </w:r>
      <w:r>
        <w:t>if</w:t>
      </w:r>
      <w:r>
        <w:rPr>
          <w:spacing w:val="-5"/>
        </w:rPr>
        <w:t xml:space="preserve"> </w:t>
      </w:r>
      <w:r>
        <w:t>the</w:t>
      </w:r>
      <w:r>
        <w:rPr>
          <w:spacing w:val="-5"/>
        </w:rPr>
        <w:t xml:space="preserve"> </w:t>
      </w:r>
      <w:r>
        <w:t>Board</w:t>
      </w:r>
      <w:r>
        <w:rPr>
          <w:spacing w:val="-5"/>
        </w:rPr>
        <w:t xml:space="preserve"> </w:t>
      </w:r>
      <w:r>
        <w:t>is</w:t>
      </w:r>
      <w:r>
        <w:rPr>
          <w:spacing w:val="-5"/>
        </w:rPr>
        <w:t xml:space="preserve"> </w:t>
      </w:r>
      <w:r>
        <w:t>a</w:t>
      </w:r>
      <w:r>
        <w:rPr>
          <w:spacing w:val="-5"/>
        </w:rPr>
        <w:t xml:space="preserve"> </w:t>
      </w:r>
      <w:r>
        <w:t>decision-making</w:t>
      </w:r>
      <w:r>
        <w:rPr>
          <w:spacing w:val="-5"/>
        </w:rPr>
        <w:t xml:space="preserve"> </w:t>
      </w:r>
      <w:r>
        <w:t>body</w:t>
      </w:r>
      <w:r>
        <w:rPr>
          <w:spacing w:val="-5"/>
        </w:rPr>
        <w:t xml:space="preserve"> </w:t>
      </w:r>
      <w:r>
        <w:t>rather</w:t>
      </w:r>
      <w:r>
        <w:rPr>
          <w:spacing w:val="-5"/>
        </w:rPr>
        <w:t xml:space="preserve"> </w:t>
      </w:r>
      <w:r>
        <w:t>than</w:t>
      </w:r>
      <w:r>
        <w:rPr>
          <w:spacing w:val="-5"/>
        </w:rPr>
        <w:t xml:space="preserve"> </w:t>
      </w:r>
      <w:r>
        <w:t>an</w:t>
      </w:r>
      <w:r>
        <w:rPr>
          <w:spacing w:val="-5"/>
        </w:rPr>
        <w:t xml:space="preserve"> </w:t>
      </w:r>
      <w:r>
        <w:t>advisory</w:t>
      </w:r>
      <w:r>
        <w:rPr>
          <w:spacing w:val="-5"/>
        </w:rPr>
        <w:t xml:space="preserve"> </w:t>
      </w:r>
      <w:r>
        <w:t>body</w:t>
      </w:r>
      <w:r w:rsidR="0068598E">
        <w:rPr>
          <w:spacing w:val="-25"/>
        </w:rPr>
        <w:t>.</w:t>
      </w:r>
    </w:p>
    <w:p w14:paraId="0BDAE9C7" w14:textId="1804A222" w:rsidR="000C543F" w:rsidRDefault="000C543F" w:rsidP="000C543F">
      <w:r>
        <w:t>The meeting cycle adds to the information imbalance</w:t>
      </w:r>
      <w:r w:rsidR="0068598E">
        <w:rPr>
          <w:spacing w:val="-18"/>
        </w:rPr>
        <w:t>.</w:t>
      </w:r>
      <w:r>
        <w:rPr>
          <w:w w:val="85"/>
        </w:rPr>
        <w:t xml:space="preserve"> </w:t>
      </w:r>
      <w:r>
        <w:t>Reserve Bank Board meetings are more frequent than at comparable central banks but are shorter</w:t>
      </w:r>
      <w:r w:rsidR="0068598E">
        <w:rPr>
          <w:spacing w:val="-20"/>
        </w:rPr>
        <w:t>.</w:t>
      </w:r>
      <w:r>
        <w:rPr>
          <w:w w:val="85"/>
        </w:rPr>
        <w:t xml:space="preserve"> </w:t>
      </w:r>
      <w:r>
        <w:t>The Reserve Bank Board meets 11 times a year, compared with 8 times a year in most comparable central banks</w:t>
      </w:r>
      <w:r w:rsidR="0068598E">
        <w:rPr>
          <w:spacing w:val="-22"/>
        </w:rPr>
        <w:t>.</w:t>
      </w:r>
      <w:r>
        <w:rPr>
          <w:w w:val="85"/>
        </w:rPr>
        <w:t xml:space="preserve"> </w:t>
      </w:r>
      <w:r>
        <w:t>The Reserve Bank Board meets for a little under 4 hours and has limited policy discussion outside of this. At other central banks, external monetary policy decision makers commit more time to the policy process</w:t>
      </w:r>
      <w:r w:rsidR="0068598E">
        <w:rPr>
          <w:spacing w:val="-23"/>
        </w:rPr>
        <w:t>.</w:t>
      </w:r>
    </w:p>
    <w:p w14:paraId="68474118" w14:textId="3564C54B" w:rsidR="000C543F" w:rsidRDefault="000C543F" w:rsidP="000C543F">
      <w:r>
        <w:t>The frequency and length of Reserve Bank Board meetings limits the depth of research and</w:t>
      </w:r>
      <w:r>
        <w:rPr>
          <w:spacing w:val="80"/>
        </w:rPr>
        <w:t xml:space="preserve"> </w:t>
      </w:r>
      <w:r>
        <w:t>analysis that RBA staff members have time to prepare and debate among themselves before it is sent to the Reserve Bank Board. For example, senior staff members in policy areas meet to discuss at least the documents on economic conditions and financial markets before they are sent to the Reserve Bank Board (Bullock 2022a), but there is only one day to take on any comments</w:t>
      </w:r>
      <w:r w:rsidR="0068598E">
        <w:rPr>
          <w:spacing w:val="-20"/>
        </w:rPr>
        <w:t>.</w:t>
      </w:r>
      <w:r>
        <w:rPr>
          <w:w w:val="85"/>
        </w:rPr>
        <w:t xml:space="preserve"> </w:t>
      </w:r>
      <w:r>
        <w:t>This, in turn, limits the depth of analysis the Board receives and the time for internal debate and discussion about policy strategy and communication</w:t>
      </w:r>
      <w:r w:rsidR="0068598E">
        <w:rPr>
          <w:spacing w:val="-8"/>
        </w:rPr>
        <w:t>.</w:t>
      </w:r>
    </w:p>
    <w:p w14:paraId="109932B4" w14:textId="53E6B8DC" w:rsidR="000C543F" w:rsidRDefault="000C543F" w:rsidP="000C543F">
      <w:r>
        <w:t>The Review recommends changes to Board processes to better support policy discussions and decisions and to increase debate and challenge by decision makers</w:t>
      </w:r>
      <w:r w:rsidR="0068598E">
        <w:rPr>
          <w:spacing w:val="-17"/>
        </w:rPr>
        <w:t>.</w:t>
      </w:r>
    </w:p>
    <w:p w14:paraId="5C66EE4A" w14:textId="41BC64FC" w:rsidR="0040059A" w:rsidRPr="003F56DA" w:rsidRDefault="0040059A" w:rsidP="003F56DA">
      <w:pPr>
        <w:pStyle w:val="Heading3"/>
      </w:pPr>
      <w:r w:rsidRPr="003F56DA">
        <w:lastRenderedPageBreak/>
        <w:t>Recommendation 9.1: Hold fewer meetings to allow more time for deeper discussions</w:t>
      </w:r>
    </w:p>
    <w:p w14:paraId="73D06AD7" w14:textId="5D50E950" w:rsidR="0040059A" w:rsidRDefault="0040059A" w:rsidP="0040059A">
      <w:r>
        <w:t>The Monetary Policy Board should hold 8 meetings a year alongside a longer policy discussion and formulation cycle</w:t>
      </w:r>
      <w:r w:rsidR="0068598E">
        <w:rPr>
          <w:spacing w:val="-17"/>
        </w:rPr>
        <w:t>.</w:t>
      </w:r>
      <w:r>
        <w:rPr>
          <w:w w:val="85"/>
        </w:rPr>
        <w:t xml:space="preserve"> </w:t>
      </w:r>
      <w:r>
        <w:t>The Reserve Bank Board meets relatively frequently compared with its peers overseas but spends less time discussing monetary policy decisions and strategy</w:t>
      </w:r>
      <w:r w:rsidR="0068598E">
        <w:rPr>
          <w:spacing w:val="-16"/>
        </w:rPr>
        <w:t>.</w:t>
      </w:r>
    </w:p>
    <w:p w14:paraId="1D9FB1C5" w14:textId="7F7DD4CE" w:rsidR="0040059A" w:rsidRDefault="0040059A" w:rsidP="0040059A">
      <w:r>
        <w:t>A shift to 8 meetings a year would allow for a longer and more robust policy formulation and discussion</w:t>
      </w:r>
      <w:r>
        <w:rPr>
          <w:spacing w:val="-1"/>
        </w:rPr>
        <w:t xml:space="preserve"> </w:t>
      </w:r>
      <w:r>
        <w:t>process</w:t>
      </w:r>
      <w:r>
        <w:rPr>
          <w:spacing w:val="-1"/>
        </w:rPr>
        <w:t xml:space="preserve"> </w:t>
      </w:r>
      <w:r>
        <w:t>ahead</w:t>
      </w:r>
      <w:r>
        <w:rPr>
          <w:spacing w:val="-1"/>
        </w:rPr>
        <w:t xml:space="preserve"> </w:t>
      </w:r>
      <w:r>
        <w:t>of</w:t>
      </w:r>
      <w:r>
        <w:rPr>
          <w:spacing w:val="-1"/>
        </w:rPr>
        <w:t xml:space="preserve"> </w:t>
      </w:r>
      <w:r>
        <w:t>and</w:t>
      </w:r>
      <w:r>
        <w:rPr>
          <w:spacing w:val="-1"/>
        </w:rPr>
        <w:t xml:space="preserve"> </w:t>
      </w:r>
      <w:r>
        <w:t>during</w:t>
      </w:r>
      <w:r>
        <w:rPr>
          <w:spacing w:val="-1"/>
        </w:rPr>
        <w:t xml:space="preserve"> </w:t>
      </w:r>
      <w:r>
        <w:t>each</w:t>
      </w:r>
      <w:r>
        <w:rPr>
          <w:spacing w:val="-1"/>
        </w:rPr>
        <w:t xml:space="preserve"> </w:t>
      </w:r>
      <w:r>
        <w:t>individual</w:t>
      </w:r>
      <w:r>
        <w:rPr>
          <w:spacing w:val="-1"/>
        </w:rPr>
        <w:t xml:space="preserve"> </w:t>
      </w:r>
      <w:r>
        <w:t>meeting</w:t>
      </w:r>
      <w:r w:rsidR="0068598E">
        <w:rPr>
          <w:spacing w:val="-25"/>
        </w:rPr>
        <w:t>.</w:t>
      </w:r>
      <w:r>
        <w:rPr>
          <w:w w:val="85"/>
        </w:rPr>
        <w:t xml:space="preserve"> </w:t>
      </w:r>
      <w:r>
        <w:t>A</w:t>
      </w:r>
      <w:r>
        <w:rPr>
          <w:spacing w:val="-1"/>
        </w:rPr>
        <w:t xml:space="preserve"> </w:t>
      </w:r>
      <w:r>
        <w:t>longer</w:t>
      </w:r>
      <w:r>
        <w:rPr>
          <w:spacing w:val="-1"/>
        </w:rPr>
        <w:t xml:space="preserve"> </w:t>
      </w:r>
      <w:r>
        <w:t>process</w:t>
      </w:r>
      <w:r>
        <w:rPr>
          <w:spacing w:val="-1"/>
        </w:rPr>
        <w:t xml:space="preserve"> </w:t>
      </w:r>
      <w:r>
        <w:t>would</w:t>
      </w:r>
      <w:r>
        <w:rPr>
          <w:spacing w:val="-1"/>
        </w:rPr>
        <w:t xml:space="preserve"> </w:t>
      </w:r>
      <w:r>
        <w:t>allow</w:t>
      </w:r>
      <w:r>
        <w:rPr>
          <w:spacing w:val="-1"/>
        </w:rPr>
        <w:t xml:space="preserve"> </w:t>
      </w:r>
      <w:r>
        <w:t xml:space="preserve">time for external members to influence the analysis and forecasts. Holding 8 meetings a year would preserve the quarterly frequency of forecast updates and the </w:t>
      </w:r>
      <w:r>
        <w:rPr>
          <w:i/>
        </w:rPr>
        <w:t>Statement on Monetary Policy</w:t>
      </w:r>
      <w:r w:rsidR="0068598E">
        <w:rPr>
          <w:spacing w:val="-18"/>
        </w:rPr>
        <w:t>.</w:t>
      </w:r>
      <w:r>
        <w:rPr>
          <w:w w:val="85"/>
        </w:rPr>
        <w:t xml:space="preserve"> </w:t>
      </w:r>
      <w:r>
        <w:t>There may be rare occasions, for example during a crisis, where the Monetary Policy Board may need to arrange additional meetings, and it should remain free to do so</w:t>
      </w:r>
      <w:r w:rsidR="0068598E">
        <w:rPr>
          <w:spacing w:val="-17"/>
        </w:rPr>
        <w:t>.</w:t>
      </w:r>
    </w:p>
    <w:p w14:paraId="12738931" w14:textId="26CCBACD" w:rsidR="0040059A" w:rsidRDefault="0040059A" w:rsidP="0040059A">
      <w:r>
        <w:t>The Review heard mixed views about the frequency of meetings, including among current and former Reserve Bank Board members and senior RBA staff members. Financial market participants and professional economists were largely in favour of the monthly schedule</w:t>
      </w:r>
      <w:r w:rsidR="0068598E">
        <w:rPr>
          <w:spacing w:val="-18"/>
        </w:rPr>
        <w:t>.</w:t>
      </w:r>
      <w:r>
        <w:rPr>
          <w:w w:val="85"/>
        </w:rPr>
        <w:t xml:space="preserve"> </w:t>
      </w:r>
      <w:r>
        <w:t>They suggested that</w:t>
      </w:r>
    </w:p>
    <w:p w14:paraId="7562E03C" w14:textId="41FB1DA4" w:rsidR="0040059A" w:rsidRDefault="0040059A" w:rsidP="0040059A">
      <w:r>
        <w:t>it enabled greater agility in response to economic developments</w:t>
      </w:r>
      <w:r w:rsidR="0068598E">
        <w:rPr>
          <w:spacing w:val="-24"/>
        </w:rPr>
        <w:t>.</w:t>
      </w:r>
      <w:r>
        <w:rPr>
          <w:w w:val="85"/>
        </w:rPr>
        <w:t xml:space="preserve"> </w:t>
      </w:r>
      <w:r>
        <w:t>The Reserve Bank Board has generally expressed satisfaction with the number of Board meetings in annual surveys of the Reserve Bank Board</w:t>
      </w:r>
      <w:r w:rsidR="0068598E">
        <w:rPr>
          <w:spacing w:val="-11"/>
        </w:rPr>
        <w:t>.</w:t>
      </w:r>
    </w:p>
    <w:p w14:paraId="6D4149EA" w14:textId="77777777" w:rsidR="0040059A" w:rsidRDefault="0040059A" w:rsidP="0040059A">
      <w:r>
        <w:t>Academic experts, international central bankers and RBA staff mostly favoured holding 8 meetings a year. The desire of RBA staff to have fewer meetings was not based on a desire to have ‘less</w:t>
      </w:r>
      <w:r>
        <w:rPr>
          <w:spacing w:val="40"/>
        </w:rPr>
        <w:t xml:space="preserve"> </w:t>
      </w:r>
      <w:r>
        <w:t>work’, but rather a desire to have greater scope to do deeper and better preparatory work for</w:t>
      </w:r>
      <w:r>
        <w:rPr>
          <w:spacing w:val="80"/>
        </w:rPr>
        <w:t xml:space="preserve"> </w:t>
      </w:r>
      <w:r>
        <w:t>each meeting, including more internal policy research. Staff surveys show that RBA staff have very high engagement with the institution and a willingness to go above and beyond to deliver on the organisation’s objectives (see Chapter 4).</w:t>
      </w:r>
    </w:p>
    <w:p w14:paraId="10D96020" w14:textId="77777777" w:rsidR="0040059A" w:rsidRDefault="0040059A" w:rsidP="0040059A">
      <w:pPr>
        <w:pStyle w:val="Heading4"/>
      </w:pPr>
      <w:r>
        <w:t>Monetary</w:t>
      </w:r>
      <w:r>
        <w:rPr>
          <w:spacing w:val="-1"/>
        </w:rPr>
        <w:t xml:space="preserve"> </w:t>
      </w:r>
      <w:r>
        <w:t>Policy</w:t>
      </w:r>
      <w:r>
        <w:rPr>
          <w:spacing w:val="2"/>
        </w:rPr>
        <w:t xml:space="preserve"> </w:t>
      </w:r>
      <w:r>
        <w:t>Board</w:t>
      </w:r>
      <w:r>
        <w:rPr>
          <w:spacing w:val="1"/>
        </w:rPr>
        <w:t xml:space="preserve"> </w:t>
      </w:r>
      <w:r>
        <w:t>members</w:t>
      </w:r>
      <w:r>
        <w:rPr>
          <w:spacing w:val="2"/>
        </w:rPr>
        <w:t xml:space="preserve"> </w:t>
      </w:r>
      <w:r>
        <w:t>should</w:t>
      </w:r>
      <w:r>
        <w:rPr>
          <w:spacing w:val="2"/>
        </w:rPr>
        <w:t xml:space="preserve"> </w:t>
      </w:r>
      <w:r>
        <w:t>dedicate</w:t>
      </w:r>
      <w:r>
        <w:rPr>
          <w:spacing w:val="1"/>
        </w:rPr>
        <w:t xml:space="preserve"> </w:t>
      </w:r>
      <w:r>
        <w:t>more</w:t>
      </w:r>
      <w:r>
        <w:rPr>
          <w:spacing w:val="2"/>
        </w:rPr>
        <w:t xml:space="preserve"> </w:t>
      </w:r>
      <w:r>
        <w:t>time</w:t>
      </w:r>
      <w:r>
        <w:rPr>
          <w:spacing w:val="2"/>
        </w:rPr>
        <w:t xml:space="preserve"> </w:t>
      </w:r>
      <w:r>
        <w:t>to</w:t>
      </w:r>
      <w:r>
        <w:rPr>
          <w:spacing w:val="1"/>
        </w:rPr>
        <w:t xml:space="preserve"> </w:t>
      </w:r>
      <w:r>
        <w:t>the</w:t>
      </w:r>
      <w:r>
        <w:rPr>
          <w:spacing w:val="2"/>
        </w:rPr>
        <w:t xml:space="preserve"> </w:t>
      </w:r>
      <w:r>
        <w:t>policy</w:t>
      </w:r>
      <w:r>
        <w:rPr>
          <w:spacing w:val="2"/>
        </w:rPr>
        <w:t xml:space="preserve"> </w:t>
      </w:r>
      <w:r>
        <w:rPr>
          <w:spacing w:val="-2"/>
        </w:rPr>
        <w:t>process</w:t>
      </w:r>
    </w:p>
    <w:p w14:paraId="7E496517" w14:textId="3051956E" w:rsidR="0040059A" w:rsidRDefault="0040059A" w:rsidP="0040059A">
      <w:r>
        <w:t>The Review envisages a Monetary Policy Board that actively participates in the policy discussion and formulation cycle, including by external members dedicating significantly more time to it than at present</w:t>
      </w:r>
      <w:r w:rsidR="0068598E">
        <w:rPr>
          <w:spacing w:val="-23"/>
        </w:rPr>
        <w:t>.</w:t>
      </w:r>
      <w:r>
        <w:rPr>
          <w:w w:val="85"/>
        </w:rPr>
        <w:t xml:space="preserve"> </w:t>
      </w:r>
      <w:r>
        <w:t>The expectation is that external Monetary Policy Board members (that is excluding the Treasury Secretary) would dedicate the equivalent of around a day a week to the monetary policy process,</w:t>
      </w:r>
      <w:r>
        <w:rPr>
          <w:spacing w:val="-1"/>
        </w:rPr>
        <w:t xml:space="preserve"> </w:t>
      </w:r>
      <w:r>
        <w:t>concentrated</w:t>
      </w:r>
      <w:r>
        <w:rPr>
          <w:spacing w:val="-1"/>
        </w:rPr>
        <w:t xml:space="preserve"> </w:t>
      </w:r>
      <w:r>
        <w:t>around</w:t>
      </w:r>
      <w:r>
        <w:rPr>
          <w:spacing w:val="-1"/>
        </w:rPr>
        <w:t xml:space="preserve"> </w:t>
      </w:r>
      <w:r>
        <w:t>key</w:t>
      </w:r>
      <w:r>
        <w:rPr>
          <w:spacing w:val="-1"/>
        </w:rPr>
        <w:t xml:space="preserve"> </w:t>
      </w:r>
      <w:r>
        <w:t>dates</w:t>
      </w:r>
      <w:r>
        <w:rPr>
          <w:spacing w:val="-1"/>
        </w:rPr>
        <w:t xml:space="preserve"> </w:t>
      </w:r>
      <w:r>
        <w:t>in</w:t>
      </w:r>
      <w:r>
        <w:rPr>
          <w:spacing w:val="-1"/>
        </w:rPr>
        <w:t xml:space="preserve"> </w:t>
      </w:r>
      <w:r>
        <w:t>the</w:t>
      </w:r>
      <w:r>
        <w:rPr>
          <w:spacing w:val="-1"/>
        </w:rPr>
        <w:t xml:space="preserve"> </w:t>
      </w:r>
      <w:r>
        <w:t>deliberation</w:t>
      </w:r>
      <w:r>
        <w:rPr>
          <w:spacing w:val="-1"/>
        </w:rPr>
        <w:t xml:space="preserve"> </w:t>
      </w:r>
      <w:r>
        <w:t>cycle</w:t>
      </w:r>
      <w:r w:rsidR="0068598E">
        <w:rPr>
          <w:spacing w:val="-24"/>
        </w:rPr>
        <w:t>.</w:t>
      </w:r>
      <w:r>
        <w:rPr>
          <w:w w:val="85"/>
        </w:rPr>
        <w:t xml:space="preserve"> </w:t>
      </w:r>
      <w:r>
        <w:t>This</w:t>
      </w:r>
      <w:r>
        <w:rPr>
          <w:spacing w:val="-1"/>
        </w:rPr>
        <w:t xml:space="preserve"> </w:t>
      </w:r>
      <w:r>
        <w:t>compares</w:t>
      </w:r>
      <w:r>
        <w:rPr>
          <w:spacing w:val="-1"/>
        </w:rPr>
        <w:t xml:space="preserve"> </w:t>
      </w:r>
      <w:r>
        <w:t>with</w:t>
      </w:r>
      <w:r>
        <w:rPr>
          <w:spacing w:val="-1"/>
        </w:rPr>
        <w:t xml:space="preserve"> </w:t>
      </w:r>
      <w:r>
        <w:t>a</w:t>
      </w:r>
      <w:r>
        <w:rPr>
          <w:spacing w:val="-1"/>
        </w:rPr>
        <w:t xml:space="preserve"> </w:t>
      </w:r>
      <w:r>
        <w:t>day</w:t>
      </w:r>
      <w:r>
        <w:rPr>
          <w:spacing w:val="-1"/>
        </w:rPr>
        <w:t xml:space="preserve"> </w:t>
      </w:r>
      <w:r>
        <w:t>or</w:t>
      </w:r>
      <w:r>
        <w:rPr>
          <w:spacing w:val="-1"/>
        </w:rPr>
        <w:t xml:space="preserve"> </w:t>
      </w:r>
      <w:r>
        <w:t>two a month for current Reserve Bank Board members</w:t>
      </w:r>
      <w:r w:rsidR="0068598E">
        <w:rPr>
          <w:spacing w:val="-14"/>
        </w:rPr>
        <w:t>.</w:t>
      </w:r>
    </w:p>
    <w:p w14:paraId="60B82FC5" w14:textId="512A73E3" w:rsidR="0040059A" w:rsidRDefault="0040059A" w:rsidP="0040059A">
      <w:r>
        <w:t>By comparison, at the Bank of England, external members of the Monetary Policy Committee receive the same staff briefings as internal members, are closely involved in the forecast process and participate in discussions around policy tool development</w:t>
      </w:r>
      <w:r w:rsidR="0068598E">
        <w:rPr>
          <w:spacing w:val="-21"/>
        </w:rPr>
        <w:t>.</w:t>
      </w:r>
      <w:r>
        <w:rPr>
          <w:w w:val="85"/>
        </w:rPr>
        <w:t xml:space="preserve"> </w:t>
      </w:r>
      <w:r>
        <w:t>They commit the equivalent of 3 days a week to the process. In New Zealand, all members of the Monetary Policy Committee are involved in multiple policy meetings and discussions with internal staff, as well as 8 days of full meetings ahead of every second meeting</w:t>
      </w:r>
      <w:r w:rsidR="0068598E">
        <w:rPr>
          <w:spacing w:val="-10"/>
        </w:rPr>
        <w:t>.</w:t>
      </w:r>
    </w:p>
    <w:p w14:paraId="73D408D0" w14:textId="2A10F353" w:rsidR="00FA2541" w:rsidRDefault="0040059A" w:rsidP="0040059A">
      <w:pPr>
        <w:rPr>
          <w:color w:val="231F20"/>
          <w:w w:val="85"/>
        </w:rPr>
      </w:pPr>
      <w:r>
        <w:rPr>
          <w:color w:val="231F20"/>
        </w:rPr>
        <w:t>As well as external members being more actively involved in the process ahead of each meeting,</w:t>
      </w:r>
      <w:r>
        <w:rPr>
          <w:color w:val="231F20"/>
          <w:spacing w:val="40"/>
        </w:rPr>
        <w:t xml:space="preserve"> </w:t>
      </w:r>
      <w:r>
        <w:rPr>
          <w:color w:val="231F20"/>
        </w:rPr>
        <w:t>the Review sees value in the Monetary Policy Board devoting more time to discussing longer-term policy strategy and communications planning</w:t>
      </w:r>
      <w:r w:rsidR="0068598E">
        <w:rPr>
          <w:color w:val="231F20"/>
          <w:spacing w:val="-15"/>
        </w:rPr>
        <w:t>.</w:t>
      </w:r>
      <w:r>
        <w:rPr>
          <w:color w:val="231F20"/>
          <w:w w:val="85"/>
        </w:rPr>
        <w:t xml:space="preserve"> </w:t>
      </w:r>
      <w:r>
        <w:rPr>
          <w:color w:val="231F20"/>
        </w:rPr>
        <w:t>Dedicated strategy days for the Monetary Policy Board should support this focus on strategy and communication</w:t>
      </w:r>
      <w:r w:rsidR="0068598E">
        <w:rPr>
          <w:color w:val="231F20"/>
          <w:spacing w:val="-21"/>
        </w:rPr>
        <w:t>.</w:t>
      </w:r>
      <w:r>
        <w:rPr>
          <w:color w:val="231F20"/>
          <w:w w:val="85"/>
        </w:rPr>
        <w:t xml:space="preserve"> </w:t>
      </w:r>
      <w:r>
        <w:rPr>
          <w:color w:val="231F20"/>
        </w:rPr>
        <w:t>A strategy day would provide an opportunity to reflect on the operating context for monetary policy and the high-level strategy for responding to this context</w:t>
      </w:r>
      <w:r w:rsidR="0068598E">
        <w:rPr>
          <w:color w:val="231F20"/>
          <w:spacing w:val="-24"/>
        </w:rPr>
        <w:t>.</w:t>
      </w:r>
      <w:r>
        <w:rPr>
          <w:color w:val="231F20"/>
          <w:w w:val="85"/>
        </w:rPr>
        <w:t xml:space="preserve"> </w:t>
      </w:r>
      <w:r>
        <w:rPr>
          <w:color w:val="231F20"/>
        </w:rPr>
        <w:t>This could include discussing risks to the current strategy (and planning how the Monetary Policy Board would respond if the risks were realised), lessons learned from previous decisions and the experience of central banks overseas, and the implications of longer- term macroeconomic trends for the Monetary Policy Board’s policy strategy</w:t>
      </w:r>
      <w:r w:rsidR="0068598E">
        <w:rPr>
          <w:color w:val="231F20"/>
          <w:spacing w:val="-15"/>
        </w:rPr>
        <w:t>.</w:t>
      </w:r>
    </w:p>
    <w:p w14:paraId="65A20429" w14:textId="77777777" w:rsidR="00CD34DD" w:rsidRDefault="00CD34DD" w:rsidP="00CD34DD">
      <w:pPr>
        <w:pStyle w:val="Heading4"/>
      </w:pPr>
      <w:r>
        <w:lastRenderedPageBreak/>
        <w:t>Monetary</w:t>
      </w:r>
      <w:r>
        <w:rPr>
          <w:spacing w:val="1"/>
        </w:rPr>
        <w:t xml:space="preserve"> </w:t>
      </w:r>
      <w:r>
        <w:t>Policy</w:t>
      </w:r>
      <w:r>
        <w:rPr>
          <w:spacing w:val="1"/>
        </w:rPr>
        <w:t xml:space="preserve"> </w:t>
      </w:r>
      <w:r>
        <w:t>Board</w:t>
      </w:r>
      <w:r>
        <w:rPr>
          <w:spacing w:val="1"/>
        </w:rPr>
        <w:t xml:space="preserve"> </w:t>
      </w:r>
      <w:r>
        <w:t>should</w:t>
      </w:r>
      <w:r>
        <w:rPr>
          <w:spacing w:val="1"/>
        </w:rPr>
        <w:t xml:space="preserve"> </w:t>
      </w:r>
      <w:r>
        <w:t>hear</w:t>
      </w:r>
      <w:r>
        <w:rPr>
          <w:spacing w:val="1"/>
        </w:rPr>
        <w:t xml:space="preserve"> </w:t>
      </w:r>
      <w:r>
        <w:t>a</w:t>
      </w:r>
      <w:r>
        <w:rPr>
          <w:spacing w:val="1"/>
        </w:rPr>
        <w:t xml:space="preserve"> </w:t>
      </w:r>
      <w:r>
        <w:t>wider</w:t>
      </w:r>
      <w:r>
        <w:rPr>
          <w:spacing w:val="1"/>
        </w:rPr>
        <w:t xml:space="preserve"> </w:t>
      </w:r>
      <w:r>
        <w:t>range</w:t>
      </w:r>
      <w:r>
        <w:rPr>
          <w:spacing w:val="1"/>
        </w:rPr>
        <w:t xml:space="preserve"> </w:t>
      </w:r>
      <w:r>
        <w:t>of</w:t>
      </w:r>
      <w:r>
        <w:rPr>
          <w:spacing w:val="1"/>
        </w:rPr>
        <w:t xml:space="preserve"> </w:t>
      </w:r>
      <w:r>
        <w:t>staff</w:t>
      </w:r>
      <w:r>
        <w:rPr>
          <w:spacing w:val="1"/>
        </w:rPr>
        <w:t xml:space="preserve"> </w:t>
      </w:r>
      <w:r>
        <w:rPr>
          <w:spacing w:val="-2"/>
        </w:rPr>
        <w:t>views</w:t>
      </w:r>
    </w:p>
    <w:p w14:paraId="138685B2" w14:textId="537D8564" w:rsidR="00CD34DD" w:rsidRDefault="00CD34DD" w:rsidP="00CD34DD">
      <w:r>
        <w:t>The Review recommends greater engagement between internal RBA staff members and Monetary Policy Board members (excluding the Treasury Secretary) to better support external Monetary Policy Board members in forming their views</w:t>
      </w:r>
      <w:r w:rsidR="0068598E">
        <w:rPr>
          <w:spacing w:val="-18"/>
        </w:rPr>
        <w:t>.</w:t>
      </w:r>
      <w:r>
        <w:rPr>
          <w:w w:val="85"/>
        </w:rPr>
        <w:t xml:space="preserve"> </w:t>
      </w:r>
      <w:r>
        <w:t>The Review notes that it is common practice at the RBA’s peer central banks for decision makers to attend earlier staff briefings ahead of decision meetings</w:t>
      </w:r>
      <w:r w:rsidR="0068598E">
        <w:rPr>
          <w:spacing w:val="-9"/>
        </w:rPr>
        <w:t>.</w:t>
      </w:r>
    </w:p>
    <w:p w14:paraId="2AC3A740" w14:textId="0054F08D" w:rsidR="00CD34DD" w:rsidRDefault="00CD34DD" w:rsidP="00CD34DD">
      <w:r>
        <w:t>The Review recommends that external Monetary Policy Board members participate in staff</w:t>
      </w:r>
      <w:r>
        <w:rPr>
          <w:spacing w:val="80"/>
        </w:rPr>
        <w:t xml:space="preserve"> </w:t>
      </w:r>
      <w:r>
        <w:t>briefings and policy discussions ahead of the decision meeting on monetary policy. These meetings could involve assessment of incoming data and implications for the outlook, as well as substantive policy discussions</w:t>
      </w:r>
      <w:r w:rsidR="0068598E">
        <w:rPr>
          <w:spacing w:val="-20"/>
        </w:rPr>
        <w:t>.</w:t>
      </w:r>
      <w:r>
        <w:rPr>
          <w:w w:val="85"/>
        </w:rPr>
        <w:t xml:space="preserve"> </w:t>
      </w:r>
      <w:r>
        <w:t>These meetings would provide external members of the Monetary Policy Board with an opportunity to hear a wider range of staff views (not just the view of the RBA executive), including about the economic outlook and policy, and to flag issues that they are interested in and their perspectives on those issues</w:t>
      </w:r>
      <w:r w:rsidR="0068598E">
        <w:rPr>
          <w:spacing w:val="-8"/>
        </w:rPr>
        <w:t>.</w:t>
      </w:r>
    </w:p>
    <w:p w14:paraId="0BB6768B" w14:textId="3110CA03" w:rsidR="00CD34DD" w:rsidRPr="003F56DA" w:rsidRDefault="00CD34DD" w:rsidP="003F56DA">
      <w:pPr>
        <w:pStyle w:val="Heading3"/>
      </w:pPr>
      <w:r w:rsidRPr="003F56DA">
        <w:t>Recommendation 9.2: Provide external members of the Monetary Policy Board with access to RBA staff</w:t>
      </w:r>
    </w:p>
    <w:p w14:paraId="71EE5C61" w14:textId="0265A8BE" w:rsidR="00CD34DD" w:rsidRDefault="00CD34DD" w:rsidP="00CD34DD">
      <w:r>
        <w:t>The Review recommends that external members of the Monetary Policy Board should be able to engage with staff members (beyond the Assistant Governors) when they have questions, particularly about technical issues and to better understand alternate policy views</w:t>
      </w:r>
      <w:r w:rsidR="0068598E">
        <w:rPr>
          <w:spacing w:val="-17"/>
        </w:rPr>
        <w:t>.</w:t>
      </w:r>
      <w:r>
        <w:rPr>
          <w:w w:val="85"/>
        </w:rPr>
        <w:t xml:space="preserve"> </w:t>
      </w:r>
      <w:r>
        <w:t>It will be important that external Board members are in turn disciplined in their demands and access to staff members.</w:t>
      </w:r>
    </w:p>
    <w:p w14:paraId="61986740" w14:textId="7EFCF98C" w:rsidR="00CD34DD" w:rsidRDefault="00CD34DD" w:rsidP="00CD34DD">
      <w:r>
        <w:t>A secretariat should be established within the RBA to support the external members of the Monetary Policy Board as a group. These staff members would report directly to the external members</w:t>
      </w:r>
      <w:r w:rsidR="0068598E">
        <w:rPr>
          <w:spacing w:val="-20"/>
        </w:rPr>
        <w:t>.</w:t>
      </w:r>
      <w:r>
        <w:rPr>
          <w:w w:val="85"/>
        </w:rPr>
        <w:t xml:space="preserve"> </w:t>
      </w:r>
      <w:r>
        <w:t>Their remit would be to help the external members develop and communicate their views. This could involve helping Board members engage directly or via the secretariat with staff subject matter experts, advising on technical monetary policy issues and providing analysis to</w:t>
      </w:r>
      <w:r>
        <w:rPr>
          <w:spacing w:val="1"/>
        </w:rPr>
        <w:t xml:space="preserve"> </w:t>
      </w:r>
      <w:r>
        <w:t>support</w:t>
      </w:r>
      <w:r>
        <w:rPr>
          <w:spacing w:val="2"/>
        </w:rPr>
        <w:t xml:space="preserve"> </w:t>
      </w:r>
      <w:r>
        <w:t>external</w:t>
      </w:r>
      <w:r>
        <w:rPr>
          <w:spacing w:val="1"/>
        </w:rPr>
        <w:t xml:space="preserve"> </w:t>
      </w:r>
      <w:r>
        <w:t>members</w:t>
      </w:r>
      <w:r w:rsidR="0068598E">
        <w:rPr>
          <w:spacing w:val="-23"/>
        </w:rPr>
        <w:t>.</w:t>
      </w:r>
      <w:r>
        <w:rPr>
          <w:spacing w:val="1"/>
        </w:rPr>
        <w:t xml:space="preserve"> </w:t>
      </w:r>
      <w:r>
        <w:t>The</w:t>
      </w:r>
      <w:r>
        <w:rPr>
          <w:spacing w:val="2"/>
        </w:rPr>
        <w:t xml:space="preserve"> </w:t>
      </w:r>
      <w:r>
        <w:t>secretariat</w:t>
      </w:r>
      <w:r>
        <w:rPr>
          <w:spacing w:val="1"/>
        </w:rPr>
        <w:t xml:space="preserve"> </w:t>
      </w:r>
      <w:r>
        <w:t>could</w:t>
      </w:r>
      <w:r>
        <w:rPr>
          <w:spacing w:val="2"/>
        </w:rPr>
        <w:t xml:space="preserve"> </w:t>
      </w:r>
      <w:r>
        <w:t>assist</w:t>
      </w:r>
      <w:r>
        <w:rPr>
          <w:spacing w:val="1"/>
        </w:rPr>
        <w:t xml:space="preserve"> </w:t>
      </w:r>
      <w:r>
        <w:t>external</w:t>
      </w:r>
      <w:r>
        <w:rPr>
          <w:spacing w:val="2"/>
        </w:rPr>
        <w:t xml:space="preserve"> </w:t>
      </w:r>
      <w:r>
        <w:t>members</w:t>
      </w:r>
      <w:r>
        <w:rPr>
          <w:spacing w:val="1"/>
        </w:rPr>
        <w:t xml:space="preserve"> </w:t>
      </w:r>
      <w:r>
        <w:t>ahead</w:t>
      </w:r>
      <w:r>
        <w:rPr>
          <w:spacing w:val="2"/>
        </w:rPr>
        <w:t xml:space="preserve"> </w:t>
      </w:r>
      <w:r>
        <w:t>of</w:t>
      </w:r>
      <w:r>
        <w:rPr>
          <w:spacing w:val="1"/>
        </w:rPr>
        <w:t xml:space="preserve"> </w:t>
      </w:r>
      <w:r>
        <w:rPr>
          <w:spacing w:val="-2"/>
        </w:rPr>
        <w:t xml:space="preserve">public </w:t>
      </w:r>
      <w:r>
        <w:rPr>
          <w:color w:val="231F20"/>
        </w:rPr>
        <w:t>appearances or speeches (see Recommendation</w:t>
      </w:r>
      <w:r>
        <w:rPr>
          <w:color w:val="231F20"/>
          <w:spacing w:val="1"/>
        </w:rPr>
        <w:t xml:space="preserve"> </w:t>
      </w:r>
      <w:r>
        <w:rPr>
          <w:color w:val="231F20"/>
          <w:spacing w:val="-2"/>
        </w:rPr>
        <w:t>10.2).</w:t>
      </w:r>
    </w:p>
    <w:p w14:paraId="6833E887" w14:textId="3A03F18D" w:rsidR="00CD34DD" w:rsidRDefault="00CD34DD" w:rsidP="00CD34DD">
      <w:pPr>
        <w:rPr>
          <w:color w:val="231F20"/>
          <w:spacing w:val="-10"/>
          <w:w w:val="85"/>
        </w:rPr>
      </w:pPr>
      <w:r>
        <w:t>These recommendations do not apply in the case of the Treasury Secretary</w:t>
      </w:r>
      <w:r w:rsidR="0068598E">
        <w:rPr>
          <w:spacing w:val="-24"/>
        </w:rPr>
        <w:t>.</w:t>
      </w:r>
      <w:r>
        <w:rPr>
          <w:w w:val="85"/>
        </w:rPr>
        <w:t xml:space="preserve"> </w:t>
      </w:r>
      <w:r>
        <w:t xml:space="preserve">The Review considers that it would be inappropriate for the Treasury Secretary to attend internal RBA discussions </w:t>
      </w:r>
      <w:r>
        <w:rPr>
          <w:color w:val="231F20"/>
        </w:rPr>
        <w:t>or</w:t>
      </w:r>
      <w:r>
        <w:rPr>
          <w:color w:val="231F20"/>
          <w:spacing w:val="1"/>
        </w:rPr>
        <w:t xml:space="preserve"> </w:t>
      </w:r>
      <w:r>
        <w:rPr>
          <w:color w:val="231F20"/>
        </w:rPr>
        <w:t>directly</w:t>
      </w:r>
      <w:r>
        <w:rPr>
          <w:color w:val="231F20"/>
          <w:spacing w:val="3"/>
        </w:rPr>
        <w:t xml:space="preserve"> </w:t>
      </w:r>
      <w:r>
        <w:rPr>
          <w:color w:val="231F20"/>
        </w:rPr>
        <w:t>access</w:t>
      </w:r>
      <w:r>
        <w:rPr>
          <w:color w:val="231F20"/>
          <w:spacing w:val="4"/>
        </w:rPr>
        <w:t xml:space="preserve"> </w:t>
      </w:r>
      <w:r>
        <w:rPr>
          <w:color w:val="231F20"/>
        </w:rPr>
        <w:t>RBA</w:t>
      </w:r>
      <w:r>
        <w:rPr>
          <w:color w:val="231F20"/>
          <w:spacing w:val="3"/>
        </w:rPr>
        <w:t xml:space="preserve"> </w:t>
      </w:r>
      <w:r>
        <w:rPr>
          <w:color w:val="231F20"/>
        </w:rPr>
        <w:t>staff</w:t>
      </w:r>
      <w:r>
        <w:rPr>
          <w:color w:val="231F20"/>
          <w:spacing w:val="3"/>
        </w:rPr>
        <w:t xml:space="preserve"> </w:t>
      </w:r>
      <w:r>
        <w:rPr>
          <w:color w:val="231F20"/>
        </w:rPr>
        <w:t>members.</w:t>
      </w:r>
      <w:r>
        <w:rPr>
          <w:color w:val="231F20"/>
          <w:spacing w:val="4"/>
        </w:rPr>
        <w:t xml:space="preserve"> </w:t>
      </w:r>
      <w:r>
        <w:rPr>
          <w:color w:val="231F20"/>
        </w:rPr>
        <w:t>The</w:t>
      </w:r>
      <w:r>
        <w:rPr>
          <w:color w:val="231F20"/>
          <w:spacing w:val="3"/>
        </w:rPr>
        <w:t xml:space="preserve"> </w:t>
      </w:r>
      <w:r>
        <w:rPr>
          <w:color w:val="231F20"/>
        </w:rPr>
        <w:t>Treasury</w:t>
      </w:r>
      <w:r>
        <w:rPr>
          <w:color w:val="231F20"/>
          <w:spacing w:val="3"/>
        </w:rPr>
        <w:t xml:space="preserve"> </w:t>
      </w:r>
      <w:r>
        <w:rPr>
          <w:color w:val="231F20"/>
        </w:rPr>
        <w:t>Secretary</w:t>
      </w:r>
      <w:r>
        <w:rPr>
          <w:color w:val="231F20"/>
          <w:spacing w:val="4"/>
        </w:rPr>
        <w:t xml:space="preserve"> </w:t>
      </w:r>
      <w:r>
        <w:rPr>
          <w:color w:val="231F20"/>
        </w:rPr>
        <w:t>has</w:t>
      </w:r>
      <w:r>
        <w:rPr>
          <w:color w:val="231F20"/>
          <w:spacing w:val="3"/>
        </w:rPr>
        <w:t xml:space="preserve"> </w:t>
      </w:r>
      <w:r>
        <w:rPr>
          <w:color w:val="231F20"/>
        </w:rPr>
        <w:t>support</w:t>
      </w:r>
      <w:r>
        <w:rPr>
          <w:color w:val="231F20"/>
          <w:spacing w:val="3"/>
        </w:rPr>
        <w:t xml:space="preserve"> </w:t>
      </w:r>
      <w:r>
        <w:rPr>
          <w:color w:val="231F20"/>
        </w:rPr>
        <w:t>staff</w:t>
      </w:r>
      <w:r>
        <w:rPr>
          <w:color w:val="231F20"/>
          <w:spacing w:val="4"/>
        </w:rPr>
        <w:t xml:space="preserve"> </w:t>
      </w:r>
      <w:r>
        <w:rPr>
          <w:color w:val="231F20"/>
        </w:rPr>
        <w:t>and</w:t>
      </w:r>
      <w:r>
        <w:rPr>
          <w:color w:val="231F20"/>
          <w:spacing w:val="3"/>
        </w:rPr>
        <w:t xml:space="preserve"> </w:t>
      </w:r>
      <w:r>
        <w:rPr>
          <w:color w:val="231F20"/>
        </w:rPr>
        <w:t>access</w:t>
      </w:r>
      <w:r>
        <w:rPr>
          <w:color w:val="231F20"/>
          <w:spacing w:val="4"/>
        </w:rPr>
        <w:t xml:space="preserve"> </w:t>
      </w:r>
      <w:r>
        <w:rPr>
          <w:color w:val="231F20"/>
          <w:spacing w:val="-5"/>
        </w:rPr>
        <w:t xml:space="preserve">to </w:t>
      </w:r>
      <w:r>
        <w:rPr>
          <w:color w:val="231F20"/>
        </w:rPr>
        <w:t>independent</w:t>
      </w:r>
      <w:r>
        <w:rPr>
          <w:color w:val="231F20"/>
          <w:spacing w:val="3"/>
        </w:rPr>
        <w:t xml:space="preserve"> </w:t>
      </w:r>
      <w:r>
        <w:rPr>
          <w:color w:val="231F20"/>
        </w:rPr>
        <w:t>forecasts</w:t>
      </w:r>
      <w:r>
        <w:rPr>
          <w:color w:val="231F20"/>
          <w:spacing w:val="4"/>
        </w:rPr>
        <w:t xml:space="preserve"> </w:t>
      </w:r>
      <w:r>
        <w:rPr>
          <w:color w:val="231F20"/>
        </w:rPr>
        <w:t>and</w:t>
      </w:r>
      <w:r>
        <w:rPr>
          <w:color w:val="231F20"/>
          <w:spacing w:val="3"/>
        </w:rPr>
        <w:t xml:space="preserve"> </w:t>
      </w:r>
      <w:r>
        <w:rPr>
          <w:color w:val="231F20"/>
        </w:rPr>
        <w:t>advice</w:t>
      </w:r>
      <w:r w:rsidR="0068598E">
        <w:rPr>
          <w:color w:val="231F20"/>
          <w:spacing w:val="-22"/>
        </w:rPr>
        <w:t>.</w:t>
      </w:r>
      <w:r>
        <w:rPr>
          <w:color w:val="231F20"/>
          <w:spacing w:val="4"/>
        </w:rPr>
        <w:t xml:space="preserve"> </w:t>
      </w:r>
      <w:r>
        <w:rPr>
          <w:color w:val="231F20"/>
        </w:rPr>
        <w:t>These</w:t>
      </w:r>
      <w:r>
        <w:rPr>
          <w:color w:val="231F20"/>
          <w:spacing w:val="3"/>
        </w:rPr>
        <w:t xml:space="preserve"> </w:t>
      </w:r>
      <w:r>
        <w:rPr>
          <w:color w:val="231F20"/>
        </w:rPr>
        <w:t>independent</w:t>
      </w:r>
      <w:r>
        <w:rPr>
          <w:color w:val="231F20"/>
          <w:spacing w:val="4"/>
        </w:rPr>
        <w:t xml:space="preserve"> </w:t>
      </w:r>
      <w:r>
        <w:rPr>
          <w:color w:val="231F20"/>
        </w:rPr>
        <w:t>perspectives</w:t>
      </w:r>
      <w:r>
        <w:rPr>
          <w:color w:val="231F20"/>
          <w:spacing w:val="4"/>
        </w:rPr>
        <w:t xml:space="preserve"> </w:t>
      </w:r>
      <w:r>
        <w:rPr>
          <w:color w:val="231F20"/>
        </w:rPr>
        <w:t>should</w:t>
      </w:r>
      <w:r>
        <w:rPr>
          <w:color w:val="231F20"/>
          <w:spacing w:val="3"/>
        </w:rPr>
        <w:t xml:space="preserve"> </w:t>
      </w:r>
      <w:r>
        <w:rPr>
          <w:color w:val="231F20"/>
        </w:rPr>
        <w:t>be</w:t>
      </w:r>
      <w:r>
        <w:rPr>
          <w:color w:val="231F20"/>
          <w:spacing w:val="4"/>
        </w:rPr>
        <w:t xml:space="preserve"> </w:t>
      </w:r>
      <w:r>
        <w:rPr>
          <w:color w:val="231F20"/>
        </w:rPr>
        <w:t>preserved</w:t>
      </w:r>
      <w:r w:rsidR="0068598E">
        <w:rPr>
          <w:color w:val="231F20"/>
          <w:spacing w:val="-22"/>
        </w:rPr>
        <w:t>.</w:t>
      </w:r>
    </w:p>
    <w:p w14:paraId="15512630" w14:textId="77777777" w:rsidR="00E40E0F" w:rsidRDefault="00E40E0F" w:rsidP="00E40E0F">
      <w:pPr>
        <w:pStyle w:val="Heading3"/>
      </w:pPr>
      <w:r>
        <w:t>Recommendation</w:t>
      </w:r>
      <w:r>
        <w:rPr>
          <w:spacing w:val="-15"/>
        </w:rPr>
        <w:t xml:space="preserve"> </w:t>
      </w:r>
      <w:r>
        <w:t>9.3:</w:t>
      </w:r>
      <w:r>
        <w:rPr>
          <w:spacing w:val="-14"/>
        </w:rPr>
        <w:t xml:space="preserve"> </w:t>
      </w:r>
      <w:r>
        <w:t>Increase</w:t>
      </w:r>
      <w:r>
        <w:rPr>
          <w:spacing w:val="-14"/>
        </w:rPr>
        <w:t xml:space="preserve"> </w:t>
      </w:r>
      <w:r>
        <w:t>forecasting</w:t>
      </w:r>
      <w:r>
        <w:rPr>
          <w:spacing w:val="-15"/>
        </w:rPr>
        <w:t xml:space="preserve"> </w:t>
      </w:r>
      <w:r>
        <w:t>and</w:t>
      </w:r>
      <w:r>
        <w:rPr>
          <w:spacing w:val="-14"/>
        </w:rPr>
        <w:t xml:space="preserve"> </w:t>
      </w:r>
      <w:r>
        <w:t>macroeconometric modelling capability and build on the use of new datasets</w:t>
      </w:r>
    </w:p>
    <w:p w14:paraId="650C4C6B" w14:textId="77777777" w:rsidR="00E40E0F" w:rsidRDefault="00E40E0F" w:rsidP="00E40E0F">
      <w:pPr>
        <w:pStyle w:val="Heading4"/>
      </w:pPr>
      <w:r>
        <w:t>Build further</w:t>
      </w:r>
      <w:r>
        <w:rPr>
          <w:spacing w:val="3"/>
        </w:rPr>
        <w:t xml:space="preserve"> </w:t>
      </w:r>
      <w:r>
        <w:t>capability</w:t>
      </w:r>
      <w:r>
        <w:rPr>
          <w:spacing w:val="3"/>
        </w:rPr>
        <w:t xml:space="preserve"> </w:t>
      </w:r>
      <w:r>
        <w:t>in</w:t>
      </w:r>
      <w:r>
        <w:rPr>
          <w:spacing w:val="3"/>
        </w:rPr>
        <w:t xml:space="preserve"> </w:t>
      </w:r>
      <w:r>
        <w:t>forecasting</w:t>
      </w:r>
      <w:r>
        <w:rPr>
          <w:spacing w:val="3"/>
        </w:rPr>
        <w:t xml:space="preserve"> </w:t>
      </w:r>
      <w:r>
        <w:t>and</w:t>
      </w:r>
      <w:r>
        <w:rPr>
          <w:spacing w:val="3"/>
        </w:rPr>
        <w:t xml:space="preserve"> </w:t>
      </w:r>
      <w:r>
        <w:t>macroeconometric</w:t>
      </w:r>
      <w:r>
        <w:rPr>
          <w:spacing w:val="3"/>
        </w:rPr>
        <w:t xml:space="preserve"> </w:t>
      </w:r>
      <w:r>
        <w:rPr>
          <w:spacing w:val="-2"/>
        </w:rPr>
        <w:t>modelling</w:t>
      </w:r>
    </w:p>
    <w:p w14:paraId="23DC9C62" w14:textId="44F174F7" w:rsidR="00E40E0F" w:rsidRDefault="00E40E0F" w:rsidP="00E40E0F">
      <w:r>
        <w:t>The Review recommends that the RBA strengthens its forecasting and macroeconometric</w:t>
      </w:r>
      <w:r>
        <w:rPr>
          <w:spacing w:val="40"/>
        </w:rPr>
        <w:t xml:space="preserve"> </w:t>
      </w:r>
      <w:r>
        <w:t>modelling capabilities, particularly in respect of the supply side of the economy</w:t>
      </w:r>
      <w:r w:rsidR="0068598E">
        <w:rPr>
          <w:spacing w:val="-19"/>
        </w:rPr>
        <w:t>.</w:t>
      </w:r>
      <w:r>
        <w:rPr>
          <w:w w:val="85"/>
        </w:rPr>
        <w:t xml:space="preserve"> </w:t>
      </w:r>
      <w:r>
        <w:t>Because it takes time for monetary policy changes to have their full effect, forecasts about future economic conditions are a critical input to monetary policy decision making and strategy. Large-scale models can help to ensure consistency in the RBA’s understanding of the economy and provide an efficient tool for scenario analysis</w:t>
      </w:r>
      <w:r w:rsidR="0068598E">
        <w:rPr>
          <w:spacing w:val="-9"/>
        </w:rPr>
        <w:t>.</w:t>
      </w:r>
    </w:p>
    <w:p w14:paraId="61682A93" w14:textId="77777777" w:rsidR="00E40E0F" w:rsidRDefault="00E40E0F" w:rsidP="00E40E0F">
      <w:r>
        <w:t xml:space="preserve">Chapter 1 highlighted that the RBA’s framework for forecasting and modelling does not contain sufficient detail on the supply side of the economy. This shortcoming has been apparent through the current inflationary period, where supply factors have played a significant role in driving inflation. The Governor stated in February 2023 that ‘our models are not well suited for supply shocks’ (Australian House of Representatives 2023). The risk that the Australian economy will experience more frequent </w:t>
      </w:r>
      <w:r>
        <w:lastRenderedPageBreak/>
        <w:t>supply disruptions in future underscores the importance of building capability in this area (see Chapter 2).</w:t>
      </w:r>
    </w:p>
    <w:p w14:paraId="5E87F573" w14:textId="4D69D035" w:rsidR="00E40E0F" w:rsidRDefault="00E40E0F" w:rsidP="00E40E0F">
      <w:r>
        <w:t>Another area for development is the capacity of the RBA’s models to fully factor in other arms</w:t>
      </w:r>
      <w:r>
        <w:rPr>
          <w:spacing w:val="40"/>
        </w:rPr>
        <w:t xml:space="preserve"> </w:t>
      </w:r>
      <w:r>
        <w:t>of macroeconomic policy, particularly fiscal policy. An understanding of the economic effects of fiscal</w:t>
      </w:r>
      <w:r>
        <w:rPr>
          <w:spacing w:val="4"/>
        </w:rPr>
        <w:t xml:space="preserve"> </w:t>
      </w:r>
      <w:r>
        <w:t>policy</w:t>
      </w:r>
      <w:r>
        <w:rPr>
          <w:spacing w:val="4"/>
        </w:rPr>
        <w:t xml:space="preserve"> </w:t>
      </w:r>
      <w:r>
        <w:t>and</w:t>
      </w:r>
      <w:r>
        <w:rPr>
          <w:spacing w:val="4"/>
        </w:rPr>
        <w:t xml:space="preserve"> </w:t>
      </w:r>
      <w:r>
        <w:t>its</w:t>
      </w:r>
      <w:r>
        <w:rPr>
          <w:spacing w:val="4"/>
        </w:rPr>
        <w:t xml:space="preserve"> </w:t>
      </w:r>
      <w:r>
        <w:t>interactions</w:t>
      </w:r>
      <w:r>
        <w:rPr>
          <w:spacing w:val="5"/>
        </w:rPr>
        <w:t xml:space="preserve"> </w:t>
      </w:r>
      <w:r>
        <w:t>with</w:t>
      </w:r>
      <w:r>
        <w:rPr>
          <w:spacing w:val="4"/>
        </w:rPr>
        <w:t xml:space="preserve"> </w:t>
      </w:r>
      <w:r>
        <w:t>monetary</w:t>
      </w:r>
      <w:r>
        <w:rPr>
          <w:spacing w:val="4"/>
        </w:rPr>
        <w:t xml:space="preserve"> </w:t>
      </w:r>
      <w:r>
        <w:t>policy</w:t>
      </w:r>
      <w:r>
        <w:rPr>
          <w:spacing w:val="4"/>
        </w:rPr>
        <w:t xml:space="preserve"> </w:t>
      </w:r>
      <w:r>
        <w:t>is</w:t>
      </w:r>
      <w:r>
        <w:rPr>
          <w:spacing w:val="4"/>
        </w:rPr>
        <w:t xml:space="preserve"> </w:t>
      </w:r>
      <w:r>
        <w:t>central</w:t>
      </w:r>
      <w:r>
        <w:rPr>
          <w:spacing w:val="5"/>
        </w:rPr>
        <w:t xml:space="preserve"> </w:t>
      </w:r>
      <w:r>
        <w:t>to</w:t>
      </w:r>
      <w:r>
        <w:rPr>
          <w:spacing w:val="4"/>
        </w:rPr>
        <w:t xml:space="preserve"> </w:t>
      </w:r>
      <w:r>
        <w:t>decisions</w:t>
      </w:r>
      <w:r>
        <w:rPr>
          <w:spacing w:val="4"/>
        </w:rPr>
        <w:t xml:space="preserve"> </w:t>
      </w:r>
      <w:r>
        <w:t>on</w:t>
      </w:r>
      <w:r>
        <w:rPr>
          <w:spacing w:val="4"/>
        </w:rPr>
        <w:t xml:space="preserve"> </w:t>
      </w:r>
      <w:r>
        <w:t>monetary</w:t>
      </w:r>
      <w:r>
        <w:rPr>
          <w:spacing w:val="5"/>
        </w:rPr>
        <w:t xml:space="preserve"> </w:t>
      </w:r>
      <w:r>
        <w:rPr>
          <w:spacing w:val="-2"/>
        </w:rPr>
        <w:t>policy</w:t>
      </w:r>
      <w:r w:rsidR="00045E12">
        <w:rPr>
          <w:spacing w:val="-2"/>
        </w:rPr>
        <w:t xml:space="preserve"> </w:t>
      </w:r>
      <w:r>
        <w:t>(Leeper 2023). This is particularly important in crisis periods, where the links between the arms of policy can be amplified.</w:t>
      </w:r>
    </w:p>
    <w:p w14:paraId="516E6A72" w14:textId="05CA594C" w:rsidR="00E40E0F" w:rsidRDefault="00E40E0F" w:rsidP="00E40E0F">
      <w:r>
        <w:t>The RBA has made progress on its forecasting and modelling capabilities in recent years</w:t>
      </w:r>
      <w:r w:rsidR="0068598E">
        <w:rPr>
          <w:spacing w:val="-20"/>
        </w:rPr>
        <w:t>.</w:t>
      </w:r>
      <w:r>
        <w:rPr>
          <w:w w:val="85"/>
        </w:rPr>
        <w:t xml:space="preserve"> </w:t>
      </w:r>
      <w:r>
        <w:t>This includes changes made in response to recommendations from a 2016 external review of the RBA’s forecasting process (Pagan and Wilcox 2016). For example, the RBA developed a large macroeconometric model, MARTIN, to provide a whole-of-economy perspective to forecasting,</w:t>
      </w:r>
      <w:r w:rsidR="00045E12">
        <w:t xml:space="preserve"> </w:t>
      </w:r>
      <w:r>
        <w:t>working alongside the RBA’s long-standing single-equation forecast models (Ballantyne and others 2019)</w:t>
      </w:r>
      <w:r w:rsidR="0068598E">
        <w:rPr>
          <w:spacing w:val="-21"/>
        </w:rPr>
        <w:t>.</w:t>
      </w:r>
      <w:r>
        <w:rPr>
          <w:w w:val="85"/>
        </w:rPr>
        <w:t xml:space="preserve"> </w:t>
      </w:r>
      <w:r>
        <w:t>In line with the Pagan and Wilcox review, the RBA should continue to integrate the use of MARTIN into its forecasting process given the usefulness of large-scale macroeconomic models in providing consistency across all forecasts</w:t>
      </w:r>
      <w:r w:rsidR="0068598E">
        <w:rPr>
          <w:spacing w:val="-8"/>
        </w:rPr>
        <w:t>.</w:t>
      </w:r>
    </w:p>
    <w:p w14:paraId="3EC4E0A1" w14:textId="2BD1F2F2" w:rsidR="00CD34DD" w:rsidRDefault="00E40E0F" w:rsidP="00E40E0F">
      <w:r>
        <w:t>As</w:t>
      </w:r>
      <w:r>
        <w:rPr>
          <w:spacing w:val="3"/>
        </w:rPr>
        <w:t xml:space="preserve"> </w:t>
      </w:r>
      <w:r>
        <w:t>the</w:t>
      </w:r>
      <w:r>
        <w:rPr>
          <w:spacing w:val="4"/>
        </w:rPr>
        <w:t xml:space="preserve"> </w:t>
      </w:r>
      <w:r>
        <w:t>primary</w:t>
      </w:r>
      <w:r>
        <w:rPr>
          <w:spacing w:val="4"/>
        </w:rPr>
        <w:t xml:space="preserve"> </w:t>
      </w:r>
      <w:r>
        <w:t>consumers</w:t>
      </w:r>
      <w:r>
        <w:rPr>
          <w:spacing w:val="3"/>
        </w:rPr>
        <w:t xml:space="preserve"> </w:t>
      </w:r>
      <w:r>
        <w:t>of</w:t>
      </w:r>
      <w:r>
        <w:rPr>
          <w:spacing w:val="4"/>
        </w:rPr>
        <w:t xml:space="preserve"> </w:t>
      </w:r>
      <w:r>
        <w:t>the</w:t>
      </w:r>
      <w:r>
        <w:rPr>
          <w:spacing w:val="4"/>
        </w:rPr>
        <w:t xml:space="preserve"> </w:t>
      </w:r>
      <w:r>
        <w:t>RBA’s</w:t>
      </w:r>
      <w:r>
        <w:rPr>
          <w:spacing w:val="3"/>
        </w:rPr>
        <w:t xml:space="preserve"> </w:t>
      </w:r>
      <w:r>
        <w:t>forecasts,</w:t>
      </w:r>
      <w:r>
        <w:rPr>
          <w:spacing w:val="4"/>
        </w:rPr>
        <w:t xml:space="preserve"> </w:t>
      </w:r>
      <w:r>
        <w:t>the</w:t>
      </w:r>
      <w:r>
        <w:rPr>
          <w:spacing w:val="4"/>
        </w:rPr>
        <w:t xml:space="preserve"> </w:t>
      </w:r>
      <w:r>
        <w:t>Monetary</w:t>
      </w:r>
      <w:r>
        <w:rPr>
          <w:spacing w:val="3"/>
        </w:rPr>
        <w:t xml:space="preserve"> </w:t>
      </w:r>
      <w:r>
        <w:t>Policy</w:t>
      </w:r>
      <w:r>
        <w:rPr>
          <w:spacing w:val="4"/>
        </w:rPr>
        <w:t xml:space="preserve"> </w:t>
      </w:r>
      <w:r>
        <w:t>Board</w:t>
      </w:r>
      <w:r>
        <w:rPr>
          <w:spacing w:val="4"/>
        </w:rPr>
        <w:t xml:space="preserve"> </w:t>
      </w:r>
      <w:r>
        <w:t>should</w:t>
      </w:r>
      <w:r>
        <w:rPr>
          <w:spacing w:val="4"/>
        </w:rPr>
        <w:t xml:space="preserve"> </w:t>
      </w:r>
      <w:r>
        <w:rPr>
          <w:spacing w:val="-4"/>
        </w:rPr>
        <w:t>work</w:t>
      </w:r>
      <w:r w:rsidR="00045E12">
        <w:rPr>
          <w:spacing w:val="-4"/>
        </w:rPr>
        <w:t xml:space="preserve"> </w:t>
      </w:r>
      <w:r>
        <w:t>with staff members to increase forecasting and modelling capabilities and ensure modelling is integrated into decision-making processes</w:t>
      </w:r>
      <w:r w:rsidR="0068598E">
        <w:rPr>
          <w:spacing w:val="-23"/>
        </w:rPr>
        <w:t>.</w:t>
      </w:r>
      <w:r>
        <w:rPr>
          <w:w w:val="85"/>
        </w:rPr>
        <w:t xml:space="preserve"> </w:t>
      </w:r>
      <w:r>
        <w:t>As part of this process, the RBA should seek external views and perspectives to ensure the RBA’s capabilities are fit for purpose and evolve in line with best practice</w:t>
      </w:r>
      <w:r w:rsidR="0068598E">
        <w:rPr>
          <w:spacing w:val="-17"/>
        </w:rPr>
        <w:t>.</w:t>
      </w:r>
    </w:p>
    <w:p w14:paraId="680E3F78" w14:textId="77777777" w:rsidR="00EE6D65" w:rsidRDefault="00EE6D65" w:rsidP="00EE6D65">
      <w:pPr>
        <w:pStyle w:val="Heading4"/>
      </w:pPr>
      <w:r>
        <w:t>Continue</w:t>
      </w:r>
      <w:r>
        <w:rPr>
          <w:spacing w:val="-2"/>
        </w:rPr>
        <w:t xml:space="preserve"> </w:t>
      </w:r>
      <w:r>
        <w:t>to</w:t>
      </w:r>
      <w:r>
        <w:rPr>
          <w:spacing w:val="1"/>
        </w:rPr>
        <w:t xml:space="preserve"> </w:t>
      </w:r>
      <w:r>
        <w:t>invest in</w:t>
      </w:r>
      <w:r>
        <w:rPr>
          <w:spacing w:val="1"/>
        </w:rPr>
        <w:t xml:space="preserve"> </w:t>
      </w:r>
      <w:r>
        <w:t>new</w:t>
      </w:r>
      <w:r>
        <w:rPr>
          <w:spacing w:val="1"/>
        </w:rPr>
        <w:t xml:space="preserve"> </w:t>
      </w:r>
      <w:r>
        <w:t>datasets and</w:t>
      </w:r>
      <w:r>
        <w:rPr>
          <w:spacing w:val="1"/>
        </w:rPr>
        <w:t xml:space="preserve"> </w:t>
      </w:r>
      <w:r>
        <w:t>analysis</w:t>
      </w:r>
      <w:r>
        <w:rPr>
          <w:spacing w:val="1"/>
        </w:rPr>
        <w:t xml:space="preserve"> </w:t>
      </w:r>
      <w:r>
        <w:t>to support</w:t>
      </w:r>
      <w:r>
        <w:rPr>
          <w:spacing w:val="1"/>
        </w:rPr>
        <w:t xml:space="preserve"> </w:t>
      </w:r>
      <w:r>
        <w:t>decision</w:t>
      </w:r>
      <w:r>
        <w:rPr>
          <w:spacing w:val="1"/>
        </w:rPr>
        <w:t xml:space="preserve"> </w:t>
      </w:r>
      <w:r>
        <w:rPr>
          <w:spacing w:val="-2"/>
        </w:rPr>
        <w:t>makers</w:t>
      </w:r>
    </w:p>
    <w:p w14:paraId="035478E8" w14:textId="3627AB89" w:rsidR="00EE6D65" w:rsidRDefault="00EE6D65" w:rsidP="00EE6D65">
      <w:r>
        <w:t>It is vital that the decisions of the Monetary Policy Board are supported by the best possible data</w:t>
      </w:r>
      <w:r w:rsidR="0068598E">
        <w:rPr>
          <w:spacing w:val="-24"/>
        </w:rPr>
        <w:t>.</w:t>
      </w:r>
      <w:r>
        <w:t xml:space="preserve"> The Review considers that the RBA should be a leader in the use of large datasets for macroeconomic</w:t>
      </w:r>
      <w:r>
        <w:rPr>
          <w:spacing w:val="-3"/>
        </w:rPr>
        <w:t xml:space="preserve"> </w:t>
      </w:r>
      <w:r>
        <w:t>and financial analysis and endorses the RBA’s</w:t>
      </w:r>
      <w:r>
        <w:rPr>
          <w:spacing w:val="-1"/>
        </w:rPr>
        <w:t xml:space="preserve"> </w:t>
      </w:r>
      <w:r>
        <w:t xml:space="preserve">increased focus in this area in </w:t>
      </w:r>
      <w:r>
        <w:rPr>
          <w:spacing w:val="-2"/>
        </w:rPr>
        <w:t xml:space="preserve">recent </w:t>
      </w:r>
      <w:r>
        <w:t>years</w:t>
      </w:r>
      <w:r w:rsidR="0068598E">
        <w:rPr>
          <w:spacing w:val="-24"/>
        </w:rPr>
        <w:t>.</w:t>
      </w:r>
      <w:r>
        <w:rPr>
          <w:w w:val="85"/>
        </w:rPr>
        <w:t xml:space="preserve"> </w:t>
      </w:r>
      <w:r>
        <w:t>This includes the creation of a data science team in the Economic Research Department and a sizable Enterprise Data Office. Analysis of large datasets can support decision makers by increasing understanding of economic conditions and improving forecasting</w:t>
      </w:r>
      <w:r w:rsidR="0068598E">
        <w:rPr>
          <w:spacing w:val="-18"/>
        </w:rPr>
        <w:t>.</w:t>
      </w:r>
      <w:r>
        <w:rPr>
          <w:w w:val="85"/>
        </w:rPr>
        <w:t xml:space="preserve"> </w:t>
      </w:r>
      <w:r>
        <w:t>The RBA should continue to publish and explain its insights from large datasets</w:t>
      </w:r>
      <w:r w:rsidR="0068598E">
        <w:rPr>
          <w:spacing w:val="-16"/>
        </w:rPr>
        <w:t>.</w:t>
      </w:r>
    </w:p>
    <w:p w14:paraId="0A63A6FD" w14:textId="126CCBFF" w:rsidR="00EE6D65" w:rsidRDefault="00EE6D65" w:rsidP="00EE6D65">
      <w:r>
        <w:t>In addition, the Review welcomes the introduction by the Australian Bureau of Statistics of a monthly consumer price index indicator, which provides a timelier update of prices for a subset of consumer goods and services (Australian Bureau of Statistics 2023)</w:t>
      </w:r>
      <w:r w:rsidR="0068598E">
        <w:rPr>
          <w:spacing w:val="-23"/>
        </w:rPr>
        <w:t>.</w:t>
      </w:r>
      <w:r>
        <w:rPr>
          <w:w w:val="85"/>
        </w:rPr>
        <w:t xml:space="preserve"> </w:t>
      </w:r>
      <w:r>
        <w:t>The Review supports the development of a full monthly consumer price index – one that includes updated prices for a fuller range of consumer goods and services – and improved monthly measures of underlying inflation (for example trimmed mean inflation). These are important ways the Australian Bureau of Statistics could support the Monetary Policy Board’s decision making</w:t>
      </w:r>
      <w:r w:rsidR="0068598E">
        <w:rPr>
          <w:spacing w:val="-12"/>
        </w:rPr>
        <w:t>.</w:t>
      </w:r>
    </w:p>
    <w:p w14:paraId="1CD15FA4" w14:textId="2B6A7905" w:rsidR="00EE6D65" w:rsidRDefault="00EE6D65" w:rsidP="00EE6D65">
      <w:r>
        <w:t>Another area where a further investment in data is likely to be helpful is in measuring the effects of fiscal policy. Leeper (2023) argues that fiscal and monetary policy makers must carefully consider the impact of each other’s current and expected policy actions. Expectations for fiscal policy</w:t>
      </w:r>
      <w:r>
        <w:rPr>
          <w:spacing w:val="80"/>
          <w:w w:val="150"/>
        </w:rPr>
        <w:t xml:space="preserve"> </w:t>
      </w:r>
      <w:r>
        <w:t>should be considered seriously, as expectations for monetary policy are considered at present</w:t>
      </w:r>
      <w:r w:rsidR="0068598E">
        <w:rPr>
          <w:spacing w:val="-18"/>
        </w:rPr>
        <w:t>.</w:t>
      </w:r>
      <w:r>
        <w:rPr>
          <w:w w:val="85"/>
        </w:rPr>
        <w:t xml:space="preserve"> </w:t>
      </w:r>
      <w:r>
        <w:t>For</w:t>
      </w:r>
      <w:r>
        <w:rPr>
          <w:spacing w:val="-1"/>
        </w:rPr>
        <w:t xml:space="preserve"> </w:t>
      </w:r>
      <w:r>
        <w:t>example,</w:t>
      </w:r>
      <w:r>
        <w:rPr>
          <w:spacing w:val="1"/>
        </w:rPr>
        <w:t xml:space="preserve"> </w:t>
      </w:r>
      <w:r>
        <w:t>the</w:t>
      </w:r>
      <w:r>
        <w:rPr>
          <w:spacing w:val="1"/>
        </w:rPr>
        <w:t xml:space="preserve"> </w:t>
      </w:r>
      <w:r>
        <w:t>RBA</w:t>
      </w:r>
      <w:r>
        <w:rPr>
          <w:spacing w:val="1"/>
        </w:rPr>
        <w:t xml:space="preserve"> </w:t>
      </w:r>
      <w:r>
        <w:t>and</w:t>
      </w:r>
      <w:r>
        <w:rPr>
          <w:spacing w:val="1"/>
        </w:rPr>
        <w:t xml:space="preserve"> </w:t>
      </w:r>
      <w:r>
        <w:t>Treasury</w:t>
      </w:r>
      <w:r>
        <w:rPr>
          <w:spacing w:val="1"/>
        </w:rPr>
        <w:t xml:space="preserve"> </w:t>
      </w:r>
      <w:r>
        <w:t>should</w:t>
      </w:r>
      <w:r>
        <w:rPr>
          <w:spacing w:val="1"/>
        </w:rPr>
        <w:t xml:space="preserve"> </w:t>
      </w:r>
      <w:r>
        <w:t>consider</w:t>
      </w:r>
      <w:r>
        <w:rPr>
          <w:spacing w:val="2"/>
        </w:rPr>
        <w:t xml:space="preserve"> </w:t>
      </w:r>
      <w:r>
        <w:t>the</w:t>
      </w:r>
      <w:r>
        <w:rPr>
          <w:spacing w:val="1"/>
        </w:rPr>
        <w:t xml:space="preserve"> </w:t>
      </w:r>
      <w:r>
        <w:t>merits</w:t>
      </w:r>
      <w:r>
        <w:rPr>
          <w:spacing w:val="1"/>
        </w:rPr>
        <w:t xml:space="preserve"> </w:t>
      </w:r>
      <w:r>
        <w:t>of</w:t>
      </w:r>
      <w:r>
        <w:rPr>
          <w:spacing w:val="1"/>
        </w:rPr>
        <w:t xml:space="preserve"> </w:t>
      </w:r>
      <w:r>
        <w:t>investing</w:t>
      </w:r>
      <w:r>
        <w:rPr>
          <w:spacing w:val="1"/>
        </w:rPr>
        <w:t xml:space="preserve"> </w:t>
      </w:r>
      <w:r>
        <w:t>in</w:t>
      </w:r>
      <w:r>
        <w:rPr>
          <w:spacing w:val="1"/>
        </w:rPr>
        <w:t xml:space="preserve"> </w:t>
      </w:r>
      <w:r>
        <w:t>quality</w:t>
      </w:r>
      <w:r>
        <w:rPr>
          <w:spacing w:val="1"/>
        </w:rPr>
        <w:t xml:space="preserve"> </w:t>
      </w:r>
      <w:r>
        <w:t>and</w:t>
      </w:r>
      <w:r>
        <w:rPr>
          <w:spacing w:val="2"/>
        </w:rPr>
        <w:t xml:space="preserve"> </w:t>
      </w:r>
      <w:r>
        <w:rPr>
          <w:spacing w:val="-2"/>
        </w:rPr>
        <w:t>timely</w:t>
      </w:r>
      <w:r>
        <w:t xml:space="preserve"> surveys</w:t>
      </w:r>
      <w:r>
        <w:rPr>
          <w:spacing w:val="3"/>
        </w:rPr>
        <w:t xml:space="preserve"> </w:t>
      </w:r>
      <w:r>
        <w:t>of</w:t>
      </w:r>
      <w:r>
        <w:rPr>
          <w:spacing w:val="4"/>
        </w:rPr>
        <w:t xml:space="preserve"> </w:t>
      </w:r>
      <w:r>
        <w:t>expectations</w:t>
      </w:r>
      <w:r>
        <w:rPr>
          <w:spacing w:val="4"/>
        </w:rPr>
        <w:t xml:space="preserve"> </w:t>
      </w:r>
      <w:r>
        <w:t>for</w:t>
      </w:r>
      <w:r>
        <w:rPr>
          <w:spacing w:val="3"/>
        </w:rPr>
        <w:t xml:space="preserve"> </w:t>
      </w:r>
      <w:r>
        <w:t>government</w:t>
      </w:r>
      <w:r>
        <w:rPr>
          <w:spacing w:val="4"/>
        </w:rPr>
        <w:t xml:space="preserve"> </w:t>
      </w:r>
      <w:r>
        <w:t>taxes</w:t>
      </w:r>
      <w:r>
        <w:rPr>
          <w:spacing w:val="4"/>
        </w:rPr>
        <w:t xml:space="preserve"> </w:t>
      </w:r>
      <w:r>
        <w:t>and</w:t>
      </w:r>
      <w:r>
        <w:rPr>
          <w:spacing w:val="3"/>
        </w:rPr>
        <w:t xml:space="preserve"> </w:t>
      </w:r>
      <w:r>
        <w:t>spending</w:t>
      </w:r>
      <w:r>
        <w:rPr>
          <w:spacing w:val="4"/>
        </w:rPr>
        <w:t xml:space="preserve"> </w:t>
      </w:r>
      <w:r>
        <w:t>in</w:t>
      </w:r>
      <w:r>
        <w:rPr>
          <w:spacing w:val="4"/>
        </w:rPr>
        <w:t xml:space="preserve"> </w:t>
      </w:r>
      <w:r>
        <w:t>Australia</w:t>
      </w:r>
      <w:r w:rsidR="0068598E">
        <w:rPr>
          <w:spacing w:val="-22"/>
        </w:rPr>
        <w:t>.</w:t>
      </w:r>
    </w:p>
    <w:p w14:paraId="3C7301FC" w14:textId="77777777" w:rsidR="00EE6D65" w:rsidRDefault="00EE6D65" w:rsidP="00EE6D65">
      <w:pPr>
        <w:pStyle w:val="Heading3"/>
      </w:pPr>
      <w:r>
        <w:t>Recommendation</w:t>
      </w:r>
      <w:r>
        <w:rPr>
          <w:spacing w:val="-9"/>
        </w:rPr>
        <w:t xml:space="preserve"> </w:t>
      </w:r>
      <w:r>
        <w:t>9.4:</w:t>
      </w:r>
      <w:r>
        <w:rPr>
          <w:spacing w:val="-9"/>
        </w:rPr>
        <w:t xml:space="preserve"> </w:t>
      </w:r>
      <w:r>
        <w:t>Create</w:t>
      </w:r>
      <w:r>
        <w:rPr>
          <w:spacing w:val="-9"/>
        </w:rPr>
        <w:t xml:space="preserve"> </w:t>
      </w:r>
      <w:r>
        <w:t>and</w:t>
      </w:r>
      <w:r>
        <w:rPr>
          <w:spacing w:val="-9"/>
        </w:rPr>
        <w:t xml:space="preserve"> </w:t>
      </w:r>
      <w:r>
        <w:t>engage</w:t>
      </w:r>
      <w:r>
        <w:rPr>
          <w:spacing w:val="-9"/>
        </w:rPr>
        <w:t xml:space="preserve"> </w:t>
      </w:r>
      <w:r>
        <w:t>with</w:t>
      </w:r>
      <w:r>
        <w:rPr>
          <w:spacing w:val="-9"/>
        </w:rPr>
        <w:t xml:space="preserve"> </w:t>
      </w:r>
      <w:r>
        <w:t>an</w:t>
      </w:r>
      <w:r>
        <w:rPr>
          <w:spacing w:val="-9"/>
        </w:rPr>
        <w:t xml:space="preserve"> </w:t>
      </w:r>
      <w:r>
        <w:t>expert</w:t>
      </w:r>
      <w:r>
        <w:rPr>
          <w:spacing w:val="-9"/>
        </w:rPr>
        <w:t xml:space="preserve"> </w:t>
      </w:r>
      <w:r>
        <w:t>advisory</w:t>
      </w:r>
      <w:r>
        <w:rPr>
          <w:spacing w:val="-9"/>
        </w:rPr>
        <w:t xml:space="preserve"> </w:t>
      </w:r>
      <w:r>
        <w:t>group on monetary policy</w:t>
      </w:r>
    </w:p>
    <w:p w14:paraId="23200195" w14:textId="45682B01" w:rsidR="00EE6D65" w:rsidRDefault="00EE6D65" w:rsidP="00EE6D65">
      <w:r>
        <w:t>The Review recommends that the Monetary Policy Board convene an expert advisory group on monetary policy to provide the Board with external views</w:t>
      </w:r>
      <w:r w:rsidR="0068598E">
        <w:rPr>
          <w:spacing w:val="-22"/>
        </w:rPr>
        <w:t>.</w:t>
      </w:r>
      <w:r>
        <w:rPr>
          <w:w w:val="85"/>
        </w:rPr>
        <w:t xml:space="preserve"> </w:t>
      </w:r>
      <w:r>
        <w:t xml:space="preserve">The expert advisory group should build on </w:t>
      </w:r>
      <w:r>
        <w:lastRenderedPageBreak/>
        <w:t>the success of the RBA’s existing academic and private-sector economist panels but have a broader remit and direct engagement with the Monetary Policy Board</w:t>
      </w:r>
      <w:r w:rsidR="0068598E">
        <w:rPr>
          <w:spacing w:val="-16"/>
        </w:rPr>
        <w:t>.</w:t>
      </w:r>
    </w:p>
    <w:p w14:paraId="1BE384AD" w14:textId="7BEE1FE0" w:rsidR="00CD34DD" w:rsidRDefault="00EE6D65" w:rsidP="00EE6D65">
      <w:pPr>
        <w:rPr>
          <w:w w:val="85"/>
        </w:rPr>
      </w:pPr>
      <w:r>
        <w:t>Since 2019, the RBA has held an annual panel of academic economists to hear external views on monetary policy frameworks and settings</w:t>
      </w:r>
      <w:r w:rsidR="0068598E">
        <w:rPr>
          <w:spacing w:val="-17"/>
        </w:rPr>
        <w:t>.</w:t>
      </w:r>
      <w:r>
        <w:rPr>
          <w:w w:val="85"/>
        </w:rPr>
        <w:t xml:space="preserve"> </w:t>
      </w:r>
      <w:r>
        <w:t>Summaries of these meetings are distributed internally within the RBA</w:t>
      </w:r>
      <w:r w:rsidR="0068598E">
        <w:rPr>
          <w:spacing w:val="-19"/>
        </w:rPr>
        <w:t>.</w:t>
      </w:r>
      <w:r>
        <w:rPr>
          <w:w w:val="85"/>
        </w:rPr>
        <w:t xml:space="preserve"> </w:t>
      </w:r>
      <w:r>
        <w:t>The RBA recently announced that it has increased the frequency and size of the academic panel meetings and established another panel to hear the views of private sector economists (RBA 2022f). These 2 panels offer a structured way for RBA staff to hear alternate views held by external economists</w:t>
      </w:r>
      <w:r w:rsidR="0068598E">
        <w:rPr>
          <w:spacing w:val="-9"/>
        </w:rPr>
        <w:t>.</w:t>
      </w:r>
    </w:p>
    <w:p w14:paraId="2330FF3A" w14:textId="2180F719" w:rsidR="00E849CB" w:rsidRDefault="00E849CB" w:rsidP="00E849CB">
      <w:r>
        <w:t>The Review sees value in these panels and recommends they be consolidated into an advisory group that has similar membership but an expanded role</w:t>
      </w:r>
      <w:r w:rsidR="0068598E">
        <w:rPr>
          <w:spacing w:val="-20"/>
        </w:rPr>
        <w:t>.</w:t>
      </w:r>
      <w:r>
        <w:rPr>
          <w:w w:val="85"/>
        </w:rPr>
        <w:t xml:space="preserve"> </w:t>
      </w:r>
      <w:r>
        <w:t>In particular, the Review recommends that the Monetary Policy Board convene an expert advisory group comprised of at least 12 economists of significant standing in academia and the private sector. The group would meet with the Monetary Policy Board biannually and provide views on topics such as:</w:t>
      </w:r>
    </w:p>
    <w:p w14:paraId="29BC1FD3" w14:textId="77777777" w:rsidR="00E849CB" w:rsidRDefault="00E849CB" w:rsidP="0000278A">
      <w:pPr>
        <w:pStyle w:val="Bullet"/>
      </w:pPr>
      <w:r>
        <w:t>current</w:t>
      </w:r>
      <w:r>
        <w:rPr>
          <w:spacing w:val="-2"/>
        </w:rPr>
        <w:t xml:space="preserve"> </w:t>
      </w:r>
      <w:r>
        <w:t>economic</w:t>
      </w:r>
      <w:r>
        <w:rPr>
          <w:spacing w:val="1"/>
        </w:rPr>
        <w:t xml:space="preserve"> </w:t>
      </w:r>
      <w:r>
        <w:t>conditions and</w:t>
      </w:r>
      <w:r>
        <w:rPr>
          <w:spacing w:val="1"/>
        </w:rPr>
        <w:t xml:space="preserve"> </w:t>
      </w:r>
      <w:r>
        <w:t>the</w:t>
      </w:r>
      <w:r>
        <w:rPr>
          <w:spacing w:val="1"/>
        </w:rPr>
        <w:t xml:space="preserve"> </w:t>
      </w:r>
      <w:r>
        <w:rPr>
          <w:spacing w:val="-2"/>
        </w:rPr>
        <w:t>outlook</w:t>
      </w:r>
    </w:p>
    <w:p w14:paraId="311DADA2" w14:textId="77777777" w:rsidR="00E849CB" w:rsidRDefault="00E849CB" w:rsidP="0000278A">
      <w:pPr>
        <w:pStyle w:val="Bullet"/>
      </w:pPr>
      <w:r>
        <w:t>key</w:t>
      </w:r>
      <w:r>
        <w:rPr>
          <w:spacing w:val="4"/>
        </w:rPr>
        <w:t xml:space="preserve"> </w:t>
      </w:r>
      <w:r>
        <w:t>policy</w:t>
      </w:r>
      <w:r>
        <w:rPr>
          <w:spacing w:val="4"/>
        </w:rPr>
        <w:t xml:space="preserve"> </w:t>
      </w:r>
      <w:r>
        <w:t>issues</w:t>
      </w:r>
      <w:r>
        <w:rPr>
          <w:spacing w:val="4"/>
        </w:rPr>
        <w:t xml:space="preserve"> </w:t>
      </w:r>
      <w:r>
        <w:t>and</w:t>
      </w:r>
      <w:r>
        <w:rPr>
          <w:spacing w:val="5"/>
        </w:rPr>
        <w:t xml:space="preserve"> </w:t>
      </w:r>
      <w:r>
        <w:t>the</w:t>
      </w:r>
      <w:r>
        <w:rPr>
          <w:spacing w:val="4"/>
        </w:rPr>
        <w:t xml:space="preserve"> </w:t>
      </w:r>
      <w:r>
        <w:t>Monetary</w:t>
      </w:r>
      <w:r>
        <w:rPr>
          <w:spacing w:val="4"/>
        </w:rPr>
        <w:t xml:space="preserve"> </w:t>
      </w:r>
      <w:r>
        <w:t>Policy</w:t>
      </w:r>
      <w:r>
        <w:rPr>
          <w:spacing w:val="4"/>
        </w:rPr>
        <w:t xml:space="preserve"> </w:t>
      </w:r>
      <w:r>
        <w:t>Board’s</w:t>
      </w:r>
      <w:r>
        <w:rPr>
          <w:spacing w:val="5"/>
        </w:rPr>
        <w:t xml:space="preserve"> </w:t>
      </w:r>
      <w:r>
        <w:rPr>
          <w:spacing w:val="-2"/>
        </w:rPr>
        <w:t>strategy</w:t>
      </w:r>
    </w:p>
    <w:p w14:paraId="5A9ADA5F" w14:textId="77777777" w:rsidR="00E849CB" w:rsidRDefault="00E849CB" w:rsidP="0000278A">
      <w:pPr>
        <w:pStyle w:val="Bullet"/>
      </w:pPr>
      <w:r>
        <w:t>the</w:t>
      </w:r>
      <w:r>
        <w:rPr>
          <w:spacing w:val="1"/>
        </w:rPr>
        <w:t xml:space="preserve"> </w:t>
      </w:r>
      <w:r>
        <w:t>RBA’s</w:t>
      </w:r>
      <w:r>
        <w:rPr>
          <w:spacing w:val="1"/>
        </w:rPr>
        <w:t xml:space="preserve"> </w:t>
      </w:r>
      <w:r>
        <w:t>forecasting</w:t>
      </w:r>
      <w:r>
        <w:rPr>
          <w:spacing w:val="1"/>
        </w:rPr>
        <w:t xml:space="preserve"> </w:t>
      </w:r>
      <w:r>
        <w:t>and</w:t>
      </w:r>
      <w:r>
        <w:rPr>
          <w:spacing w:val="1"/>
        </w:rPr>
        <w:t xml:space="preserve"> </w:t>
      </w:r>
      <w:r>
        <w:t>modelling</w:t>
      </w:r>
      <w:r>
        <w:rPr>
          <w:spacing w:val="1"/>
        </w:rPr>
        <w:t xml:space="preserve"> </w:t>
      </w:r>
      <w:r>
        <w:rPr>
          <w:spacing w:val="-2"/>
        </w:rPr>
        <w:t>capabilities</w:t>
      </w:r>
    </w:p>
    <w:p w14:paraId="01B84309" w14:textId="33955FB8" w:rsidR="00E849CB" w:rsidRDefault="00E849CB" w:rsidP="0000278A">
      <w:pPr>
        <w:pStyle w:val="Bullet"/>
      </w:pPr>
      <w:r>
        <w:t>emerging</w:t>
      </w:r>
      <w:r>
        <w:rPr>
          <w:spacing w:val="-2"/>
        </w:rPr>
        <w:t xml:space="preserve"> </w:t>
      </w:r>
      <w:r>
        <w:t>research</w:t>
      </w:r>
      <w:r>
        <w:rPr>
          <w:spacing w:val="-1"/>
        </w:rPr>
        <w:t xml:space="preserve"> </w:t>
      </w:r>
      <w:r>
        <w:t>areas</w:t>
      </w:r>
      <w:r>
        <w:rPr>
          <w:spacing w:val="-1"/>
        </w:rPr>
        <w:t xml:space="preserve"> </w:t>
      </w:r>
      <w:r>
        <w:t>and</w:t>
      </w:r>
      <w:r>
        <w:rPr>
          <w:spacing w:val="-1"/>
        </w:rPr>
        <w:t xml:space="preserve"> </w:t>
      </w:r>
      <w:r>
        <w:t>the</w:t>
      </w:r>
      <w:r>
        <w:rPr>
          <w:spacing w:val="-1"/>
        </w:rPr>
        <w:t xml:space="preserve"> </w:t>
      </w:r>
      <w:r>
        <w:t>direction</w:t>
      </w:r>
      <w:r>
        <w:rPr>
          <w:spacing w:val="-1"/>
        </w:rPr>
        <w:t xml:space="preserve"> </w:t>
      </w:r>
      <w:r>
        <w:t>of</w:t>
      </w:r>
      <w:r>
        <w:rPr>
          <w:spacing w:val="-1"/>
        </w:rPr>
        <w:t xml:space="preserve"> </w:t>
      </w:r>
      <w:r>
        <w:t>the</w:t>
      </w:r>
      <w:r>
        <w:rPr>
          <w:spacing w:val="-1"/>
        </w:rPr>
        <w:t xml:space="preserve"> </w:t>
      </w:r>
      <w:r>
        <w:t>RBA’s</w:t>
      </w:r>
      <w:r>
        <w:rPr>
          <w:spacing w:val="-1"/>
        </w:rPr>
        <w:t xml:space="preserve"> </w:t>
      </w:r>
      <w:r>
        <w:t>research</w:t>
      </w:r>
      <w:r>
        <w:rPr>
          <w:spacing w:val="-1"/>
        </w:rPr>
        <w:t xml:space="preserve"> </w:t>
      </w:r>
      <w:r>
        <w:t>agenda</w:t>
      </w:r>
      <w:r w:rsidR="0068598E">
        <w:rPr>
          <w:spacing w:val="-24"/>
        </w:rPr>
        <w:t>.</w:t>
      </w:r>
    </w:p>
    <w:p w14:paraId="648E6F4D" w14:textId="2964C71E" w:rsidR="00E849CB" w:rsidRDefault="00E849CB" w:rsidP="00E849CB">
      <w:r>
        <w:t>It is envisaged that insights from this advisory group will become an important input into the Monetary Policy Board’s ongoing assessment of issues and strategy, but it should not become a ‘shadow monetary policy committee’ that provides direct policy advice</w:t>
      </w:r>
      <w:r w:rsidR="0068598E">
        <w:rPr>
          <w:spacing w:val="-17"/>
        </w:rPr>
        <w:t>.</w:t>
      </w:r>
      <w:r>
        <w:rPr>
          <w:w w:val="85"/>
        </w:rPr>
        <w:t xml:space="preserve"> </w:t>
      </w:r>
      <w:r>
        <w:t>As such, the Panel recommends transparency around the nature of discussions that the expert advisory group has with the Monetary Policy Board</w:t>
      </w:r>
      <w:r w:rsidR="0068598E">
        <w:rPr>
          <w:spacing w:val="-19"/>
        </w:rPr>
        <w:t>.</w:t>
      </w:r>
      <w:r>
        <w:rPr>
          <w:w w:val="85"/>
        </w:rPr>
        <w:t xml:space="preserve"> </w:t>
      </w:r>
      <w:r>
        <w:t>To achieve this, a summary of the main views presented at the meeting could be published, as is done for the Federal Reserve Bank of New York’s Economic Advisory Panel (for example, see Federal Reserve Bank of New York 2022). Such an advisory group would help build a cohort of academic and private sector economists who may later be suitable members of the Monetary Policy Board</w:t>
      </w:r>
      <w:r w:rsidR="0068598E">
        <w:rPr>
          <w:spacing w:val="-9"/>
        </w:rPr>
        <w:t>.</w:t>
      </w:r>
    </w:p>
    <w:p w14:paraId="21C1CD63" w14:textId="77777777" w:rsidR="00252088" w:rsidRDefault="00252088">
      <w:pPr>
        <w:spacing w:before="0" w:after="160" w:line="259" w:lineRule="auto"/>
        <w:rPr>
          <w:rFonts w:asciiTheme="majorHAnsi" w:hAnsiTheme="majorHAnsi" w:cs="Arial"/>
          <w:b/>
          <w:iCs/>
          <w:color w:val="1F4060"/>
          <w:kern w:val="32"/>
          <w:szCs w:val="36"/>
        </w:rPr>
      </w:pPr>
      <w:r>
        <w:rPr>
          <w:color w:val="1F4060"/>
        </w:rPr>
        <w:br w:type="page"/>
      </w:r>
    </w:p>
    <w:p w14:paraId="3CB54FE8" w14:textId="124CA77B" w:rsidR="00F23ED0" w:rsidRDefault="00F23ED0" w:rsidP="004052C0">
      <w:pPr>
        <w:pStyle w:val="BoxHeading"/>
      </w:pPr>
      <w:r>
        <w:lastRenderedPageBreak/>
        <w:t>Figure</w:t>
      </w:r>
      <w:r>
        <w:rPr>
          <w:spacing w:val="3"/>
        </w:rPr>
        <w:t xml:space="preserve"> </w:t>
      </w:r>
      <w:r>
        <w:t>3.2:</w:t>
      </w:r>
      <w:r>
        <w:rPr>
          <w:spacing w:val="3"/>
        </w:rPr>
        <w:t xml:space="preserve"> </w:t>
      </w:r>
      <w:r>
        <w:t>Range</w:t>
      </w:r>
      <w:r>
        <w:rPr>
          <w:spacing w:val="4"/>
        </w:rPr>
        <w:t xml:space="preserve"> </w:t>
      </w:r>
      <w:r>
        <w:t>of</w:t>
      </w:r>
      <w:r>
        <w:rPr>
          <w:spacing w:val="3"/>
        </w:rPr>
        <w:t xml:space="preserve"> </w:t>
      </w:r>
      <w:r>
        <w:t>support</w:t>
      </w:r>
      <w:r>
        <w:rPr>
          <w:spacing w:val="4"/>
        </w:rPr>
        <w:t xml:space="preserve"> </w:t>
      </w:r>
      <w:r>
        <w:t>provided</w:t>
      </w:r>
      <w:r>
        <w:rPr>
          <w:spacing w:val="3"/>
        </w:rPr>
        <w:t xml:space="preserve"> </w:t>
      </w:r>
      <w:r>
        <w:t>to</w:t>
      </w:r>
      <w:r>
        <w:rPr>
          <w:spacing w:val="3"/>
        </w:rPr>
        <w:t xml:space="preserve"> </w:t>
      </w:r>
      <w:r>
        <w:t>monetary</w:t>
      </w:r>
      <w:r>
        <w:rPr>
          <w:spacing w:val="4"/>
        </w:rPr>
        <w:t xml:space="preserve"> </w:t>
      </w:r>
      <w:r>
        <w:t>policy</w:t>
      </w:r>
      <w:r>
        <w:rPr>
          <w:spacing w:val="3"/>
        </w:rPr>
        <w:t xml:space="preserve"> </w:t>
      </w:r>
      <w:r>
        <w:t>decision</w:t>
      </w:r>
      <w:r>
        <w:rPr>
          <w:spacing w:val="4"/>
        </w:rPr>
        <w:t xml:space="preserve"> </w:t>
      </w:r>
      <w:r>
        <w:rPr>
          <w:spacing w:val="-2"/>
        </w:rPr>
        <w:t>makers</w:t>
      </w:r>
    </w:p>
    <w:p w14:paraId="59E80AF2" w14:textId="2207C7CC" w:rsidR="00252088" w:rsidRDefault="00BD067F" w:rsidP="00BF03A5">
      <w:pPr>
        <w:spacing w:before="0" w:after="160" w:line="259" w:lineRule="auto"/>
        <w:jc w:val="center"/>
      </w:pPr>
      <w:r>
        <w:rPr>
          <w:noProof/>
        </w:rPr>
        <w:drawing>
          <wp:inline distT="0" distB="0" distL="0" distR="0" wp14:anchorId="3F5C9C47" wp14:editId="7634B686">
            <wp:extent cx="5141986" cy="3264415"/>
            <wp:effectExtent l="0" t="0" r="0" b="0"/>
            <wp:docPr id="25" name="Picture 25" descr="An infographic that shows the composition of the proposed Monetary Policy Board. It highlights that external members will be in the majority on this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n infographic that shows the composition of the proposed Monetary Policy Board. It highlights that external members will be in the majority on this Boar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41986" cy="3264415"/>
                    </a:xfrm>
                    <a:prstGeom prst="rect">
                      <a:avLst/>
                    </a:prstGeom>
                  </pic:spPr>
                </pic:pic>
              </a:graphicData>
            </a:graphic>
          </wp:inline>
        </w:drawing>
      </w:r>
    </w:p>
    <w:p w14:paraId="7E27DC85" w14:textId="77777777" w:rsidR="00252088" w:rsidRDefault="00252088" w:rsidP="00A969F9">
      <w:pPr>
        <w:pStyle w:val="Heading3"/>
      </w:pPr>
      <w:r>
        <w:t xml:space="preserve">Recommendation 9.5: Provide more analytical depth on monetary </w:t>
      </w:r>
      <w:r w:rsidRPr="00A969F9">
        <w:t>policy</w:t>
      </w:r>
      <w:r>
        <w:rPr>
          <w:spacing w:val="-7"/>
        </w:rPr>
        <w:t xml:space="preserve"> </w:t>
      </w:r>
      <w:r>
        <w:t>strategy,</w:t>
      </w:r>
      <w:r>
        <w:rPr>
          <w:spacing w:val="-7"/>
        </w:rPr>
        <w:t xml:space="preserve"> </w:t>
      </w:r>
      <w:r>
        <w:t>alternate</w:t>
      </w:r>
      <w:r>
        <w:rPr>
          <w:spacing w:val="-7"/>
        </w:rPr>
        <w:t xml:space="preserve"> </w:t>
      </w:r>
      <w:r>
        <w:t>policy</w:t>
      </w:r>
      <w:r>
        <w:rPr>
          <w:spacing w:val="-7"/>
        </w:rPr>
        <w:t xml:space="preserve"> </w:t>
      </w:r>
      <w:r>
        <w:t>options,</w:t>
      </w:r>
      <w:r>
        <w:rPr>
          <w:spacing w:val="-7"/>
        </w:rPr>
        <w:t xml:space="preserve"> </w:t>
      </w:r>
      <w:r>
        <w:t>costs,</w:t>
      </w:r>
      <w:r>
        <w:rPr>
          <w:spacing w:val="-7"/>
        </w:rPr>
        <w:t xml:space="preserve"> </w:t>
      </w:r>
      <w:r>
        <w:t>benefits</w:t>
      </w:r>
      <w:r>
        <w:rPr>
          <w:spacing w:val="-7"/>
        </w:rPr>
        <w:t xml:space="preserve"> </w:t>
      </w:r>
      <w:r>
        <w:t>and</w:t>
      </w:r>
      <w:r>
        <w:rPr>
          <w:spacing w:val="-7"/>
        </w:rPr>
        <w:t xml:space="preserve"> </w:t>
      </w:r>
      <w:r>
        <w:t>risks</w:t>
      </w:r>
      <w:r>
        <w:rPr>
          <w:spacing w:val="-7"/>
        </w:rPr>
        <w:t xml:space="preserve"> </w:t>
      </w:r>
      <w:r>
        <w:t>in Board materials</w:t>
      </w:r>
    </w:p>
    <w:p w14:paraId="5A43CB75" w14:textId="54657291" w:rsidR="00252088" w:rsidRDefault="00252088" w:rsidP="00252088">
      <w:r>
        <w:t>Monetary Policy Board members would be better supported in making policy judgements if papers or other briefings contained more fulsome discussions of monetary policy considerations and options</w:t>
      </w:r>
      <w:r w:rsidR="0068598E">
        <w:rPr>
          <w:spacing w:val="-18"/>
        </w:rPr>
        <w:t>.</w:t>
      </w:r>
      <w:r>
        <w:rPr>
          <w:w w:val="85"/>
        </w:rPr>
        <w:t xml:space="preserve"> </w:t>
      </w:r>
      <w:r>
        <w:t>The Monetary Policy Board should receive, and request as necessary, this information</w:t>
      </w:r>
      <w:r w:rsidR="0068598E">
        <w:rPr>
          <w:spacing w:val="-18"/>
        </w:rPr>
        <w:t>.</w:t>
      </w:r>
    </w:p>
    <w:p w14:paraId="75E12C21" w14:textId="67ACF2FF" w:rsidR="00252088" w:rsidRDefault="00252088" w:rsidP="00252088">
      <w:r>
        <w:t>Briefings for the Monetary Policy Board should include a genuine exploration of alternate views and policy</w:t>
      </w:r>
      <w:r>
        <w:rPr>
          <w:spacing w:val="17"/>
        </w:rPr>
        <w:t xml:space="preserve"> </w:t>
      </w:r>
      <w:r>
        <w:t>choices,</w:t>
      </w:r>
      <w:r>
        <w:rPr>
          <w:spacing w:val="17"/>
        </w:rPr>
        <w:t xml:space="preserve"> </w:t>
      </w:r>
      <w:r>
        <w:t>and</w:t>
      </w:r>
      <w:r>
        <w:rPr>
          <w:spacing w:val="17"/>
        </w:rPr>
        <w:t xml:space="preserve"> </w:t>
      </w:r>
      <w:r>
        <w:t>their</w:t>
      </w:r>
      <w:r>
        <w:rPr>
          <w:spacing w:val="17"/>
        </w:rPr>
        <w:t xml:space="preserve"> </w:t>
      </w:r>
      <w:r>
        <w:t>costs</w:t>
      </w:r>
      <w:r>
        <w:rPr>
          <w:spacing w:val="17"/>
        </w:rPr>
        <w:t xml:space="preserve"> </w:t>
      </w:r>
      <w:r>
        <w:t>and</w:t>
      </w:r>
      <w:r>
        <w:rPr>
          <w:spacing w:val="17"/>
        </w:rPr>
        <w:t xml:space="preserve"> </w:t>
      </w:r>
      <w:r>
        <w:t>benefits.</w:t>
      </w:r>
      <w:r>
        <w:rPr>
          <w:spacing w:val="17"/>
        </w:rPr>
        <w:t xml:space="preserve"> </w:t>
      </w:r>
      <w:r>
        <w:t>Quantitative</w:t>
      </w:r>
      <w:r>
        <w:rPr>
          <w:spacing w:val="17"/>
        </w:rPr>
        <w:t xml:space="preserve"> </w:t>
      </w:r>
      <w:r>
        <w:t>scenarios</w:t>
      </w:r>
      <w:r>
        <w:rPr>
          <w:spacing w:val="17"/>
        </w:rPr>
        <w:t xml:space="preserve"> </w:t>
      </w:r>
      <w:r>
        <w:t>that</w:t>
      </w:r>
      <w:r>
        <w:rPr>
          <w:spacing w:val="17"/>
        </w:rPr>
        <w:t xml:space="preserve"> </w:t>
      </w:r>
      <w:r>
        <w:t>illustrate</w:t>
      </w:r>
      <w:r>
        <w:rPr>
          <w:spacing w:val="17"/>
        </w:rPr>
        <w:t xml:space="preserve"> </w:t>
      </w:r>
      <w:r>
        <w:t>the</w:t>
      </w:r>
      <w:r>
        <w:rPr>
          <w:spacing w:val="17"/>
        </w:rPr>
        <w:t xml:space="preserve"> </w:t>
      </w:r>
      <w:r>
        <w:t>implications of different policy choices could help the Monetary Policy Board to better assess trade-offs and determine whether its strategy remains appropriate</w:t>
      </w:r>
      <w:r w:rsidR="0068598E">
        <w:rPr>
          <w:spacing w:val="-19"/>
        </w:rPr>
        <w:t>.</w:t>
      </w:r>
      <w:r>
        <w:rPr>
          <w:w w:val="85"/>
        </w:rPr>
        <w:t xml:space="preserve"> </w:t>
      </w:r>
      <w:r>
        <w:t>Scenarios can also help to consider how the economy</w:t>
      </w:r>
      <w:r>
        <w:rPr>
          <w:spacing w:val="13"/>
        </w:rPr>
        <w:t xml:space="preserve"> </w:t>
      </w:r>
      <w:r>
        <w:t>might</w:t>
      </w:r>
      <w:r>
        <w:rPr>
          <w:spacing w:val="13"/>
        </w:rPr>
        <w:t xml:space="preserve"> </w:t>
      </w:r>
      <w:r>
        <w:t>evolve</w:t>
      </w:r>
      <w:r>
        <w:rPr>
          <w:spacing w:val="13"/>
        </w:rPr>
        <w:t xml:space="preserve"> </w:t>
      </w:r>
      <w:r>
        <w:t>if</w:t>
      </w:r>
      <w:r>
        <w:rPr>
          <w:spacing w:val="13"/>
        </w:rPr>
        <w:t xml:space="preserve"> </w:t>
      </w:r>
      <w:r>
        <w:t>specific</w:t>
      </w:r>
      <w:r>
        <w:rPr>
          <w:spacing w:val="13"/>
        </w:rPr>
        <w:t xml:space="preserve"> </w:t>
      </w:r>
      <w:r>
        <w:t>risks</w:t>
      </w:r>
      <w:r>
        <w:rPr>
          <w:spacing w:val="13"/>
        </w:rPr>
        <w:t xml:space="preserve"> </w:t>
      </w:r>
      <w:r>
        <w:t>are</w:t>
      </w:r>
      <w:r>
        <w:rPr>
          <w:spacing w:val="13"/>
        </w:rPr>
        <w:t xml:space="preserve"> </w:t>
      </w:r>
      <w:r>
        <w:t>realised</w:t>
      </w:r>
      <w:r>
        <w:rPr>
          <w:spacing w:val="13"/>
        </w:rPr>
        <w:t xml:space="preserve"> </w:t>
      </w:r>
      <w:r>
        <w:t>and</w:t>
      </w:r>
      <w:r>
        <w:rPr>
          <w:spacing w:val="13"/>
        </w:rPr>
        <w:t xml:space="preserve"> </w:t>
      </w:r>
      <w:r>
        <w:t>assist</w:t>
      </w:r>
      <w:r>
        <w:rPr>
          <w:spacing w:val="13"/>
        </w:rPr>
        <w:t xml:space="preserve"> </w:t>
      </w:r>
      <w:r>
        <w:t>the</w:t>
      </w:r>
      <w:r>
        <w:rPr>
          <w:spacing w:val="13"/>
        </w:rPr>
        <w:t xml:space="preserve"> </w:t>
      </w:r>
      <w:r>
        <w:t>Monetary</w:t>
      </w:r>
      <w:r>
        <w:rPr>
          <w:spacing w:val="13"/>
        </w:rPr>
        <w:t xml:space="preserve"> </w:t>
      </w:r>
      <w:r>
        <w:t>Policy</w:t>
      </w:r>
      <w:r>
        <w:rPr>
          <w:spacing w:val="13"/>
        </w:rPr>
        <w:t xml:space="preserve"> </w:t>
      </w:r>
      <w:r>
        <w:t>Board</w:t>
      </w:r>
      <w:r>
        <w:rPr>
          <w:spacing w:val="13"/>
        </w:rPr>
        <w:t xml:space="preserve"> </w:t>
      </w:r>
      <w:r>
        <w:t>to</w:t>
      </w:r>
      <w:r>
        <w:rPr>
          <w:spacing w:val="13"/>
        </w:rPr>
        <w:t xml:space="preserve"> </w:t>
      </w:r>
      <w:r>
        <w:t>plan how its policy strategy might need to change in different situations. Such scenario analysis could be presented to the Monetary Policy Board at the same time as the quarterly forecast updates</w:t>
      </w:r>
      <w:r w:rsidR="0068598E">
        <w:rPr>
          <w:spacing w:val="-18"/>
        </w:rPr>
        <w:t>.</w:t>
      </w:r>
    </w:p>
    <w:p w14:paraId="5A66EC04" w14:textId="04EC364A" w:rsidR="00252088" w:rsidRDefault="00252088" w:rsidP="00252088">
      <w:r>
        <w:t>The papers should provide a fuller understanding of staff views, especially counterarguments to</w:t>
      </w:r>
      <w:r>
        <w:rPr>
          <w:spacing w:val="40"/>
        </w:rPr>
        <w:t xml:space="preserve"> </w:t>
      </w:r>
      <w:r>
        <w:t>the central recommendation or to the overall strategy being pursued</w:t>
      </w:r>
      <w:r w:rsidR="0068598E">
        <w:rPr>
          <w:spacing w:val="-19"/>
        </w:rPr>
        <w:t>.</w:t>
      </w:r>
      <w:r>
        <w:rPr>
          <w:w w:val="85"/>
        </w:rPr>
        <w:t xml:space="preserve"> </w:t>
      </w:r>
      <w:r>
        <w:t>The RBA should consider what internal processes would best achieve this outcome. For example, the Monetary Policy Board could consider requesting an attachment in the Monetary Policy Paper that allows for relevant departments to include their own comments, similar to ‘coordination comments’ in cabinet submissions in the Australian Government</w:t>
      </w:r>
      <w:r w:rsidR="0068598E">
        <w:rPr>
          <w:spacing w:val="-18"/>
        </w:rPr>
        <w:t>.</w:t>
      </w:r>
      <w:r>
        <w:rPr>
          <w:w w:val="85"/>
        </w:rPr>
        <w:t xml:space="preserve"> </w:t>
      </w:r>
      <w:r>
        <w:t>Such changes to internal processes may require holding internal policy meetings further in advance of the decision meeting than at present, to</w:t>
      </w:r>
      <w:r>
        <w:rPr>
          <w:spacing w:val="40"/>
        </w:rPr>
        <w:t xml:space="preserve"> </w:t>
      </w:r>
      <w:r>
        <w:t>allow time for wider staff engagement.</w:t>
      </w:r>
    </w:p>
    <w:p w14:paraId="39794360" w14:textId="7A45F677" w:rsidR="00252088" w:rsidRDefault="00252088" w:rsidP="00252088">
      <w:r>
        <w:t>The Monetary Policy Board should play an active and ongoing role in the development of Board materials</w:t>
      </w:r>
      <w:r w:rsidR="0068598E">
        <w:rPr>
          <w:spacing w:val="-25"/>
        </w:rPr>
        <w:t>.</w:t>
      </w:r>
      <w:r>
        <w:rPr>
          <w:w w:val="85"/>
        </w:rPr>
        <w:t xml:space="preserve"> </w:t>
      </w:r>
      <w:r>
        <w:t>They</w:t>
      </w:r>
      <w:r>
        <w:rPr>
          <w:spacing w:val="-1"/>
        </w:rPr>
        <w:t xml:space="preserve"> </w:t>
      </w:r>
      <w:r>
        <w:t>should</w:t>
      </w:r>
      <w:r>
        <w:rPr>
          <w:spacing w:val="-1"/>
        </w:rPr>
        <w:t xml:space="preserve"> </w:t>
      </w:r>
      <w:r>
        <w:t>consider</w:t>
      </w:r>
      <w:r>
        <w:rPr>
          <w:spacing w:val="-1"/>
        </w:rPr>
        <w:t xml:space="preserve"> </w:t>
      </w:r>
      <w:r>
        <w:t>regularly</w:t>
      </w:r>
      <w:r>
        <w:rPr>
          <w:spacing w:val="-1"/>
        </w:rPr>
        <w:t xml:space="preserve"> </w:t>
      </w:r>
      <w:r>
        <w:t>whether</w:t>
      </w:r>
      <w:r>
        <w:rPr>
          <w:spacing w:val="-1"/>
        </w:rPr>
        <w:t xml:space="preserve"> </w:t>
      </w:r>
      <w:r>
        <w:t>the</w:t>
      </w:r>
      <w:r>
        <w:rPr>
          <w:spacing w:val="-1"/>
        </w:rPr>
        <w:t xml:space="preserve"> </w:t>
      </w:r>
      <w:r>
        <w:t>materials</w:t>
      </w:r>
      <w:r>
        <w:rPr>
          <w:spacing w:val="-1"/>
        </w:rPr>
        <w:t xml:space="preserve"> </w:t>
      </w:r>
      <w:r>
        <w:t>they</w:t>
      </w:r>
      <w:r>
        <w:rPr>
          <w:spacing w:val="-1"/>
        </w:rPr>
        <w:t xml:space="preserve"> </w:t>
      </w:r>
      <w:r>
        <w:t>receive</w:t>
      </w:r>
      <w:r>
        <w:rPr>
          <w:spacing w:val="-1"/>
        </w:rPr>
        <w:t xml:space="preserve"> </w:t>
      </w:r>
      <w:r>
        <w:t>equip</w:t>
      </w:r>
      <w:r>
        <w:rPr>
          <w:spacing w:val="-1"/>
        </w:rPr>
        <w:t xml:space="preserve"> </w:t>
      </w:r>
      <w:r>
        <w:t>them</w:t>
      </w:r>
      <w:r>
        <w:rPr>
          <w:spacing w:val="-1"/>
        </w:rPr>
        <w:t xml:space="preserve"> </w:t>
      </w:r>
      <w:r>
        <w:t>to</w:t>
      </w:r>
      <w:r>
        <w:rPr>
          <w:spacing w:val="-1"/>
        </w:rPr>
        <w:t xml:space="preserve"> </w:t>
      </w:r>
      <w:r>
        <w:t>make informed decisions and should request additional materials as required</w:t>
      </w:r>
      <w:r w:rsidR="0068598E">
        <w:rPr>
          <w:spacing w:val="-16"/>
        </w:rPr>
        <w:t>.</w:t>
      </w:r>
    </w:p>
    <w:p w14:paraId="44378067" w14:textId="243A1B95" w:rsidR="00252088" w:rsidRDefault="00252088" w:rsidP="00A969F9">
      <w:pPr>
        <w:rPr>
          <w:b/>
          <w:color w:val="204060" w:themeColor="accent1"/>
          <w:sz w:val="26"/>
          <w:szCs w:val="26"/>
        </w:rPr>
      </w:pPr>
      <w:r>
        <w:t>The Review recognises the steps that the RBA has taken over time to deepen its discussion of alternate policy choices</w:t>
      </w:r>
      <w:r w:rsidR="0068598E">
        <w:rPr>
          <w:spacing w:val="-19"/>
        </w:rPr>
        <w:t>.</w:t>
      </w:r>
      <w:r>
        <w:t xml:space="preserve"> Relative to the late 2010s, the section of Reserve Bank Board papers</w:t>
      </w:r>
      <w:r>
        <w:rPr>
          <w:spacing w:val="80"/>
        </w:rPr>
        <w:t xml:space="preserve"> </w:t>
      </w:r>
      <w:r>
        <w:t xml:space="preserve">on monetary policy considerations now tends to be longer and contain more discussion of </w:t>
      </w:r>
      <w:r>
        <w:lastRenderedPageBreak/>
        <w:t>counterarguments</w:t>
      </w:r>
      <w:r w:rsidR="0068598E">
        <w:rPr>
          <w:spacing w:val="-24"/>
        </w:rPr>
        <w:t>.</w:t>
      </w:r>
      <w:r>
        <w:rPr>
          <w:w w:val="85"/>
        </w:rPr>
        <w:t xml:space="preserve"> </w:t>
      </w:r>
      <w:r>
        <w:t>In some circumstances, no recommendation has been put forward, with the</w:t>
      </w:r>
      <w:r w:rsidR="00A969F9">
        <w:t xml:space="preserve"> </w:t>
      </w:r>
      <w:r>
        <w:rPr>
          <w:color w:val="231F20"/>
        </w:rPr>
        <w:t>Reserve</w:t>
      </w:r>
      <w:r>
        <w:rPr>
          <w:color w:val="231F20"/>
          <w:spacing w:val="-6"/>
        </w:rPr>
        <w:t xml:space="preserve"> </w:t>
      </w:r>
      <w:r>
        <w:rPr>
          <w:color w:val="231F20"/>
        </w:rPr>
        <w:t>Bank</w:t>
      </w:r>
      <w:r>
        <w:rPr>
          <w:color w:val="231F20"/>
          <w:spacing w:val="-6"/>
        </w:rPr>
        <w:t xml:space="preserve"> </w:t>
      </w:r>
      <w:r>
        <w:rPr>
          <w:color w:val="231F20"/>
        </w:rPr>
        <w:t>Board</w:t>
      </w:r>
      <w:r>
        <w:rPr>
          <w:color w:val="231F20"/>
          <w:spacing w:val="-6"/>
        </w:rPr>
        <w:t xml:space="preserve"> </w:t>
      </w:r>
      <w:r>
        <w:rPr>
          <w:color w:val="231F20"/>
        </w:rPr>
        <w:t>instead</w:t>
      </w:r>
      <w:r>
        <w:rPr>
          <w:color w:val="231F20"/>
          <w:spacing w:val="-6"/>
        </w:rPr>
        <w:t xml:space="preserve"> </w:t>
      </w:r>
      <w:r>
        <w:rPr>
          <w:color w:val="231F20"/>
        </w:rPr>
        <w:t>presented</w:t>
      </w:r>
      <w:r>
        <w:rPr>
          <w:color w:val="231F20"/>
          <w:spacing w:val="-6"/>
        </w:rPr>
        <w:t xml:space="preserve"> </w:t>
      </w:r>
      <w:r>
        <w:rPr>
          <w:color w:val="231F20"/>
        </w:rPr>
        <w:t>with</w:t>
      </w:r>
      <w:r>
        <w:rPr>
          <w:color w:val="231F20"/>
          <w:spacing w:val="-6"/>
        </w:rPr>
        <w:t xml:space="preserve"> </w:t>
      </w:r>
      <w:r>
        <w:rPr>
          <w:color w:val="231F20"/>
        </w:rPr>
        <w:t>options</w:t>
      </w:r>
      <w:r>
        <w:rPr>
          <w:color w:val="231F20"/>
          <w:spacing w:val="-6"/>
        </w:rPr>
        <w:t xml:space="preserve"> </w:t>
      </w:r>
      <w:r>
        <w:rPr>
          <w:color w:val="231F20"/>
        </w:rPr>
        <w:t>(for</w:t>
      </w:r>
      <w:r>
        <w:rPr>
          <w:color w:val="231F20"/>
          <w:spacing w:val="-6"/>
        </w:rPr>
        <w:t xml:space="preserve"> </w:t>
      </w:r>
      <w:r>
        <w:rPr>
          <w:color w:val="231F20"/>
        </w:rPr>
        <w:t>example</w:t>
      </w:r>
      <w:r>
        <w:rPr>
          <w:color w:val="231F20"/>
          <w:spacing w:val="-6"/>
        </w:rPr>
        <w:t xml:space="preserve"> </w:t>
      </w:r>
      <w:r>
        <w:rPr>
          <w:color w:val="231F20"/>
        </w:rPr>
        <w:t>in</w:t>
      </w:r>
      <w:r>
        <w:rPr>
          <w:color w:val="231F20"/>
          <w:spacing w:val="-6"/>
        </w:rPr>
        <w:t xml:space="preserve"> </w:t>
      </w:r>
      <w:r>
        <w:rPr>
          <w:color w:val="231F20"/>
        </w:rPr>
        <w:t>May</w:t>
      </w:r>
      <w:r>
        <w:rPr>
          <w:color w:val="231F20"/>
          <w:spacing w:val="-6"/>
        </w:rPr>
        <w:t xml:space="preserve"> </w:t>
      </w:r>
      <w:r>
        <w:rPr>
          <w:color w:val="231F20"/>
        </w:rPr>
        <w:t>2022)</w:t>
      </w:r>
      <w:r w:rsidR="0068598E">
        <w:rPr>
          <w:color w:val="231F20"/>
          <w:spacing w:val="-25"/>
        </w:rPr>
        <w:t>.</w:t>
      </w:r>
      <w:r>
        <w:rPr>
          <w:color w:val="231F20"/>
          <w:w w:val="85"/>
        </w:rPr>
        <w:t xml:space="preserve"> </w:t>
      </w:r>
      <w:r>
        <w:rPr>
          <w:color w:val="231F20"/>
        </w:rPr>
        <w:t>The</w:t>
      </w:r>
      <w:r>
        <w:rPr>
          <w:color w:val="231F20"/>
          <w:spacing w:val="-6"/>
        </w:rPr>
        <w:t xml:space="preserve"> </w:t>
      </w:r>
      <w:r>
        <w:rPr>
          <w:color w:val="231F20"/>
        </w:rPr>
        <w:t>Review</w:t>
      </w:r>
      <w:r>
        <w:rPr>
          <w:color w:val="231F20"/>
          <w:spacing w:val="-6"/>
        </w:rPr>
        <w:t xml:space="preserve"> </w:t>
      </w:r>
      <w:r>
        <w:rPr>
          <w:color w:val="231F20"/>
        </w:rPr>
        <w:t>supports the Reserve Bank Board considering and communicating the effects of different policy choices in a systematic way, but RBA executives should always have a view and be prepared to argue it</w:t>
      </w:r>
      <w:r w:rsidR="0068598E">
        <w:rPr>
          <w:color w:val="231F20"/>
          <w:spacing w:val="-19"/>
        </w:rPr>
        <w:t>.</w:t>
      </w:r>
    </w:p>
    <w:p w14:paraId="50AC9E61" w14:textId="2AA03A01" w:rsidR="00AC7EFC" w:rsidRDefault="00AC7EFC" w:rsidP="00AC7EFC">
      <w:r>
        <w:t>The Review recommends setting clear expectations for what information should be presented to decision makers when making choices about additional monetary policies. This reflects lessons from</w:t>
      </w:r>
      <w:r>
        <w:rPr>
          <w:spacing w:val="-2"/>
        </w:rPr>
        <w:t xml:space="preserve"> </w:t>
      </w:r>
      <w:r>
        <w:t>decision-making</w:t>
      </w:r>
      <w:r>
        <w:rPr>
          <w:spacing w:val="-2"/>
        </w:rPr>
        <w:t xml:space="preserve"> </w:t>
      </w:r>
      <w:r>
        <w:t>processes</w:t>
      </w:r>
      <w:r>
        <w:rPr>
          <w:spacing w:val="-2"/>
        </w:rPr>
        <w:t xml:space="preserve"> </w:t>
      </w:r>
      <w:r>
        <w:t>during</w:t>
      </w:r>
      <w:r>
        <w:rPr>
          <w:spacing w:val="-2"/>
        </w:rPr>
        <w:t xml:space="preserve"> </w:t>
      </w:r>
      <w:r>
        <w:t>the</w:t>
      </w:r>
      <w:r>
        <w:rPr>
          <w:spacing w:val="-2"/>
        </w:rPr>
        <w:t xml:space="preserve"> </w:t>
      </w:r>
      <w:r>
        <w:t>COVID-19</w:t>
      </w:r>
      <w:r>
        <w:rPr>
          <w:spacing w:val="-2"/>
        </w:rPr>
        <w:t xml:space="preserve"> </w:t>
      </w:r>
      <w:r>
        <w:t>pandemic</w:t>
      </w:r>
      <w:r>
        <w:rPr>
          <w:spacing w:val="-2"/>
        </w:rPr>
        <w:t xml:space="preserve"> </w:t>
      </w:r>
      <w:r>
        <w:t>(see</w:t>
      </w:r>
      <w:r>
        <w:rPr>
          <w:spacing w:val="-2"/>
        </w:rPr>
        <w:t xml:space="preserve"> </w:t>
      </w:r>
      <w:r>
        <w:t>Chapter</w:t>
      </w:r>
      <w:r>
        <w:rPr>
          <w:spacing w:val="-2"/>
        </w:rPr>
        <w:t xml:space="preserve"> </w:t>
      </w:r>
      <w:r>
        <w:t>1).</w:t>
      </w:r>
      <w:r>
        <w:rPr>
          <w:spacing w:val="-2"/>
        </w:rPr>
        <w:t xml:space="preserve"> </w:t>
      </w:r>
      <w:r>
        <w:t>For</w:t>
      </w:r>
      <w:r>
        <w:rPr>
          <w:spacing w:val="-2"/>
        </w:rPr>
        <w:t xml:space="preserve"> </w:t>
      </w:r>
      <w:r>
        <w:t>example,</w:t>
      </w:r>
      <w:r>
        <w:rPr>
          <w:spacing w:val="-2"/>
        </w:rPr>
        <w:t xml:space="preserve"> </w:t>
      </w:r>
      <w:r>
        <w:t>the large fiscal implications, both positive and negative, of additional monetary policies emphasise</w:t>
      </w:r>
      <w:r>
        <w:rPr>
          <w:spacing w:val="40"/>
        </w:rPr>
        <w:t xml:space="preserve"> </w:t>
      </w:r>
      <w:r>
        <w:t>that detailed Board consideration is warranted. For clarity and transparency, expectations about what</w:t>
      </w:r>
      <w:r>
        <w:rPr>
          <w:spacing w:val="-4"/>
        </w:rPr>
        <w:t xml:space="preserve"> </w:t>
      </w:r>
      <w:r>
        <w:t>information</w:t>
      </w:r>
      <w:r>
        <w:rPr>
          <w:spacing w:val="-4"/>
        </w:rPr>
        <w:t xml:space="preserve"> </w:t>
      </w:r>
      <w:r>
        <w:t>is</w:t>
      </w:r>
      <w:r>
        <w:rPr>
          <w:spacing w:val="-4"/>
        </w:rPr>
        <w:t xml:space="preserve"> </w:t>
      </w:r>
      <w:r>
        <w:t>provided</w:t>
      </w:r>
      <w:r>
        <w:rPr>
          <w:spacing w:val="-4"/>
        </w:rPr>
        <w:t xml:space="preserve"> </w:t>
      </w:r>
      <w:r>
        <w:t>by</w:t>
      </w:r>
      <w:r>
        <w:rPr>
          <w:spacing w:val="-4"/>
        </w:rPr>
        <w:t xml:space="preserve"> </w:t>
      </w:r>
      <w:r>
        <w:t>the</w:t>
      </w:r>
      <w:r>
        <w:rPr>
          <w:spacing w:val="-4"/>
        </w:rPr>
        <w:t xml:space="preserve"> </w:t>
      </w:r>
      <w:r>
        <w:t>RBA</w:t>
      </w:r>
      <w:r>
        <w:rPr>
          <w:spacing w:val="-4"/>
        </w:rPr>
        <w:t xml:space="preserve"> </w:t>
      </w:r>
      <w:r>
        <w:t>executive</w:t>
      </w:r>
      <w:r>
        <w:rPr>
          <w:spacing w:val="-4"/>
        </w:rPr>
        <w:t xml:space="preserve"> </w:t>
      </w:r>
      <w:r>
        <w:t>to</w:t>
      </w:r>
      <w:r>
        <w:rPr>
          <w:spacing w:val="-4"/>
        </w:rPr>
        <w:t xml:space="preserve"> </w:t>
      </w:r>
      <w:r>
        <w:t>the</w:t>
      </w:r>
      <w:r>
        <w:rPr>
          <w:spacing w:val="-4"/>
        </w:rPr>
        <w:t xml:space="preserve"> </w:t>
      </w:r>
      <w:r>
        <w:t>Monetary</w:t>
      </w:r>
      <w:r>
        <w:rPr>
          <w:spacing w:val="-4"/>
        </w:rPr>
        <w:t xml:space="preserve"> </w:t>
      </w:r>
      <w:r>
        <w:t>Policy</w:t>
      </w:r>
      <w:r>
        <w:rPr>
          <w:spacing w:val="-4"/>
        </w:rPr>
        <w:t xml:space="preserve"> </w:t>
      </w:r>
      <w:r>
        <w:t>Board</w:t>
      </w:r>
      <w:r>
        <w:rPr>
          <w:spacing w:val="-4"/>
        </w:rPr>
        <w:t xml:space="preserve"> </w:t>
      </w:r>
      <w:r>
        <w:t>when</w:t>
      </w:r>
      <w:r>
        <w:rPr>
          <w:spacing w:val="-4"/>
        </w:rPr>
        <w:t xml:space="preserve"> </w:t>
      </w:r>
      <w:r>
        <w:t>considering additional</w:t>
      </w:r>
      <w:r>
        <w:rPr>
          <w:spacing w:val="-5"/>
        </w:rPr>
        <w:t xml:space="preserve"> </w:t>
      </w:r>
      <w:r>
        <w:t>monetary</w:t>
      </w:r>
      <w:r>
        <w:rPr>
          <w:spacing w:val="-5"/>
        </w:rPr>
        <w:t xml:space="preserve"> </w:t>
      </w:r>
      <w:r>
        <w:t>policy</w:t>
      </w:r>
      <w:r>
        <w:rPr>
          <w:spacing w:val="-4"/>
        </w:rPr>
        <w:t xml:space="preserve"> </w:t>
      </w:r>
      <w:r>
        <w:t>tools</w:t>
      </w:r>
      <w:r>
        <w:rPr>
          <w:spacing w:val="-5"/>
        </w:rPr>
        <w:t xml:space="preserve"> </w:t>
      </w:r>
      <w:r>
        <w:t>should</w:t>
      </w:r>
      <w:r>
        <w:rPr>
          <w:spacing w:val="-4"/>
        </w:rPr>
        <w:t xml:space="preserve"> </w:t>
      </w:r>
      <w:r>
        <w:t>be</w:t>
      </w:r>
      <w:r>
        <w:rPr>
          <w:spacing w:val="-5"/>
        </w:rPr>
        <w:t xml:space="preserve"> </w:t>
      </w:r>
      <w:r>
        <w:t>set</w:t>
      </w:r>
      <w:r>
        <w:rPr>
          <w:spacing w:val="-4"/>
        </w:rPr>
        <w:t xml:space="preserve"> </w:t>
      </w:r>
      <w:r>
        <w:t>out</w:t>
      </w:r>
      <w:r>
        <w:rPr>
          <w:spacing w:val="-5"/>
        </w:rPr>
        <w:t xml:space="preserve"> </w:t>
      </w:r>
      <w:r>
        <w:t>and</w:t>
      </w:r>
      <w:r>
        <w:rPr>
          <w:spacing w:val="-4"/>
        </w:rPr>
        <w:t xml:space="preserve"> </w:t>
      </w:r>
      <w:r>
        <w:t>published</w:t>
      </w:r>
      <w:r>
        <w:rPr>
          <w:spacing w:val="-5"/>
        </w:rPr>
        <w:t xml:space="preserve"> </w:t>
      </w:r>
      <w:r>
        <w:t>in</w:t>
      </w:r>
      <w:r>
        <w:rPr>
          <w:spacing w:val="-4"/>
        </w:rPr>
        <w:t xml:space="preserve"> </w:t>
      </w:r>
      <w:r>
        <w:t>a</w:t>
      </w:r>
      <w:r>
        <w:rPr>
          <w:spacing w:val="-5"/>
        </w:rPr>
        <w:t xml:space="preserve"> </w:t>
      </w:r>
      <w:r>
        <w:t>board</w:t>
      </w:r>
      <w:r>
        <w:rPr>
          <w:spacing w:val="-4"/>
        </w:rPr>
        <w:t xml:space="preserve"> </w:t>
      </w:r>
      <w:r>
        <w:t>charter</w:t>
      </w:r>
      <w:r>
        <w:rPr>
          <w:spacing w:val="-5"/>
        </w:rPr>
        <w:t xml:space="preserve"> </w:t>
      </w:r>
      <w:r>
        <w:t>(see</w:t>
      </w:r>
      <w:r>
        <w:rPr>
          <w:spacing w:val="-4"/>
        </w:rPr>
        <w:t xml:space="preserve"> </w:t>
      </w:r>
      <w:r>
        <w:t>Chapter</w:t>
      </w:r>
      <w:r>
        <w:rPr>
          <w:spacing w:val="-4"/>
        </w:rPr>
        <w:t xml:space="preserve"> </w:t>
      </w:r>
      <w:r>
        <w:t>5)</w:t>
      </w:r>
      <w:r w:rsidR="0068598E">
        <w:rPr>
          <w:spacing w:val="-25"/>
        </w:rPr>
        <w:t>.</w:t>
      </w:r>
    </w:p>
    <w:p w14:paraId="0944C436" w14:textId="77777777" w:rsidR="00AC7EFC" w:rsidRDefault="00AC7EFC" w:rsidP="00AC7EFC">
      <w:r>
        <w:t>The</w:t>
      </w:r>
      <w:r>
        <w:rPr>
          <w:spacing w:val="1"/>
        </w:rPr>
        <w:t xml:space="preserve"> </w:t>
      </w:r>
      <w:r>
        <w:t>RBA</w:t>
      </w:r>
      <w:r>
        <w:rPr>
          <w:spacing w:val="4"/>
        </w:rPr>
        <w:t xml:space="preserve"> </w:t>
      </w:r>
      <w:r>
        <w:t>executive</w:t>
      </w:r>
      <w:r>
        <w:rPr>
          <w:spacing w:val="3"/>
        </w:rPr>
        <w:t xml:space="preserve"> </w:t>
      </w:r>
      <w:r>
        <w:t>and</w:t>
      </w:r>
      <w:r>
        <w:rPr>
          <w:spacing w:val="4"/>
        </w:rPr>
        <w:t xml:space="preserve"> </w:t>
      </w:r>
      <w:r>
        <w:t>staff</w:t>
      </w:r>
      <w:r>
        <w:rPr>
          <w:spacing w:val="3"/>
        </w:rPr>
        <w:t xml:space="preserve"> </w:t>
      </w:r>
      <w:r>
        <w:t>members</w:t>
      </w:r>
      <w:r>
        <w:rPr>
          <w:spacing w:val="4"/>
        </w:rPr>
        <w:t xml:space="preserve"> </w:t>
      </w:r>
      <w:r>
        <w:t>should</w:t>
      </w:r>
      <w:r>
        <w:rPr>
          <w:spacing w:val="4"/>
        </w:rPr>
        <w:t xml:space="preserve"> </w:t>
      </w:r>
      <w:r>
        <w:t>provide</w:t>
      </w:r>
      <w:r>
        <w:rPr>
          <w:spacing w:val="3"/>
        </w:rPr>
        <w:t xml:space="preserve"> </w:t>
      </w:r>
      <w:r>
        <w:t>the</w:t>
      </w:r>
      <w:r>
        <w:rPr>
          <w:spacing w:val="4"/>
        </w:rPr>
        <w:t xml:space="preserve"> </w:t>
      </w:r>
      <w:r>
        <w:t>Monetary</w:t>
      </w:r>
      <w:r>
        <w:rPr>
          <w:spacing w:val="3"/>
        </w:rPr>
        <w:t xml:space="preserve"> </w:t>
      </w:r>
      <w:r>
        <w:t>Policy</w:t>
      </w:r>
      <w:r>
        <w:rPr>
          <w:spacing w:val="4"/>
        </w:rPr>
        <w:t xml:space="preserve"> </w:t>
      </w:r>
      <w:r>
        <w:t>Board</w:t>
      </w:r>
      <w:r>
        <w:rPr>
          <w:spacing w:val="4"/>
        </w:rPr>
        <w:t xml:space="preserve"> </w:t>
      </w:r>
      <w:r>
        <w:rPr>
          <w:spacing w:val="-2"/>
        </w:rPr>
        <w:t>with:</w:t>
      </w:r>
    </w:p>
    <w:p w14:paraId="4F554EAF" w14:textId="0B67FD91" w:rsidR="00AC7EFC" w:rsidRDefault="00AC7EFC" w:rsidP="0000278A">
      <w:pPr>
        <w:pStyle w:val="Bullet"/>
      </w:pPr>
      <w:r>
        <w:t>explicit</w:t>
      </w:r>
      <w:r w:rsidRPr="00AC7EFC">
        <w:rPr>
          <w:spacing w:val="3"/>
        </w:rPr>
        <w:t xml:space="preserve"> </w:t>
      </w:r>
      <w:r>
        <w:t>analysis</w:t>
      </w:r>
      <w:r w:rsidRPr="00AC7EFC">
        <w:rPr>
          <w:spacing w:val="4"/>
        </w:rPr>
        <w:t xml:space="preserve"> </w:t>
      </w:r>
      <w:r>
        <w:t>of</w:t>
      </w:r>
      <w:r w:rsidRPr="00AC7EFC">
        <w:rPr>
          <w:spacing w:val="4"/>
        </w:rPr>
        <w:t xml:space="preserve"> </w:t>
      </w:r>
      <w:r>
        <w:t>expected</w:t>
      </w:r>
      <w:r w:rsidRPr="00AC7EFC">
        <w:rPr>
          <w:spacing w:val="4"/>
        </w:rPr>
        <w:t xml:space="preserve"> </w:t>
      </w:r>
      <w:r>
        <w:t>costs</w:t>
      </w:r>
      <w:r w:rsidRPr="00AC7EFC">
        <w:rPr>
          <w:spacing w:val="3"/>
        </w:rPr>
        <w:t xml:space="preserve"> </w:t>
      </w:r>
      <w:r>
        <w:t>and</w:t>
      </w:r>
      <w:r w:rsidRPr="00AC7EFC">
        <w:rPr>
          <w:spacing w:val="4"/>
        </w:rPr>
        <w:t xml:space="preserve"> </w:t>
      </w:r>
      <w:r>
        <w:t>benefits,</w:t>
      </w:r>
      <w:r w:rsidRPr="00AC7EFC">
        <w:rPr>
          <w:spacing w:val="4"/>
        </w:rPr>
        <w:t xml:space="preserve"> </w:t>
      </w:r>
      <w:r>
        <w:t>including</w:t>
      </w:r>
      <w:r w:rsidRPr="00AC7EFC">
        <w:rPr>
          <w:spacing w:val="4"/>
        </w:rPr>
        <w:t xml:space="preserve"> </w:t>
      </w:r>
      <w:r>
        <w:t>details</w:t>
      </w:r>
      <w:r w:rsidRPr="00AC7EFC">
        <w:rPr>
          <w:spacing w:val="3"/>
        </w:rPr>
        <w:t xml:space="preserve"> </w:t>
      </w:r>
      <w:r>
        <w:t>of</w:t>
      </w:r>
      <w:r w:rsidRPr="00AC7EFC">
        <w:rPr>
          <w:spacing w:val="4"/>
        </w:rPr>
        <w:t xml:space="preserve"> </w:t>
      </w:r>
      <w:r>
        <w:t>the</w:t>
      </w:r>
      <w:r w:rsidRPr="00AC7EFC">
        <w:rPr>
          <w:spacing w:val="4"/>
        </w:rPr>
        <w:t xml:space="preserve"> </w:t>
      </w:r>
      <w:r>
        <w:t>expected</w:t>
      </w:r>
      <w:r w:rsidRPr="00AC7EFC">
        <w:rPr>
          <w:spacing w:val="4"/>
        </w:rPr>
        <w:t xml:space="preserve"> </w:t>
      </w:r>
      <w:r w:rsidRPr="00AC7EFC">
        <w:rPr>
          <w:spacing w:val="-2"/>
        </w:rPr>
        <w:t>economic</w:t>
      </w:r>
      <w:r>
        <w:rPr>
          <w:spacing w:val="-2"/>
        </w:rPr>
        <w:t xml:space="preserve"> </w:t>
      </w:r>
      <w:r>
        <w:t>impact</w:t>
      </w:r>
      <w:r w:rsidRPr="00AC7EFC">
        <w:rPr>
          <w:spacing w:val="1"/>
        </w:rPr>
        <w:t xml:space="preserve"> </w:t>
      </w:r>
      <w:r>
        <w:t>of</w:t>
      </w:r>
      <w:r w:rsidRPr="00AC7EFC">
        <w:rPr>
          <w:spacing w:val="2"/>
        </w:rPr>
        <w:t xml:space="preserve"> </w:t>
      </w:r>
      <w:r>
        <w:t>the</w:t>
      </w:r>
      <w:r w:rsidRPr="00AC7EFC">
        <w:rPr>
          <w:spacing w:val="2"/>
        </w:rPr>
        <w:t xml:space="preserve"> </w:t>
      </w:r>
      <w:r w:rsidRPr="00AC7EFC">
        <w:rPr>
          <w:spacing w:val="-2"/>
        </w:rPr>
        <w:t>policy</w:t>
      </w:r>
    </w:p>
    <w:p w14:paraId="16B86BD0" w14:textId="77777777" w:rsidR="00AC7EFC" w:rsidRDefault="00AC7EFC" w:rsidP="0000278A">
      <w:pPr>
        <w:pStyle w:val="Bullet"/>
      </w:pPr>
      <w:r>
        <w:t>quantitative analysis of risks, including implications for the public sector balance sheet as a whole</w:t>
      </w:r>
    </w:p>
    <w:p w14:paraId="3C0CD50B" w14:textId="77777777" w:rsidR="00AC7EFC" w:rsidRDefault="00AC7EFC" w:rsidP="0000278A">
      <w:pPr>
        <w:pStyle w:val="Bullet"/>
      </w:pPr>
      <w:r>
        <w:t>detail and options that enable decision</w:t>
      </w:r>
      <w:r>
        <w:rPr>
          <w:spacing w:val="1"/>
        </w:rPr>
        <w:t xml:space="preserve"> </w:t>
      </w:r>
      <w:r>
        <w:t>makers to assess the design of</w:t>
      </w:r>
      <w:r>
        <w:rPr>
          <w:spacing w:val="1"/>
        </w:rPr>
        <w:t xml:space="preserve"> </w:t>
      </w:r>
      <w:r>
        <w:rPr>
          <w:spacing w:val="-2"/>
        </w:rPr>
        <w:t>policies</w:t>
      </w:r>
    </w:p>
    <w:p w14:paraId="5355CF9A" w14:textId="6073BFDA" w:rsidR="00AC7EFC" w:rsidRDefault="00AC7EFC" w:rsidP="0000278A">
      <w:pPr>
        <w:pStyle w:val="Bullet"/>
      </w:pPr>
      <w:r>
        <w:t>exit</w:t>
      </w:r>
      <w:r>
        <w:rPr>
          <w:spacing w:val="10"/>
        </w:rPr>
        <w:t xml:space="preserve"> </w:t>
      </w:r>
      <w:r>
        <w:t>strategies</w:t>
      </w:r>
      <w:r w:rsidR="0068598E">
        <w:rPr>
          <w:spacing w:val="-19"/>
        </w:rPr>
        <w:t>.</w:t>
      </w:r>
    </w:p>
    <w:p w14:paraId="1E0A2129" w14:textId="6F896CCA" w:rsidR="00AC7EFC" w:rsidRDefault="00AC7EFC" w:rsidP="00AC7EFC">
      <w:r>
        <w:t>Decision makers should continue to receive and request sufficient information to assess the operation of additional monetary policies over time and consider their effectiveness against the balance of risks</w:t>
      </w:r>
      <w:r w:rsidR="0068598E">
        <w:rPr>
          <w:spacing w:val="-11"/>
        </w:rPr>
        <w:t>.</w:t>
      </w:r>
    </w:p>
    <w:p w14:paraId="05A6F00C" w14:textId="48A57AE3" w:rsidR="00AC7EFC" w:rsidRDefault="00AC7EFC" w:rsidP="00AC7EFC">
      <w:r>
        <w:t>The Review acknowledges that quantitative analysis of costs, benefits and risks can be difficult, especially in periods of extreme uncertainty. Estimates will be imprecise. However, like any forecast, such estimates can still help to encourage deliberations and inform policy strategies, including circumstances that might force a rethink</w:t>
      </w:r>
      <w:r w:rsidR="0068598E">
        <w:rPr>
          <w:spacing w:val="-18"/>
        </w:rPr>
        <w:t>.</w:t>
      </w:r>
      <w:r>
        <w:rPr>
          <w:w w:val="85"/>
        </w:rPr>
        <w:t xml:space="preserve"> </w:t>
      </w:r>
      <w:r>
        <w:t>Setting expectations also encourages people inside and outside the RBA to develop better methods and models to do such analysis</w:t>
      </w:r>
      <w:r w:rsidR="0068598E">
        <w:rPr>
          <w:spacing w:val="-18"/>
        </w:rPr>
        <w:t>.</w:t>
      </w:r>
    </w:p>
    <w:p w14:paraId="5C3112C8" w14:textId="5D87F273" w:rsidR="00D33629" w:rsidRDefault="00D33629">
      <w:pPr>
        <w:spacing w:before="0" w:after="160" w:line="259" w:lineRule="auto"/>
      </w:pPr>
      <w:r>
        <w:br w:type="page"/>
      </w:r>
    </w:p>
    <w:p w14:paraId="2EDD222D" w14:textId="769A3F45" w:rsidR="005B58A4" w:rsidRDefault="005B58A4" w:rsidP="005B58A4">
      <w:pPr>
        <w:pStyle w:val="Heading2"/>
        <w:rPr>
          <w:b/>
          <w:color w:val="204060" w:themeColor="accent1"/>
          <w:sz w:val="26"/>
          <w:szCs w:val="26"/>
        </w:rPr>
      </w:pPr>
      <w:bookmarkStart w:id="49" w:name="_Toc134221019"/>
      <w:r>
        <w:lastRenderedPageBreak/>
        <w:t>Recommendation</w:t>
      </w:r>
      <w:r>
        <w:rPr>
          <w:spacing w:val="-7"/>
        </w:rPr>
        <w:t xml:space="preserve"> </w:t>
      </w:r>
      <w:r>
        <w:t>10:</w:t>
      </w:r>
      <w:r>
        <w:rPr>
          <w:spacing w:val="-7"/>
        </w:rPr>
        <w:t xml:space="preserve"> </w:t>
      </w:r>
      <w:r>
        <w:t>Strengthen</w:t>
      </w:r>
      <w:r>
        <w:rPr>
          <w:spacing w:val="-7"/>
        </w:rPr>
        <w:t xml:space="preserve"> </w:t>
      </w:r>
      <w:r>
        <w:t>monetary</w:t>
      </w:r>
      <w:r>
        <w:rPr>
          <w:spacing w:val="-7"/>
        </w:rPr>
        <w:t xml:space="preserve"> </w:t>
      </w:r>
      <w:r>
        <w:t>policy transparency and accountability</w:t>
      </w:r>
      <w:bookmarkEnd w:id="49"/>
    </w:p>
    <w:tbl>
      <w:tblPr>
        <w:tblW w:w="5000" w:type="pct"/>
        <w:tblCellMar>
          <w:left w:w="0" w:type="dxa"/>
          <w:right w:w="0" w:type="dxa"/>
        </w:tblCellMar>
        <w:tblLook w:val="01E0" w:firstRow="1" w:lastRow="1" w:firstColumn="1" w:lastColumn="1" w:noHBand="0" w:noVBand="0"/>
      </w:tblPr>
      <w:tblGrid>
        <w:gridCol w:w="847"/>
        <w:gridCol w:w="8223"/>
      </w:tblGrid>
      <w:tr w:rsidR="00D110E7" w:rsidRPr="007D532F" w14:paraId="6F163F9F" w14:textId="77777777" w:rsidTr="00F22AE5">
        <w:trPr>
          <w:trHeight w:val="409"/>
        </w:trPr>
        <w:tc>
          <w:tcPr>
            <w:tcW w:w="5000" w:type="pct"/>
            <w:gridSpan w:val="2"/>
            <w:tcBorders>
              <w:bottom w:val="single" w:sz="8" w:space="0" w:color="ECEDE9"/>
            </w:tcBorders>
          </w:tcPr>
          <w:p w14:paraId="6575B10D" w14:textId="77777777" w:rsidR="00D110E7" w:rsidRPr="007D532F" w:rsidRDefault="00D110E7" w:rsidP="00F22AE5">
            <w:pPr>
              <w:pStyle w:val="Heading4"/>
            </w:pPr>
            <w:r w:rsidRPr="007D532F">
              <w:t>Recommendation</w:t>
            </w:r>
            <w:r w:rsidRPr="007D532F">
              <w:rPr>
                <w:spacing w:val="2"/>
              </w:rPr>
              <w:t xml:space="preserve"> </w:t>
            </w:r>
            <w:r w:rsidRPr="007D532F">
              <w:t>10:</w:t>
            </w:r>
            <w:r w:rsidRPr="007D532F">
              <w:rPr>
                <w:spacing w:val="4"/>
              </w:rPr>
              <w:t xml:space="preserve"> </w:t>
            </w:r>
            <w:r w:rsidRPr="007D532F">
              <w:t>Strengthen</w:t>
            </w:r>
            <w:r w:rsidRPr="007D532F">
              <w:rPr>
                <w:spacing w:val="4"/>
              </w:rPr>
              <w:t xml:space="preserve"> </w:t>
            </w:r>
            <w:r w:rsidRPr="007D532F">
              <w:t>monetary</w:t>
            </w:r>
            <w:r w:rsidRPr="007D532F">
              <w:rPr>
                <w:spacing w:val="4"/>
              </w:rPr>
              <w:t xml:space="preserve"> </w:t>
            </w:r>
            <w:r w:rsidRPr="007D532F">
              <w:t>policy</w:t>
            </w:r>
            <w:r w:rsidRPr="007D532F">
              <w:rPr>
                <w:spacing w:val="4"/>
              </w:rPr>
              <w:t xml:space="preserve"> </w:t>
            </w:r>
            <w:r w:rsidRPr="007D532F">
              <w:t>transparency</w:t>
            </w:r>
            <w:r w:rsidRPr="007D532F">
              <w:rPr>
                <w:spacing w:val="4"/>
              </w:rPr>
              <w:t xml:space="preserve"> </w:t>
            </w:r>
            <w:r w:rsidRPr="007D532F">
              <w:t>and</w:t>
            </w:r>
            <w:r w:rsidRPr="007D532F">
              <w:rPr>
                <w:spacing w:val="4"/>
              </w:rPr>
              <w:t xml:space="preserve"> </w:t>
            </w:r>
            <w:r w:rsidRPr="007D532F">
              <w:rPr>
                <w:spacing w:val="-2"/>
              </w:rPr>
              <w:t>accountability</w:t>
            </w:r>
          </w:p>
        </w:tc>
      </w:tr>
      <w:tr w:rsidR="00D110E7" w:rsidRPr="007D532F" w14:paraId="3360507E" w14:textId="77777777" w:rsidTr="00F22AE5">
        <w:trPr>
          <w:trHeight w:val="801"/>
        </w:trPr>
        <w:tc>
          <w:tcPr>
            <w:tcW w:w="467" w:type="pct"/>
            <w:tcBorders>
              <w:top w:val="single" w:sz="8" w:space="0" w:color="ECEDE9"/>
              <w:bottom w:val="single" w:sz="8" w:space="0" w:color="ECEDE9"/>
            </w:tcBorders>
          </w:tcPr>
          <w:p w14:paraId="4393B949" w14:textId="77777777" w:rsidR="00D110E7" w:rsidRPr="007D532F" w:rsidRDefault="00D110E7" w:rsidP="00F22AE5">
            <w:r w:rsidRPr="007D532F">
              <w:t>10.1</w:t>
            </w:r>
          </w:p>
        </w:tc>
        <w:tc>
          <w:tcPr>
            <w:tcW w:w="4533" w:type="pct"/>
            <w:tcBorders>
              <w:top w:val="single" w:sz="8" w:space="0" w:color="ECEDE9"/>
              <w:bottom w:val="single" w:sz="8" w:space="0" w:color="ECEDE9"/>
            </w:tcBorders>
          </w:tcPr>
          <w:p w14:paraId="15380F8C" w14:textId="77777777" w:rsidR="00D110E7" w:rsidRPr="007D532F" w:rsidRDefault="00D110E7" w:rsidP="00F22AE5">
            <w:r w:rsidRPr="007D532F">
              <w:t>The</w:t>
            </w:r>
            <w:r w:rsidRPr="007D532F">
              <w:rPr>
                <w:spacing w:val="-1"/>
              </w:rPr>
              <w:t xml:space="preserve"> </w:t>
            </w:r>
            <w:r w:rsidRPr="007D532F">
              <w:t>Governor</w:t>
            </w:r>
            <w:r w:rsidRPr="007D532F">
              <w:rPr>
                <w:spacing w:val="1"/>
              </w:rPr>
              <w:t xml:space="preserve"> </w:t>
            </w:r>
            <w:r w:rsidRPr="007D532F">
              <w:t>should</w:t>
            </w:r>
            <w:r w:rsidRPr="007D532F">
              <w:rPr>
                <w:spacing w:val="1"/>
              </w:rPr>
              <w:t xml:space="preserve"> </w:t>
            </w:r>
            <w:r w:rsidRPr="007D532F">
              <w:t>hold</w:t>
            </w:r>
            <w:r w:rsidRPr="007D532F">
              <w:rPr>
                <w:spacing w:val="1"/>
              </w:rPr>
              <w:t xml:space="preserve"> </w:t>
            </w:r>
            <w:r w:rsidRPr="007D532F">
              <w:t>a</w:t>
            </w:r>
            <w:r w:rsidRPr="007D532F">
              <w:rPr>
                <w:spacing w:val="1"/>
              </w:rPr>
              <w:t xml:space="preserve"> </w:t>
            </w:r>
            <w:r w:rsidRPr="007D532F">
              <w:t>press</w:t>
            </w:r>
            <w:r w:rsidRPr="007D532F">
              <w:rPr>
                <w:spacing w:val="1"/>
              </w:rPr>
              <w:t xml:space="preserve"> </w:t>
            </w:r>
            <w:r w:rsidRPr="007D532F">
              <w:t>conference</w:t>
            </w:r>
            <w:r w:rsidRPr="007D532F">
              <w:rPr>
                <w:spacing w:val="1"/>
              </w:rPr>
              <w:t xml:space="preserve"> </w:t>
            </w:r>
            <w:r w:rsidRPr="007D532F">
              <w:t>after</w:t>
            </w:r>
            <w:r w:rsidRPr="007D532F">
              <w:rPr>
                <w:spacing w:val="1"/>
              </w:rPr>
              <w:t xml:space="preserve"> </w:t>
            </w:r>
            <w:r w:rsidRPr="007D532F">
              <w:t>each</w:t>
            </w:r>
            <w:r w:rsidRPr="007D532F">
              <w:rPr>
                <w:spacing w:val="1"/>
              </w:rPr>
              <w:t xml:space="preserve"> </w:t>
            </w:r>
            <w:r w:rsidRPr="007D532F">
              <w:t>decision</w:t>
            </w:r>
            <w:r w:rsidRPr="007D532F">
              <w:rPr>
                <w:spacing w:val="1"/>
              </w:rPr>
              <w:t xml:space="preserve"> </w:t>
            </w:r>
            <w:r w:rsidRPr="007D532F">
              <w:t>meeting</w:t>
            </w:r>
            <w:r w:rsidRPr="007D532F">
              <w:rPr>
                <w:spacing w:val="2"/>
              </w:rPr>
              <w:t xml:space="preserve"> </w:t>
            </w:r>
            <w:r w:rsidRPr="007D532F">
              <w:rPr>
                <w:spacing w:val="-5"/>
              </w:rPr>
              <w:t>to</w:t>
            </w:r>
          </w:p>
          <w:p w14:paraId="22B92229" w14:textId="77777777" w:rsidR="00D110E7" w:rsidRPr="007D532F" w:rsidRDefault="00D110E7" w:rsidP="00F22AE5">
            <w:r w:rsidRPr="007D532F">
              <w:t>explain</w:t>
            </w:r>
            <w:r w:rsidRPr="007D532F">
              <w:rPr>
                <w:spacing w:val="1"/>
              </w:rPr>
              <w:t xml:space="preserve"> </w:t>
            </w:r>
            <w:r w:rsidRPr="007D532F">
              <w:t>the</w:t>
            </w:r>
            <w:r w:rsidRPr="007D532F">
              <w:rPr>
                <w:spacing w:val="3"/>
              </w:rPr>
              <w:t xml:space="preserve"> </w:t>
            </w:r>
            <w:r w:rsidRPr="007D532F">
              <w:t>Monetary</w:t>
            </w:r>
            <w:r w:rsidRPr="007D532F">
              <w:rPr>
                <w:spacing w:val="4"/>
              </w:rPr>
              <w:t xml:space="preserve"> </w:t>
            </w:r>
            <w:r w:rsidRPr="007D532F">
              <w:t>Policy</w:t>
            </w:r>
            <w:r w:rsidRPr="007D532F">
              <w:rPr>
                <w:spacing w:val="3"/>
              </w:rPr>
              <w:t xml:space="preserve"> </w:t>
            </w:r>
            <w:r w:rsidRPr="007D532F">
              <w:t>Board’s</w:t>
            </w:r>
            <w:r w:rsidRPr="007D532F">
              <w:rPr>
                <w:spacing w:val="4"/>
              </w:rPr>
              <w:t xml:space="preserve"> </w:t>
            </w:r>
            <w:r w:rsidRPr="007D532F">
              <w:t>view</w:t>
            </w:r>
            <w:r w:rsidRPr="007D532F">
              <w:rPr>
                <w:spacing w:val="3"/>
              </w:rPr>
              <w:t xml:space="preserve"> </w:t>
            </w:r>
            <w:r w:rsidRPr="007D532F">
              <w:t>of</w:t>
            </w:r>
            <w:r w:rsidRPr="007D532F">
              <w:rPr>
                <w:spacing w:val="3"/>
              </w:rPr>
              <w:t xml:space="preserve"> </w:t>
            </w:r>
            <w:r w:rsidRPr="007D532F">
              <w:t>policy</w:t>
            </w:r>
            <w:r w:rsidRPr="007D532F">
              <w:rPr>
                <w:spacing w:val="4"/>
              </w:rPr>
              <w:t xml:space="preserve"> </w:t>
            </w:r>
            <w:r w:rsidRPr="007D532F">
              <w:t>and</w:t>
            </w:r>
            <w:r w:rsidRPr="007D532F">
              <w:rPr>
                <w:spacing w:val="3"/>
              </w:rPr>
              <w:t xml:space="preserve"> </w:t>
            </w:r>
            <w:r w:rsidRPr="007D532F">
              <w:t>economic</w:t>
            </w:r>
            <w:r w:rsidRPr="007D532F">
              <w:rPr>
                <w:spacing w:val="4"/>
              </w:rPr>
              <w:t xml:space="preserve"> </w:t>
            </w:r>
            <w:r w:rsidRPr="007D532F">
              <w:rPr>
                <w:spacing w:val="-2"/>
              </w:rPr>
              <w:t>developments.</w:t>
            </w:r>
          </w:p>
        </w:tc>
      </w:tr>
      <w:tr w:rsidR="00D110E7" w:rsidRPr="007D532F" w14:paraId="248B60F8" w14:textId="77777777" w:rsidTr="00F22AE5">
        <w:trPr>
          <w:trHeight w:val="1031"/>
        </w:trPr>
        <w:tc>
          <w:tcPr>
            <w:tcW w:w="467" w:type="pct"/>
            <w:tcBorders>
              <w:top w:val="single" w:sz="8" w:space="0" w:color="ECEDE9"/>
              <w:bottom w:val="single" w:sz="8" w:space="0" w:color="ECEDE9"/>
            </w:tcBorders>
          </w:tcPr>
          <w:p w14:paraId="10FCC433" w14:textId="77777777" w:rsidR="00D110E7" w:rsidRPr="007D532F" w:rsidRDefault="00D110E7" w:rsidP="00F22AE5">
            <w:r w:rsidRPr="007D532F">
              <w:t>10.2</w:t>
            </w:r>
          </w:p>
        </w:tc>
        <w:tc>
          <w:tcPr>
            <w:tcW w:w="4533" w:type="pct"/>
            <w:tcBorders>
              <w:top w:val="single" w:sz="8" w:space="0" w:color="ECEDE9"/>
              <w:bottom w:val="single" w:sz="8" w:space="0" w:color="ECEDE9"/>
            </w:tcBorders>
          </w:tcPr>
          <w:p w14:paraId="4BFF8483" w14:textId="77777777" w:rsidR="00D110E7" w:rsidRPr="007D532F" w:rsidRDefault="00D110E7" w:rsidP="00F22AE5">
            <w:r w:rsidRPr="007D532F">
              <w:t>External Monetary Policy Board members should be expected to discuss the decisions</w:t>
            </w:r>
            <w:r w:rsidRPr="007D532F">
              <w:rPr>
                <w:spacing w:val="-1"/>
              </w:rPr>
              <w:t xml:space="preserve"> </w:t>
            </w:r>
            <w:r w:rsidRPr="007D532F">
              <w:t>and</w:t>
            </w:r>
            <w:r w:rsidRPr="007D532F">
              <w:rPr>
                <w:spacing w:val="-1"/>
              </w:rPr>
              <w:t xml:space="preserve"> </w:t>
            </w:r>
            <w:r w:rsidRPr="007D532F">
              <w:t>thinking</w:t>
            </w:r>
            <w:r w:rsidRPr="007D532F">
              <w:rPr>
                <w:spacing w:val="-1"/>
              </w:rPr>
              <w:t xml:space="preserve"> </w:t>
            </w:r>
            <w:r w:rsidRPr="007D532F">
              <w:t>of</w:t>
            </w:r>
            <w:r w:rsidRPr="007D532F">
              <w:rPr>
                <w:spacing w:val="-1"/>
              </w:rPr>
              <w:t xml:space="preserve"> </w:t>
            </w:r>
            <w:r w:rsidRPr="007D532F">
              <w:t>the</w:t>
            </w:r>
            <w:r w:rsidRPr="007D532F">
              <w:rPr>
                <w:spacing w:val="-1"/>
              </w:rPr>
              <w:t xml:space="preserve"> </w:t>
            </w:r>
            <w:r w:rsidRPr="007D532F">
              <w:t>Board</w:t>
            </w:r>
            <w:r w:rsidRPr="007D532F">
              <w:rPr>
                <w:spacing w:val="-1"/>
              </w:rPr>
              <w:t xml:space="preserve"> </w:t>
            </w:r>
            <w:r w:rsidRPr="007D532F">
              <w:t>publicly,</w:t>
            </w:r>
            <w:r w:rsidRPr="007D532F">
              <w:rPr>
                <w:spacing w:val="-1"/>
              </w:rPr>
              <w:t xml:space="preserve"> </w:t>
            </w:r>
            <w:r w:rsidRPr="007D532F">
              <w:t>including</w:t>
            </w:r>
            <w:r w:rsidRPr="007D532F">
              <w:rPr>
                <w:spacing w:val="-1"/>
              </w:rPr>
              <w:t xml:space="preserve"> </w:t>
            </w:r>
            <w:r w:rsidRPr="007D532F">
              <w:t>through</w:t>
            </w:r>
            <w:r w:rsidRPr="007D532F">
              <w:rPr>
                <w:spacing w:val="-1"/>
              </w:rPr>
              <w:t xml:space="preserve"> </w:t>
            </w:r>
            <w:r w:rsidRPr="007D532F">
              <w:t>at</w:t>
            </w:r>
            <w:r w:rsidRPr="007D532F">
              <w:rPr>
                <w:spacing w:val="-1"/>
              </w:rPr>
              <w:t xml:space="preserve"> </w:t>
            </w:r>
            <w:r w:rsidRPr="007D532F">
              <w:t>least</w:t>
            </w:r>
            <w:r w:rsidRPr="007D532F">
              <w:rPr>
                <w:spacing w:val="-1"/>
              </w:rPr>
              <w:t xml:space="preserve"> </w:t>
            </w:r>
            <w:r w:rsidRPr="007D532F">
              <w:t>one</w:t>
            </w:r>
            <w:r w:rsidRPr="007D532F">
              <w:rPr>
                <w:spacing w:val="-1"/>
              </w:rPr>
              <w:t xml:space="preserve"> </w:t>
            </w:r>
            <w:r w:rsidRPr="007D532F">
              <w:t>speech or public engagement a year.</w:t>
            </w:r>
          </w:p>
        </w:tc>
      </w:tr>
      <w:tr w:rsidR="00D110E7" w:rsidRPr="007D532F" w14:paraId="7F15E19C" w14:textId="77777777" w:rsidTr="00F22AE5">
        <w:trPr>
          <w:trHeight w:val="1031"/>
        </w:trPr>
        <w:tc>
          <w:tcPr>
            <w:tcW w:w="467" w:type="pct"/>
            <w:tcBorders>
              <w:top w:val="single" w:sz="8" w:space="0" w:color="ECEDE9"/>
              <w:bottom w:val="single" w:sz="8" w:space="0" w:color="ECEDE9"/>
            </w:tcBorders>
          </w:tcPr>
          <w:p w14:paraId="1213D999" w14:textId="77777777" w:rsidR="00D110E7" w:rsidRPr="007D532F" w:rsidRDefault="00D110E7" w:rsidP="00F22AE5">
            <w:r w:rsidRPr="007D532F">
              <w:t>10.3</w:t>
            </w:r>
          </w:p>
        </w:tc>
        <w:tc>
          <w:tcPr>
            <w:tcW w:w="4533" w:type="pct"/>
            <w:tcBorders>
              <w:top w:val="single" w:sz="8" w:space="0" w:color="ECEDE9"/>
              <w:bottom w:val="single" w:sz="8" w:space="0" w:color="ECEDE9"/>
            </w:tcBorders>
          </w:tcPr>
          <w:p w14:paraId="1E8F6B58" w14:textId="77777777" w:rsidR="00D110E7" w:rsidRPr="007D532F" w:rsidRDefault="00D110E7" w:rsidP="00F22AE5">
            <w:r w:rsidRPr="007D532F">
              <w:t>The public statement after each Board meeting should be released by the Monetary Policy Board and approved by members as a fair reflection of the decision and discussion. The statement should report unattributed votes.</w:t>
            </w:r>
          </w:p>
        </w:tc>
      </w:tr>
      <w:tr w:rsidR="00D110E7" w:rsidRPr="007D532F" w14:paraId="49812BEB" w14:textId="77777777" w:rsidTr="00F22AE5">
        <w:trPr>
          <w:trHeight w:val="1261"/>
        </w:trPr>
        <w:tc>
          <w:tcPr>
            <w:tcW w:w="467" w:type="pct"/>
            <w:tcBorders>
              <w:top w:val="single" w:sz="8" w:space="0" w:color="ECEDE9"/>
              <w:bottom w:val="single" w:sz="8" w:space="0" w:color="ECEDE9"/>
            </w:tcBorders>
          </w:tcPr>
          <w:p w14:paraId="057D2B4A" w14:textId="77777777" w:rsidR="00D110E7" w:rsidRPr="007D532F" w:rsidRDefault="00D110E7" w:rsidP="00F22AE5">
            <w:r w:rsidRPr="007D532F">
              <w:t>10.4</w:t>
            </w:r>
          </w:p>
        </w:tc>
        <w:tc>
          <w:tcPr>
            <w:tcW w:w="4533" w:type="pct"/>
            <w:tcBorders>
              <w:top w:val="single" w:sz="8" w:space="0" w:color="ECEDE9"/>
              <w:bottom w:val="single" w:sz="8" w:space="0" w:color="ECEDE9"/>
            </w:tcBorders>
          </w:tcPr>
          <w:p w14:paraId="2DF2750C" w14:textId="77777777" w:rsidR="00D110E7" w:rsidRPr="007D532F" w:rsidRDefault="00D110E7" w:rsidP="00F22AE5">
            <w:r w:rsidRPr="007D532F">
              <w:t>The RBA should publish more of the information underlying the Monetary Policy Board’s decisions, including detailed forecast data and assumptions and insights from business and community liaison. Board papers should be published after</w:t>
            </w:r>
            <w:r>
              <w:t xml:space="preserve"> </w:t>
            </w:r>
            <w:r w:rsidRPr="007D532F">
              <w:t>5</w:t>
            </w:r>
            <w:r>
              <w:rPr>
                <w:spacing w:val="-2"/>
              </w:rPr>
              <w:t> </w:t>
            </w:r>
            <w:r w:rsidRPr="007D532F">
              <w:rPr>
                <w:spacing w:val="-2"/>
              </w:rPr>
              <w:t>years.</w:t>
            </w:r>
          </w:p>
        </w:tc>
      </w:tr>
      <w:tr w:rsidR="00D110E7" w:rsidRPr="007D532F" w14:paraId="2F23945F" w14:textId="77777777" w:rsidTr="00F22AE5">
        <w:trPr>
          <w:trHeight w:val="801"/>
        </w:trPr>
        <w:tc>
          <w:tcPr>
            <w:tcW w:w="467" w:type="pct"/>
            <w:tcBorders>
              <w:top w:val="single" w:sz="8" w:space="0" w:color="ECEDE9"/>
              <w:bottom w:val="single" w:sz="8" w:space="0" w:color="ECEDE9"/>
            </w:tcBorders>
          </w:tcPr>
          <w:p w14:paraId="7B7EB90C" w14:textId="77777777" w:rsidR="00D110E7" w:rsidRPr="007D532F" w:rsidRDefault="00D110E7" w:rsidP="00F22AE5">
            <w:r w:rsidRPr="007D532F">
              <w:t>10.5</w:t>
            </w:r>
          </w:p>
        </w:tc>
        <w:tc>
          <w:tcPr>
            <w:tcW w:w="4533" w:type="pct"/>
            <w:tcBorders>
              <w:top w:val="single" w:sz="8" w:space="0" w:color="ECEDE9"/>
              <w:bottom w:val="single" w:sz="8" w:space="0" w:color="ECEDE9"/>
            </w:tcBorders>
          </w:tcPr>
          <w:p w14:paraId="478E0A07" w14:textId="77777777" w:rsidR="00D110E7" w:rsidRPr="007D532F" w:rsidRDefault="00D110E7" w:rsidP="00F22AE5">
            <w:r w:rsidRPr="007D532F">
              <w:t>The RBA should strengthen its professional capability in strategic communications to support both the Monetary Policy Board and the RBA executive.</w:t>
            </w:r>
          </w:p>
        </w:tc>
      </w:tr>
      <w:tr w:rsidR="00D110E7" w:rsidRPr="007D532F" w14:paraId="14E395F6" w14:textId="77777777" w:rsidTr="00F22AE5">
        <w:trPr>
          <w:trHeight w:val="637"/>
        </w:trPr>
        <w:tc>
          <w:tcPr>
            <w:tcW w:w="467" w:type="pct"/>
            <w:tcBorders>
              <w:top w:val="single" w:sz="8" w:space="0" w:color="ECEDE9"/>
            </w:tcBorders>
          </w:tcPr>
          <w:p w14:paraId="02FFD496" w14:textId="77777777" w:rsidR="00D110E7" w:rsidRPr="007D532F" w:rsidRDefault="00D110E7" w:rsidP="00F22AE5">
            <w:r w:rsidRPr="007D532F">
              <w:t>10.6</w:t>
            </w:r>
          </w:p>
        </w:tc>
        <w:tc>
          <w:tcPr>
            <w:tcW w:w="4533" w:type="pct"/>
            <w:tcBorders>
              <w:top w:val="single" w:sz="8" w:space="0" w:color="ECEDE9"/>
            </w:tcBorders>
          </w:tcPr>
          <w:p w14:paraId="2B8B2A54" w14:textId="77777777" w:rsidR="00D110E7" w:rsidRPr="007D532F" w:rsidRDefault="00D110E7" w:rsidP="00F22AE5">
            <w:r w:rsidRPr="007D532F">
              <w:t>The RBA should strengthen conflict of interest policies for members of the RBA’s Boards to provide additional appropriate restrictions on financial transactions.</w:t>
            </w:r>
          </w:p>
        </w:tc>
      </w:tr>
    </w:tbl>
    <w:p w14:paraId="0BA13A90" w14:textId="77777777" w:rsidR="00147AB6" w:rsidRDefault="00147AB6" w:rsidP="00CA6662"/>
    <w:p w14:paraId="1461358C" w14:textId="1DC437E6" w:rsidR="00147AB6" w:rsidRDefault="00CA6662" w:rsidP="00CA6662">
      <w:r>
        <w:t>The Review finds that current arrangements do not adequately support transparency and</w:t>
      </w:r>
      <w:r w:rsidR="00147AB6">
        <w:t xml:space="preserve"> </w:t>
      </w:r>
      <w:r>
        <w:t>accountability of the Reserve Bank Board and its members. Communications with the public are</w:t>
      </w:r>
      <w:r w:rsidR="00147AB6">
        <w:t xml:space="preserve"> </w:t>
      </w:r>
      <w:r>
        <w:t>also not as effective as they could be</w:t>
      </w:r>
      <w:r w:rsidR="00147AB6">
        <w:t>.</w:t>
      </w:r>
    </w:p>
    <w:p w14:paraId="42EFAD93" w14:textId="7CFBC80C" w:rsidR="00CA6662" w:rsidRDefault="00CA6662" w:rsidP="00CA6662">
      <w:r>
        <w:t>Like many central banks, the RBA’s approach to communication has evolved considerably</w:t>
      </w:r>
      <w:r w:rsidR="00147AB6">
        <w:t xml:space="preserve"> </w:t>
      </w:r>
      <w:r>
        <w:t>over recent decades. There is now a greater emphasis on openness and transparency and</w:t>
      </w:r>
      <w:r w:rsidR="00147AB6">
        <w:t xml:space="preserve"> </w:t>
      </w:r>
      <w:r>
        <w:t>using communication as a tool to support monetary policy actions. However, the RBA’s regular</w:t>
      </w:r>
      <w:r w:rsidR="00147AB6">
        <w:t xml:space="preserve"> </w:t>
      </w:r>
      <w:r>
        <w:t>communications are still less transparent than those of some other peer central banks (see Chapter 1)</w:t>
      </w:r>
      <w:r w:rsidR="00147AB6">
        <w:t>.</w:t>
      </w:r>
    </w:p>
    <w:p w14:paraId="4551244C" w14:textId="5A5D28B6" w:rsidR="00625649" w:rsidRDefault="00625649" w:rsidP="00625649">
      <w:r>
        <w:t>The RBA should improve outside understanding of policy strategy and decisions</w:t>
      </w:r>
      <w:r w:rsidR="0068598E">
        <w:rPr>
          <w:spacing w:val="-18"/>
        </w:rPr>
        <w:t>.</w:t>
      </w:r>
      <w:r>
        <w:rPr>
          <w:w w:val="85"/>
        </w:rPr>
        <w:t xml:space="preserve"> </w:t>
      </w:r>
      <w:r>
        <w:t>Australians have limited visibility about the range of issues considered, and views held, by their monetary policy decision makers, particularly when compared with people in some jurisdictions overseas</w:t>
      </w:r>
      <w:r w:rsidR="0068598E">
        <w:rPr>
          <w:spacing w:val="-16"/>
        </w:rPr>
        <w:t>.</w:t>
      </w:r>
      <w:r>
        <w:rPr>
          <w:w w:val="85"/>
        </w:rPr>
        <w:t xml:space="preserve"> </w:t>
      </w:r>
      <w:r>
        <w:t>This makes it difficult to consider the appropriateness of policy decisions and hold decision makers accountable for their policy judgements. This includes when the RBA is making trade-offs and using the</w:t>
      </w:r>
      <w:r>
        <w:rPr>
          <w:spacing w:val="14"/>
        </w:rPr>
        <w:t xml:space="preserve"> </w:t>
      </w:r>
      <w:r>
        <w:t>flexibility</w:t>
      </w:r>
      <w:r>
        <w:rPr>
          <w:spacing w:val="14"/>
        </w:rPr>
        <w:t xml:space="preserve"> </w:t>
      </w:r>
      <w:r>
        <w:t>in</w:t>
      </w:r>
      <w:r>
        <w:rPr>
          <w:spacing w:val="14"/>
        </w:rPr>
        <w:t xml:space="preserve"> </w:t>
      </w:r>
      <w:r>
        <w:t>its</w:t>
      </w:r>
      <w:r>
        <w:rPr>
          <w:spacing w:val="14"/>
        </w:rPr>
        <w:t xml:space="preserve"> </w:t>
      </w:r>
      <w:r>
        <w:t>framework.</w:t>
      </w:r>
      <w:r>
        <w:rPr>
          <w:spacing w:val="14"/>
        </w:rPr>
        <w:t xml:space="preserve"> </w:t>
      </w:r>
      <w:r>
        <w:t>For</w:t>
      </w:r>
      <w:r>
        <w:rPr>
          <w:spacing w:val="14"/>
        </w:rPr>
        <w:t xml:space="preserve"> </w:t>
      </w:r>
      <w:r>
        <w:t>example,</w:t>
      </w:r>
      <w:r>
        <w:rPr>
          <w:spacing w:val="14"/>
        </w:rPr>
        <w:t xml:space="preserve"> </w:t>
      </w:r>
      <w:r>
        <w:t>the</w:t>
      </w:r>
      <w:r>
        <w:rPr>
          <w:spacing w:val="14"/>
        </w:rPr>
        <w:t xml:space="preserve"> </w:t>
      </w:r>
      <w:r>
        <w:t>RBA’s</w:t>
      </w:r>
      <w:r>
        <w:rPr>
          <w:spacing w:val="14"/>
        </w:rPr>
        <w:t xml:space="preserve"> </w:t>
      </w:r>
      <w:r>
        <w:t>explanations</w:t>
      </w:r>
      <w:r>
        <w:rPr>
          <w:spacing w:val="14"/>
        </w:rPr>
        <w:t xml:space="preserve"> </w:t>
      </w:r>
      <w:r>
        <w:t>of</w:t>
      </w:r>
      <w:r>
        <w:rPr>
          <w:spacing w:val="14"/>
        </w:rPr>
        <w:t xml:space="preserve"> </w:t>
      </w:r>
      <w:r>
        <w:t>its</w:t>
      </w:r>
      <w:r>
        <w:rPr>
          <w:spacing w:val="14"/>
        </w:rPr>
        <w:t xml:space="preserve"> </w:t>
      </w:r>
      <w:r>
        <w:t>policy</w:t>
      </w:r>
      <w:r>
        <w:rPr>
          <w:spacing w:val="14"/>
        </w:rPr>
        <w:t xml:space="preserve"> </w:t>
      </w:r>
      <w:r>
        <w:t>decisions</w:t>
      </w:r>
      <w:r>
        <w:rPr>
          <w:spacing w:val="14"/>
        </w:rPr>
        <w:t xml:space="preserve"> </w:t>
      </w:r>
      <w:r>
        <w:t>during the low inflation period between 2016 and 2019 lacked sufficient detail to assess the RBA’s policy strategy</w:t>
      </w:r>
      <w:r w:rsidR="0068598E">
        <w:rPr>
          <w:spacing w:val="-22"/>
        </w:rPr>
        <w:t>.</w:t>
      </w:r>
      <w:r>
        <w:rPr>
          <w:w w:val="85"/>
        </w:rPr>
        <w:t xml:space="preserve"> </w:t>
      </w:r>
      <w:r>
        <w:t>Stakeholders were critical of the RBA’s use of calendar-based forward guidance, when the conditionality of the RBA’s statements did not appear to be recognised by the broader public</w:t>
      </w:r>
      <w:r w:rsidR="0068598E">
        <w:rPr>
          <w:spacing w:val="-19"/>
        </w:rPr>
        <w:t>.</w:t>
      </w:r>
    </w:p>
    <w:p w14:paraId="54EA5592" w14:textId="77777777" w:rsidR="00625649" w:rsidRDefault="00625649" w:rsidP="00625649">
      <w:pPr>
        <w:pStyle w:val="BodyText"/>
        <w:spacing w:before="5"/>
        <w:rPr>
          <w:sz w:val="16"/>
        </w:rPr>
      </w:pPr>
    </w:p>
    <w:p w14:paraId="3CE19356" w14:textId="77777777" w:rsidR="00625649" w:rsidRDefault="00625649" w:rsidP="008721E8">
      <w:pPr>
        <w:pStyle w:val="italicquote"/>
        <w:keepNext/>
        <w:ind w:right="522"/>
      </w:pPr>
      <w:r>
        <w:lastRenderedPageBreak/>
        <w:t>‘[The</w:t>
      </w:r>
      <w:r>
        <w:rPr>
          <w:spacing w:val="-1"/>
        </w:rPr>
        <w:t xml:space="preserve"> </w:t>
      </w:r>
      <w:r>
        <w:t>RBA’s]</w:t>
      </w:r>
      <w:r>
        <w:rPr>
          <w:spacing w:val="-1"/>
        </w:rPr>
        <w:t xml:space="preserve"> </w:t>
      </w:r>
      <w:r>
        <w:t>understanding</w:t>
      </w:r>
      <w:r>
        <w:rPr>
          <w:spacing w:val="-1"/>
        </w:rPr>
        <w:t xml:space="preserve"> </w:t>
      </w:r>
      <w:r>
        <w:t>and</w:t>
      </w:r>
      <w:r>
        <w:rPr>
          <w:spacing w:val="-1"/>
        </w:rPr>
        <w:t xml:space="preserve"> </w:t>
      </w:r>
      <w:r>
        <w:t>description</w:t>
      </w:r>
      <w:r>
        <w:rPr>
          <w:spacing w:val="-1"/>
        </w:rPr>
        <w:t xml:space="preserve"> </w:t>
      </w:r>
      <w:r>
        <w:t>of</w:t>
      </w:r>
      <w:r>
        <w:rPr>
          <w:spacing w:val="-1"/>
        </w:rPr>
        <w:t xml:space="preserve"> </w:t>
      </w:r>
      <w:r>
        <w:t>the</w:t>
      </w:r>
      <w:r>
        <w:rPr>
          <w:spacing w:val="-1"/>
        </w:rPr>
        <w:t xml:space="preserve"> </w:t>
      </w:r>
      <w:r>
        <w:t>state</w:t>
      </w:r>
      <w:r>
        <w:rPr>
          <w:spacing w:val="-1"/>
        </w:rPr>
        <w:t xml:space="preserve"> </w:t>
      </w:r>
      <w:r>
        <w:t>of</w:t>
      </w:r>
      <w:r>
        <w:rPr>
          <w:spacing w:val="-1"/>
        </w:rPr>
        <w:t xml:space="preserve"> </w:t>
      </w:r>
      <w:r>
        <w:t>the</w:t>
      </w:r>
      <w:r>
        <w:rPr>
          <w:spacing w:val="-1"/>
        </w:rPr>
        <w:t xml:space="preserve"> </w:t>
      </w:r>
      <w:r>
        <w:t>economy</w:t>
      </w:r>
      <w:r>
        <w:rPr>
          <w:spacing w:val="-1"/>
        </w:rPr>
        <w:t xml:space="preserve"> </w:t>
      </w:r>
      <w:r>
        <w:t>is</w:t>
      </w:r>
      <w:r>
        <w:rPr>
          <w:spacing w:val="-1"/>
        </w:rPr>
        <w:t xml:space="preserve"> </w:t>
      </w:r>
      <w:r>
        <w:t>usually</w:t>
      </w:r>
      <w:r>
        <w:rPr>
          <w:spacing w:val="-1"/>
        </w:rPr>
        <w:t xml:space="preserve"> </w:t>
      </w:r>
      <w:r>
        <w:t>very</w:t>
      </w:r>
      <w:r>
        <w:rPr>
          <w:spacing w:val="-1"/>
        </w:rPr>
        <w:t xml:space="preserve"> </w:t>
      </w:r>
      <w:r>
        <w:t>good. It</w:t>
      </w:r>
      <w:r>
        <w:rPr>
          <w:spacing w:val="-5"/>
        </w:rPr>
        <w:t xml:space="preserve"> </w:t>
      </w:r>
      <w:r>
        <w:t>is</w:t>
      </w:r>
      <w:r>
        <w:rPr>
          <w:spacing w:val="-3"/>
        </w:rPr>
        <w:t xml:space="preserve"> </w:t>
      </w:r>
      <w:r>
        <w:t>when</w:t>
      </w:r>
      <w:r>
        <w:rPr>
          <w:spacing w:val="-3"/>
        </w:rPr>
        <w:t xml:space="preserve"> </w:t>
      </w:r>
      <w:r>
        <w:t>decisions</w:t>
      </w:r>
      <w:r>
        <w:rPr>
          <w:spacing w:val="-3"/>
        </w:rPr>
        <w:t xml:space="preserve"> </w:t>
      </w:r>
      <w:r>
        <w:t>and</w:t>
      </w:r>
      <w:r>
        <w:rPr>
          <w:spacing w:val="-3"/>
        </w:rPr>
        <w:t xml:space="preserve"> </w:t>
      </w:r>
      <w:r>
        <w:t>the</w:t>
      </w:r>
      <w:r>
        <w:rPr>
          <w:spacing w:val="-3"/>
        </w:rPr>
        <w:t xml:space="preserve"> </w:t>
      </w:r>
      <w:r>
        <w:t>outlook</w:t>
      </w:r>
      <w:r>
        <w:rPr>
          <w:spacing w:val="-3"/>
        </w:rPr>
        <w:t xml:space="preserve"> </w:t>
      </w:r>
      <w:r>
        <w:t>come</w:t>
      </w:r>
      <w:r>
        <w:rPr>
          <w:spacing w:val="-3"/>
        </w:rPr>
        <w:t xml:space="preserve"> </w:t>
      </w:r>
      <w:r>
        <w:t>together</w:t>
      </w:r>
      <w:r>
        <w:rPr>
          <w:spacing w:val="-3"/>
        </w:rPr>
        <w:t xml:space="preserve"> </w:t>
      </w:r>
      <w:r>
        <w:t>that</w:t>
      </w:r>
      <w:r>
        <w:rPr>
          <w:spacing w:val="-3"/>
        </w:rPr>
        <w:t xml:space="preserve"> </w:t>
      </w:r>
      <w:r>
        <w:t>communications</w:t>
      </w:r>
      <w:r>
        <w:rPr>
          <w:spacing w:val="-3"/>
        </w:rPr>
        <w:t xml:space="preserve"> </w:t>
      </w:r>
      <w:r>
        <w:t>have</w:t>
      </w:r>
      <w:r>
        <w:rPr>
          <w:spacing w:val="-3"/>
        </w:rPr>
        <w:t xml:space="preserve"> </w:t>
      </w:r>
      <w:r>
        <w:t>fallen</w:t>
      </w:r>
      <w:r>
        <w:rPr>
          <w:spacing w:val="-3"/>
        </w:rPr>
        <w:t xml:space="preserve"> </w:t>
      </w:r>
      <w:r>
        <w:rPr>
          <w:spacing w:val="-2"/>
        </w:rPr>
        <w:t>down.’</w:t>
      </w:r>
    </w:p>
    <w:p w14:paraId="34DE2727" w14:textId="77777777" w:rsidR="00625649" w:rsidRDefault="00625649" w:rsidP="00625649">
      <w:pPr>
        <w:pStyle w:val="italicquote"/>
      </w:pPr>
      <w:r>
        <w:t>–</w:t>
      </w:r>
      <w:r>
        <w:rPr>
          <w:spacing w:val="-1"/>
        </w:rPr>
        <w:t xml:space="preserve"> </w:t>
      </w:r>
      <w:r>
        <w:t>Response to RBA Review</w:t>
      </w:r>
      <w:r>
        <w:rPr>
          <w:spacing w:val="-1"/>
        </w:rPr>
        <w:t xml:space="preserve"> </w:t>
      </w:r>
      <w:r>
        <w:t xml:space="preserve">survey of professional </w:t>
      </w:r>
      <w:r>
        <w:rPr>
          <w:spacing w:val="-2"/>
        </w:rPr>
        <w:t>economists</w:t>
      </w:r>
    </w:p>
    <w:p w14:paraId="4990E600" w14:textId="77777777" w:rsidR="00625649" w:rsidRDefault="00625649" w:rsidP="00625649">
      <w:pPr>
        <w:pStyle w:val="BodyText"/>
        <w:spacing w:before="7"/>
        <w:rPr>
          <w:i/>
          <w:sz w:val="20"/>
        </w:rPr>
      </w:pPr>
    </w:p>
    <w:p w14:paraId="56D457E1" w14:textId="5319CA99" w:rsidR="00625649" w:rsidRDefault="00625649" w:rsidP="00625649">
      <w:r>
        <w:t>More broadly, the RBA could communicate with the public more effectively. Public focus groups conducted for the Review generally reflected positively on the RBA’s economic knowledge and decision making for the benefit of Australians. However, focus group members did not feel that the</w:t>
      </w:r>
      <w:r>
        <w:rPr>
          <w:spacing w:val="-1"/>
        </w:rPr>
        <w:t xml:space="preserve"> </w:t>
      </w:r>
      <w:r>
        <w:t>RBA</w:t>
      </w:r>
      <w:r>
        <w:rPr>
          <w:spacing w:val="-1"/>
        </w:rPr>
        <w:t xml:space="preserve"> </w:t>
      </w:r>
      <w:r>
        <w:t>understands</w:t>
      </w:r>
      <w:r>
        <w:rPr>
          <w:spacing w:val="-1"/>
        </w:rPr>
        <w:t xml:space="preserve"> </w:t>
      </w:r>
      <w:r>
        <w:t>them</w:t>
      </w:r>
      <w:r w:rsidR="0068598E">
        <w:rPr>
          <w:spacing w:val="-24"/>
        </w:rPr>
        <w:t>.</w:t>
      </w:r>
      <w:r>
        <w:rPr>
          <w:w w:val="85"/>
        </w:rPr>
        <w:t xml:space="preserve"> </w:t>
      </w:r>
      <w:r>
        <w:t>People</w:t>
      </w:r>
      <w:r>
        <w:rPr>
          <w:spacing w:val="-1"/>
        </w:rPr>
        <w:t xml:space="preserve"> </w:t>
      </w:r>
      <w:r>
        <w:t>also</w:t>
      </w:r>
      <w:r>
        <w:rPr>
          <w:spacing w:val="-1"/>
        </w:rPr>
        <w:t xml:space="preserve"> </w:t>
      </w:r>
      <w:r>
        <w:t>saw</w:t>
      </w:r>
      <w:r>
        <w:rPr>
          <w:spacing w:val="-1"/>
        </w:rPr>
        <w:t xml:space="preserve"> </w:t>
      </w:r>
      <w:r>
        <w:t>the</w:t>
      </w:r>
      <w:r>
        <w:rPr>
          <w:spacing w:val="-1"/>
        </w:rPr>
        <w:t xml:space="preserve"> </w:t>
      </w:r>
      <w:r>
        <w:t>RBA’s</w:t>
      </w:r>
      <w:r>
        <w:rPr>
          <w:spacing w:val="-1"/>
        </w:rPr>
        <w:t xml:space="preserve"> </w:t>
      </w:r>
      <w:r>
        <w:t>communications</w:t>
      </w:r>
      <w:r>
        <w:rPr>
          <w:spacing w:val="-1"/>
        </w:rPr>
        <w:t xml:space="preserve"> </w:t>
      </w:r>
      <w:r>
        <w:t>as</w:t>
      </w:r>
      <w:r>
        <w:rPr>
          <w:spacing w:val="-1"/>
        </w:rPr>
        <w:t xml:space="preserve"> </w:t>
      </w:r>
      <w:r>
        <w:t>being</w:t>
      </w:r>
      <w:r>
        <w:rPr>
          <w:spacing w:val="-1"/>
        </w:rPr>
        <w:t xml:space="preserve"> </w:t>
      </w:r>
      <w:r>
        <w:t>too</w:t>
      </w:r>
      <w:r>
        <w:rPr>
          <w:spacing w:val="-1"/>
        </w:rPr>
        <w:t xml:space="preserve"> </w:t>
      </w:r>
      <w:r>
        <w:t>technical</w:t>
      </w:r>
      <w:r>
        <w:rPr>
          <w:spacing w:val="-1"/>
        </w:rPr>
        <w:t xml:space="preserve"> </w:t>
      </w:r>
      <w:r>
        <w:t>for their needs</w:t>
      </w:r>
      <w:r w:rsidR="0068598E">
        <w:rPr>
          <w:spacing w:val="-17"/>
        </w:rPr>
        <w:t>.</w:t>
      </w:r>
    </w:p>
    <w:p w14:paraId="2B3C3053" w14:textId="734FB874" w:rsidR="00625649" w:rsidRDefault="00625649" w:rsidP="00625649">
      <w:r>
        <w:t>At present, the RBA’s communications function is insufficiently positioned in the organisational structure to provide influential strategic communications advice. It has less prominence in the organisation than in some other central banks</w:t>
      </w:r>
      <w:r w:rsidR="0068598E">
        <w:rPr>
          <w:spacing w:val="-24"/>
        </w:rPr>
        <w:t>.</w:t>
      </w:r>
      <w:r>
        <w:rPr>
          <w:w w:val="85"/>
        </w:rPr>
        <w:t xml:space="preserve"> </w:t>
      </w:r>
      <w:r>
        <w:t>The RBA’s communications function is a team within the Secretary’s Department and is led by a Senior Manager</w:t>
      </w:r>
      <w:r w:rsidR="0068598E">
        <w:rPr>
          <w:spacing w:val="-21"/>
        </w:rPr>
        <w:t>.</w:t>
      </w:r>
      <w:r>
        <w:rPr>
          <w:w w:val="85"/>
        </w:rPr>
        <w:t xml:space="preserve"> </w:t>
      </w:r>
      <w:r>
        <w:t>It is close to the RBA’s executive but is just one part of the Secretary’s many functions</w:t>
      </w:r>
      <w:r w:rsidR="0068598E">
        <w:rPr>
          <w:spacing w:val="-19"/>
        </w:rPr>
        <w:t>.</w:t>
      </w:r>
      <w:r>
        <w:rPr>
          <w:w w:val="85"/>
        </w:rPr>
        <w:t xml:space="preserve"> </w:t>
      </w:r>
      <w:r>
        <w:t>Peer central banks tend to have more senior and prominent functions. For example, at the Bank of England, the communications function reports directly to the Governor</w:t>
      </w:r>
      <w:r w:rsidR="0068598E">
        <w:rPr>
          <w:spacing w:val="-24"/>
        </w:rPr>
        <w:t>.</w:t>
      </w:r>
      <w:r>
        <w:rPr>
          <w:w w:val="85"/>
        </w:rPr>
        <w:t xml:space="preserve"> </w:t>
      </w:r>
      <w:r>
        <w:t>At the Bank of Canada, the communications function reports to the Senior Deputy Governor</w:t>
      </w:r>
      <w:r w:rsidR="0068598E">
        <w:rPr>
          <w:spacing w:val="-19"/>
        </w:rPr>
        <w:t>.</w:t>
      </w:r>
      <w:r>
        <w:rPr>
          <w:w w:val="85"/>
        </w:rPr>
        <w:t xml:space="preserve"> </w:t>
      </w:r>
      <w:r>
        <w:t>At the European Central Bank, it reports to the Executive Board</w:t>
      </w:r>
      <w:r w:rsidR="0068598E">
        <w:rPr>
          <w:spacing w:val="-19"/>
        </w:rPr>
        <w:t>.</w:t>
      </w:r>
    </w:p>
    <w:p w14:paraId="3F16B4F9" w14:textId="23EE35FE" w:rsidR="00625649" w:rsidRDefault="00625649" w:rsidP="00625649">
      <w:r>
        <w:t>The Review is cognisant of the fact that more frequent communication is not always best. Yet there is scope to significantly improve the RBA’s regular communications to improve understanding of its policy decisions and strengthen transparency and accountability mechanisms</w:t>
      </w:r>
      <w:r w:rsidR="0068598E">
        <w:rPr>
          <w:spacing w:val="-12"/>
        </w:rPr>
        <w:t>.</w:t>
      </w:r>
    </w:p>
    <w:p w14:paraId="041164A2" w14:textId="24BA9FA8" w:rsidR="00625649" w:rsidRDefault="00625649" w:rsidP="00625649">
      <w:r>
        <w:t xml:space="preserve">The treatment of conflicts of interest is another important aspect of accountability because actual and perceived conflicts of interest can undermine the quality and credibility of decisions. The Review did not hear evidence of issues in the recent past related to conflict of interests of Reserve Bank Board members. However, conflict of interest policies for Reserve Bank Board members </w:t>
      </w:r>
      <w:r>
        <w:rPr>
          <w:color w:val="231F20"/>
        </w:rPr>
        <w:t>are currently relatively limited, and, as discussed below, the Review recommends that they be strengthened</w:t>
      </w:r>
      <w:r w:rsidR="0068598E">
        <w:rPr>
          <w:color w:val="231F20"/>
          <w:spacing w:val="-25"/>
        </w:rPr>
        <w:t>.</w:t>
      </w:r>
    </w:p>
    <w:p w14:paraId="7AC179A9" w14:textId="77777777" w:rsidR="00704E43" w:rsidRPr="003F56DA" w:rsidRDefault="00704E43" w:rsidP="003F56DA">
      <w:pPr>
        <w:pStyle w:val="Heading3"/>
      </w:pPr>
      <w:r w:rsidRPr="003F56DA">
        <w:t>Recommendation 10.1: Require greater public explanation of monetary policy decisions and strategy</w:t>
      </w:r>
    </w:p>
    <w:p w14:paraId="6B6547C5" w14:textId="5745D5CD" w:rsidR="00704E43" w:rsidRDefault="00704E43" w:rsidP="00704E43">
      <w:r>
        <w:t>The Review recommends the RBA take steps to improve the way it publicly communicates its monetary policy strategy and decisions, including holding a press conference after each monetary policy meeting</w:t>
      </w:r>
      <w:r w:rsidR="0068598E">
        <w:rPr>
          <w:spacing w:val="-17"/>
        </w:rPr>
        <w:t>.</w:t>
      </w:r>
    </w:p>
    <w:p w14:paraId="277F48AE" w14:textId="7249233D" w:rsidR="00704E43" w:rsidRDefault="00704E43" w:rsidP="00704E43">
      <w:r>
        <w:t>Many stakeholders expressed a strong desire for greater transparency around the factors that drive monetary policy decisions. For example, in a small survey of professional economists conducted by the Review, only a little more than half thought the RBA explained its rationale for monetary policy decisions well</w:t>
      </w:r>
      <w:r w:rsidR="0068598E">
        <w:rPr>
          <w:spacing w:val="-18"/>
        </w:rPr>
        <w:t>.</w:t>
      </w:r>
      <w:r>
        <w:rPr>
          <w:w w:val="85"/>
        </w:rPr>
        <w:t xml:space="preserve"> </w:t>
      </w:r>
      <w:r>
        <w:t>Just a third thought it explained its reaction function well (see Appendix 4).</w:t>
      </w:r>
    </w:p>
    <w:p w14:paraId="5913F547" w14:textId="4B5ABB2D" w:rsidR="00704E43" w:rsidRDefault="00704E43" w:rsidP="00704E43">
      <w:r>
        <w:t>In the opinion of the Review, regular press conferences are an important mechanism to support improved transparency and accountability</w:t>
      </w:r>
      <w:r w:rsidR="0068598E">
        <w:rPr>
          <w:spacing w:val="-23"/>
        </w:rPr>
        <w:t>.</w:t>
      </w:r>
      <w:r>
        <w:rPr>
          <w:w w:val="85"/>
        </w:rPr>
        <w:t xml:space="preserve"> </w:t>
      </w:r>
      <w:r>
        <w:t>The Review heard that people have valued the press conferences that the Governor has held since the start of the COVID-19 pandemic</w:t>
      </w:r>
      <w:r w:rsidR="0068598E">
        <w:rPr>
          <w:spacing w:val="-19"/>
        </w:rPr>
        <w:t>.</w:t>
      </w:r>
      <w:r>
        <w:rPr>
          <w:w w:val="85"/>
        </w:rPr>
        <w:t xml:space="preserve"> </w:t>
      </w:r>
      <w:r>
        <w:t>Among professional economists surveyed by the Review, regular press conferences were viewed as the leading way to improve RBA communication</w:t>
      </w:r>
      <w:r w:rsidR="0068598E">
        <w:rPr>
          <w:spacing w:val="-11"/>
        </w:rPr>
        <w:t>.</w:t>
      </w:r>
    </w:p>
    <w:p w14:paraId="6DB59C3A" w14:textId="77777777" w:rsidR="00704E43" w:rsidRDefault="00704E43" w:rsidP="00704E43">
      <w:pPr>
        <w:pStyle w:val="BodyText"/>
        <w:spacing w:before="6"/>
        <w:rPr>
          <w:sz w:val="16"/>
        </w:rPr>
      </w:pPr>
    </w:p>
    <w:p w14:paraId="6B374B70" w14:textId="77777777" w:rsidR="00704E43" w:rsidRDefault="00704E43" w:rsidP="00704E43">
      <w:pPr>
        <w:pStyle w:val="italicquote"/>
      </w:pPr>
      <w:r>
        <w:t>‘More regular press conferences would provide more scope for the RBA to address and respond to criticism or alternative views about the appropriate monetary policy settings and, in turn, this would be likely to enhance the focus on alternative options and viewpoints within the RBA as part of policy decision making.’</w:t>
      </w:r>
    </w:p>
    <w:p w14:paraId="4355F6F5" w14:textId="77777777" w:rsidR="00704E43" w:rsidRDefault="00704E43" w:rsidP="00704E43">
      <w:pPr>
        <w:pStyle w:val="italicquote"/>
      </w:pPr>
      <w:r>
        <w:lastRenderedPageBreak/>
        <w:t>–</w:t>
      </w:r>
      <w:r>
        <w:rPr>
          <w:spacing w:val="-1"/>
        </w:rPr>
        <w:t xml:space="preserve"> </w:t>
      </w:r>
      <w:r>
        <w:t>Response to RBA Review</w:t>
      </w:r>
      <w:r>
        <w:rPr>
          <w:spacing w:val="-1"/>
        </w:rPr>
        <w:t xml:space="preserve"> </w:t>
      </w:r>
      <w:r>
        <w:t xml:space="preserve">survey of professional </w:t>
      </w:r>
      <w:r>
        <w:rPr>
          <w:spacing w:val="-2"/>
        </w:rPr>
        <w:t>economists</w:t>
      </w:r>
    </w:p>
    <w:p w14:paraId="53EFE4CD" w14:textId="77777777" w:rsidR="00704E43" w:rsidRDefault="00704E43" w:rsidP="00704E43">
      <w:pPr>
        <w:pStyle w:val="BodyText"/>
        <w:spacing w:before="6"/>
        <w:rPr>
          <w:i/>
          <w:sz w:val="16"/>
        </w:rPr>
      </w:pPr>
    </w:p>
    <w:p w14:paraId="35297779" w14:textId="4458A013" w:rsidR="00704E43" w:rsidRDefault="00704E43" w:rsidP="00704E43">
      <w:r>
        <w:t>The RBA has stated that it only plans to hold press conferences on an ad hoc basis, when it has ‘something significant and important to say’ (Bullock 2022b). This approach neglects the possibility that observers may have questions to ask at other times and that being available to answer questions is an important accountability mechanism, and risks ‘dramatising’ any ad hoc press conferences</w:t>
      </w:r>
      <w:r w:rsidR="0068598E">
        <w:rPr>
          <w:spacing w:val="-19"/>
        </w:rPr>
        <w:t>.</w:t>
      </w:r>
      <w:r>
        <w:rPr>
          <w:w w:val="85"/>
        </w:rPr>
        <w:t xml:space="preserve"> </w:t>
      </w:r>
      <w:r>
        <w:t>This suggests that the timing of press conferences should be independent of the perceived importance of the policy decision</w:t>
      </w:r>
      <w:r w:rsidR="0068598E">
        <w:rPr>
          <w:spacing w:val="-20"/>
        </w:rPr>
        <w:t>.</w:t>
      </w:r>
      <w:r>
        <w:rPr>
          <w:w w:val="85"/>
        </w:rPr>
        <w:t xml:space="preserve"> </w:t>
      </w:r>
      <w:r>
        <w:t>This is the case at many of the RBA’s peer central banks who already hold regular press conferences</w:t>
      </w:r>
      <w:r w:rsidR="0068598E">
        <w:rPr>
          <w:spacing w:val="-13"/>
        </w:rPr>
        <w:t>.</w:t>
      </w:r>
    </w:p>
    <w:p w14:paraId="12D91F1F" w14:textId="3DEB57E9" w:rsidR="00704E43" w:rsidRDefault="00704E43" w:rsidP="00704E43">
      <w:r>
        <w:t>Holding a press conference after each monetary policy meeting would provide regular opportunities</w:t>
      </w:r>
      <w:r>
        <w:rPr>
          <w:spacing w:val="16"/>
        </w:rPr>
        <w:t xml:space="preserve"> </w:t>
      </w:r>
      <w:r>
        <w:t>for</w:t>
      </w:r>
      <w:r>
        <w:rPr>
          <w:spacing w:val="16"/>
        </w:rPr>
        <w:t xml:space="preserve"> </w:t>
      </w:r>
      <w:r>
        <w:t>the</w:t>
      </w:r>
      <w:r>
        <w:rPr>
          <w:spacing w:val="16"/>
        </w:rPr>
        <w:t xml:space="preserve"> </w:t>
      </w:r>
      <w:r>
        <w:t>Governor</w:t>
      </w:r>
      <w:r>
        <w:rPr>
          <w:spacing w:val="16"/>
        </w:rPr>
        <w:t xml:space="preserve"> </w:t>
      </w:r>
      <w:r>
        <w:t>to</w:t>
      </w:r>
      <w:r>
        <w:rPr>
          <w:spacing w:val="16"/>
        </w:rPr>
        <w:t xml:space="preserve"> </w:t>
      </w:r>
      <w:r>
        <w:t>explain</w:t>
      </w:r>
      <w:r>
        <w:rPr>
          <w:spacing w:val="16"/>
        </w:rPr>
        <w:t xml:space="preserve"> </w:t>
      </w:r>
      <w:r>
        <w:t>the</w:t>
      </w:r>
      <w:r>
        <w:rPr>
          <w:spacing w:val="16"/>
        </w:rPr>
        <w:t xml:space="preserve"> </w:t>
      </w:r>
      <w:r>
        <w:t>Monetary</w:t>
      </w:r>
      <w:r>
        <w:rPr>
          <w:spacing w:val="16"/>
        </w:rPr>
        <w:t xml:space="preserve"> </w:t>
      </w:r>
      <w:r>
        <w:t>Policy</w:t>
      </w:r>
      <w:r>
        <w:rPr>
          <w:spacing w:val="16"/>
        </w:rPr>
        <w:t xml:space="preserve"> </w:t>
      </w:r>
      <w:r>
        <w:t>Board’s</w:t>
      </w:r>
      <w:r>
        <w:rPr>
          <w:spacing w:val="16"/>
        </w:rPr>
        <w:t xml:space="preserve"> </w:t>
      </w:r>
      <w:r>
        <w:t>decisions</w:t>
      </w:r>
      <w:r>
        <w:rPr>
          <w:spacing w:val="16"/>
        </w:rPr>
        <w:t xml:space="preserve"> </w:t>
      </w:r>
      <w:r>
        <w:t>and</w:t>
      </w:r>
      <w:r>
        <w:rPr>
          <w:spacing w:val="16"/>
        </w:rPr>
        <w:t xml:space="preserve"> </w:t>
      </w:r>
      <w:r>
        <w:t>reasoning in an open and transparent way, and to answer questions</w:t>
      </w:r>
      <w:r w:rsidR="0068598E">
        <w:rPr>
          <w:spacing w:val="-23"/>
        </w:rPr>
        <w:t>.</w:t>
      </w:r>
      <w:r>
        <w:rPr>
          <w:w w:val="85"/>
        </w:rPr>
        <w:t xml:space="preserve"> </w:t>
      </w:r>
      <w:r>
        <w:t>By speaking to a wide audience, press conferences guard against perceptions that certain interests or individuals receive more, or more timely, information from decision makers</w:t>
      </w:r>
      <w:r w:rsidR="0068598E">
        <w:rPr>
          <w:spacing w:val="-8"/>
        </w:rPr>
        <w:t>.</w:t>
      </w:r>
    </w:p>
    <w:p w14:paraId="2E8BAAA6" w14:textId="3687BB75" w:rsidR="00704E43" w:rsidRDefault="00704E43" w:rsidP="00704E43">
      <w:r>
        <w:t>More</w:t>
      </w:r>
      <w:r>
        <w:rPr>
          <w:spacing w:val="-1"/>
        </w:rPr>
        <w:t xml:space="preserve"> </w:t>
      </w:r>
      <w:r>
        <w:t>broadly,</w:t>
      </w:r>
      <w:r>
        <w:rPr>
          <w:spacing w:val="-1"/>
        </w:rPr>
        <w:t xml:space="preserve"> </w:t>
      </w:r>
      <w:r>
        <w:t>the</w:t>
      </w:r>
      <w:r>
        <w:rPr>
          <w:spacing w:val="-1"/>
        </w:rPr>
        <w:t xml:space="preserve"> </w:t>
      </w:r>
      <w:r>
        <w:t>Review</w:t>
      </w:r>
      <w:r>
        <w:rPr>
          <w:spacing w:val="-1"/>
        </w:rPr>
        <w:t xml:space="preserve"> </w:t>
      </w:r>
      <w:r>
        <w:t>recommends</w:t>
      </w:r>
      <w:r>
        <w:rPr>
          <w:spacing w:val="-1"/>
        </w:rPr>
        <w:t xml:space="preserve"> </w:t>
      </w:r>
      <w:r>
        <w:t>that</w:t>
      </w:r>
      <w:r>
        <w:rPr>
          <w:spacing w:val="-1"/>
        </w:rPr>
        <w:t xml:space="preserve"> </w:t>
      </w:r>
      <w:r>
        <w:t>the</w:t>
      </w:r>
      <w:r>
        <w:rPr>
          <w:spacing w:val="-1"/>
        </w:rPr>
        <w:t xml:space="preserve"> </w:t>
      </w:r>
      <w:r>
        <w:t>RBA’s</w:t>
      </w:r>
      <w:r>
        <w:rPr>
          <w:spacing w:val="-1"/>
        </w:rPr>
        <w:t xml:space="preserve"> </w:t>
      </w:r>
      <w:r>
        <w:t>regular</w:t>
      </w:r>
      <w:r>
        <w:rPr>
          <w:spacing w:val="-1"/>
        </w:rPr>
        <w:t xml:space="preserve"> </w:t>
      </w:r>
      <w:r>
        <w:t>communications</w:t>
      </w:r>
      <w:r>
        <w:rPr>
          <w:spacing w:val="-1"/>
        </w:rPr>
        <w:t xml:space="preserve"> </w:t>
      </w:r>
      <w:r>
        <w:t>focus</w:t>
      </w:r>
      <w:r>
        <w:rPr>
          <w:spacing w:val="-1"/>
        </w:rPr>
        <w:t xml:space="preserve"> </w:t>
      </w:r>
      <w:r>
        <w:t>more</w:t>
      </w:r>
      <w:r>
        <w:rPr>
          <w:spacing w:val="-1"/>
        </w:rPr>
        <w:t xml:space="preserve"> </w:t>
      </w:r>
      <w:r>
        <w:t>on</w:t>
      </w:r>
      <w:r>
        <w:rPr>
          <w:spacing w:val="-1"/>
        </w:rPr>
        <w:t xml:space="preserve"> </w:t>
      </w:r>
      <w:r>
        <w:t>the reasoning behind monetary policy decisions</w:t>
      </w:r>
      <w:r w:rsidR="0068598E">
        <w:rPr>
          <w:spacing w:val="-19"/>
        </w:rPr>
        <w:t>.</w:t>
      </w:r>
      <w:r>
        <w:rPr>
          <w:w w:val="85"/>
        </w:rPr>
        <w:t xml:space="preserve"> </w:t>
      </w:r>
      <w:r>
        <w:t>It should explain why alternate policy options were not pursued, and how current policy settings fit into a broader strategy. To achieve this, the RBA could consider scenario analysis based on different assumptions about policy. Scenario analysis, as used by other central banks, can be an effective approach to clearly explain the reasons for policy decisions</w:t>
      </w:r>
      <w:r w:rsidR="0068598E">
        <w:rPr>
          <w:spacing w:val="-17"/>
        </w:rPr>
        <w:t>.</w:t>
      </w:r>
    </w:p>
    <w:p w14:paraId="436D0563" w14:textId="32A361BB" w:rsidR="00E849CB" w:rsidRDefault="00704E43" w:rsidP="00704E43">
      <w:pPr>
        <w:rPr>
          <w:w w:val="85"/>
        </w:rPr>
      </w:pPr>
      <w:r>
        <w:t>The Review considers it is particularly important, for transparency and accountability, that in situations where inflation deviates significantly from target, the Monetary Policy Board clearly communicates its plan to bring inflation back to around the midpoint of the target, taking into account the full employment objective</w:t>
      </w:r>
      <w:r w:rsidR="0068598E">
        <w:rPr>
          <w:spacing w:val="-24"/>
        </w:rPr>
        <w:t>.</w:t>
      </w:r>
      <w:r>
        <w:rPr>
          <w:w w:val="85"/>
        </w:rPr>
        <w:t xml:space="preserve"> </w:t>
      </w:r>
      <w:r>
        <w:t>This should include guidance around how long it expects this will take</w:t>
      </w:r>
      <w:r w:rsidR="0068598E">
        <w:rPr>
          <w:spacing w:val="-11"/>
        </w:rPr>
        <w:t>.</w:t>
      </w:r>
    </w:p>
    <w:p w14:paraId="3E5D3E2D" w14:textId="77777777" w:rsidR="004F5C27" w:rsidRDefault="004F5C27" w:rsidP="004F5C27">
      <w:r>
        <w:t>Finally, it is important that the RBA clearly explains when financial stability concerns are influencing its monetary policy decisions (see Chapter 2). In periods when financial stability concerns are influencing monetary policy decisions, the RBA should:</w:t>
      </w:r>
    </w:p>
    <w:p w14:paraId="1A270E14" w14:textId="77777777" w:rsidR="004F5C27" w:rsidRDefault="004F5C27" w:rsidP="0000278A">
      <w:pPr>
        <w:pStyle w:val="Bullet"/>
      </w:pPr>
      <w:r>
        <w:t>explain</w:t>
      </w:r>
      <w:r>
        <w:rPr>
          <w:spacing w:val="-1"/>
        </w:rPr>
        <w:t xml:space="preserve"> </w:t>
      </w:r>
      <w:r>
        <w:t>why</w:t>
      </w:r>
      <w:r>
        <w:rPr>
          <w:spacing w:val="1"/>
        </w:rPr>
        <w:t xml:space="preserve"> </w:t>
      </w:r>
      <w:r>
        <w:t>macroprudential</w:t>
      </w:r>
      <w:r>
        <w:rPr>
          <w:spacing w:val="2"/>
        </w:rPr>
        <w:t xml:space="preserve"> </w:t>
      </w:r>
      <w:r>
        <w:t>policy</w:t>
      </w:r>
      <w:r>
        <w:rPr>
          <w:spacing w:val="1"/>
        </w:rPr>
        <w:t xml:space="preserve"> </w:t>
      </w:r>
      <w:r>
        <w:t>cannot</w:t>
      </w:r>
      <w:r>
        <w:rPr>
          <w:spacing w:val="2"/>
        </w:rPr>
        <w:t xml:space="preserve"> </w:t>
      </w:r>
      <w:r>
        <w:t>be</w:t>
      </w:r>
      <w:r>
        <w:rPr>
          <w:spacing w:val="1"/>
        </w:rPr>
        <w:t xml:space="preserve"> </w:t>
      </w:r>
      <w:r>
        <w:t>relied</w:t>
      </w:r>
      <w:r>
        <w:rPr>
          <w:spacing w:val="2"/>
        </w:rPr>
        <w:t xml:space="preserve"> </w:t>
      </w:r>
      <w:r>
        <w:t>upon</w:t>
      </w:r>
      <w:r>
        <w:rPr>
          <w:spacing w:val="1"/>
        </w:rPr>
        <w:t xml:space="preserve"> </w:t>
      </w:r>
      <w:r>
        <w:t>in</w:t>
      </w:r>
      <w:r>
        <w:rPr>
          <w:spacing w:val="2"/>
        </w:rPr>
        <w:t xml:space="preserve"> </w:t>
      </w:r>
      <w:r>
        <w:t>the</w:t>
      </w:r>
      <w:r>
        <w:rPr>
          <w:spacing w:val="1"/>
        </w:rPr>
        <w:t xml:space="preserve"> </w:t>
      </w:r>
      <w:r>
        <w:t>first</w:t>
      </w:r>
      <w:r>
        <w:rPr>
          <w:spacing w:val="2"/>
        </w:rPr>
        <w:t xml:space="preserve"> </w:t>
      </w:r>
      <w:r>
        <w:rPr>
          <w:spacing w:val="-2"/>
        </w:rPr>
        <w:t>instance</w:t>
      </w:r>
    </w:p>
    <w:p w14:paraId="1881C212" w14:textId="27E03DFC" w:rsidR="004F5C27" w:rsidRDefault="004F5C27" w:rsidP="0000278A">
      <w:pPr>
        <w:pStyle w:val="Bullet"/>
      </w:pPr>
      <w:r w:rsidRPr="004F5C27">
        <w:t>outline</w:t>
      </w:r>
      <w:r w:rsidRPr="004F5C27">
        <w:rPr>
          <w:spacing w:val="3"/>
        </w:rPr>
        <w:t xml:space="preserve"> </w:t>
      </w:r>
      <w:r w:rsidRPr="004F5C27">
        <w:t>how</w:t>
      </w:r>
      <w:r w:rsidRPr="004F5C27">
        <w:rPr>
          <w:spacing w:val="3"/>
        </w:rPr>
        <w:t xml:space="preserve"> </w:t>
      </w:r>
      <w:r w:rsidRPr="004F5C27">
        <w:t>its</w:t>
      </w:r>
      <w:r w:rsidRPr="004F5C27">
        <w:rPr>
          <w:spacing w:val="4"/>
        </w:rPr>
        <w:t xml:space="preserve"> </w:t>
      </w:r>
      <w:r w:rsidRPr="004F5C27">
        <w:t>policy</w:t>
      </w:r>
      <w:r w:rsidRPr="004F5C27">
        <w:rPr>
          <w:spacing w:val="3"/>
        </w:rPr>
        <w:t xml:space="preserve"> </w:t>
      </w:r>
      <w:r w:rsidRPr="004F5C27">
        <w:t>choices</w:t>
      </w:r>
      <w:r w:rsidRPr="004F5C27">
        <w:rPr>
          <w:spacing w:val="4"/>
        </w:rPr>
        <w:t xml:space="preserve"> </w:t>
      </w:r>
      <w:r w:rsidRPr="004F5C27">
        <w:t>during</w:t>
      </w:r>
      <w:r w:rsidRPr="004F5C27">
        <w:rPr>
          <w:spacing w:val="3"/>
        </w:rPr>
        <w:t xml:space="preserve"> </w:t>
      </w:r>
      <w:r w:rsidRPr="004F5C27">
        <w:t>these</w:t>
      </w:r>
      <w:r w:rsidRPr="004F5C27">
        <w:rPr>
          <w:spacing w:val="3"/>
        </w:rPr>
        <w:t xml:space="preserve"> </w:t>
      </w:r>
      <w:r w:rsidRPr="004F5C27">
        <w:t>periods</w:t>
      </w:r>
      <w:r w:rsidRPr="004F5C27">
        <w:rPr>
          <w:spacing w:val="4"/>
        </w:rPr>
        <w:t xml:space="preserve"> </w:t>
      </w:r>
      <w:r w:rsidRPr="004F5C27">
        <w:t>affect</w:t>
      </w:r>
      <w:r w:rsidRPr="004F5C27">
        <w:rPr>
          <w:spacing w:val="3"/>
        </w:rPr>
        <w:t xml:space="preserve"> </w:t>
      </w:r>
      <w:r w:rsidRPr="004F5C27">
        <w:t>its</w:t>
      </w:r>
      <w:r w:rsidRPr="004F5C27">
        <w:rPr>
          <w:spacing w:val="4"/>
        </w:rPr>
        <w:t xml:space="preserve"> </w:t>
      </w:r>
      <w:r w:rsidRPr="004F5C27">
        <w:t>ability</w:t>
      </w:r>
      <w:r w:rsidRPr="004F5C27">
        <w:rPr>
          <w:spacing w:val="3"/>
        </w:rPr>
        <w:t xml:space="preserve"> </w:t>
      </w:r>
      <w:r w:rsidRPr="004F5C27">
        <w:t>to</w:t>
      </w:r>
      <w:r w:rsidRPr="004F5C27">
        <w:rPr>
          <w:spacing w:val="3"/>
        </w:rPr>
        <w:t xml:space="preserve"> </w:t>
      </w:r>
      <w:r w:rsidRPr="004F5C27">
        <w:t>achieve</w:t>
      </w:r>
      <w:r w:rsidRPr="004F5C27">
        <w:rPr>
          <w:spacing w:val="4"/>
        </w:rPr>
        <w:t xml:space="preserve"> </w:t>
      </w:r>
      <w:r w:rsidRPr="004F5C27">
        <w:t>its</w:t>
      </w:r>
      <w:r w:rsidRPr="004F5C27">
        <w:rPr>
          <w:spacing w:val="3"/>
        </w:rPr>
        <w:t xml:space="preserve"> </w:t>
      </w:r>
      <w:r w:rsidRPr="004F5C27">
        <w:t>inflation</w:t>
      </w:r>
      <w:r w:rsidRPr="004F5C27">
        <w:rPr>
          <w:spacing w:val="4"/>
        </w:rPr>
        <w:t xml:space="preserve"> </w:t>
      </w:r>
      <w:r w:rsidRPr="004F5C27">
        <w:rPr>
          <w:spacing w:val="-5"/>
        </w:rPr>
        <w:t>and</w:t>
      </w:r>
      <w:r>
        <w:rPr>
          <w:spacing w:val="-5"/>
        </w:rPr>
        <w:t xml:space="preserve"> </w:t>
      </w:r>
      <w:r>
        <w:t>employment</w:t>
      </w:r>
      <w:r w:rsidRPr="004F5C27">
        <w:rPr>
          <w:spacing w:val="4"/>
        </w:rPr>
        <w:t xml:space="preserve"> </w:t>
      </w:r>
      <w:r>
        <w:t>objectives</w:t>
      </w:r>
      <w:r w:rsidRPr="004F5C27">
        <w:rPr>
          <w:spacing w:val="5"/>
        </w:rPr>
        <w:t xml:space="preserve"> </w:t>
      </w:r>
      <w:r>
        <w:t>in</w:t>
      </w:r>
      <w:r w:rsidRPr="004F5C27">
        <w:rPr>
          <w:spacing w:val="4"/>
        </w:rPr>
        <w:t xml:space="preserve"> </w:t>
      </w:r>
      <w:r>
        <w:t>the</w:t>
      </w:r>
      <w:r w:rsidRPr="004F5C27">
        <w:rPr>
          <w:spacing w:val="5"/>
        </w:rPr>
        <w:t xml:space="preserve"> </w:t>
      </w:r>
      <w:r>
        <w:t>short-</w:t>
      </w:r>
      <w:r w:rsidRPr="004F5C27">
        <w:rPr>
          <w:spacing w:val="4"/>
        </w:rPr>
        <w:t xml:space="preserve"> </w:t>
      </w:r>
      <w:r>
        <w:t>and</w:t>
      </w:r>
      <w:r w:rsidRPr="004F5C27">
        <w:rPr>
          <w:spacing w:val="5"/>
        </w:rPr>
        <w:t xml:space="preserve"> </w:t>
      </w:r>
      <w:r>
        <w:t>medium-</w:t>
      </w:r>
      <w:r w:rsidRPr="004F5C27">
        <w:rPr>
          <w:spacing w:val="-5"/>
        </w:rPr>
        <w:t>run</w:t>
      </w:r>
    </w:p>
    <w:p w14:paraId="44FEF6F1" w14:textId="77777777" w:rsidR="004F5C27" w:rsidRDefault="004F5C27" w:rsidP="0000278A">
      <w:pPr>
        <w:pStyle w:val="Bullet"/>
      </w:pPr>
      <w:r>
        <w:t>explain</w:t>
      </w:r>
      <w:r>
        <w:rPr>
          <w:spacing w:val="2"/>
        </w:rPr>
        <w:t xml:space="preserve"> </w:t>
      </w:r>
      <w:r>
        <w:t>how</w:t>
      </w:r>
      <w:r>
        <w:rPr>
          <w:spacing w:val="2"/>
        </w:rPr>
        <w:t xml:space="preserve"> </w:t>
      </w:r>
      <w:r>
        <w:t>it</w:t>
      </w:r>
      <w:r>
        <w:rPr>
          <w:spacing w:val="3"/>
        </w:rPr>
        <w:t xml:space="preserve"> </w:t>
      </w:r>
      <w:r>
        <w:t>came</w:t>
      </w:r>
      <w:r>
        <w:rPr>
          <w:spacing w:val="2"/>
        </w:rPr>
        <w:t xml:space="preserve"> </w:t>
      </w:r>
      <w:r>
        <w:t>to</w:t>
      </w:r>
      <w:r>
        <w:rPr>
          <w:spacing w:val="2"/>
        </w:rPr>
        <w:t xml:space="preserve"> </w:t>
      </w:r>
      <w:r>
        <w:t>the</w:t>
      </w:r>
      <w:r>
        <w:rPr>
          <w:spacing w:val="3"/>
        </w:rPr>
        <w:t xml:space="preserve"> </w:t>
      </w:r>
      <w:r>
        <w:t>view</w:t>
      </w:r>
      <w:r>
        <w:rPr>
          <w:spacing w:val="2"/>
        </w:rPr>
        <w:t xml:space="preserve"> </w:t>
      </w:r>
      <w:r>
        <w:t>that</w:t>
      </w:r>
      <w:r>
        <w:rPr>
          <w:spacing w:val="2"/>
        </w:rPr>
        <w:t xml:space="preserve"> </w:t>
      </w:r>
      <w:r>
        <w:t>the</w:t>
      </w:r>
      <w:r>
        <w:rPr>
          <w:spacing w:val="3"/>
        </w:rPr>
        <w:t xml:space="preserve"> </w:t>
      </w:r>
      <w:r>
        <w:t>medium-term</w:t>
      </w:r>
      <w:r>
        <w:rPr>
          <w:spacing w:val="2"/>
        </w:rPr>
        <w:t xml:space="preserve"> </w:t>
      </w:r>
      <w:r>
        <w:t>benefits</w:t>
      </w:r>
      <w:r>
        <w:rPr>
          <w:spacing w:val="2"/>
        </w:rPr>
        <w:t xml:space="preserve"> </w:t>
      </w:r>
      <w:r>
        <w:t>outweigh</w:t>
      </w:r>
      <w:r>
        <w:rPr>
          <w:spacing w:val="3"/>
        </w:rPr>
        <w:t xml:space="preserve"> </w:t>
      </w:r>
      <w:r>
        <w:t>the</w:t>
      </w:r>
      <w:r>
        <w:rPr>
          <w:spacing w:val="2"/>
        </w:rPr>
        <w:t xml:space="preserve"> </w:t>
      </w:r>
      <w:r>
        <w:t>short-run</w:t>
      </w:r>
      <w:r>
        <w:rPr>
          <w:spacing w:val="3"/>
        </w:rPr>
        <w:t xml:space="preserve"> </w:t>
      </w:r>
      <w:r>
        <w:rPr>
          <w:spacing w:val="-2"/>
        </w:rPr>
        <w:t>costs.</w:t>
      </w:r>
    </w:p>
    <w:p w14:paraId="12AE99BA" w14:textId="77777777" w:rsidR="004F5C27" w:rsidRPr="003F56DA" w:rsidRDefault="004F5C27" w:rsidP="003F56DA">
      <w:pPr>
        <w:pStyle w:val="Heading3"/>
      </w:pPr>
      <w:r w:rsidRPr="003F56DA">
        <w:t>Recommendation 10.2: Require external Monetary Policy Board members to occasionally discuss publicly the decisions of the Monetary Policy Board</w:t>
      </w:r>
    </w:p>
    <w:p w14:paraId="3AC84214" w14:textId="491E9F52" w:rsidR="004F5C27" w:rsidRDefault="004F5C27" w:rsidP="004F5C27">
      <w:r>
        <w:t>As</w:t>
      </w:r>
      <w:r>
        <w:rPr>
          <w:spacing w:val="3"/>
        </w:rPr>
        <w:t xml:space="preserve"> </w:t>
      </w:r>
      <w:r>
        <w:t>decision</w:t>
      </w:r>
      <w:r>
        <w:rPr>
          <w:spacing w:val="4"/>
        </w:rPr>
        <w:t xml:space="preserve"> </w:t>
      </w:r>
      <w:r>
        <w:t>makers</w:t>
      </w:r>
      <w:r>
        <w:rPr>
          <w:spacing w:val="4"/>
        </w:rPr>
        <w:t xml:space="preserve"> </w:t>
      </w:r>
      <w:r>
        <w:t>afforded</w:t>
      </w:r>
      <w:r>
        <w:rPr>
          <w:spacing w:val="3"/>
        </w:rPr>
        <w:t xml:space="preserve"> </w:t>
      </w:r>
      <w:r>
        <w:t>with</w:t>
      </w:r>
      <w:r>
        <w:rPr>
          <w:spacing w:val="4"/>
        </w:rPr>
        <w:t xml:space="preserve"> </w:t>
      </w:r>
      <w:r>
        <w:t>significant</w:t>
      </w:r>
      <w:r>
        <w:rPr>
          <w:spacing w:val="4"/>
        </w:rPr>
        <w:t xml:space="preserve"> </w:t>
      </w:r>
      <w:r>
        <w:t>independence,</w:t>
      </w:r>
      <w:r>
        <w:rPr>
          <w:spacing w:val="4"/>
        </w:rPr>
        <w:t xml:space="preserve"> </w:t>
      </w:r>
      <w:r>
        <w:t>Monetary</w:t>
      </w:r>
      <w:r>
        <w:rPr>
          <w:spacing w:val="3"/>
        </w:rPr>
        <w:t xml:space="preserve"> </w:t>
      </w:r>
      <w:r>
        <w:t>Policy</w:t>
      </w:r>
      <w:r>
        <w:rPr>
          <w:spacing w:val="4"/>
        </w:rPr>
        <w:t xml:space="preserve"> </w:t>
      </w:r>
      <w:r>
        <w:t>Board</w:t>
      </w:r>
      <w:r>
        <w:rPr>
          <w:spacing w:val="4"/>
        </w:rPr>
        <w:t xml:space="preserve"> </w:t>
      </w:r>
      <w:r>
        <w:t>members</w:t>
      </w:r>
      <w:r>
        <w:rPr>
          <w:spacing w:val="4"/>
        </w:rPr>
        <w:t xml:space="preserve"> </w:t>
      </w:r>
      <w:r>
        <w:rPr>
          <w:spacing w:val="-4"/>
        </w:rPr>
        <w:t xml:space="preserve">need </w:t>
      </w:r>
      <w:r>
        <w:rPr>
          <w:color w:val="231F20"/>
        </w:rPr>
        <w:t>to be</w:t>
      </w:r>
      <w:r>
        <w:rPr>
          <w:color w:val="231F20"/>
          <w:spacing w:val="1"/>
        </w:rPr>
        <w:t xml:space="preserve"> </w:t>
      </w:r>
      <w:r>
        <w:rPr>
          <w:color w:val="231F20"/>
        </w:rPr>
        <w:t>accountable and</w:t>
      </w:r>
      <w:r>
        <w:rPr>
          <w:color w:val="231F20"/>
          <w:spacing w:val="1"/>
        </w:rPr>
        <w:t xml:space="preserve"> </w:t>
      </w:r>
      <w:r>
        <w:rPr>
          <w:color w:val="231F20"/>
        </w:rPr>
        <w:t>so</w:t>
      </w:r>
      <w:r>
        <w:rPr>
          <w:color w:val="231F20"/>
          <w:spacing w:val="1"/>
        </w:rPr>
        <w:t xml:space="preserve"> </w:t>
      </w:r>
      <w:r>
        <w:rPr>
          <w:color w:val="231F20"/>
        </w:rPr>
        <w:t>should be</w:t>
      </w:r>
      <w:r>
        <w:rPr>
          <w:color w:val="231F20"/>
          <w:spacing w:val="1"/>
        </w:rPr>
        <w:t xml:space="preserve"> </w:t>
      </w:r>
      <w:r>
        <w:rPr>
          <w:color w:val="231F20"/>
        </w:rPr>
        <w:t>expected</w:t>
      </w:r>
      <w:r>
        <w:rPr>
          <w:color w:val="231F20"/>
          <w:spacing w:val="1"/>
        </w:rPr>
        <w:t xml:space="preserve"> </w:t>
      </w:r>
      <w:r>
        <w:rPr>
          <w:color w:val="231F20"/>
        </w:rPr>
        <w:t>to explain</w:t>
      </w:r>
      <w:r>
        <w:rPr>
          <w:color w:val="231F20"/>
          <w:spacing w:val="1"/>
        </w:rPr>
        <w:t xml:space="preserve"> </w:t>
      </w:r>
      <w:r>
        <w:rPr>
          <w:color w:val="231F20"/>
        </w:rPr>
        <w:t>the Board’s</w:t>
      </w:r>
      <w:r>
        <w:rPr>
          <w:color w:val="231F20"/>
          <w:spacing w:val="1"/>
        </w:rPr>
        <w:t xml:space="preserve"> </w:t>
      </w:r>
      <w:r>
        <w:rPr>
          <w:color w:val="231F20"/>
        </w:rPr>
        <w:t>views</w:t>
      </w:r>
      <w:r>
        <w:rPr>
          <w:color w:val="231F20"/>
          <w:spacing w:val="1"/>
        </w:rPr>
        <w:t xml:space="preserve"> </w:t>
      </w:r>
      <w:r>
        <w:rPr>
          <w:color w:val="231F20"/>
        </w:rPr>
        <w:t>on key</w:t>
      </w:r>
      <w:r>
        <w:rPr>
          <w:color w:val="231F20"/>
          <w:spacing w:val="1"/>
        </w:rPr>
        <w:t xml:space="preserve"> </w:t>
      </w:r>
      <w:r>
        <w:rPr>
          <w:color w:val="231F20"/>
        </w:rPr>
        <w:t>issues</w:t>
      </w:r>
      <w:r>
        <w:rPr>
          <w:color w:val="231F20"/>
          <w:spacing w:val="1"/>
        </w:rPr>
        <w:t xml:space="preserve"> </w:t>
      </w:r>
      <w:r>
        <w:rPr>
          <w:color w:val="231F20"/>
        </w:rPr>
        <w:t>in public</w:t>
      </w:r>
      <w:r w:rsidR="0068598E">
        <w:rPr>
          <w:color w:val="231F20"/>
          <w:spacing w:val="-23"/>
        </w:rPr>
        <w:t>.</w:t>
      </w:r>
    </w:p>
    <w:p w14:paraId="2F9BD7E7" w14:textId="5314A99A" w:rsidR="004F5C27" w:rsidRDefault="004F5C27" w:rsidP="004F5C27">
      <w:r>
        <w:t xml:space="preserve">The current </w:t>
      </w:r>
      <w:r>
        <w:rPr>
          <w:i/>
        </w:rPr>
        <w:t xml:space="preserve">Code of Conduct </w:t>
      </w:r>
      <w:r>
        <w:t>for Reserve Bank Board members prevents external Reserve Bank Board members from speaking on monetary and financial system stability policy in public. The Review recommends that this restriction be removed so that all Monetary Policy Board members can speak publicly about the decisions and thinking of the Monetary Policy Board</w:t>
      </w:r>
      <w:r w:rsidR="0068598E">
        <w:rPr>
          <w:spacing w:val="-17"/>
        </w:rPr>
        <w:t>.</w:t>
      </w:r>
    </w:p>
    <w:p w14:paraId="08B67C35" w14:textId="2070783B" w:rsidR="004F5C27" w:rsidRDefault="004F5C27" w:rsidP="004F5C27">
      <w:r>
        <w:t>The Review heard some concerns that allowing Board members to speak publicly on policy would result</w:t>
      </w:r>
      <w:r>
        <w:rPr>
          <w:spacing w:val="-1"/>
        </w:rPr>
        <w:t xml:space="preserve"> </w:t>
      </w:r>
      <w:r>
        <w:t>in</w:t>
      </w:r>
      <w:r>
        <w:rPr>
          <w:spacing w:val="-1"/>
        </w:rPr>
        <w:t xml:space="preserve"> </w:t>
      </w:r>
      <w:r>
        <w:t>a</w:t>
      </w:r>
      <w:r>
        <w:rPr>
          <w:spacing w:val="-1"/>
        </w:rPr>
        <w:t xml:space="preserve"> </w:t>
      </w:r>
      <w:r>
        <w:t>‘cacophony</w:t>
      </w:r>
      <w:r>
        <w:rPr>
          <w:spacing w:val="-1"/>
        </w:rPr>
        <w:t xml:space="preserve"> </w:t>
      </w:r>
      <w:r>
        <w:t>of</w:t>
      </w:r>
      <w:r>
        <w:rPr>
          <w:spacing w:val="-1"/>
        </w:rPr>
        <w:t xml:space="preserve"> </w:t>
      </w:r>
      <w:r>
        <w:t>voices’</w:t>
      </w:r>
      <w:r w:rsidR="0068598E">
        <w:rPr>
          <w:spacing w:val="-25"/>
        </w:rPr>
        <w:t>.</w:t>
      </w:r>
      <w:r>
        <w:rPr>
          <w:w w:val="85"/>
        </w:rPr>
        <w:t xml:space="preserve"> </w:t>
      </w:r>
      <w:r>
        <w:t>As</w:t>
      </w:r>
      <w:r>
        <w:rPr>
          <w:spacing w:val="-1"/>
        </w:rPr>
        <w:t xml:space="preserve"> </w:t>
      </w:r>
      <w:r>
        <w:t>Blinder</w:t>
      </w:r>
      <w:r>
        <w:rPr>
          <w:spacing w:val="-1"/>
        </w:rPr>
        <w:t xml:space="preserve"> </w:t>
      </w:r>
      <w:r>
        <w:t>(2004)</w:t>
      </w:r>
      <w:r>
        <w:rPr>
          <w:spacing w:val="-1"/>
        </w:rPr>
        <w:t xml:space="preserve"> </w:t>
      </w:r>
      <w:r>
        <w:t>notes,</w:t>
      </w:r>
      <w:r>
        <w:rPr>
          <w:spacing w:val="-1"/>
        </w:rPr>
        <w:t xml:space="preserve"> </w:t>
      </w:r>
      <w:r>
        <w:t>a</w:t>
      </w:r>
      <w:r>
        <w:rPr>
          <w:spacing w:val="-1"/>
        </w:rPr>
        <w:t xml:space="preserve"> </w:t>
      </w:r>
      <w:r>
        <w:t>central</w:t>
      </w:r>
      <w:r>
        <w:rPr>
          <w:spacing w:val="-1"/>
        </w:rPr>
        <w:t xml:space="preserve"> </w:t>
      </w:r>
      <w:r>
        <w:t>bank</w:t>
      </w:r>
      <w:r>
        <w:rPr>
          <w:spacing w:val="-1"/>
        </w:rPr>
        <w:t xml:space="preserve"> </w:t>
      </w:r>
      <w:r>
        <w:t>that</w:t>
      </w:r>
      <w:r>
        <w:rPr>
          <w:spacing w:val="-1"/>
        </w:rPr>
        <w:t xml:space="preserve"> </w:t>
      </w:r>
      <w:r>
        <w:t>speaks</w:t>
      </w:r>
      <w:r>
        <w:rPr>
          <w:spacing w:val="-1"/>
        </w:rPr>
        <w:t xml:space="preserve"> </w:t>
      </w:r>
      <w:r>
        <w:t>with</w:t>
      </w:r>
      <w:r>
        <w:rPr>
          <w:spacing w:val="-1"/>
        </w:rPr>
        <w:t xml:space="preserve"> </w:t>
      </w:r>
      <w:r>
        <w:t>too</w:t>
      </w:r>
      <w:r>
        <w:rPr>
          <w:spacing w:val="-1"/>
        </w:rPr>
        <w:t xml:space="preserve"> </w:t>
      </w:r>
      <w:r>
        <w:t>many voices, may, in effect, have no voice at all. That said, differing views and perspectives can improve transparency and reveal relevant information to the path of future policy (Blinder 2018)</w:t>
      </w:r>
      <w:r w:rsidR="0068598E">
        <w:rPr>
          <w:spacing w:val="-20"/>
        </w:rPr>
        <w:t>.</w:t>
      </w:r>
      <w:r>
        <w:rPr>
          <w:w w:val="85"/>
        </w:rPr>
        <w:t xml:space="preserve"> </w:t>
      </w:r>
      <w:r>
        <w:t xml:space="preserve">Also, a requirement to speak to Australians from time to time on policy issues strengthens the incentives to </w:t>
      </w:r>
      <w:r>
        <w:lastRenderedPageBreak/>
        <w:t>form considered views and foster a sense of ownership of Monetary Policy Board decisions, which discourages free riding</w:t>
      </w:r>
      <w:r w:rsidR="0068598E">
        <w:rPr>
          <w:spacing w:val="-9"/>
        </w:rPr>
        <w:t>.</w:t>
      </w:r>
    </w:p>
    <w:p w14:paraId="5BC7B513" w14:textId="6B6D9B75" w:rsidR="004F5C27" w:rsidRDefault="004F5C27" w:rsidP="004F5C27">
      <w:r>
        <w:t>On balance, the Review considers that occasional commentary from external members of the Monetary Policy Board would provide a suitable level of accountability</w:t>
      </w:r>
      <w:r w:rsidR="0068598E">
        <w:rPr>
          <w:spacing w:val="-17"/>
        </w:rPr>
        <w:t>.</w:t>
      </w:r>
      <w:r>
        <w:rPr>
          <w:w w:val="85"/>
        </w:rPr>
        <w:t xml:space="preserve"> </w:t>
      </w:r>
      <w:r>
        <w:t>In particular, external members of the Monetary Policy Board should be expected to make at least one speech or participate in at least one public engagement (such as a business or community roundtable, including</w:t>
      </w:r>
      <w:r>
        <w:rPr>
          <w:spacing w:val="-2"/>
        </w:rPr>
        <w:t xml:space="preserve"> </w:t>
      </w:r>
      <w:r>
        <w:t>in</w:t>
      </w:r>
      <w:r>
        <w:rPr>
          <w:spacing w:val="-2"/>
        </w:rPr>
        <w:t xml:space="preserve"> </w:t>
      </w:r>
      <w:r>
        <w:t>regional</w:t>
      </w:r>
      <w:r>
        <w:rPr>
          <w:spacing w:val="-2"/>
        </w:rPr>
        <w:t xml:space="preserve"> </w:t>
      </w:r>
      <w:r>
        <w:t>Australia)</w:t>
      </w:r>
      <w:r>
        <w:rPr>
          <w:spacing w:val="-2"/>
        </w:rPr>
        <w:t xml:space="preserve"> </w:t>
      </w:r>
      <w:r>
        <w:t>a</w:t>
      </w:r>
      <w:r>
        <w:rPr>
          <w:spacing w:val="-2"/>
        </w:rPr>
        <w:t xml:space="preserve"> </w:t>
      </w:r>
      <w:r>
        <w:t>year</w:t>
      </w:r>
      <w:r w:rsidR="0068598E">
        <w:rPr>
          <w:spacing w:val="-25"/>
        </w:rPr>
        <w:t>.</w:t>
      </w:r>
      <w:r>
        <w:rPr>
          <w:w w:val="85"/>
        </w:rPr>
        <w:t xml:space="preserve"> </w:t>
      </w:r>
      <w:r>
        <w:t>Board</w:t>
      </w:r>
      <w:r>
        <w:rPr>
          <w:spacing w:val="-2"/>
        </w:rPr>
        <w:t xml:space="preserve"> </w:t>
      </w:r>
      <w:r>
        <w:t>members</w:t>
      </w:r>
      <w:r>
        <w:rPr>
          <w:spacing w:val="-2"/>
        </w:rPr>
        <w:t xml:space="preserve"> </w:t>
      </w:r>
      <w:r>
        <w:t>should</w:t>
      </w:r>
      <w:r>
        <w:rPr>
          <w:spacing w:val="-2"/>
        </w:rPr>
        <w:t xml:space="preserve"> </w:t>
      </w:r>
      <w:r>
        <w:t>be</w:t>
      </w:r>
      <w:r>
        <w:rPr>
          <w:spacing w:val="-2"/>
        </w:rPr>
        <w:t xml:space="preserve"> </w:t>
      </w:r>
      <w:r>
        <w:t>given</w:t>
      </w:r>
      <w:r>
        <w:rPr>
          <w:spacing w:val="-2"/>
        </w:rPr>
        <w:t xml:space="preserve"> </w:t>
      </w:r>
      <w:r>
        <w:t>appropriate</w:t>
      </w:r>
      <w:r>
        <w:rPr>
          <w:spacing w:val="-2"/>
        </w:rPr>
        <w:t xml:space="preserve"> </w:t>
      </w:r>
      <w:r>
        <w:t>support</w:t>
      </w:r>
      <w:r>
        <w:rPr>
          <w:spacing w:val="-2"/>
        </w:rPr>
        <w:t xml:space="preserve"> </w:t>
      </w:r>
      <w:r>
        <w:t>from RBA staff members to do this (see Recommendation 9.2).</w:t>
      </w:r>
    </w:p>
    <w:p w14:paraId="49C48341" w14:textId="5D91329A" w:rsidR="00760A50" w:rsidRDefault="00760A50" w:rsidP="00760A50">
      <w:pPr>
        <w:pStyle w:val="Heading3"/>
      </w:pPr>
      <w:r>
        <w:t>Recommendation 10.3: Require Monetary Policy Board members to approve</w:t>
      </w:r>
      <w:r>
        <w:rPr>
          <w:spacing w:val="-11"/>
        </w:rPr>
        <w:t xml:space="preserve"> </w:t>
      </w:r>
      <w:r>
        <w:t>the</w:t>
      </w:r>
      <w:r>
        <w:rPr>
          <w:spacing w:val="-11"/>
        </w:rPr>
        <w:t xml:space="preserve"> </w:t>
      </w:r>
      <w:r>
        <w:t>post-meeting</w:t>
      </w:r>
      <w:r>
        <w:rPr>
          <w:spacing w:val="-11"/>
        </w:rPr>
        <w:t xml:space="preserve"> </w:t>
      </w:r>
      <w:r>
        <w:t>statement</w:t>
      </w:r>
      <w:r>
        <w:rPr>
          <w:spacing w:val="-11"/>
        </w:rPr>
        <w:t xml:space="preserve"> </w:t>
      </w:r>
      <w:r>
        <w:t>and</w:t>
      </w:r>
      <w:r>
        <w:rPr>
          <w:spacing w:val="-11"/>
        </w:rPr>
        <w:t xml:space="preserve"> </w:t>
      </w:r>
      <w:r>
        <w:t>publish</w:t>
      </w:r>
      <w:r>
        <w:rPr>
          <w:spacing w:val="-11"/>
        </w:rPr>
        <w:t xml:space="preserve"> </w:t>
      </w:r>
      <w:r>
        <w:t>unattributed</w:t>
      </w:r>
      <w:r>
        <w:rPr>
          <w:spacing w:val="-11"/>
        </w:rPr>
        <w:t xml:space="preserve"> </w:t>
      </w:r>
      <w:r>
        <w:t>votes</w:t>
      </w:r>
    </w:p>
    <w:p w14:paraId="12EC2577" w14:textId="77777777" w:rsidR="00760A50" w:rsidRDefault="00760A50" w:rsidP="00760A50">
      <w:pPr>
        <w:pStyle w:val="Heading4"/>
      </w:pPr>
      <w:r>
        <w:t>Monetary</w:t>
      </w:r>
      <w:r>
        <w:rPr>
          <w:spacing w:val="1"/>
        </w:rPr>
        <w:t xml:space="preserve"> </w:t>
      </w:r>
      <w:r>
        <w:t>Policy</w:t>
      </w:r>
      <w:r>
        <w:rPr>
          <w:spacing w:val="3"/>
        </w:rPr>
        <w:t xml:space="preserve"> </w:t>
      </w:r>
      <w:r>
        <w:t>Board</w:t>
      </w:r>
      <w:r>
        <w:rPr>
          <w:spacing w:val="3"/>
        </w:rPr>
        <w:t xml:space="preserve"> </w:t>
      </w:r>
      <w:r>
        <w:t>members</w:t>
      </w:r>
      <w:r>
        <w:rPr>
          <w:spacing w:val="3"/>
        </w:rPr>
        <w:t xml:space="preserve"> </w:t>
      </w:r>
      <w:r>
        <w:t>to</w:t>
      </w:r>
      <w:r>
        <w:rPr>
          <w:spacing w:val="3"/>
        </w:rPr>
        <w:t xml:space="preserve"> </w:t>
      </w:r>
      <w:r>
        <w:t>approve</w:t>
      </w:r>
      <w:r>
        <w:rPr>
          <w:spacing w:val="3"/>
        </w:rPr>
        <w:t xml:space="preserve"> </w:t>
      </w:r>
      <w:r>
        <w:t>the</w:t>
      </w:r>
      <w:r>
        <w:rPr>
          <w:spacing w:val="3"/>
        </w:rPr>
        <w:t xml:space="preserve"> </w:t>
      </w:r>
      <w:r>
        <w:t>post-meeting</w:t>
      </w:r>
      <w:r>
        <w:rPr>
          <w:spacing w:val="4"/>
        </w:rPr>
        <w:t xml:space="preserve"> </w:t>
      </w:r>
      <w:r>
        <w:rPr>
          <w:spacing w:val="-2"/>
        </w:rPr>
        <w:t>statement</w:t>
      </w:r>
    </w:p>
    <w:p w14:paraId="0865F956" w14:textId="64FBC2F2" w:rsidR="00760A50" w:rsidRDefault="00760A50" w:rsidP="00760A50">
      <w:r>
        <w:t>The public statement released immediately after Reserve Bank Board meetings is currently approved and signed by the Governor. This arrangement reflects the Governor’s role as the sole spokesperson for the Reserve Bank Board. The Review finds that this approach does not accurately convey that monetary policy decisions are the collective responsibility of all members of the</w:t>
      </w:r>
      <w:r>
        <w:rPr>
          <w:spacing w:val="80"/>
        </w:rPr>
        <w:t xml:space="preserve"> </w:t>
      </w:r>
      <w:r>
        <w:t>Reserve Bank Board</w:t>
      </w:r>
      <w:r w:rsidR="0068598E">
        <w:rPr>
          <w:spacing w:val="-11"/>
        </w:rPr>
        <w:t>.</w:t>
      </w:r>
    </w:p>
    <w:p w14:paraId="4B1B0712" w14:textId="31957AD7" w:rsidR="00760A50" w:rsidRDefault="00760A50" w:rsidP="00760A50">
      <w:r>
        <w:t>The</w:t>
      </w:r>
      <w:r>
        <w:rPr>
          <w:spacing w:val="-1"/>
        </w:rPr>
        <w:t xml:space="preserve"> </w:t>
      </w:r>
      <w:r>
        <w:t>Review</w:t>
      </w:r>
      <w:r>
        <w:rPr>
          <w:spacing w:val="-1"/>
        </w:rPr>
        <w:t xml:space="preserve"> </w:t>
      </w:r>
      <w:r>
        <w:t>recommends</w:t>
      </w:r>
      <w:r>
        <w:rPr>
          <w:spacing w:val="-1"/>
        </w:rPr>
        <w:t xml:space="preserve"> </w:t>
      </w:r>
      <w:r>
        <w:t>that</w:t>
      </w:r>
      <w:r>
        <w:rPr>
          <w:spacing w:val="-1"/>
        </w:rPr>
        <w:t xml:space="preserve"> </w:t>
      </w:r>
      <w:r>
        <w:t>the</w:t>
      </w:r>
      <w:r>
        <w:rPr>
          <w:spacing w:val="-1"/>
        </w:rPr>
        <w:t xml:space="preserve"> </w:t>
      </w:r>
      <w:r>
        <w:t>Monetary</w:t>
      </w:r>
      <w:r>
        <w:rPr>
          <w:spacing w:val="-1"/>
        </w:rPr>
        <w:t xml:space="preserve"> </w:t>
      </w:r>
      <w:r>
        <w:t>Policy</w:t>
      </w:r>
      <w:r>
        <w:rPr>
          <w:spacing w:val="-1"/>
        </w:rPr>
        <w:t xml:space="preserve"> </w:t>
      </w:r>
      <w:r>
        <w:t>Board</w:t>
      </w:r>
      <w:r>
        <w:rPr>
          <w:spacing w:val="-1"/>
        </w:rPr>
        <w:t xml:space="preserve"> </w:t>
      </w:r>
      <w:r>
        <w:t>approve</w:t>
      </w:r>
      <w:r>
        <w:rPr>
          <w:spacing w:val="-1"/>
        </w:rPr>
        <w:t xml:space="preserve"> </w:t>
      </w:r>
      <w:r>
        <w:t>the</w:t>
      </w:r>
      <w:r>
        <w:rPr>
          <w:spacing w:val="-1"/>
        </w:rPr>
        <w:t xml:space="preserve"> </w:t>
      </w:r>
      <w:r>
        <w:t>public</w:t>
      </w:r>
      <w:r>
        <w:rPr>
          <w:spacing w:val="-1"/>
        </w:rPr>
        <w:t xml:space="preserve"> </w:t>
      </w:r>
      <w:r>
        <w:t>statement</w:t>
      </w:r>
      <w:r>
        <w:rPr>
          <w:spacing w:val="-1"/>
        </w:rPr>
        <w:t xml:space="preserve"> </w:t>
      </w:r>
      <w:r>
        <w:t>released after each Board meeting, as a fair reflection of the decision and discussion. This change would be</w:t>
      </w:r>
      <w:r>
        <w:rPr>
          <w:spacing w:val="-5"/>
        </w:rPr>
        <w:t xml:space="preserve"> </w:t>
      </w:r>
      <w:r>
        <w:t>consistent</w:t>
      </w:r>
      <w:r>
        <w:rPr>
          <w:spacing w:val="-5"/>
        </w:rPr>
        <w:t xml:space="preserve"> </w:t>
      </w:r>
      <w:r>
        <w:t>with</w:t>
      </w:r>
      <w:r>
        <w:rPr>
          <w:spacing w:val="-5"/>
        </w:rPr>
        <w:t xml:space="preserve"> </w:t>
      </w:r>
      <w:r>
        <w:t>the</w:t>
      </w:r>
      <w:r>
        <w:rPr>
          <w:spacing w:val="-5"/>
        </w:rPr>
        <w:t xml:space="preserve"> </w:t>
      </w:r>
      <w:r>
        <w:t>approach</w:t>
      </w:r>
      <w:r>
        <w:rPr>
          <w:spacing w:val="-5"/>
        </w:rPr>
        <w:t xml:space="preserve"> </w:t>
      </w:r>
      <w:r>
        <w:t>adopted</w:t>
      </w:r>
      <w:r>
        <w:rPr>
          <w:spacing w:val="-5"/>
        </w:rPr>
        <w:t xml:space="preserve"> </w:t>
      </w:r>
      <w:r>
        <w:t>by</w:t>
      </w:r>
      <w:r>
        <w:rPr>
          <w:spacing w:val="-5"/>
        </w:rPr>
        <w:t xml:space="preserve"> </w:t>
      </w:r>
      <w:r>
        <w:t>a</w:t>
      </w:r>
      <w:r>
        <w:rPr>
          <w:spacing w:val="-5"/>
        </w:rPr>
        <w:t xml:space="preserve"> </w:t>
      </w:r>
      <w:r>
        <w:t>number</w:t>
      </w:r>
      <w:r>
        <w:rPr>
          <w:spacing w:val="-5"/>
        </w:rPr>
        <w:t xml:space="preserve"> </w:t>
      </w:r>
      <w:r>
        <w:t>of</w:t>
      </w:r>
      <w:r>
        <w:rPr>
          <w:spacing w:val="-5"/>
        </w:rPr>
        <w:t xml:space="preserve"> </w:t>
      </w:r>
      <w:r>
        <w:t>peer</w:t>
      </w:r>
      <w:r>
        <w:rPr>
          <w:spacing w:val="-5"/>
        </w:rPr>
        <w:t xml:space="preserve"> </w:t>
      </w:r>
      <w:r>
        <w:t>central</w:t>
      </w:r>
      <w:r>
        <w:rPr>
          <w:spacing w:val="-5"/>
        </w:rPr>
        <w:t xml:space="preserve"> </w:t>
      </w:r>
      <w:r>
        <w:t>banks</w:t>
      </w:r>
      <w:r>
        <w:rPr>
          <w:spacing w:val="-5"/>
        </w:rPr>
        <w:t xml:space="preserve"> </w:t>
      </w:r>
      <w:r>
        <w:t>that</w:t>
      </w:r>
      <w:r>
        <w:rPr>
          <w:spacing w:val="-5"/>
        </w:rPr>
        <w:t xml:space="preserve"> </w:t>
      </w:r>
      <w:r>
        <w:t>have</w:t>
      </w:r>
      <w:r>
        <w:rPr>
          <w:spacing w:val="-5"/>
        </w:rPr>
        <w:t xml:space="preserve"> </w:t>
      </w:r>
      <w:r>
        <w:t>dedicated bodies for monetary policy decision making, including the Bank of England</w:t>
      </w:r>
      <w:r w:rsidR="0068598E">
        <w:rPr>
          <w:spacing w:val="-18"/>
        </w:rPr>
        <w:t>.</w:t>
      </w:r>
    </w:p>
    <w:p w14:paraId="66F1F31F" w14:textId="77777777" w:rsidR="00760A50" w:rsidRDefault="00760A50" w:rsidP="004052C0">
      <w:pPr>
        <w:pStyle w:val="Heading4"/>
      </w:pPr>
      <w:r>
        <w:t>Unattributed voting</w:t>
      </w:r>
      <w:r>
        <w:rPr>
          <w:spacing w:val="3"/>
        </w:rPr>
        <w:t xml:space="preserve"> </w:t>
      </w:r>
      <w:r>
        <w:t>records</w:t>
      </w:r>
      <w:r>
        <w:rPr>
          <w:spacing w:val="3"/>
        </w:rPr>
        <w:t xml:space="preserve"> </w:t>
      </w:r>
      <w:r>
        <w:t>for</w:t>
      </w:r>
      <w:r>
        <w:rPr>
          <w:spacing w:val="2"/>
        </w:rPr>
        <w:t xml:space="preserve"> </w:t>
      </w:r>
      <w:r>
        <w:t>Monetary</w:t>
      </w:r>
      <w:r>
        <w:rPr>
          <w:spacing w:val="3"/>
        </w:rPr>
        <w:t xml:space="preserve"> </w:t>
      </w:r>
      <w:r>
        <w:t>Policy</w:t>
      </w:r>
      <w:r>
        <w:rPr>
          <w:spacing w:val="3"/>
        </w:rPr>
        <w:t xml:space="preserve"> </w:t>
      </w:r>
      <w:r>
        <w:t>Board</w:t>
      </w:r>
      <w:r>
        <w:rPr>
          <w:spacing w:val="3"/>
        </w:rPr>
        <w:t xml:space="preserve"> </w:t>
      </w:r>
      <w:r>
        <w:rPr>
          <w:spacing w:val="-2"/>
        </w:rPr>
        <w:t>meetings</w:t>
      </w:r>
    </w:p>
    <w:p w14:paraId="6B08C99F" w14:textId="01695F05" w:rsidR="00760A50" w:rsidRDefault="00760A50" w:rsidP="00760A50">
      <w:pPr>
        <w:rPr>
          <w:i/>
        </w:rPr>
      </w:pPr>
      <w:r>
        <w:t>The Review recommends publishing an unattributed record of votes of the Monetary Policy Board in the post-meeting statement</w:t>
      </w:r>
      <w:r w:rsidR="0068598E">
        <w:rPr>
          <w:spacing w:val="-22"/>
        </w:rPr>
        <w:t>.</w:t>
      </w:r>
      <w:r>
        <w:rPr>
          <w:w w:val="85"/>
        </w:rPr>
        <w:t xml:space="preserve"> </w:t>
      </w:r>
      <w:r>
        <w:t>This would involve publishing the number of members who voted in favour of the decision, voted for an alternative and abstained</w:t>
      </w:r>
      <w:r w:rsidR="0068598E">
        <w:rPr>
          <w:spacing w:val="-21"/>
        </w:rPr>
        <w:t>.</w:t>
      </w:r>
      <w:r>
        <w:rPr>
          <w:w w:val="85"/>
        </w:rPr>
        <w:t xml:space="preserve"> </w:t>
      </w:r>
      <w:r>
        <w:t xml:space="preserve">The </w:t>
      </w:r>
      <w:r>
        <w:rPr>
          <w:i/>
        </w:rPr>
        <w:t xml:space="preserve">Minutes </w:t>
      </w:r>
      <w:r>
        <w:t>should describe the areas of disagreement</w:t>
      </w:r>
      <w:r>
        <w:rPr>
          <w:i/>
        </w:rPr>
        <w:t>.</w:t>
      </w:r>
    </w:p>
    <w:p w14:paraId="4B2BBF0A" w14:textId="705C5B9F" w:rsidR="00760A50" w:rsidRDefault="00760A50" w:rsidP="00760A50">
      <w:r>
        <w:t>Voting records would provide information about the level of consensus on the Monetary Policy Board</w:t>
      </w:r>
      <w:r w:rsidR="0068598E">
        <w:rPr>
          <w:spacing w:val="-19"/>
        </w:rPr>
        <w:t>.</w:t>
      </w:r>
      <w:r>
        <w:rPr>
          <w:w w:val="85"/>
        </w:rPr>
        <w:t xml:space="preserve"> </w:t>
      </w:r>
      <w:r>
        <w:t>In other countries, this has been shown to provide useful information about future monetary policy (Horváth and others 2012). In particular, it helps financial markets to update their expectations about future policy</w:t>
      </w:r>
      <w:r w:rsidR="0068598E">
        <w:rPr>
          <w:spacing w:val="-16"/>
        </w:rPr>
        <w:t>.</w:t>
      </w:r>
      <w:r>
        <w:rPr>
          <w:w w:val="85"/>
        </w:rPr>
        <w:t xml:space="preserve"> </w:t>
      </w:r>
      <w:r>
        <w:t>This supports the transmission of monetary policy</w:t>
      </w:r>
      <w:r w:rsidR="0068598E">
        <w:rPr>
          <w:spacing w:val="-16"/>
        </w:rPr>
        <w:t>.</w:t>
      </w:r>
    </w:p>
    <w:p w14:paraId="62910382" w14:textId="77777777" w:rsidR="00760A50" w:rsidRDefault="00760A50" w:rsidP="00760A50">
      <w:pPr>
        <w:pStyle w:val="italicquote"/>
      </w:pPr>
      <w:r>
        <w:t>‘[Publishing unattributed votes] gives a sense of where the debate lies on the board and how close the</w:t>
      </w:r>
      <w:r>
        <w:rPr>
          <w:spacing w:val="-3"/>
        </w:rPr>
        <w:t xml:space="preserve"> </w:t>
      </w:r>
      <w:r>
        <w:t>decision</w:t>
      </w:r>
      <w:r>
        <w:rPr>
          <w:spacing w:val="-3"/>
        </w:rPr>
        <w:t xml:space="preserve"> </w:t>
      </w:r>
      <w:r>
        <w:t>was.</w:t>
      </w:r>
      <w:r>
        <w:rPr>
          <w:spacing w:val="-3"/>
        </w:rPr>
        <w:t xml:space="preserve"> </w:t>
      </w:r>
      <w:r>
        <w:t>A</w:t>
      </w:r>
      <w:r>
        <w:rPr>
          <w:spacing w:val="-3"/>
        </w:rPr>
        <w:t xml:space="preserve"> </w:t>
      </w:r>
      <w:r>
        <w:t>close</w:t>
      </w:r>
      <w:r>
        <w:rPr>
          <w:spacing w:val="-3"/>
        </w:rPr>
        <w:t xml:space="preserve"> </w:t>
      </w:r>
      <w:r>
        <w:t>call</w:t>
      </w:r>
      <w:r>
        <w:rPr>
          <w:spacing w:val="-3"/>
        </w:rPr>
        <w:t xml:space="preserve"> </w:t>
      </w:r>
      <w:r>
        <w:t>when</w:t>
      </w:r>
      <w:r>
        <w:rPr>
          <w:spacing w:val="-3"/>
        </w:rPr>
        <w:t xml:space="preserve"> </w:t>
      </w:r>
      <w:r>
        <w:t>rates</w:t>
      </w:r>
      <w:r>
        <w:rPr>
          <w:spacing w:val="-3"/>
        </w:rPr>
        <w:t xml:space="preserve"> </w:t>
      </w:r>
      <w:r>
        <w:t>are</w:t>
      </w:r>
      <w:r>
        <w:rPr>
          <w:spacing w:val="-3"/>
        </w:rPr>
        <w:t xml:space="preserve"> </w:t>
      </w:r>
      <w:r>
        <w:t>changed</w:t>
      </w:r>
      <w:r>
        <w:rPr>
          <w:spacing w:val="-3"/>
        </w:rPr>
        <w:t xml:space="preserve"> </w:t>
      </w:r>
      <w:r>
        <w:t>signals</w:t>
      </w:r>
      <w:r>
        <w:rPr>
          <w:spacing w:val="-3"/>
        </w:rPr>
        <w:t xml:space="preserve"> </w:t>
      </w:r>
      <w:r>
        <w:t>that</w:t>
      </w:r>
      <w:r>
        <w:rPr>
          <w:spacing w:val="-3"/>
        </w:rPr>
        <w:t xml:space="preserve"> </w:t>
      </w:r>
      <w:r>
        <w:t>the</w:t>
      </w:r>
      <w:r>
        <w:rPr>
          <w:spacing w:val="-3"/>
        </w:rPr>
        <w:t xml:space="preserve"> </w:t>
      </w:r>
      <w:r>
        <w:t>bank</w:t>
      </w:r>
      <w:r>
        <w:rPr>
          <w:spacing w:val="-3"/>
        </w:rPr>
        <w:t xml:space="preserve"> </w:t>
      </w:r>
      <w:r>
        <w:t>is</w:t>
      </w:r>
      <w:r>
        <w:rPr>
          <w:spacing w:val="-3"/>
        </w:rPr>
        <w:t xml:space="preserve"> </w:t>
      </w:r>
      <w:r>
        <w:t>closer</w:t>
      </w:r>
      <w:r>
        <w:rPr>
          <w:spacing w:val="-3"/>
        </w:rPr>
        <w:t xml:space="preserve"> </w:t>
      </w:r>
      <w:r>
        <w:t>to</w:t>
      </w:r>
      <w:r>
        <w:rPr>
          <w:spacing w:val="-3"/>
        </w:rPr>
        <w:t xml:space="preserve"> </w:t>
      </w:r>
      <w:r>
        <w:t>the</w:t>
      </w:r>
      <w:r>
        <w:rPr>
          <w:spacing w:val="-3"/>
        </w:rPr>
        <w:t xml:space="preserve"> </w:t>
      </w:r>
      <w:r>
        <w:t>end</w:t>
      </w:r>
      <w:r>
        <w:rPr>
          <w:spacing w:val="-3"/>
        </w:rPr>
        <w:t xml:space="preserve"> </w:t>
      </w:r>
      <w:r>
        <w:t>than the beginning of the cycle, which is useful information.’</w:t>
      </w:r>
    </w:p>
    <w:p w14:paraId="70407428" w14:textId="77777777" w:rsidR="00760A50" w:rsidRDefault="00760A50" w:rsidP="00760A50">
      <w:pPr>
        <w:pStyle w:val="italicquote"/>
      </w:pPr>
      <w:r>
        <w:t>–</w:t>
      </w:r>
      <w:r>
        <w:rPr>
          <w:spacing w:val="-1"/>
        </w:rPr>
        <w:t xml:space="preserve"> </w:t>
      </w:r>
      <w:r>
        <w:t>Response to RBA Review</w:t>
      </w:r>
      <w:r>
        <w:rPr>
          <w:spacing w:val="-1"/>
        </w:rPr>
        <w:t xml:space="preserve"> </w:t>
      </w:r>
      <w:r>
        <w:t xml:space="preserve">survey of professional </w:t>
      </w:r>
      <w:r>
        <w:rPr>
          <w:spacing w:val="-2"/>
        </w:rPr>
        <w:t>economists</w:t>
      </w:r>
    </w:p>
    <w:p w14:paraId="73B50BE1" w14:textId="77777777" w:rsidR="00760A50" w:rsidRDefault="00760A50" w:rsidP="00760A50">
      <w:pPr>
        <w:pStyle w:val="BodyText"/>
        <w:spacing w:before="5"/>
        <w:rPr>
          <w:i/>
          <w:sz w:val="16"/>
        </w:rPr>
      </w:pPr>
    </w:p>
    <w:p w14:paraId="1E1735A6" w14:textId="7F122FA2" w:rsidR="00760A50" w:rsidRDefault="00760A50" w:rsidP="00760A50">
      <w:r>
        <w:t>The publication of even more extensive voting records is common for other advanced economy central banks. For example, the US Federal Reserve, the Bank of England, Sveriges Riksbank, Bank of Japan and Bank of Korea publish attributed voting records with detailed information on agreement and dissent</w:t>
      </w:r>
      <w:r w:rsidR="0068598E">
        <w:rPr>
          <w:spacing w:val="-17"/>
        </w:rPr>
        <w:t>.</w:t>
      </w:r>
      <w:r>
        <w:rPr>
          <w:w w:val="85"/>
        </w:rPr>
        <w:t xml:space="preserve"> </w:t>
      </w:r>
      <w:r>
        <w:t xml:space="preserve">The Review heard concerns in consultations and submissions about </w:t>
      </w:r>
      <w:r>
        <w:rPr>
          <w:color w:val="231F20"/>
        </w:rPr>
        <w:t xml:space="preserve">publishing </w:t>
      </w:r>
      <w:r>
        <w:rPr>
          <w:i/>
          <w:color w:val="231F20"/>
        </w:rPr>
        <w:t xml:space="preserve">attributed </w:t>
      </w:r>
      <w:r>
        <w:rPr>
          <w:color w:val="231F20"/>
        </w:rPr>
        <w:t>votes and dissenting views</w:t>
      </w:r>
      <w:r w:rsidR="0068598E">
        <w:rPr>
          <w:color w:val="231F20"/>
          <w:spacing w:val="-24"/>
        </w:rPr>
        <w:t>.</w:t>
      </w:r>
      <w:r>
        <w:rPr>
          <w:color w:val="231F20"/>
          <w:w w:val="85"/>
        </w:rPr>
        <w:t xml:space="preserve"> </w:t>
      </w:r>
      <w:r>
        <w:rPr>
          <w:color w:val="231F20"/>
        </w:rPr>
        <w:t>Some considered that this would discourage frank discussion</w:t>
      </w:r>
      <w:r>
        <w:rPr>
          <w:color w:val="231F20"/>
          <w:spacing w:val="-1"/>
        </w:rPr>
        <w:t xml:space="preserve"> </w:t>
      </w:r>
      <w:r>
        <w:rPr>
          <w:color w:val="231F20"/>
        </w:rPr>
        <w:t>and</w:t>
      </w:r>
      <w:r>
        <w:rPr>
          <w:color w:val="231F20"/>
          <w:spacing w:val="-1"/>
        </w:rPr>
        <w:t xml:space="preserve"> </w:t>
      </w:r>
      <w:r>
        <w:rPr>
          <w:color w:val="231F20"/>
        </w:rPr>
        <w:t>may</w:t>
      </w:r>
      <w:r>
        <w:rPr>
          <w:color w:val="231F20"/>
          <w:spacing w:val="-1"/>
        </w:rPr>
        <w:t xml:space="preserve"> </w:t>
      </w:r>
      <w:r>
        <w:rPr>
          <w:color w:val="231F20"/>
        </w:rPr>
        <w:t>entrench</w:t>
      </w:r>
      <w:r>
        <w:rPr>
          <w:color w:val="231F20"/>
          <w:spacing w:val="-1"/>
        </w:rPr>
        <w:t xml:space="preserve"> </w:t>
      </w:r>
      <w:r>
        <w:rPr>
          <w:color w:val="231F20"/>
        </w:rPr>
        <w:t>people</w:t>
      </w:r>
      <w:r>
        <w:rPr>
          <w:color w:val="231F20"/>
          <w:spacing w:val="-1"/>
        </w:rPr>
        <w:t xml:space="preserve"> </w:t>
      </w:r>
      <w:r>
        <w:rPr>
          <w:color w:val="231F20"/>
        </w:rPr>
        <w:t>in</w:t>
      </w:r>
      <w:r>
        <w:rPr>
          <w:color w:val="231F20"/>
          <w:spacing w:val="-1"/>
        </w:rPr>
        <w:t xml:space="preserve"> </w:t>
      </w:r>
      <w:r>
        <w:rPr>
          <w:color w:val="231F20"/>
        </w:rPr>
        <w:t>prior</w:t>
      </w:r>
      <w:r>
        <w:rPr>
          <w:color w:val="231F20"/>
          <w:spacing w:val="-1"/>
        </w:rPr>
        <w:t xml:space="preserve"> </w:t>
      </w:r>
      <w:r>
        <w:rPr>
          <w:color w:val="231F20"/>
        </w:rPr>
        <w:t>positions</w:t>
      </w:r>
      <w:r w:rsidR="0068598E">
        <w:rPr>
          <w:color w:val="231F20"/>
          <w:spacing w:val="-24"/>
        </w:rPr>
        <w:t>.</w:t>
      </w:r>
      <w:r>
        <w:rPr>
          <w:color w:val="231F20"/>
          <w:w w:val="85"/>
        </w:rPr>
        <w:t xml:space="preserve"> </w:t>
      </w:r>
      <w:r>
        <w:rPr>
          <w:color w:val="231F20"/>
        </w:rPr>
        <w:t>The</w:t>
      </w:r>
      <w:r>
        <w:rPr>
          <w:color w:val="231F20"/>
          <w:spacing w:val="-1"/>
        </w:rPr>
        <w:t xml:space="preserve"> </w:t>
      </w:r>
      <w:r>
        <w:rPr>
          <w:color w:val="231F20"/>
        </w:rPr>
        <w:t>Review</w:t>
      </w:r>
      <w:r>
        <w:rPr>
          <w:color w:val="231F20"/>
          <w:spacing w:val="-1"/>
        </w:rPr>
        <w:t xml:space="preserve"> </w:t>
      </w:r>
      <w:r>
        <w:rPr>
          <w:color w:val="231F20"/>
        </w:rPr>
        <w:t>also</w:t>
      </w:r>
      <w:r>
        <w:rPr>
          <w:color w:val="231F20"/>
          <w:spacing w:val="-1"/>
        </w:rPr>
        <w:t xml:space="preserve"> </w:t>
      </w:r>
      <w:r>
        <w:rPr>
          <w:color w:val="231F20"/>
        </w:rPr>
        <w:t>heard</w:t>
      </w:r>
      <w:r>
        <w:rPr>
          <w:color w:val="231F20"/>
          <w:spacing w:val="-1"/>
        </w:rPr>
        <w:t xml:space="preserve"> </w:t>
      </w:r>
      <w:r>
        <w:rPr>
          <w:color w:val="231F20"/>
        </w:rPr>
        <w:t>concerns</w:t>
      </w:r>
      <w:r>
        <w:rPr>
          <w:color w:val="231F20"/>
          <w:spacing w:val="-1"/>
        </w:rPr>
        <w:t xml:space="preserve"> </w:t>
      </w:r>
      <w:r>
        <w:rPr>
          <w:color w:val="231F20"/>
        </w:rPr>
        <w:t>that</w:t>
      </w:r>
      <w:r>
        <w:rPr>
          <w:color w:val="231F20"/>
          <w:spacing w:val="-1"/>
        </w:rPr>
        <w:t xml:space="preserve"> </w:t>
      </w:r>
      <w:r>
        <w:rPr>
          <w:color w:val="231F20"/>
        </w:rPr>
        <w:t>it</w:t>
      </w:r>
      <w:r>
        <w:rPr>
          <w:color w:val="231F20"/>
          <w:spacing w:val="-1"/>
        </w:rPr>
        <w:t xml:space="preserve"> </w:t>
      </w:r>
      <w:r>
        <w:rPr>
          <w:color w:val="231F20"/>
        </w:rPr>
        <w:t>may open members up to lobbying, or pressure members into voting for sectoral interests. However, the Review is not aware of evidence that this has occurred in jurisdictions where attributed voting records are published</w:t>
      </w:r>
      <w:r w:rsidR="0068598E">
        <w:rPr>
          <w:color w:val="231F20"/>
          <w:spacing w:val="-11"/>
        </w:rPr>
        <w:t>.</w:t>
      </w:r>
    </w:p>
    <w:p w14:paraId="1F296F86" w14:textId="412B9A79" w:rsidR="004F5C27" w:rsidRDefault="00760A50" w:rsidP="00760A50">
      <w:pPr>
        <w:rPr>
          <w:color w:val="231F20"/>
          <w:w w:val="85"/>
        </w:rPr>
      </w:pPr>
      <w:r>
        <w:rPr>
          <w:color w:val="231F20"/>
        </w:rPr>
        <w:t xml:space="preserve">The publication of </w:t>
      </w:r>
      <w:r>
        <w:rPr>
          <w:i/>
          <w:color w:val="231F20"/>
        </w:rPr>
        <w:t xml:space="preserve">unattributed </w:t>
      </w:r>
      <w:r>
        <w:rPr>
          <w:color w:val="231F20"/>
        </w:rPr>
        <w:t>votes balances the benefits of increased information and transparency while managing the risks of hindering open discussion at the Monetary Policy Board</w:t>
      </w:r>
      <w:r w:rsidR="0068598E">
        <w:rPr>
          <w:color w:val="231F20"/>
          <w:spacing w:val="-23"/>
        </w:rPr>
        <w:t>.</w:t>
      </w:r>
      <w:r>
        <w:rPr>
          <w:color w:val="231F20"/>
        </w:rPr>
        <w:t xml:space="preserve"> The Review does </w:t>
      </w:r>
      <w:r>
        <w:rPr>
          <w:color w:val="231F20"/>
        </w:rPr>
        <w:lastRenderedPageBreak/>
        <w:t xml:space="preserve">not support publishing attributed votes or attributing views in the </w:t>
      </w:r>
      <w:r>
        <w:rPr>
          <w:i/>
          <w:color w:val="231F20"/>
        </w:rPr>
        <w:t xml:space="preserve">Minutes </w:t>
      </w:r>
      <w:r>
        <w:rPr>
          <w:color w:val="231F20"/>
        </w:rPr>
        <w:t>to specific Board members given the risk that this could stifle open and frank discussions, and open members up to lobbying</w:t>
      </w:r>
      <w:r w:rsidR="0068598E">
        <w:rPr>
          <w:color w:val="231F20"/>
          <w:spacing w:val="-9"/>
        </w:rPr>
        <w:t>.</w:t>
      </w:r>
    </w:p>
    <w:p w14:paraId="1FC876A6" w14:textId="77777777" w:rsidR="009F2BC0" w:rsidRPr="003F56DA" w:rsidRDefault="009F2BC0" w:rsidP="003F56DA">
      <w:pPr>
        <w:pStyle w:val="Heading3"/>
      </w:pPr>
      <w:r w:rsidRPr="003F56DA">
        <w:t>Recommendation 10.4: Publish more information about the RBA’s forecasts and messages received through business liaison, and publish Board papers</w:t>
      </w:r>
    </w:p>
    <w:p w14:paraId="0C6D3192" w14:textId="77777777" w:rsidR="009F2BC0" w:rsidRDefault="009F2BC0" w:rsidP="009F2BC0">
      <w:pPr>
        <w:pStyle w:val="Heading4"/>
      </w:pPr>
      <w:r>
        <w:t>Publish key</w:t>
      </w:r>
      <w:r>
        <w:rPr>
          <w:spacing w:val="2"/>
        </w:rPr>
        <w:t xml:space="preserve"> </w:t>
      </w:r>
      <w:r>
        <w:t>inputs</w:t>
      </w:r>
      <w:r>
        <w:rPr>
          <w:spacing w:val="2"/>
        </w:rPr>
        <w:t xml:space="preserve"> </w:t>
      </w:r>
      <w:r>
        <w:t>into</w:t>
      </w:r>
      <w:r>
        <w:rPr>
          <w:spacing w:val="3"/>
        </w:rPr>
        <w:t xml:space="preserve"> </w:t>
      </w:r>
      <w:r>
        <w:t>the</w:t>
      </w:r>
      <w:r>
        <w:rPr>
          <w:spacing w:val="2"/>
        </w:rPr>
        <w:t xml:space="preserve"> </w:t>
      </w:r>
      <w:r>
        <w:t>monetary</w:t>
      </w:r>
      <w:r>
        <w:rPr>
          <w:spacing w:val="2"/>
        </w:rPr>
        <w:t xml:space="preserve"> </w:t>
      </w:r>
      <w:r>
        <w:t>policy</w:t>
      </w:r>
      <w:r>
        <w:rPr>
          <w:spacing w:val="2"/>
        </w:rPr>
        <w:t xml:space="preserve"> </w:t>
      </w:r>
      <w:r>
        <w:t>decision-making</w:t>
      </w:r>
      <w:r>
        <w:rPr>
          <w:spacing w:val="3"/>
        </w:rPr>
        <w:t xml:space="preserve"> </w:t>
      </w:r>
      <w:r>
        <w:t>process</w:t>
      </w:r>
      <w:r>
        <w:rPr>
          <w:spacing w:val="2"/>
        </w:rPr>
        <w:t xml:space="preserve"> </w:t>
      </w:r>
      <w:r>
        <w:t>in</w:t>
      </w:r>
      <w:r>
        <w:rPr>
          <w:spacing w:val="2"/>
        </w:rPr>
        <w:t xml:space="preserve"> </w:t>
      </w:r>
      <w:r>
        <w:t>real</w:t>
      </w:r>
      <w:r>
        <w:rPr>
          <w:spacing w:val="3"/>
        </w:rPr>
        <w:t xml:space="preserve"> </w:t>
      </w:r>
      <w:r>
        <w:rPr>
          <w:spacing w:val="-4"/>
        </w:rPr>
        <w:t>time</w:t>
      </w:r>
    </w:p>
    <w:p w14:paraId="541352FA" w14:textId="2A205EE4" w:rsidR="009F2BC0" w:rsidRDefault="009F2BC0" w:rsidP="009F2BC0">
      <w:r>
        <w:t>The Review considers it important that the Monetary Policy Board be transparent about the information that it uses to justify its policy decisions</w:t>
      </w:r>
      <w:r w:rsidR="0068598E">
        <w:rPr>
          <w:spacing w:val="-18"/>
        </w:rPr>
        <w:t>.</w:t>
      </w:r>
      <w:r>
        <w:rPr>
          <w:w w:val="85"/>
        </w:rPr>
        <w:t xml:space="preserve"> </w:t>
      </w:r>
      <w:r>
        <w:t>This is essential for accountability and to better enable external assessments of the RBA’s forecasts and policy decisions in real time</w:t>
      </w:r>
      <w:r w:rsidR="0068598E">
        <w:rPr>
          <w:spacing w:val="-18"/>
        </w:rPr>
        <w:t>.</w:t>
      </w:r>
      <w:r>
        <w:rPr>
          <w:w w:val="85"/>
        </w:rPr>
        <w:t xml:space="preserve"> </w:t>
      </w:r>
      <w:r>
        <w:t>It would also help the public better understand the reasons for the Monetary Policy Board’s policy decisions and strategy</w:t>
      </w:r>
      <w:r w:rsidR="0068598E">
        <w:rPr>
          <w:spacing w:val="-11"/>
        </w:rPr>
        <w:t>.</w:t>
      </w:r>
    </w:p>
    <w:p w14:paraId="04632FB8" w14:textId="0D61194D" w:rsidR="009F2BC0" w:rsidRDefault="009F2BC0" w:rsidP="009F2BC0">
      <w:r>
        <w:t>The Review supports the recent announcement that the RBA intends to regularly publish insights from its business and community liaison program (Lowe 2022b). The Review heard a widespread view that stakeholders would find such information valuable. It may also help draw out alternate views from firms not included in the RBA’s program. Previously, the RBA referenced liaison messages throughout its reports. However, unlike many of its peer central banks, there was no</w:t>
      </w:r>
      <w:r>
        <w:rPr>
          <w:spacing w:val="40"/>
        </w:rPr>
        <w:t xml:space="preserve"> </w:t>
      </w:r>
      <w:r>
        <w:t>clear summary of the main messages published. Stakeholders identified this as a gap in 2022 when the RBA cited liaison messages as early evidence of a pick-up in wages growth, which the RBA used to justify a pivot in policy</w:t>
      </w:r>
      <w:r w:rsidR="0068598E">
        <w:rPr>
          <w:spacing w:val="-10"/>
        </w:rPr>
        <w:t>.</w:t>
      </w:r>
    </w:p>
    <w:p w14:paraId="2EB47BD8" w14:textId="3801610F" w:rsidR="009F2BC0" w:rsidRDefault="009F2BC0" w:rsidP="009F2BC0">
      <w:r>
        <w:t xml:space="preserve">The RBA should publish key forecast profiles, along with the assumptions underpinning them, in an accessible and convenient data format (for example a format compatible with Microsoft Excel) when it publishes the quarterly </w:t>
      </w:r>
      <w:r>
        <w:rPr>
          <w:i/>
        </w:rPr>
        <w:t>Statement on Monetary Policy</w:t>
      </w:r>
      <w:r w:rsidR="0068598E">
        <w:rPr>
          <w:spacing w:val="-18"/>
        </w:rPr>
        <w:t>.</w:t>
      </w:r>
      <w:r>
        <w:rPr>
          <w:w w:val="85"/>
        </w:rPr>
        <w:t xml:space="preserve"> </w:t>
      </w:r>
      <w:r>
        <w:t>This includes its assessments of potential output and the level of unemployment that is consistent with full employment</w:t>
      </w:r>
      <w:r w:rsidR="0068598E">
        <w:rPr>
          <w:spacing w:val="-24"/>
        </w:rPr>
        <w:t>.</w:t>
      </w:r>
      <w:r>
        <w:rPr>
          <w:w w:val="85"/>
        </w:rPr>
        <w:t xml:space="preserve"> </w:t>
      </w:r>
      <w:r>
        <w:t>The RBA provides limited transparency around its assessment of these variables, with updates provided</w:t>
      </w:r>
      <w:r>
        <w:rPr>
          <w:spacing w:val="40"/>
        </w:rPr>
        <w:t xml:space="preserve"> </w:t>
      </w:r>
      <w:r>
        <w:t>on an ad-hoc basis in speeches and research papers</w:t>
      </w:r>
      <w:r w:rsidR="0068598E">
        <w:rPr>
          <w:spacing w:val="-19"/>
        </w:rPr>
        <w:t>.</w:t>
      </w:r>
      <w:r>
        <w:rPr>
          <w:w w:val="85"/>
        </w:rPr>
        <w:t xml:space="preserve"> </w:t>
      </w:r>
      <w:r>
        <w:t>The RBA should publish its assumption (but not necessarily its own expectations) for the cash rate, which at present is a rate derived from</w:t>
      </w:r>
      <w:r>
        <w:rPr>
          <w:spacing w:val="80"/>
        </w:rPr>
        <w:t xml:space="preserve"> </w:t>
      </w:r>
      <w:r>
        <w:t>a blend of financial market pricing and surveys of market economists. The RBA currently describes its assumption for the cash rate in high-level terms</w:t>
      </w:r>
      <w:r w:rsidR="0068598E">
        <w:rPr>
          <w:spacing w:val="-19"/>
        </w:rPr>
        <w:t>.</w:t>
      </w:r>
      <w:r>
        <w:rPr>
          <w:w w:val="85"/>
        </w:rPr>
        <w:t xml:space="preserve"> </w:t>
      </w:r>
      <w:r>
        <w:t>Without this information it is not possible for external observers to assess the RBA’s forecasts or explore the effects of alternate policy choices. This, in turn, limits the ability of the RBA to benefit from external views and perspectives on ways to improve its forecasts (and forecasting process) and policy strategy in real time</w:t>
      </w:r>
      <w:r w:rsidR="0068598E">
        <w:rPr>
          <w:spacing w:val="-17"/>
        </w:rPr>
        <w:t>.</w:t>
      </w:r>
    </w:p>
    <w:p w14:paraId="5D293819" w14:textId="3C77628D" w:rsidR="009F2BC0" w:rsidRDefault="009F2BC0" w:rsidP="009930F1">
      <w:r>
        <w:t>The RBA could do more to communicate the main risks around its central forecasts</w:t>
      </w:r>
      <w:r w:rsidR="0068598E">
        <w:rPr>
          <w:spacing w:val="-19"/>
        </w:rPr>
        <w:t>.</w:t>
      </w:r>
      <w:r>
        <w:rPr>
          <w:w w:val="85"/>
        </w:rPr>
        <w:t xml:space="preserve"> </w:t>
      </w:r>
      <w:r>
        <w:t>The RBA publishes confidence intervals around its forecasts based on historical forecast errors. Other than this, the RBA largely relies on a narrative style approach to communicate the main risks that it is thinking about</w:t>
      </w:r>
      <w:r w:rsidR="0068598E">
        <w:rPr>
          <w:spacing w:val="-19"/>
        </w:rPr>
        <w:t>.</w:t>
      </w:r>
      <w:r>
        <w:rPr>
          <w:w w:val="85"/>
        </w:rPr>
        <w:t xml:space="preserve"> </w:t>
      </w:r>
      <w:r>
        <w:t>During the pandemic, the RBA illustrated key risks through the use of scenarios</w:t>
      </w:r>
      <w:r w:rsidR="0068598E">
        <w:rPr>
          <w:spacing w:val="-19"/>
        </w:rPr>
        <w:t>.</w:t>
      </w:r>
      <w:r w:rsidR="009930F1">
        <w:rPr>
          <w:w w:val="85"/>
        </w:rPr>
        <w:t xml:space="preserve"> </w:t>
      </w:r>
      <w:r>
        <w:rPr>
          <w:color w:val="231F20"/>
        </w:rPr>
        <w:t>The Review sees value in this approach, although emphasises the need for the nature of these scenarios to be dynamic as risks evolve</w:t>
      </w:r>
      <w:r w:rsidR="0068598E">
        <w:rPr>
          <w:color w:val="231F20"/>
          <w:spacing w:val="-13"/>
        </w:rPr>
        <w:t>.</w:t>
      </w:r>
    </w:p>
    <w:p w14:paraId="115A03F5" w14:textId="77777777" w:rsidR="009F2BC0" w:rsidRDefault="009F2BC0" w:rsidP="009930F1">
      <w:pPr>
        <w:pStyle w:val="italicquote"/>
      </w:pPr>
      <w:r>
        <w:t>‘Regular publication of scenarios would put greater focus on the uncertainty around economic forecasts</w:t>
      </w:r>
      <w:r>
        <w:rPr>
          <w:spacing w:val="-3"/>
        </w:rPr>
        <w:t xml:space="preserve"> </w:t>
      </w:r>
      <w:r>
        <w:t>and</w:t>
      </w:r>
      <w:r>
        <w:rPr>
          <w:spacing w:val="-3"/>
        </w:rPr>
        <w:t xml:space="preserve"> </w:t>
      </w:r>
      <w:r>
        <w:t>therefore</w:t>
      </w:r>
      <w:r>
        <w:rPr>
          <w:spacing w:val="-3"/>
        </w:rPr>
        <w:t xml:space="preserve"> </w:t>
      </w:r>
      <w:r>
        <w:t>reduce</w:t>
      </w:r>
      <w:r>
        <w:rPr>
          <w:spacing w:val="-3"/>
        </w:rPr>
        <w:t xml:space="preserve"> </w:t>
      </w:r>
      <w:r>
        <w:t>the</w:t>
      </w:r>
      <w:r>
        <w:rPr>
          <w:spacing w:val="-3"/>
        </w:rPr>
        <w:t xml:space="preserve"> </w:t>
      </w:r>
      <w:r>
        <w:t>scope</w:t>
      </w:r>
      <w:r>
        <w:rPr>
          <w:spacing w:val="-3"/>
        </w:rPr>
        <w:t xml:space="preserve"> </w:t>
      </w:r>
      <w:r>
        <w:t>for</w:t>
      </w:r>
      <w:r>
        <w:rPr>
          <w:spacing w:val="-3"/>
        </w:rPr>
        <w:t xml:space="preserve"> </w:t>
      </w:r>
      <w:r>
        <w:t>policy</w:t>
      </w:r>
      <w:r>
        <w:rPr>
          <w:spacing w:val="-3"/>
        </w:rPr>
        <w:t xml:space="preserve"> </w:t>
      </w:r>
      <w:r>
        <w:t>and</w:t>
      </w:r>
      <w:r>
        <w:rPr>
          <w:spacing w:val="-3"/>
        </w:rPr>
        <w:t xml:space="preserve"> </w:t>
      </w:r>
      <w:r>
        <w:t>communications</w:t>
      </w:r>
      <w:r>
        <w:rPr>
          <w:spacing w:val="-3"/>
        </w:rPr>
        <w:t xml:space="preserve"> </w:t>
      </w:r>
      <w:r>
        <w:t>errors</w:t>
      </w:r>
      <w:r>
        <w:rPr>
          <w:spacing w:val="-3"/>
        </w:rPr>
        <w:t xml:space="preserve"> </w:t>
      </w:r>
      <w:r>
        <w:t>that</w:t>
      </w:r>
      <w:r>
        <w:rPr>
          <w:spacing w:val="-3"/>
        </w:rPr>
        <w:t xml:space="preserve"> </w:t>
      </w:r>
      <w:r>
        <w:t>might</w:t>
      </w:r>
      <w:r>
        <w:rPr>
          <w:spacing w:val="-3"/>
        </w:rPr>
        <w:t xml:space="preserve"> </w:t>
      </w:r>
      <w:r>
        <w:t>be</w:t>
      </w:r>
      <w:r>
        <w:rPr>
          <w:spacing w:val="-3"/>
        </w:rPr>
        <w:t xml:space="preserve"> </w:t>
      </w:r>
      <w:r>
        <w:t>made through a lack of adequate focus on upside and downside risks.’</w:t>
      </w:r>
    </w:p>
    <w:p w14:paraId="45567E8F" w14:textId="77777777" w:rsidR="009F2BC0" w:rsidRDefault="009F2BC0" w:rsidP="009930F1">
      <w:pPr>
        <w:pStyle w:val="italicquote"/>
      </w:pPr>
      <w:r>
        <w:t>–</w:t>
      </w:r>
      <w:r>
        <w:rPr>
          <w:spacing w:val="-1"/>
        </w:rPr>
        <w:t xml:space="preserve"> </w:t>
      </w:r>
      <w:r>
        <w:t>Response to RBA Review</w:t>
      </w:r>
      <w:r>
        <w:rPr>
          <w:spacing w:val="-1"/>
        </w:rPr>
        <w:t xml:space="preserve"> </w:t>
      </w:r>
      <w:r>
        <w:t xml:space="preserve">survey of professional </w:t>
      </w:r>
      <w:r>
        <w:rPr>
          <w:spacing w:val="-2"/>
        </w:rPr>
        <w:t>economists</w:t>
      </w:r>
    </w:p>
    <w:p w14:paraId="22420267" w14:textId="77777777" w:rsidR="009F2BC0" w:rsidRDefault="009F2BC0" w:rsidP="009F2BC0">
      <w:pPr>
        <w:pStyle w:val="BodyText"/>
        <w:spacing w:before="5"/>
        <w:rPr>
          <w:i/>
          <w:sz w:val="16"/>
        </w:rPr>
      </w:pPr>
    </w:p>
    <w:p w14:paraId="5962E3B6" w14:textId="3B88E674" w:rsidR="009F2BC0" w:rsidRDefault="009F2BC0" w:rsidP="009930F1">
      <w:r>
        <w:t>Finally, the RBA could do more to increase transparency around revisions to its forecasts. The RBA could, for example, regularly publish charts that show how forecasts for key economic variables (such as GDP growth, the unemployment rate, and inflation) have been revised over time. Increased transparency around forecast performance is an important mechanism to support accountability and would also help in external communication around the rationale for policy decisions</w:t>
      </w:r>
      <w:r w:rsidR="0068598E">
        <w:rPr>
          <w:spacing w:val="-18"/>
        </w:rPr>
        <w:t>.</w:t>
      </w:r>
    </w:p>
    <w:p w14:paraId="5A04098E" w14:textId="77777777" w:rsidR="001673CF" w:rsidRDefault="001673CF" w:rsidP="001673CF">
      <w:pPr>
        <w:pStyle w:val="Heading4"/>
      </w:pPr>
      <w:r>
        <w:lastRenderedPageBreak/>
        <w:t>Publish</w:t>
      </w:r>
      <w:r>
        <w:rPr>
          <w:spacing w:val="3"/>
        </w:rPr>
        <w:t xml:space="preserve"> </w:t>
      </w:r>
      <w:r>
        <w:t>Monetary</w:t>
      </w:r>
      <w:r>
        <w:rPr>
          <w:spacing w:val="3"/>
        </w:rPr>
        <w:t xml:space="preserve"> </w:t>
      </w:r>
      <w:r>
        <w:t>Policy</w:t>
      </w:r>
      <w:r>
        <w:rPr>
          <w:spacing w:val="3"/>
        </w:rPr>
        <w:t xml:space="preserve"> </w:t>
      </w:r>
      <w:r>
        <w:t>Board</w:t>
      </w:r>
      <w:r>
        <w:rPr>
          <w:spacing w:val="3"/>
        </w:rPr>
        <w:t xml:space="preserve"> </w:t>
      </w:r>
      <w:r>
        <w:t>papers</w:t>
      </w:r>
      <w:r>
        <w:rPr>
          <w:spacing w:val="3"/>
        </w:rPr>
        <w:t xml:space="preserve"> </w:t>
      </w:r>
      <w:r>
        <w:t>after</w:t>
      </w:r>
      <w:r>
        <w:rPr>
          <w:spacing w:val="3"/>
        </w:rPr>
        <w:t xml:space="preserve"> </w:t>
      </w:r>
      <w:r>
        <w:t>5</w:t>
      </w:r>
      <w:r>
        <w:rPr>
          <w:spacing w:val="4"/>
        </w:rPr>
        <w:t xml:space="preserve"> </w:t>
      </w:r>
      <w:r>
        <w:rPr>
          <w:spacing w:val="-4"/>
        </w:rPr>
        <w:t>years</w:t>
      </w:r>
    </w:p>
    <w:p w14:paraId="67EF63F3" w14:textId="59DECF03" w:rsidR="001673CF" w:rsidRDefault="001673CF" w:rsidP="001673CF">
      <w:r>
        <w:t>The publication of papers presented to the Board would increase transparency about the RBA’s internal analysis, the reasoning behind its recommendations and how material is presented to the Monetary Policy Board</w:t>
      </w:r>
      <w:r w:rsidR="0068598E">
        <w:rPr>
          <w:spacing w:val="-15"/>
        </w:rPr>
        <w:t>.</w:t>
      </w:r>
      <w:r>
        <w:rPr>
          <w:w w:val="85"/>
        </w:rPr>
        <w:t xml:space="preserve"> </w:t>
      </w:r>
      <w:r>
        <w:t>It would provide accountability against the Review’s recommendations focused on improving the information set provided to the Monetary Policy Board (see Recommendation 9.5).</w:t>
      </w:r>
    </w:p>
    <w:p w14:paraId="65DA5989" w14:textId="77777777" w:rsidR="001673CF" w:rsidRDefault="001673CF" w:rsidP="001673CF">
      <w:r>
        <w:t>There is some risk that publication of documents presented to the Monetary Policy Board reduces the extent to which these papers offer a frank assessment. The Review considers that publishing papers after a period of 5 years strikes the right balance between managing this risk and adding to transparency and accountability. It mirrors the approach taken by the US Federal Reserve, which publishes its briefing documents for decision makers after 5 years.</w:t>
      </w:r>
    </w:p>
    <w:p w14:paraId="04A9CB11" w14:textId="515B6419" w:rsidR="001673CF" w:rsidRDefault="001673CF" w:rsidP="001673CF">
      <w:r>
        <w:t>The Review acknowledges there may be sensitivities with the publication of certain content</w:t>
      </w:r>
      <w:r w:rsidR="0068598E">
        <w:rPr>
          <w:spacing w:val="-17"/>
        </w:rPr>
        <w:t>.</w:t>
      </w:r>
      <w:r>
        <w:t xml:space="preserve"> The Review supports providing some discretion for deciding the best course of action in these circumstances. For example, similar to exemptions under the </w:t>
      </w:r>
      <w:r>
        <w:rPr>
          <w:i/>
        </w:rPr>
        <w:t>Freedom of Information Act 1982</w:t>
      </w:r>
      <w:r>
        <w:t>, material could be excluded if it was obtained in confidence, affects international relations, or if disclosure would, on balance, be contrary to the public interest</w:t>
      </w:r>
      <w:r w:rsidR="0068598E">
        <w:rPr>
          <w:spacing w:val="-17"/>
        </w:rPr>
        <w:t>.</w:t>
      </w:r>
    </w:p>
    <w:p w14:paraId="5B1D3401" w14:textId="068274BF" w:rsidR="001673CF" w:rsidRPr="003F56DA" w:rsidRDefault="001673CF" w:rsidP="003F56DA">
      <w:pPr>
        <w:pStyle w:val="Heading3"/>
      </w:pPr>
      <w:r w:rsidRPr="003F56DA">
        <w:t>Recommendation 10.5: Strengthen the capacity of the RBA in strategic communications</w:t>
      </w:r>
    </w:p>
    <w:p w14:paraId="0A60DF4C" w14:textId="77777777" w:rsidR="001673CF" w:rsidRDefault="001673CF" w:rsidP="001673CF">
      <w:r>
        <w:t>The Review recommends building a professional communications capacity – under a Chief Communications</w:t>
      </w:r>
      <w:r>
        <w:rPr>
          <w:spacing w:val="-1"/>
        </w:rPr>
        <w:t xml:space="preserve"> </w:t>
      </w:r>
      <w:r>
        <w:t>Officer</w:t>
      </w:r>
      <w:r>
        <w:rPr>
          <w:spacing w:val="1"/>
        </w:rPr>
        <w:t xml:space="preserve"> </w:t>
      </w:r>
      <w:r>
        <w:t>–</w:t>
      </w:r>
      <w:r>
        <w:rPr>
          <w:spacing w:val="2"/>
        </w:rPr>
        <w:t xml:space="preserve"> </w:t>
      </w:r>
      <w:r>
        <w:t>that</w:t>
      </w:r>
      <w:r>
        <w:rPr>
          <w:spacing w:val="1"/>
        </w:rPr>
        <w:t xml:space="preserve"> </w:t>
      </w:r>
      <w:r>
        <w:t>seeks</w:t>
      </w:r>
      <w:r>
        <w:rPr>
          <w:spacing w:val="1"/>
        </w:rPr>
        <w:t xml:space="preserve"> </w:t>
      </w:r>
      <w:r>
        <w:t>to</w:t>
      </w:r>
      <w:r>
        <w:rPr>
          <w:spacing w:val="2"/>
        </w:rPr>
        <w:t xml:space="preserve"> </w:t>
      </w:r>
      <w:r>
        <w:t>improve</w:t>
      </w:r>
      <w:r>
        <w:rPr>
          <w:spacing w:val="1"/>
        </w:rPr>
        <w:t xml:space="preserve"> </w:t>
      </w:r>
      <w:r>
        <w:t>the</w:t>
      </w:r>
      <w:r>
        <w:rPr>
          <w:spacing w:val="1"/>
        </w:rPr>
        <w:t xml:space="preserve"> </w:t>
      </w:r>
      <w:r>
        <w:t>effectiveness</w:t>
      </w:r>
      <w:r>
        <w:rPr>
          <w:spacing w:val="2"/>
        </w:rPr>
        <w:t xml:space="preserve"> </w:t>
      </w:r>
      <w:r>
        <w:t>of</w:t>
      </w:r>
      <w:r>
        <w:rPr>
          <w:spacing w:val="1"/>
        </w:rPr>
        <w:t xml:space="preserve"> </w:t>
      </w:r>
      <w:r>
        <w:t>the</w:t>
      </w:r>
      <w:r>
        <w:rPr>
          <w:spacing w:val="1"/>
        </w:rPr>
        <w:t xml:space="preserve"> </w:t>
      </w:r>
      <w:r>
        <w:t>RBA’s</w:t>
      </w:r>
      <w:r>
        <w:rPr>
          <w:spacing w:val="2"/>
        </w:rPr>
        <w:t xml:space="preserve"> </w:t>
      </w:r>
      <w:r>
        <w:rPr>
          <w:spacing w:val="-2"/>
        </w:rPr>
        <w:t>communications.</w:t>
      </w:r>
    </w:p>
    <w:p w14:paraId="416328FF" w14:textId="5F9F67F8" w:rsidR="001673CF" w:rsidRDefault="001673CF" w:rsidP="001673CF">
      <w:r>
        <w:t>This recommendation is intended to ensure that the RBA has the depth of skills and expertise at a sufficiently senior level to provide strategic communications advice to the RBA’s executive and its boards</w:t>
      </w:r>
      <w:r w:rsidR="0068598E">
        <w:rPr>
          <w:spacing w:val="-22"/>
        </w:rPr>
        <w:t>.</w:t>
      </w:r>
      <w:r>
        <w:rPr>
          <w:w w:val="85"/>
        </w:rPr>
        <w:t xml:space="preserve"> </w:t>
      </w:r>
      <w:r>
        <w:t>A key focus of this new function should be advising the Monetary Policy Board on its communications</w:t>
      </w:r>
      <w:r w:rsidR="0068598E">
        <w:rPr>
          <w:spacing w:val="-25"/>
        </w:rPr>
        <w:t>.</w:t>
      </w:r>
    </w:p>
    <w:p w14:paraId="142895EE" w14:textId="06CC83CF" w:rsidR="001673CF" w:rsidRDefault="001673CF" w:rsidP="001673CF">
      <w:r>
        <w:t>This communications function needs to have an appropriately prominent position within the organisational structure. The Chief Communications Officer should report directly to the Governor. This will give the role sufficient exposure to senior forums to take a strategic perspective across the RBA</w:t>
      </w:r>
      <w:r w:rsidR="0068598E">
        <w:rPr>
          <w:spacing w:val="-23"/>
        </w:rPr>
        <w:t>.</w:t>
      </w:r>
      <w:r>
        <w:rPr>
          <w:w w:val="85"/>
        </w:rPr>
        <w:t xml:space="preserve"> </w:t>
      </w:r>
      <w:r>
        <w:t>It is important the role is given appropriate access to the RBA’s executives and boards, and its expertise be drawn on by them. The Chief Communications Officer will need to be actively engaged in discussions from an early stage to enable them to offer timely and informed advice.</w:t>
      </w:r>
    </w:p>
    <w:p w14:paraId="740C9663" w14:textId="58CC66F3" w:rsidR="001673CF" w:rsidRDefault="001673CF" w:rsidP="001673CF">
      <w:r>
        <w:t>The communications function should undertake and draw upon internal and external stakeholder analysis</w:t>
      </w:r>
      <w:r w:rsidR="0068598E">
        <w:rPr>
          <w:spacing w:val="-23"/>
        </w:rPr>
        <w:t>.</w:t>
      </w:r>
      <w:r>
        <w:rPr>
          <w:w w:val="85"/>
        </w:rPr>
        <w:t xml:space="preserve"> </w:t>
      </w:r>
      <w:r>
        <w:t>This would assist the RBA to develop a richer understanding of the communication needs of its stakeholders, especially the public</w:t>
      </w:r>
      <w:r w:rsidR="0068598E">
        <w:rPr>
          <w:spacing w:val="-18"/>
        </w:rPr>
        <w:t>.</w:t>
      </w:r>
      <w:r>
        <w:rPr>
          <w:w w:val="85"/>
        </w:rPr>
        <w:t xml:space="preserve"> </w:t>
      </w:r>
      <w:r>
        <w:t xml:space="preserve">Understanding these needs will ensure that the RBA’s communication approach is tailored to its audiences. For example, like some of its peer central banks, the RBA has started using a layered approach for its </w:t>
      </w:r>
      <w:r>
        <w:rPr>
          <w:i/>
        </w:rPr>
        <w:t xml:space="preserve">Financial Stability Review </w:t>
      </w:r>
      <w:r>
        <w:t>to better reach the public</w:t>
      </w:r>
      <w:r w:rsidR="0068598E">
        <w:rPr>
          <w:spacing w:val="-17"/>
        </w:rPr>
        <w:t>.</w:t>
      </w:r>
    </w:p>
    <w:p w14:paraId="731B20AD" w14:textId="6CB922BD" w:rsidR="00BB5435" w:rsidRPr="003F56DA" w:rsidRDefault="00BB5435" w:rsidP="003F56DA">
      <w:pPr>
        <w:pStyle w:val="Heading3"/>
      </w:pPr>
      <w:r w:rsidRPr="003F56DA">
        <w:t>Recommendation 10.6: Strengthen conflict of interest policies for members of the RBA’s Boards</w:t>
      </w:r>
    </w:p>
    <w:p w14:paraId="72C18062" w14:textId="6A5C3CAC" w:rsidR="00BB5435" w:rsidRDefault="00BB5435" w:rsidP="00BB5435">
      <w:r>
        <w:t>Most members of the RBA’s Boards will serve on a part-time basis</w:t>
      </w:r>
      <w:r w:rsidR="0068598E">
        <w:rPr>
          <w:spacing w:val="-20"/>
        </w:rPr>
        <w:t>.</w:t>
      </w:r>
      <w:r>
        <w:t xml:space="preserve"> As such, they can be expected</w:t>
      </w:r>
      <w:r>
        <w:rPr>
          <w:spacing w:val="40"/>
        </w:rPr>
        <w:t xml:space="preserve"> </w:t>
      </w:r>
      <w:r>
        <w:t>to have other employment and roles. The Review recognises the benefits of the outside perspectives, networks and skills that this brings, as well as opportunities for information sharing</w:t>
      </w:r>
      <w:r w:rsidR="0068598E">
        <w:rPr>
          <w:spacing w:val="-19"/>
        </w:rPr>
        <w:t>.</w:t>
      </w:r>
      <w:r>
        <w:t xml:space="preserve"> However, this arrangement raises the risk that outside considerations might influence – or be thought</w:t>
      </w:r>
      <w:r>
        <w:rPr>
          <w:spacing w:val="-1"/>
        </w:rPr>
        <w:t xml:space="preserve"> </w:t>
      </w:r>
      <w:r>
        <w:t>to</w:t>
      </w:r>
      <w:r>
        <w:rPr>
          <w:spacing w:val="-1"/>
        </w:rPr>
        <w:t xml:space="preserve"> </w:t>
      </w:r>
      <w:r>
        <w:t>influence</w:t>
      </w:r>
      <w:r>
        <w:rPr>
          <w:spacing w:val="-1"/>
        </w:rPr>
        <w:t xml:space="preserve"> </w:t>
      </w:r>
      <w:r>
        <w:t>–</w:t>
      </w:r>
      <w:r>
        <w:rPr>
          <w:spacing w:val="-1"/>
        </w:rPr>
        <w:t xml:space="preserve"> </w:t>
      </w:r>
      <w:r>
        <w:t>members</w:t>
      </w:r>
      <w:r>
        <w:rPr>
          <w:spacing w:val="-1"/>
        </w:rPr>
        <w:t xml:space="preserve"> </w:t>
      </w:r>
      <w:r>
        <w:t>to</w:t>
      </w:r>
      <w:r>
        <w:rPr>
          <w:spacing w:val="-1"/>
        </w:rPr>
        <w:t xml:space="preserve"> </w:t>
      </w:r>
      <w:r>
        <w:t>make</w:t>
      </w:r>
      <w:r>
        <w:rPr>
          <w:spacing w:val="-1"/>
        </w:rPr>
        <w:t xml:space="preserve"> </w:t>
      </w:r>
      <w:r>
        <w:t>choices</w:t>
      </w:r>
      <w:r>
        <w:rPr>
          <w:spacing w:val="-1"/>
        </w:rPr>
        <w:t xml:space="preserve"> </w:t>
      </w:r>
      <w:r>
        <w:t>that</w:t>
      </w:r>
      <w:r>
        <w:rPr>
          <w:spacing w:val="-1"/>
        </w:rPr>
        <w:t xml:space="preserve"> </w:t>
      </w:r>
      <w:r>
        <w:t>do</w:t>
      </w:r>
      <w:r>
        <w:rPr>
          <w:spacing w:val="-1"/>
        </w:rPr>
        <w:t xml:space="preserve"> </w:t>
      </w:r>
      <w:r>
        <w:t>not</w:t>
      </w:r>
      <w:r>
        <w:rPr>
          <w:spacing w:val="-1"/>
        </w:rPr>
        <w:t xml:space="preserve"> </w:t>
      </w:r>
      <w:r>
        <w:t>best</w:t>
      </w:r>
      <w:r>
        <w:rPr>
          <w:spacing w:val="-1"/>
        </w:rPr>
        <w:t xml:space="preserve"> </w:t>
      </w:r>
      <w:r>
        <w:t>contribute</w:t>
      </w:r>
      <w:r>
        <w:rPr>
          <w:spacing w:val="-1"/>
        </w:rPr>
        <w:t xml:space="preserve"> </w:t>
      </w:r>
      <w:r>
        <w:t>to</w:t>
      </w:r>
      <w:r>
        <w:rPr>
          <w:spacing w:val="-1"/>
        </w:rPr>
        <w:t xml:space="preserve"> </w:t>
      </w:r>
      <w:r>
        <w:t>achievement</w:t>
      </w:r>
      <w:r>
        <w:rPr>
          <w:spacing w:val="-1"/>
        </w:rPr>
        <w:t xml:space="preserve"> </w:t>
      </w:r>
      <w:r>
        <w:t>of</w:t>
      </w:r>
      <w:r>
        <w:rPr>
          <w:spacing w:val="-1"/>
        </w:rPr>
        <w:t xml:space="preserve"> </w:t>
      </w:r>
      <w:r>
        <w:t>the objectives of the RBA</w:t>
      </w:r>
      <w:r w:rsidR="0068598E">
        <w:rPr>
          <w:spacing w:val="-9"/>
        </w:rPr>
        <w:t>.</w:t>
      </w:r>
    </w:p>
    <w:p w14:paraId="04673368" w14:textId="153EDF4E" w:rsidR="00BB5435" w:rsidRDefault="00BB5435" w:rsidP="00BB5435">
      <w:r>
        <w:lastRenderedPageBreak/>
        <w:t>The Review did not hear evidence of conflicts of interest impairing decision making of Reserve Bank Board members</w:t>
      </w:r>
      <w:r w:rsidR="0068598E">
        <w:rPr>
          <w:spacing w:val="-22"/>
        </w:rPr>
        <w:t>.</w:t>
      </w:r>
      <w:r>
        <w:rPr>
          <w:w w:val="85"/>
        </w:rPr>
        <w:t xml:space="preserve"> </w:t>
      </w:r>
      <w:r>
        <w:t>In addition, in Reserve Bank Board surveys between 2017 and 2022, all members either agreed or strongly agreed that ‘conflicts of interest are handled appropriately’. That said,</w:t>
      </w:r>
      <w:r>
        <w:rPr>
          <w:spacing w:val="80"/>
        </w:rPr>
        <w:t xml:space="preserve"> </w:t>
      </w:r>
      <w:r>
        <w:t>even the perception of conflicts of interest has the potential to damage the credibility of decisions, so it is important that conflict-of-interest arrangements are carefully managed (Box 3.1).</w:t>
      </w:r>
    </w:p>
    <w:p w14:paraId="570CE63D" w14:textId="2CEE15D4" w:rsidR="00BB5435" w:rsidRDefault="00BB5435" w:rsidP="00BB5435">
      <w:r>
        <w:t>The</w:t>
      </w:r>
      <w:r>
        <w:rPr>
          <w:spacing w:val="3"/>
        </w:rPr>
        <w:t xml:space="preserve"> </w:t>
      </w:r>
      <w:r>
        <w:t>Review</w:t>
      </w:r>
      <w:r>
        <w:rPr>
          <w:spacing w:val="4"/>
        </w:rPr>
        <w:t xml:space="preserve"> </w:t>
      </w:r>
      <w:r>
        <w:t>identified</w:t>
      </w:r>
      <w:r>
        <w:rPr>
          <w:spacing w:val="4"/>
        </w:rPr>
        <w:t xml:space="preserve"> </w:t>
      </w:r>
      <w:r>
        <w:t>some</w:t>
      </w:r>
      <w:r>
        <w:rPr>
          <w:spacing w:val="4"/>
        </w:rPr>
        <w:t xml:space="preserve"> </w:t>
      </w:r>
      <w:r>
        <w:t>aspects</w:t>
      </w:r>
      <w:r>
        <w:rPr>
          <w:spacing w:val="3"/>
        </w:rPr>
        <w:t xml:space="preserve"> </w:t>
      </w:r>
      <w:r>
        <w:t>of</w:t>
      </w:r>
      <w:r>
        <w:rPr>
          <w:spacing w:val="4"/>
        </w:rPr>
        <w:t xml:space="preserve"> </w:t>
      </w:r>
      <w:r>
        <w:t>current</w:t>
      </w:r>
      <w:r>
        <w:rPr>
          <w:spacing w:val="4"/>
        </w:rPr>
        <w:t xml:space="preserve"> </w:t>
      </w:r>
      <w:r>
        <w:t>safeguards</w:t>
      </w:r>
      <w:r>
        <w:rPr>
          <w:spacing w:val="4"/>
        </w:rPr>
        <w:t xml:space="preserve"> </w:t>
      </w:r>
      <w:r>
        <w:t>that</w:t>
      </w:r>
      <w:r>
        <w:rPr>
          <w:spacing w:val="3"/>
        </w:rPr>
        <w:t xml:space="preserve"> </w:t>
      </w:r>
      <w:r>
        <w:t>could</w:t>
      </w:r>
      <w:r>
        <w:rPr>
          <w:spacing w:val="4"/>
        </w:rPr>
        <w:t xml:space="preserve"> </w:t>
      </w:r>
      <w:r>
        <w:t>be</w:t>
      </w:r>
      <w:r>
        <w:rPr>
          <w:spacing w:val="4"/>
        </w:rPr>
        <w:t xml:space="preserve"> </w:t>
      </w:r>
      <w:r>
        <w:t>strengthened</w:t>
      </w:r>
      <w:r>
        <w:rPr>
          <w:spacing w:val="4"/>
        </w:rPr>
        <w:t xml:space="preserve"> </w:t>
      </w:r>
      <w:r>
        <w:t>further</w:t>
      </w:r>
      <w:r>
        <w:rPr>
          <w:spacing w:val="4"/>
        </w:rPr>
        <w:t xml:space="preserve"> </w:t>
      </w:r>
      <w:r>
        <w:rPr>
          <w:spacing w:val="-5"/>
        </w:rPr>
        <w:t xml:space="preserve">for </w:t>
      </w:r>
      <w:r>
        <w:rPr>
          <w:color w:val="231F20"/>
        </w:rPr>
        <w:t>members</w:t>
      </w:r>
      <w:r>
        <w:rPr>
          <w:color w:val="231F20"/>
          <w:spacing w:val="2"/>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Monetary</w:t>
      </w:r>
      <w:r>
        <w:rPr>
          <w:color w:val="231F20"/>
          <w:spacing w:val="3"/>
        </w:rPr>
        <w:t xml:space="preserve"> </w:t>
      </w:r>
      <w:r>
        <w:rPr>
          <w:color w:val="231F20"/>
        </w:rPr>
        <w:t>Policy</w:t>
      </w:r>
      <w:r>
        <w:rPr>
          <w:color w:val="231F20"/>
          <w:spacing w:val="3"/>
        </w:rPr>
        <w:t xml:space="preserve"> </w:t>
      </w:r>
      <w:r>
        <w:rPr>
          <w:color w:val="231F20"/>
        </w:rPr>
        <w:t>Board</w:t>
      </w:r>
      <w:r>
        <w:rPr>
          <w:color w:val="231F20"/>
          <w:spacing w:val="3"/>
        </w:rPr>
        <w:t xml:space="preserve"> </w:t>
      </w:r>
      <w:r>
        <w:rPr>
          <w:color w:val="231F20"/>
        </w:rPr>
        <w:t>and</w:t>
      </w:r>
      <w:r>
        <w:rPr>
          <w:color w:val="231F20"/>
          <w:spacing w:val="3"/>
        </w:rPr>
        <w:t xml:space="preserve"> </w:t>
      </w:r>
      <w:r>
        <w:rPr>
          <w:color w:val="231F20"/>
        </w:rPr>
        <w:t>Governance</w:t>
      </w:r>
      <w:r>
        <w:rPr>
          <w:color w:val="231F20"/>
          <w:spacing w:val="3"/>
        </w:rPr>
        <w:t xml:space="preserve"> </w:t>
      </w:r>
      <w:r>
        <w:rPr>
          <w:color w:val="231F20"/>
          <w:spacing w:val="-2"/>
        </w:rPr>
        <w:t>Board:</w:t>
      </w:r>
    </w:p>
    <w:p w14:paraId="24E98E40" w14:textId="0F68E0D2" w:rsidR="00BB5435" w:rsidRDefault="00BB5435" w:rsidP="0000278A">
      <w:pPr>
        <w:pStyle w:val="Bullet"/>
      </w:pPr>
      <w:r>
        <w:t>The conflict of interest policies should contain a more fulsome description of situations where real or perceived conflicts could arise. In particular, the policy should include guidance on roles</w:t>
      </w:r>
      <w:r>
        <w:rPr>
          <w:spacing w:val="80"/>
        </w:rPr>
        <w:t xml:space="preserve"> </w:t>
      </w:r>
      <w:r>
        <w:t>in sectors that are sensitive to interest rates, which may not disqualify candidates but need to be managed carefully</w:t>
      </w:r>
      <w:r w:rsidR="0068598E">
        <w:rPr>
          <w:spacing w:val="-17"/>
        </w:rPr>
        <w:t>.</w:t>
      </w:r>
    </w:p>
    <w:p w14:paraId="2F02E9CB" w14:textId="49F69CE1" w:rsidR="00BB5435" w:rsidRDefault="00BB5435" w:rsidP="0000278A">
      <w:pPr>
        <w:pStyle w:val="Bullet"/>
      </w:pPr>
      <w:r>
        <w:t>There should be tighter restrictions on the financial transactions of members of the Monetary Policy Board and Governance Board (and their immediate family), in line with those that apply to RBA staff. For example, Board members should be prohibited from</w:t>
      </w:r>
      <w:r>
        <w:rPr>
          <w:spacing w:val="-1"/>
        </w:rPr>
        <w:t xml:space="preserve"> </w:t>
      </w:r>
      <w:r>
        <w:rPr>
          <w:i/>
        </w:rPr>
        <w:t xml:space="preserve">active </w:t>
      </w:r>
      <w:r>
        <w:t>trading in financial instruments and from transacting in certain types of financial products, such as interest rate derivatives and foreign exchange. The so-called ‘blackout period’ for discretionary financial transactions on most financial products should be longer, reflecting the earlier involvement of policymakers in the policy formulation process (see Recommendation 9</w:t>
      </w:r>
      <w:r w:rsidR="0068598E">
        <w:rPr>
          <w:spacing w:val="-19"/>
        </w:rPr>
        <w:t>.</w:t>
      </w:r>
      <w:r>
        <w:rPr>
          <w:w w:val="117"/>
        </w:rPr>
        <w:t>1)</w:t>
      </w:r>
      <w:r w:rsidR="0068598E">
        <w:rPr>
          <w:spacing w:val="-18"/>
          <w:w w:val="99"/>
        </w:rPr>
        <w:t>.</w:t>
      </w:r>
    </w:p>
    <w:p w14:paraId="1DCFE199" w14:textId="6D855B3E" w:rsidR="00BB5435" w:rsidRDefault="00BB5435" w:rsidP="0000278A">
      <w:pPr>
        <w:pStyle w:val="Bullet"/>
      </w:pPr>
      <w:r>
        <w:t xml:space="preserve">The RBA should increase transparency around conflict-of-interests by including declarations of conflicts as a standing item in all Monetary Policy Board meetings and all published </w:t>
      </w:r>
      <w:r>
        <w:rPr>
          <w:i/>
        </w:rPr>
        <w:t>Minutes</w:t>
      </w:r>
      <w:r w:rsidR="0068598E">
        <w:rPr>
          <w:spacing w:val="-18"/>
        </w:rPr>
        <w:t>.</w:t>
      </w:r>
    </w:p>
    <w:p w14:paraId="15FACAFE" w14:textId="0FBD7652" w:rsidR="00D95ABF" w:rsidRDefault="00D95ABF">
      <w:pPr>
        <w:spacing w:before="0" w:after="160" w:line="259" w:lineRule="auto"/>
      </w:pPr>
      <w:r>
        <w:br w:type="page"/>
      </w:r>
    </w:p>
    <w:p w14:paraId="2D320E72" w14:textId="2E00D789" w:rsidR="00042330" w:rsidRDefault="00042330" w:rsidP="00042330">
      <w:pPr>
        <w:pStyle w:val="Heading1"/>
        <w:rPr>
          <w:spacing w:val="-5"/>
        </w:rPr>
      </w:pPr>
      <w:bookmarkStart w:id="50" w:name="_Toc134221020"/>
      <w:r>
        <w:rPr>
          <w:spacing w:val="-6"/>
        </w:rPr>
        <w:lastRenderedPageBreak/>
        <w:t>Chapter</w:t>
      </w:r>
      <w:r>
        <w:rPr>
          <w:spacing w:val="-19"/>
        </w:rPr>
        <w:t xml:space="preserve"> </w:t>
      </w:r>
      <w:r>
        <w:rPr>
          <w:spacing w:val="-5"/>
        </w:rPr>
        <w:t>4:</w:t>
      </w:r>
      <w:r w:rsidR="0051043A">
        <w:rPr>
          <w:spacing w:val="-5"/>
        </w:rPr>
        <w:t xml:space="preserve"> </w:t>
      </w:r>
      <w:r>
        <w:t>An</w:t>
      </w:r>
      <w:r>
        <w:rPr>
          <w:spacing w:val="-23"/>
        </w:rPr>
        <w:t xml:space="preserve"> </w:t>
      </w:r>
      <w:r>
        <w:t>open</w:t>
      </w:r>
      <w:r>
        <w:rPr>
          <w:spacing w:val="-23"/>
        </w:rPr>
        <w:t xml:space="preserve"> </w:t>
      </w:r>
      <w:r>
        <w:t>and</w:t>
      </w:r>
      <w:r>
        <w:rPr>
          <w:spacing w:val="-22"/>
        </w:rPr>
        <w:t xml:space="preserve"> </w:t>
      </w:r>
      <w:r>
        <w:t>dynamic</w:t>
      </w:r>
      <w:r>
        <w:rPr>
          <w:spacing w:val="-22"/>
        </w:rPr>
        <w:t xml:space="preserve"> </w:t>
      </w:r>
      <w:r>
        <w:rPr>
          <w:spacing w:val="-5"/>
        </w:rPr>
        <w:t>RBA</w:t>
      </w:r>
      <w:bookmarkEnd w:id="50"/>
    </w:p>
    <w:p w14:paraId="15C64ACB" w14:textId="77777777" w:rsidR="0051043A" w:rsidRPr="0051043A" w:rsidRDefault="0051043A" w:rsidP="0051043A"/>
    <w:tbl>
      <w:tblPr>
        <w:tblStyle w:val="TableGrid"/>
        <w:tblW w:w="0" w:type="auto"/>
        <w:tblLook w:val="04A0" w:firstRow="1" w:lastRow="0" w:firstColumn="1" w:lastColumn="0" w:noHBand="0" w:noVBand="1"/>
      </w:tblPr>
      <w:tblGrid>
        <w:gridCol w:w="9060"/>
      </w:tblGrid>
      <w:tr w:rsidR="0051043A" w14:paraId="20B39574" w14:textId="77777777" w:rsidTr="00857670">
        <w:trPr>
          <w:cnfStyle w:val="100000000000" w:firstRow="1" w:lastRow="0" w:firstColumn="0" w:lastColumn="0" w:oddVBand="0" w:evenVBand="0" w:oddHBand="0" w:evenHBand="0" w:firstRowFirstColumn="0" w:firstRowLastColumn="0" w:lastRowFirstColumn="0" w:lastRowLastColumn="0"/>
          <w:trHeight w:val="1736"/>
        </w:trPr>
        <w:tc>
          <w:tcPr>
            <w:tcW w:w="9060" w:type="dxa"/>
            <w:tcBorders>
              <w:top w:val="single" w:sz="4" w:space="0" w:color="auto"/>
              <w:left w:val="single" w:sz="4" w:space="0" w:color="auto"/>
              <w:bottom w:val="single" w:sz="4" w:space="0" w:color="auto"/>
              <w:right w:val="single" w:sz="4" w:space="0" w:color="auto"/>
            </w:tcBorders>
          </w:tcPr>
          <w:p w14:paraId="7D78DC97" w14:textId="2BD3B95F" w:rsidR="0051043A" w:rsidRPr="00BA306E" w:rsidRDefault="0051043A" w:rsidP="00F22AE5">
            <w:pPr>
              <w:pStyle w:val="TableParagraph"/>
              <w:spacing w:before="181" w:line="225" w:lineRule="auto"/>
              <w:ind w:left="226" w:right="199"/>
              <w:rPr>
                <w:rFonts w:ascii="Calibri Light" w:hAnsi="Calibri Light" w:cs="Calibri Light"/>
                <w:sz w:val="22"/>
              </w:rPr>
            </w:pPr>
            <w:r w:rsidRPr="00BA306E">
              <w:rPr>
                <w:rFonts w:ascii="Calibri Light" w:hAnsi="Calibri Light" w:cs="Calibri Light"/>
                <w:b w:val="0"/>
                <w:color w:val="231F20"/>
                <w:sz w:val="22"/>
              </w:rPr>
              <w:t>This chapter considers how the RBA is operating as an institution, including its internal governance processes, its flexibility and dynamism. It looks at how leaders undertake their people leadership responsibilities and drive high-performing teams, the environment for constructive challenge and debate, and how the RBA is using its capability for economic research</w:t>
            </w:r>
            <w:r w:rsidR="0068598E" w:rsidRPr="00BA306E">
              <w:rPr>
                <w:rFonts w:ascii="Calibri Light" w:hAnsi="Calibri Light" w:cs="Calibri Light"/>
                <w:b w:val="0"/>
                <w:color w:val="231F20"/>
                <w:spacing w:val="-24"/>
                <w:sz w:val="22"/>
              </w:rPr>
              <w:t>.</w:t>
            </w:r>
            <w:r w:rsidRPr="00BA306E">
              <w:rPr>
                <w:rFonts w:ascii="Calibri Light" w:hAnsi="Calibri Light" w:cs="Calibri Light"/>
                <w:b w:val="0"/>
                <w:color w:val="231F20"/>
                <w:w w:val="85"/>
                <w:sz w:val="22"/>
              </w:rPr>
              <w:t xml:space="preserve"> </w:t>
            </w:r>
            <w:r w:rsidRPr="00BA306E">
              <w:rPr>
                <w:rFonts w:ascii="Calibri Light" w:hAnsi="Calibri Light" w:cs="Calibri Light"/>
                <w:b w:val="0"/>
                <w:color w:val="231F20"/>
                <w:sz w:val="22"/>
              </w:rPr>
              <w:t>The chapter makes a wide-ranging recommendation aimed at further strengthening the management, culture and operations of the RBA</w:t>
            </w:r>
            <w:r w:rsidR="0068598E" w:rsidRPr="00BA306E">
              <w:rPr>
                <w:rFonts w:ascii="Calibri Light" w:hAnsi="Calibri Light" w:cs="Calibri Light"/>
                <w:b w:val="0"/>
                <w:color w:val="231F20"/>
                <w:spacing w:val="-14"/>
                <w:sz w:val="22"/>
              </w:rPr>
              <w:t>.</w:t>
            </w:r>
          </w:p>
        </w:tc>
      </w:tr>
    </w:tbl>
    <w:p w14:paraId="280F31C0" w14:textId="4CCDAA39" w:rsidR="00857670" w:rsidRDefault="00857670" w:rsidP="00857670">
      <w:r>
        <w:t>An</w:t>
      </w:r>
      <w:r>
        <w:rPr>
          <w:spacing w:val="5"/>
        </w:rPr>
        <w:t xml:space="preserve"> </w:t>
      </w:r>
      <w:r>
        <w:t>organisation’s</w:t>
      </w:r>
      <w:r>
        <w:rPr>
          <w:spacing w:val="5"/>
        </w:rPr>
        <w:t xml:space="preserve"> </w:t>
      </w:r>
      <w:r>
        <w:t>leadership,</w:t>
      </w:r>
      <w:r>
        <w:rPr>
          <w:spacing w:val="6"/>
        </w:rPr>
        <w:t xml:space="preserve"> </w:t>
      </w:r>
      <w:r>
        <w:t>culture</w:t>
      </w:r>
      <w:r>
        <w:rPr>
          <w:spacing w:val="5"/>
        </w:rPr>
        <w:t xml:space="preserve"> </w:t>
      </w:r>
      <w:r>
        <w:t>and</w:t>
      </w:r>
      <w:r>
        <w:rPr>
          <w:spacing w:val="5"/>
        </w:rPr>
        <w:t xml:space="preserve"> </w:t>
      </w:r>
      <w:r>
        <w:t>strategy</w:t>
      </w:r>
      <w:r>
        <w:rPr>
          <w:spacing w:val="6"/>
        </w:rPr>
        <w:t xml:space="preserve"> </w:t>
      </w:r>
      <w:r>
        <w:t>fundamentally</w:t>
      </w:r>
      <w:r>
        <w:rPr>
          <w:spacing w:val="5"/>
        </w:rPr>
        <w:t xml:space="preserve"> </w:t>
      </w:r>
      <w:r>
        <w:t>shape</w:t>
      </w:r>
      <w:r>
        <w:rPr>
          <w:spacing w:val="6"/>
        </w:rPr>
        <w:t xml:space="preserve"> </w:t>
      </w:r>
      <w:r>
        <w:t>its</w:t>
      </w:r>
      <w:r>
        <w:rPr>
          <w:spacing w:val="5"/>
        </w:rPr>
        <w:t xml:space="preserve"> </w:t>
      </w:r>
      <w:r>
        <w:t>performance</w:t>
      </w:r>
      <w:r w:rsidR="0068598E">
        <w:rPr>
          <w:spacing w:val="-21"/>
        </w:rPr>
        <w:t>.</w:t>
      </w:r>
      <w:r>
        <w:rPr>
          <w:spacing w:val="-10"/>
          <w:w w:val="85"/>
        </w:rPr>
        <w:t xml:space="preserve"> </w:t>
      </w:r>
      <w:r>
        <w:t>High-performing institutions have a culture that is aligned with their strategic direction</w:t>
      </w:r>
      <w:r w:rsidR="0068598E">
        <w:rPr>
          <w:spacing w:val="-18"/>
        </w:rPr>
        <w:t>.</w:t>
      </w:r>
      <w:r>
        <w:rPr>
          <w:w w:val="85"/>
        </w:rPr>
        <w:t xml:space="preserve"> </w:t>
      </w:r>
      <w:r>
        <w:t xml:space="preserve">Culture is the shared values and beliefs that guide how members of an organisation approach their work and interact with each other (Department of the Prime Minister and Cabinet 2019). It lies at the heart </w:t>
      </w:r>
      <w:r>
        <w:rPr>
          <w:color w:val="231F20"/>
        </w:rPr>
        <w:t>of how organisations work. Important drivers of culture include the structure, systems (including governance), organisational policies and leadership of the organisation</w:t>
      </w:r>
      <w:r w:rsidR="0068598E">
        <w:rPr>
          <w:color w:val="231F20"/>
          <w:spacing w:val="-16"/>
        </w:rPr>
        <w:t>.</w:t>
      </w:r>
      <w:r>
        <w:rPr>
          <w:color w:val="231F20"/>
          <w:w w:val="85"/>
        </w:rPr>
        <w:t xml:space="preserve"> </w:t>
      </w:r>
      <w:r>
        <w:rPr>
          <w:color w:val="231F20"/>
        </w:rPr>
        <w:t>Strategy focuses the organisation’s actions and decision making</w:t>
      </w:r>
      <w:r w:rsidR="0068598E">
        <w:rPr>
          <w:color w:val="231F20"/>
          <w:spacing w:val="-8"/>
        </w:rPr>
        <w:t>.</w:t>
      </w:r>
    </w:p>
    <w:p w14:paraId="69F46BFD" w14:textId="3630862C" w:rsidR="00857670" w:rsidRDefault="00857670" w:rsidP="00857670">
      <w:r>
        <w:t>The first part of this report has focused on the RBA’s monetary policy and financial stability functions</w:t>
      </w:r>
      <w:r w:rsidR="0068598E">
        <w:rPr>
          <w:spacing w:val="-22"/>
        </w:rPr>
        <w:t>.</w:t>
      </w:r>
      <w:r>
        <w:rPr>
          <w:w w:val="85"/>
        </w:rPr>
        <w:t xml:space="preserve"> </w:t>
      </w:r>
      <w:r>
        <w:t>The remaining chapters of the report consider organisation-wide matters and how they affect the broader performance of the RBA. This chapter considers the management, culture and operations of the whole of the RBA. Accordingly, the observations and assessments reflect views from across all areas of the institution</w:t>
      </w:r>
      <w:r w:rsidR="0068598E">
        <w:rPr>
          <w:spacing w:val="-24"/>
        </w:rPr>
        <w:t>.</w:t>
      </w:r>
      <w:r>
        <w:rPr>
          <w:w w:val="85"/>
        </w:rPr>
        <w:t xml:space="preserve"> </w:t>
      </w:r>
      <w:r>
        <w:t>While many observations in this chapter relate to the whole organisation, a subset relate to the RBA’s policy functions</w:t>
      </w:r>
      <w:r w:rsidR="0068598E">
        <w:rPr>
          <w:spacing w:val="-15"/>
        </w:rPr>
        <w:t>.</w:t>
      </w:r>
    </w:p>
    <w:p w14:paraId="60DFAF8F" w14:textId="292CF6D1" w:rsidR="00857670" w:rsidRDefault="00857670" w:rsidP="00857670">
      <w:r>
        <w:t>The</w:t>
      </w:r>
      <w:r>
        <w:rPr>
          <w:spacing w:val="13"/>
        </w:rPr>
        <w:t xml:space="preserve"> </w:t>
      </w:r>
      <w:r>
        <w:t>Review</w:t>
      </w:r>
      <w:r>
        <w:rPr>
          <w:spacing w:val="13"/>
        </w:rPr>
        <w:t xml:space="preserve"> </w:t>
      </w:r>
      <w:r>
        <w:t>has</w:t>
      </w:r>
      <w:r>
        <w:rPr>
          <w:spacing w:val="13"/>
        </w:rPr>
        <w:t xml:space="preserve"> </w:t>
      </w:r>
      <w:r>
        <w:t>used</w:t>
      </w:r>
      <w:r>
        <w:rPr>
          <w:spacing w:val="13"/>
        </w:rPr>
        <w:t xml:space="preserve"> </w:t>
      </w:r>
      <w:r>
        <w:t>various</w:t>
      </w:r>
      <w:r>
        <w:rPr>
          <w:spacing w:val="13"/>
        </w:rPr>
        <w:t xml:space="preserve"> </w:t>
      </w:r>
      <w:r>
        <w:t>methods</w:t>
      </w:r>
      <w:r>
        <w:rPr>
          <w:spacing w:val="13"/>
        </w:rPr>
        <w:t xml:space="preserve"> </w:t>
      </w:r>
      <w:r>
        <w:t>to</w:t>
      </w:r>
      <w:r>
        <w:rPr>
          <w:spacing w:val="13"/>
        </w:rPr>
        <w:t xml:space="preserve"> </w:t>
      </w:r>
      <w:r>
        <w:t>understand</w:t>
      </w:r>
      <w:r>
        <w:rPr>
          <w:spacing w:val="13"/>
        </w:rPr>
        <w:t xml:space="preserve"> </w:t>
      </w:r>
      <w:r>
        <w:t>the</w:t>
      </w:r>
      <w:r>
        <w:rPr>
          <w:spacing w:val="13"/>
        </w:rPr>
        <w:t xml:space="preserve"> </w:t>
      </w:r>
      <w:r>
        <w:t>RBA’s</w:t>
      </w:r>
      <w:r>
        <w:rPr>
          <w:spacing w:val="13"/>
        </w:rPr>
        <w:t xml:space="preserve"> </w:t>
      </w:r>
      <w:r>
        <w:t>culture,</w:t>
      </w:r>
      <w:r>
        <w:rPr>
          <w:spacing w:val="13"/>
        </w:rPr>
        <w:t xml:space="preserve"> </w:t>
      </w:r>
      <w:r>
        <w:t>recognising</w:t>
      </w:r>
      <w:r>
        <w:rPr>
          <w:spacing w:val="13"/>
        </w:rPr>
        <w:t xml:space="preserve"> </w:t>
      </w:r>
      <w:r>
        <w:t>that</w:t>
      </w:r>
      <w:r>
        <w:rPr>
          <w:spacing w:val="13"/>
        </w:rPr>
        <w:t xml:space="preserve"> </w:t>
      </w:r>
      <w:r>
        <w:t>culture is difficult to assess. People can have very different experiences of culture shaped by their values and beliefs, and also circumstance, such as where in the organisation they work</w:t>
      </w:r>
      <w:r w:rsidR="0068598E">
        <w:rPr>
          <w:spacing w:val="-19"/>
        </w:rPr>
        <w:t>.</w:t>
      </w:r>
      <w:r>
        <w:rPr>
          <w:w w:val="85"/>
        </w:rPr>
        <w:t xml:space="preserve"> </w:t>
      </w:r>
      <w:r>
        <w:t>Adding to this complexity</w:t>
      </w:r>
      <w:r>
        <w:rPr>
          <w:spacing w:val="19"/>
        </w:rPr>
        <w:t xml:space="preserve"> </w:t>
      </w:r>
      <w:r>
        <w:t>is</w:t>
      </w:r>
      <w:r>
        <w:rPr>
          <w:spacing w:val="19"/>
        </w:rPr>
        <w:t xml:space="preserve"> </w:t>
      </w:r>
      <w:r>
        <w:t>that</w:t>
      </w:r>
      <w:r>
        <w:rPr>
          <w:spacing w:val="19"/>
        </w:rPr>
        <w:t xml:space="preserve"> </w:t>
      </w:r>
      <w:r>
        <w:t>an</w:t>
      </w:r>
      <w:r>
        <w:rPr>
          <w:spacing w:val="19"/>
        </w:rPr>
        <w:t xml:space="preserve"> </w:t>
      </w:r>
      <w:r>
        <w:t>organisation’s</w:t>
      </w:r>
      <w:r>
        <w:rPr>
          <w:spacing w:val="19"/>
        </w:rPr>
        <w:t xml:space="preserve"> </w:t>
      </w:r>
      <w:r>
        <w:t>culture</w:t>
      </w:r>
      <w:r>
        <w:rPr>
          <w:spacing w:val="19"/>
        </w:rPr>
        <w:t xml:space="preserve"> </w:t>
      </w:r>
      <w:r>
        <w:t>is</w:t>
      </w:r>
      <w:r>
        <w:rPr>
          <w:spacing w:val="19"/>
        </w:rPr>
        <w:t xml:space="preserve"> </w:t>
      </w:r>
      <w:r>
        <w:t>typically</w:t>
      </w:r>
      <w:r>
        <w:rPr>
          <w:spacing w:val="19"/>
        </w:rPr>
        <w:t xml:space="preserve"> </w:t>
      </w:r>
      <w:r>
        <w:t>not</w:t>
      </w:r>
      <w:r>
        <w:rPr>
          <w:spacing w:val="19"/>
        </w:rPr>
        <w:t xml:space="preserve"> </w:t>
      </w:r>
      <w:r>
        <w:t>homogeneous;</w:t>
      </w:r>
      <w:r>
        <w:rPr>
          <w:spacing w:val="19"/>
        </w:rPr>
        <w:t xml:space="preserve"> </w:t>
      </w:r>
      <w:r>
        <w:t>sub-cultures</w:t>
      </w:r>
      <w:r>
        <w:rPr>
          <w:spacing w:val="19"/>
        </w:rPr>
        <w:t xml:space="preserve"> </w:t>
      </w:r>
      <w:r>
        <w:t>often exist in parts of an organisation. To capture these perspectives, the Review consulted with a large range of people, both within and outside the RBA, and conducted a survey of RBA staff members (Appendix 4 has further details of the consultation process).</w:t>
      </w:r>
    </w:p>
    <w:p w14:paraId="7270DF29" w14:textId="67F53B7D" w:rsidR="009F2BC0" w:rsidRDefault="00857670" w:rsidP="00857670">
      <w:pPr>
        <w:rPr>
          <w:color w:val="231F20"/>
        </w:rPr>
      </w:pPr>
      <w:r>
        <w:rPr>
          <w:color w:val="231F20"/>
        </w:rPr>
        <w:t>Many staff members generously shared their time and thoughts with the Review about how the</w:t>
      </w:r>
      <w:r>
        <w:rPr>
          <w:color w:val="231F20"/>
          <w:spacing w:val="40"/>
        </w:rPr>
        <w:t xml:space="preserve"> </w:t>
      </w:r>
      <w:r>
        <w:rPr>
          <w:color w:val="231F20"/>
        </w:rPr>
        <w:t>RBA operates, what they appreciated about the RBA and how it could be improved</w:t>
      </w:r>
      <w:r w:rsidR="0068598E">
        <w:rPr>
          <w:color w:val="231F20"/>
          <w:spacing w:val="-19"/>
        </w:rPr>
        <w:t>.</w:t>
      </w:r>
      <w:r>
        <w:rPr>
          <w:color w:val="231F20"/>
          <w:w w:val="85"/>
        </w:rPr>
        <w:t xml:space="preserve"> </w:t>
      </w:r>
      <w:r>
        <w:rPr>
          <w:color w:val="231F20"/>
        </w:rPr>
        <w:t>Those same staff members commonly started their comments by emphasising how privileged they felt to work at the RBA and how deeply they respected and cared for the institution</w:t>
      </w:r>
      <w:r w:rsidR="0068598E">
        <w:rPr>
          <w:color w:val="231F20"/>
          <w:spacing w:val="-24"/>
        </w:rPr>
        <w:t>.</w:t>
      </w:r>
      <w:r>
        <w:rPr>
          <w:color w:val="231F20"/>
          <w:w w:val="85"/>
        </w:rPr>
        <w:t xml:space="preserve"> </w:t>
      </w:r>
      <w:r>
        <w:rPr>
          <w:color w:val="231F20"/>
        </w:rPr>
        <w:t>Feedback was shared with the intent of building on this strength and making the RBA the best it can be</w:t>
      </w:r>
      <w:r w:rsidR="0068598E">
        <w:rPr>
          <w:color w:val="231F20"/>
          <w:spacing w:val="-24"/>
        </w:rPr>
        <w:t>.</w:t>
      </w:r>
      <w:r>
        <w:rPr>
          <w:color w:val="231F20"/>
          <w:w w:val="85"/>
        </w:rPr>
        <w:t xml:space="preserve"> </w:t>
      </w:r>
      <w:r>
        <w:rPr>
          <w:color w:val="231F20"/>
        </w:rPr>
        <w:t>The assessments and recommendations in this chapter reflect the balance of perspectives heard by the Review but are not necessarily the lived experience of every RBA staff member.</w:t>
      </w:r>
    </w:p>
    <w:p w14:paraId="5139066F" w14:textId="77777777" w:rsidR="000F0FF0" w:rsidRDefault="000F0FF0" w:rsidP="000F0FF0">
      <w:r>
        <w:t>The RBA has a strong track record, its staff is motivated and highly capable, with a commitment to rigorous analysis and quality outputs. It has a supportive and collegiate environment and staff members are especially driven by their commitment to public service. The RBA’s leaders have undertaken many initiatives over recent years to make the RBA a more open and dynamic institution that is well equipped to support its staff and carry out its duties. The Review’s assessments and recommendations provide practical ways that the RBA can continue to build on this work.</w:t>
      </w:r>
    </w:p>
    <w:p w14:paraId="348A6E87" w14:textId="20C0FA2C" w:rsidR="000F0FF0" w:rsidRDefault="000F0FF0" w:rsidP="00454535">
      <w:pPr>
        <w:keepNext/>
        <w:keepLines/>
        <w:rPr>
          <w:color w:val="231F20"/>
          <w:spacing w:val="-2"/>
        </w:rPr>
      </w:pPr>
      <w:r>
        <w:rPr>
          <w:color w:val="231F20"/>
        </w:rPr>
        <w:lastRenderedPageBreak/>
        <w:t>The</w:t>
      </w:r>
      <w:r>
        <w:rPr>
          <w:color w:val="231F20"/>
          <w:spacing w:val="2"/>
        </w:rPr>
        <w:t xml:space="preserve"> </w:t>
      </w:r>
      <w:r>
        <w:rPr>
          <w:color w:val="231F20"/>
        </w:rPr>
        <w:t>Review</w:t>
      </w:r>
      <w:r>
        <w:rPr>
          <w:color w:val="231F20"/>
          <w:spacing w:val="2"/>
        </w:rPr>
        <w:t xml:space="preserve"> </w:t>
      </w:r>
      <w:r>
        <w:rPr>
          <w:color w:val="231F20"/>
        </w:rPr>
        <w:t>identified</w:t>
      </w:r>
      <w:r>
        <w:rPr>
          <w:color w:val="231F20"/>
          <w:spacing w:val="2"/>
        </w:rPr>
        <w:t xml:space="preserve"> </w:t>
      </w:r>
      <w:r>
        <w:rPr>
          <w:color w:val="231F20"/>
        </w:rPr>
        <w:t>4</w:t>
      </w:r>
      <w:r>
        <w:rPr>
          <w:color w:val="231F20"/>
          <w:spacing w:val="2"/>
        </w:rPr>
        <w:t xml:space="preserve"> </w:t>
      </w:r>
      <w:r>
        <w:rPr>
          <w:color w:val="231F20"/>
        </w:rPr>
        <w:t>focus</w:t>
      </w:r>
      <w:r>
        <w:rPr>
          <w:color w:val="231F20"/>
          <w:spacing w:val="2"/>
        </w:rPr>
        <w:t xml:space="preserve"> </w:t>
      </w:r>
      <w:r>
        <w:rPr>
          <w:color w:val="231F20"/>
        </w:rPr>
        <w:t>areas</w:t>
      </w:r>
      <w:r>
        <w:rPr>
          <w:color w:val="231F20"/>
          <w:spacing w:val="2"/>
        </w:rPr>
        <w:t xml:space="preserve"> </w:t>
      </w:r>
      <w:r>
        <w:rPr>
          <w:color w:val="231F20"/>
        </w:rPr>
        <w:t>for</w:t>
      </w:r>
      <w:r>
        <w:rPr>
          <w:color w:val="231F20"/>
          <w:spacing w:val="2"/>
        </w:rPr>
        <w:t xml:space="preserve"> </w:t>
      </w:r>
      <w:r>
        <w:rPr>
          <w:color w:val="231F20"/>
        </w:rPr>
        <w:t>further</w:t>
      </w:r>
      <w:r>
        <w:rPr>
          <w:color w:val="231F20"/>
          <w:spacing w:val="2"/>
        </w:rPr>
        <w:t xml:space="preserve"> </w:t>
      </w:r>
      <w:r>
        <w:rPr>
          <w:color w:val="231F20"/>
          <w:spacing w:val="-2"/>
        </w:rPr>
        <w:t>action:</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4E740D" w14:paraId="56B272B7" w14:textId="77777777" w:rsidTr="004E740D">
        <w:tc>
          <w:tcPr>
            <w:tcW w:w="5000" w:type="pct"/>
            <w:shd w:val="clear" w:color="auto" w:fill="F9EEDB" w:themeFill="accent6"/>
          </w:tcPr>
          <w:p w14:paraId="1387AADC" w14:textId="3B9D5736" w:rsidR="004E740D" w:rsidRPr="00505F66" w:rsidRDefault="00505F66" w:rsidP="00454535">
            <w:pPr>
              <w:pStyle w:val="BoxText"/>
              <w:keepNext/>
              <w:keepLines/>
              <w:spacing w:before="0" w:after="0"/>
            </w:pPr>
            <w:r w:rsidRPr="00505F66">
              <w:rPr>
                <w:b/>
                <w:bCs/>
              </w:rPr>
              <w:t xml:space="preserve">1. </w:t>
            </w:r>
            <w:r w:rsidR="00B27670" w:rsidRPr="00505F66">
              <w:rPr>
                <w:b/>
                <w:bCs/>
              </w:rPr>
              <w:t>Empowered staff in a more dynamic organisation:</w:t>
            </w:r>
            <w:r w:rsidR="00B27670" w:rsidRPr="00505F66">
              <w:t xml:space="preserve"> The Review heard that the RBA, like many public sector entities, has a hierarchical culture, with a lack of or inconsistent delegation and an aversion to risk taking. This has resulted in some staff members feeling disempowered. Organisational structures, resourcing and processes are not as flexible as they could be. As such, the organisation does not always manage change well or efficiently.</w:t>
            </w:r>
          </w:p>
        </w:tc>
      </w:tr>
      <w:tr w:rsidR="000B2429" w14:paraId="56019F68" w14:textId="77777777" w:rsidTr="004E740D">
        <w:tc>
          <w:tcPr>
            <w:tcW w:w="5000" w:type="pct"/>
            <w:shd w:val="clear" w:color="auto" w:fill="F9EEDB" w:themeFill="accent6"/>
          </w:tcPr>
          <w:p w14:paraId="68EFE3C3" w14:textId="23412A12" w:rsidR="000B2429" w:rsidRPr="00505F66" w:rsidRDefault="000B2429" w:rsidP="00454535">
            <w:pPr>
              <w:pStyle w:val="BoxText"/>
              <w:spacing w:before="0" w:after="0"/>
            </w:pPr>
            <w:r w:rsidRPr="00505F66">
              <w:rPr>
                <w:b/>
                <w:bCs/>
              </w:rPr>
              <w:t>2</w:t>
            </w:r>
            <w:r w:rsidR="0068598E">
              <w:rPr>
                <w:b/>
                <w:bCs/>
              </w:rPr>
              <w:t>.</w:t>
            </w:r>
            <w:r w:rsidRPr="00505F66">
              <w:rPr>
                <w:b/>
                <w:bCs/>
              </w:rPr>
              <w:t xml:space="preserve"> Stronger leadership capability to optimise performance</w:t>
            </w:r>
            <w:r w:rsidRPr="00505F66">
              <w:t>: The RBA should more consistently value and develop leadership and management skills</w:t>
            </w:r>
            <w:r w:rsidR="0068598E">
              <w:t>.</w:t>
            </w:r>
            <w:r w:rsidRPr="00505F66">
              <w:t xml:space="preserve"> Accountability for leadership performance and processes for upwards feedback should be more robust and better embedded in the organisation. Significantly increasing transparency around internal rotations and appointments would support staff members’ agency in career development.</w:t>
            </w:r>
          </w:p>
        </w:tc>
      </w:tr>
      <w:tr w:rsidR="00CD1195" w14:paraId="7FE87EBB" w14:textId="77777777" w:rsidTr="00505F66">
        <w:trPr>
          <w:trHeight w:val="745"/>
        </w:trPr>
        <w:tc>
          <w:tcPr>
            <w:tcW w:w="5000" w:type="pct"/>
            <w:shd w:val="clear" w:color="auto" w:fill="F9EEDB" w:themeFill="accent6"/>
          </w:tcPr>
          <w:p w14:paraId="7FA534D3" w14:textId="5A59E316" w:rsidR="00CD1195" w:rsidRPr="00505F66" w:rsidRDefault="00CD1195" w:rsidP="00454535">
            <w:pPr>
              <w:pStyle w:val="BoxText"/>
              <w:spacing w:before="0" w:after="0"/>
            </w:pPr>
            <w:r w:rsidRPr="00505F66">
              <w:rPr>
                <w:b/>
                <w:bCs/>
              </w:rPr>
              <w:t>3</w:t>
            </w:r>
            <w:r w:rsidR="0068598E">
              <w:rPr>
                <w:b/>
                <w:bCs/>
              </w:rPr>
              <w:t>.</w:t>
            </w:r>
            <w:r w:rsidRPr="00505F66">
              <w:rPr>
                <w:b/>
                <w:bCs/>
              </w:rPr>
              <w:t xml:space="preserve"> Constructive challenge and openness to diverse views</w:t>
            </w:r>
            <w:r w:rsidRPr="00505F66">
              <w:t>: There is a risk of groupthink within the RBA, which can be driven by concentrated policy and operational decision-making processes. The RBA could be more open to diverse voices internally and externally. These factors can inhibit constructive challenge and debate and stifle innovation and creativity.</w:t>
            </w:r>
          </w:p>
        </w:tc>
      </w:tr>
      <w:tr w:rsidR="00505F66" w14:paraId="1ABF5F51" w14:textId="77777777" w:rsidTr="004E740D">
        <w:tc>
          <w:tcPr>
            <w:tcW w:w="5000" w:type="pct"/>
            <w:shd w:val="clear" w:color="auto" w:fill="F9EEDB" w:themeFill="accent6"/>
          </w:tcPr>
          <w:p w14:paraId="6B1188F0" w14:textId="5B45D91B" w:rsidR="00505F66" w:rsidRPr="00505F66" w:rsidRDefault="00505F66" w:rsidP="00454535">
            <w:pPr>
              <w:pStyle w:val="BoxText"/>
              <w:spacing w:before="0" w:after="0"/>
            </w:pPr>
            <w:r w:rsidRPr="00505F66">
              <w:rPr>
                <w:b/>
                <w:bCs/>
              </w:rPr>
              <w:t>4</w:t>
            </w:r>
            <w:r w:rsidR="0068598E">
              <w:rPr>
                <w:b/>
                <w:bCs/>
              </w:rPr>
              <w:t>.</w:t>
            </w:r>
            <w:r w:rsidRPr="00505F66">
              <w:rPr>
                <w:b/>
                <w:bCs/>
              </w:rPr>
              <w:t xml:space="preserve"> Enhanced use of technical skills and research capability</w:t>
            </w:r>
            <w:r w:rsidRPr="00505F66">
              <w:t>: The RBA could foster a better research culture, by enhancing and better using specialist expertise. It could more effectively utilise its own research capability in the policy process, and better engage the Reserve Bank Board in discussions of monetary policy strategy</w:t>
            </w:r>
            <w:r w:rsidR="0068598E">
              <w:t>.</w:t>
            </w:r>
            <w:r w:rsidRPr="00505F66">
              <w:t xml:space="preserve"> This would support the attraction, development and retention of technical expertise.</w:t>
            </w:r>
          </w:p>
        </w:tc>
      </w:tr>
    </w:tbl>
    <w:p w14:paraId="11430D45" w14:textId="77777777" w:rsidR="003351A2" w:rsidRDefault="003351A2" w:rsidP="003351A2"/>
    <w:p w14:paraId="7B3B4C38" w14:textId="79588B58" w:rsidR="003351A2" w:rsidRDefault="003351A2" w:rsidP="003351A2">
      <w:r>
        <w:t>Recommendation</w:t>
      </w:r>
      <w:r>
        <w:rPr>
          <w:spacing w:val="-1"/>
        </w:rPr>
        <w:t xml:space="preserve"> </w:t>
      </w:r>
      <w:r>
        <w:t>11</w:t>
      </w:r>
      <w:r>
        <w:rPr>
          <w:spacing w:val="-1"/>
        </w:rPr>
        <w:t xml:space="preserve"> </w:t>
      </w:r>
      <w:r>
        <w:t>sets</w:t>
      </w:r>
      <w:r>
        <w:rPr>
          <w:spacing w:val="-1"/>
        </w:rPr>
        <w:t xml:space="preserve"> </w:t>
      </w:r>
      <w:r>
        <w:t>out</w:t>
      </w:r>
      <w:r>
        <w:rPr>
          <w:spacing w:val="-1"/>
        </w:rPr>
        <w:t xml:space="preserve"> </w:t>
      </w:r>
      <w:r>
        <w:t>actions</w:t>
      </w:r>
      <w:r>
        <w:rPr>
          <w:spacing w:val="-1"/>
        </w:rPr>
        <w:t xml:space="preserve"> </w:t>
      </w:r>
      <w:r>
        <w:t>to</w:t>
      </w:r>
      <w:r>
        <w:rPr>
          <w:spacing w:val="-1"/>
        </w:rPr>
        <w:t xml:space="preserve"> </w:t>
      </w:r>
      <w:r>
        <w:t>address</w:t>
      </w:r>
      <w:r>
        <w:rPr>
          <w:spacing w:val="-1"/>
        </w:rPr>
        <w:t xml:space="preserve"> </w:t>
      </w:r>
      <w:r>
        <w:t>these</w:t>
      </w:r>
      <w:r>
        <w:rPr>
          <w:spacing w:val="-1"/>
        </w:rPr>
        <w:t xml:space="preserve"> </w:t>
      </w:r>
      <w:r>
        <w:t>issues</w:t>
      </w:r>
      <w:r w:rsidR="0068598E">
        <w:rPr>
          <w:spacing w:val="-24"/>
        </w:rPr>
        <w:t>.</w:t>
      </w:r>
      <w:r>
        <w:rPr>
          <w:w w:val="85"/>
        </w:rPr>
        <w:t xml:space="preserve"> </w:t>
      </w:r>
      <w:r>
        <w:t>The</w:t>
      </w:r>
      <w:r>
        <w:rPr>
          <w:spacing w:val="-1"/>
        </w:rPr>
        <w:t xml:space="preserve"> </w:t>
      </w:r>
      <w:r>
        <w:t>Review</w:t>
      </w:r>
      <w:r>
        <w:rPr>
          <w:spacing w:val="-1"/>
        </w:rPr>
        <w:t xml:space="preserve"> </w:t>
      </w:r>
      <w:r>
        <w:t>recognises</w:t>
      </w:r>
      <w:r>
        <w:rPr>
          <w:spacing w:val="-1"/>
        </w:rPr>
        <w:t xml:space="preserve"> </w:t>
      </w:r>
      <w:r>
        <w:t>that</w:t>
      </w:r>
      <w:r>
        <w:rPr>
          <w:spacing w:val="-1"/>
        </w:rPr>
        <w:t xml:space="preserve"> </w:t>
      </w:r>
      <w:r>
        <w:t>the</w:t>
      </w:r>
      <w:r>
        <w:rPr>
          <w:spacing w:val="-1"/>
        </w:rPr>
        <w:t xml:space="preserve"> </w:t>
      </w:r>
      <w:r>
        <w:t>RBA’s leaders are largely aware of these issues and in many cases are undertaking concerted efforts to address them. The recommended actions acknowledge these efforts and are intended to reinforce and accelerate</w:t>
      </w:r>
      <w:r>
        <w:rPr>
          <w:spacing w:val="-1"/>
        </w:rPr>
        <w:t xml:space="preserve"> </w:t>
      </w:r>
      <w:r>
        <w:t>the progress</w:t>
      </w:r>
      <w:r>
        <w:rPr>
          <w:spacing w:val="-1"/>
        </w:rPr>
        <w:t xml:space="preserve"> </w:t>
      </w:r>
      <w:r>
        <w:t>already made</w:t>
      </w:r>
      <w:r w:rsidR="0068598E">
        <w:rPr>
          <w:spacing w:val="-24"/>
        </w:rPr>
        <w:t>.</w:t>
      </w:r>
      <w:r>
        <w:rPr>
          <w:w w:val="85"/>
        </w:rPr>
        <w:t xml:space="preserve"> </w:t>
      </w:r>
      <w:r>
        <w:t>The remainder</w:t>
      </w:r>
      <w:r>
        <w:rPr>
          <w:spacing w:val="-1"/>
        </w:rPr>
        <w:t xml:space="preserve"> </w:t>
      </w:r>
      <w:r>
        <w:t>of the</w:t>
      </w:r>
      <w:r>
        <w:rPr>
          <w:spacing w:val="-1"/>
        </w:rPr>
        <w:t xml:space="preserve"> </w:t>
      </w:r>
      <w:r>
        <w:t>chapter sets</w:t>
      </w:r>
      <w:r>
        <w:rPr>
          <w:spacing w:val="-1"/>
        </w:rPr>
        <w:t xml:space="preserve"> </w:t>
      </w:r>
      <w:r>
        <w:t>out an</w:t>
      </w:r>
      <w:r>
        <w:rPr>
          <w:spacing w:val="-1"/>
        </w:rPr>
        <w:t xml:space="preserve"> </w:t>
      </w:r>
      <w:r>
        <w:t>assessment of each area and detail on how these recommendations should be implemented</w:t>
      </w:r>
      <w:r w:rsidR="0068598E">
        <w:rPr>
          <w:spacing w:val="-18"/>
        </w:rPr>
        <w:t>.</w:t>
      </w:r>
    </w:p>
    <w:p w14:paraId="5C3846F9" w14:textId="7D610D15" w:rsidR="003351A2" w:rsidRDefault="003351A2">
      <w:pPr>
        <w:spacing w:before="0" w:after="160" w:line="259" w:lineRule="auto"/>
      </w:pPr>
      <w:r>
        <w:br w:type="page"/>
      </w:r>
    </w:p>
    <w:p w14:paraId="4CBB1358" w14:textId="77777777" w:rsidR="001755C6" w:rsidRDefault="001755C6" w:rsidP="001755C6">
      <w:pPr>
        <w:pStyle w:val="Heading2"/>
      </w:pPr>
      <w:bookmarkStart w:id="51" w:name="_Toc134221021"/>
      <w:r>
        <w:lastRenderedPageBreak/>
        <w:t>Recommendation</w:t>
      </w:r>
      <w:r>
        <w:rPr>
          <w:spacing w:val="-17"/>
        </w:rPr>
        <w:t xml:space="preserve"> </w:t>
      </w:r>
      <w:r>
        <w:t>11:</w:t>
      </w:r>
      <w:r>
        <w:rPr>
          <w:spacing w:val="-17"/>
        </w:rPr>
        <w:t xml:space="preserve"> </w:t>
      </w:r>
      <w:r>
        <w:t>Strengthen</w:t>
      </w:r>
      <w:r>
        <w:rPr>
          <w:spacing w:val="-17"/>
        </w:rPr>
        <w:t xml:space="preserve"> </w:t>
      </w:r>
      <w:r>
        <w:t>the</w:t>
      </w:r>
      <w:r>
        <w:rPr>
          <w:spacing w:val="-17"/>
        </w:rPr>
        <w:t xml:space="preserve"> </w:t>
      </w:r>
      <w:r>
        <w:t>RBA’s management, culture and operations</w:t>
      </w:r>
      <w:bookmarkEnd w:id="51"/>
    </w:p>
    <w:tbl>
      <w:tblPr>
        <w:tblW w:w="5000" w:type="pct"/>
        <w:tblCellMar>
          <w:left w:w="0" w:type="dxa"/>
          <w:right w:w="0" w:type="dxa"/>
        </w:tblCellMar>
        <w:tblLook w:val="01E0" w:firstRow="1" w:lastRow="1" w:firstColumn="1" w:lastColumn="1" w:noHBand="0" w:noVBand="0"/>
      </w:tblPr>
      <w:tblGrid>
        <w:gridCol w:w="842"/>
        <w:gridCol w:w="8228"/>
      </w:tblGrid>
      <w:tr w:rsidR="00220C3E" w14:paraId="4330C3E8" w14:textId="77777777" w:rsidTr="00F22AE5">
        <w:trPr>
          <w:trHeight w:val="581"/>
        </w:trPr>
        <w:tc>
          <w:tcPr>
            <w:tcW w:w="5000" w:type="pct"/>
            <w:gridSpan w:val="2"/>
            <w:tcBorders>
              <w:bottom w:val="single" w:sz="8" w:space="0" w:color="ECEDE9"/>
            </w:tcBorders>
          </w:tcPr>
          <w:p w14:paraId="2E3F085E" w14:textId="77777777" w:rsidR="00220C3E" w:rsidRDefault="00220C3E" w:rsidP="00F22AE5">
            <w:pPr>
              <w:pStyle w:val="Heading4"/>
              <w:keepLines/>
            </w:pPr>
            <w:r>
              <w:t>Recommendation</w:t>
            </w:r>
            <w:r>
              <w:rPr>
                <w:spacing w:val="-3"/>
              </w:rPr>
              <w:t xml:space="preserve"> </w:t>
            </w:r>
            <w:r>
              <w:t>11: Strengthen</w:t>
            </w:r>
            <w:r>
              <w:rPr>
                <w:spacing w:val="-1"/>
              </w:rPr>
              <w:t xml:space="preserve"> </w:t>
            </w:r>
            <w:r>
              <w:t>the RBA’s management,</w:t>
            </w:r>
            <w:r>
              <w:rPr>
                <w:spacing w:val="-1"/>
              </w:rPr>
              <w:t xml:space="preserve"> </w:t>
            </w:r>
            <w:r>
              <w:t xml:space="preserve">culture and </w:t>
            </w:r>
            <w:r>
              <w:rPr>
                <w:spacing w:val="-2"/>
              </w:rPr>
              <w:t>operations</w:t>
            </w:r>
          </w:p>
        </w:tc>
      </w:tr>
      <w:tr w:rsidR="00220C3E" w14:paraId="63CD868E" w14:textId="77777777" w:rsidTr="00F22AE5">
        <w:trPr>
          <w:trHeight w:val="1948"/>
        </w:trPr>
        <w:tc>
          <w:tcPr>
            <w:tcW w:w="464" w:type="pct"/>
            <w:tcBorders>
              <w:top w:val="single" w:sz="8" w:space="0" w:color="ECEDE9"/>
              <w:bottom w:val="single" w:sz="8" w:space="0" w:color="ECEDE9"/>
            </w:tcBorders>
          </w:tcPr>
          <w:p w14:paraId="40D8793E" w14:textId="77777777" w:rsidR="00220C3E" w:rsidRDefault="00220C3E" w:rsidP="00F22AE5">
            <w:r>
              <w:t>11.1</w:t>
            </w:r>
          </w:p>
        </w:tc>
        <w:tc>
          <w:tcPr>
            <w:tcW w:w="4536" w:type="pct"/>
            <w:tcBorders>
              <w:top w:val="single" w:sz="8" w:space="0" w:color="ECEDE9"/>
              <w:bottom w:val="single" w:sz="8" w:space="0" w:color="ECEDE9"/>
            </w:tcBorders>
          </w:tcPr>
          <w:p w14:paraId="4BB010D2" w14:textId="77777777" w:rsidR="00220C3E" w:rsidRDefault="00220C3E" w:rsidP="00F22AE5">
            <w:r>
              <w:t>The RBA should further empower its staff and raise the dynamism of the organisation.</w:t>
            </w:r>
            <w:r>
              <w:rPr>
                <w:spacing w:val="-1"/>
              </w:rPr>
              <w:t xml:space="preserve"> </w:t>
            </w:r>
            <w:r>
              <w:t>To</w:t>
            </w:r>
            <w:r>
              <w:rPr>
                <w:spacing w:val="-1"/>
              </w:rPr>
              <w:t xml:space="preserve"> </w:t>
            </w:r>
            <w:r>
              <w:t>support</w:t>
            </w:r>
            <w:r>
              <w:rPr>
                <w:spacing w:val="-1"/>
              </w:rPr>
              <w:t xml:space="preserve"> </w:t>
            </w:r>
            <w:r>
              <w:t>this,</w:t>
            </w:r>
            <w:r>
              <w:rPr>
                <w:spacing w:val="-1"/>
              </w:rPr>
              <w:t xml:space="preserve"> </w:t>
            </w:r>
            <w:r>
              <w:t>it</w:t>
            </w:r>
            <w:r>
              <w:rPr>
                <w:spacing w:val="-1"/>
              </w:rPr>
              <w:t xml:space="preserve"> </w:t>
            </w:r>
            <w:r>
              <w:t>should</w:t>
            </w:r>
            <w:r>
              <w:rPr>
                <w:spacing w:val="-1"/>
              </w:rPr>
              <w:t xml:space="preserve"> </w:t>
            </w:r>
            <w:r>
              <w:t>appoint</w:t>
            </w:r>
            <w:r>
              <w:rPr>
                <w:spacing w:val="-2"/>
              </w:rPr>
              <w:t xml:space="preserve"> </w:t>
            </w:r>
            <w:r>
              <w:t>a</w:t>
            </w:r>
            <w:r>
              <w:rPr>
                <w:spacing w:val="-1"/>
              </w:rPr>
              <w:t xml:space="preserve"> </w:t>
            </w:r>
            <w:r>
              <w:t>Chief</w:t>
            </w:r>
            <w:r>
              <w:rPr>
                <w:spacing w:val="-1"/>
              </w:rPr>
              <w:t xml:space="preserve"> </w:t>
            </w:r>
            <w:r>
              <w:t>Operating</w:t>
            </w:r>
            <w:r>
              <w:rPr>
                <w:spacing w:val="-1"/>
              </w:rPr>
              <w:t xml:space="preserve"> </w:t>
            </w:r>
            <w:r>
              <w:t>Officer,</w:t>
            </w:r>
            <w:r>
              <w:rPr>
                <w:spacing w:val="-1"/>
              </w:rPr>
              <w:t xml:space="preserve"> </w:t>
            </w:r>
            <w:r>
              <w:t>at</w:t>
            </w:r>
            <w:r>
              <w:rPr>
                <w:spacing w:val="-1"/>
              </w:rPr>
              <w:t xml:space="preserve"> </w:t>
            </w:r>
            <w:r>
              <w:t>Deputy Governor level, who:</w:t>
            </w:r>
          </w:p>
          <w:p w14:paraId="3C822533" w14:textId="77777777" w:rsidR="00220C3E" w:rsidRDefault="00220C3E" w:rsidP="0000278A">
            <w:pPr>
              <w:pStyle w:val="Bullet"/>
            </w:pPr>
            <w:r>
              <w:t>leads</w:t>
            </w:r>
            <w:r>
              <w:rPr>
                <w:spacing w:val="-1"/>
              </w:rPr>
              <w:t xml:space="preserve"> </w:t>
            </w:r>
            <w:r>
              <w:t>all</w:t>
            </w:r>
            <w:r>
              <w:rPr>
                <w:spacing w:val="-1"/>
              </w:rPr>
              <w:t xml:space="preserve"> </w:t>
            </w:r>
            <w:r>
              <w:t>corporate and</w:t>
            </w:r>
            <w:r>
              <w:rPr>
                <w:spacing w:val="-1"/>
              </w:rPr>
              <w:t xml:space="preserve"> </w:t>
            </w:r>
            <w:r>
              <w:t xml:space="preserve">enabling </w:t>
            </w:r>
            <w:r>
              <w:rPr>
                <w:spacing w:val="-2"/>
              </w:rPr>
              <w:t>functions</w:t>
            </w:r>
          </w:p>
          <w:p w14:paraId="3019AB4D" w14:textId="067901BC" w:rsidR="00220C3E" w:rsidRDefault="00220C3E" w:rsidP="006648DD">
            <w:pPr>
              <w:pStyle w:val="Bullet"/>
            </w:pPr>
            <w:r>
              <w:t>is</w:t>
            </w:r>
            <w:r>
              <w:rPr>
                <w:spacing w:val="-6"/>
              </w:rPr>
              <w:t xml:space="preserve"> </w:t>
            </w:r>
            <w:r>
              <w:t>tasked</w:t>
            </w:r>
            <w:r>
              <w:rPr>
                <w:spacing w:val="-4"/>
              </w:rPr>
              <w:t xml:space="preserve"> </w:t>
            </w:r>
            <w:r>
              <w:t>with</w:t>
            </w:r>
            <w:r>
              <w:rPr>
                <w:spacing w:val="-4"/>
              </w:rPr>
              <w:t xml:space="preserve"> </w:t>
            </w:r>
            <w:r>
              <w:t>improving</w:t>
            </w:r>
            <w:r>
              <w:rPr>
                <w:spacing w:val="-4"/>
              </w:rPr>
              <w:t xml:space="preserve"> </w:t>
            </w:r>
            <w:r>
              <w:t>delegation,</w:t>
            </w:r>
            <w:r>
              <w:rPr>
                <w:spacing w:val="-4"/>
              </w:rPr>
              <w:t xml:space="preserve"> </w:t>
            </w:r>
            <w:r>
              <w:t>strategic</w:t>
            </w:r>
            <w:r>
              <w:rPr>
                <w:spacing w:val="-4"/>
              </w:rPr>
              <w:t xml:space="preserve"> </w:t>
            </w:r>
            <w:r>
              <w:t>workforce</w:t>
            </w:r>
            <w:r>
              <w:rPr>
                <w:spacing w:val="-4"/>
              </w:rPr>
              <w:t xml:space="preserve"> </w:t>
            </w:r>
            <w:r>
              <w:t>planning,</w:t>
            </w:r>
            <w:r>
              <w:rPr>
                <w:spacing w:val="-3"/>
              </w:rPr>
              <w:t xml:space="preserve"> </w:t>
            </w:r>
            <w:r>
              <w:rPr>
                <w:spacing w:val="-2"/>
              </w:rPr>
              <w:t>succession</w:t>
            </w:r>
            <w:r w:rsidR="006648DD">
              <w:rPr>
                <w:spacing w:val="-2"/>
              </w:rPr>
              <w:t xml:space="preserve"> </w:t>
            </w:r>
            <w:r>
              <w:t>planning,</w:t>
            </w:r>
            <w:r w:rsidRPr="006648DD">
              <w:rPr>
                <w:spacing w:val="-8"/>
              </w:rPr>
              <w:t xml:space="preserve"> </w:t>
            </w:r>
            <w:r>
              <w:t>the</w:t>
            </w:r>
            <w:r w:rsidRPr="006648DD">
              <w:rPr>
                <w:spacing w:val="-6"/>
              </w:rPr>
              <w:t xml:space="preserve"> </w:t>
            </w:r>
            <w:r>
              <w:t>allocation</w:t>
            </w:r>
            <w:r w:rsidRPr="006648DD">
              <w:rPr>
                <w:spacing w:val="-5"/>
              </w:rPr>
              <w:t xml:space="preserve"> </w:t>
            </w:r>
            <w:r>
              <w:t>of</w:t>
            </w:r>
            <w:r w:rsidRPr="006648DD">
              <w:rPr>
                <w:spacing w:val="-6"/>
              </w:rPr>
              <w:t xml:space="preserve"> </w:t>
            </w:r>
            <w:r>
              <w:t>resources,</w:t>
            </w:r>
            <w:r w:rsidRPr="006648DD">
              <w:rPr>
                <w:spacing w:val="-5"/>
              </w:rPr>
              <w:t xml:space="preserve"> </w:t>
            </w:r>
            <w:r>
              <w:t>risk</w:t>
            </w:r>
            <w:r w:rsidRPr="006648DD">
              <w:rPr>
                <w:spacing w:val="-6"/>
              </w:rPr>
              <w:t xml:space="preserve"> </w:t>
            </w:r>
            <w:r>
              <w:t>management</w:t>
            </w:r>
            <w:r w:rsidRPr="006648DD">
              <w:rPr>
                <w:spacing w:val="-6"/>
              </w:rPr>
              <w:t xml:space="preserve"> </w:t>
            </w:r>
            <w:r>
              <w:t>and</w:t>
            </w:r>
            <w:r w:rsidRPr="006648DD">
              <w:rPr>
                <w:spacing w:val="-5"/>
              </w:rPr>
              <w:t xml:space="preserve"> </w:t>
            </w:r>
            <w:r>
              <w:t>driving</w:t>
            </w:r>
            <w:r w:rsidRPr="006648DD">
              <w:rPr>
                <w:spacing w:val="-6"/>
              </w:rPr>
              <w:t xml:space="preserve"> </w:t>
            </w:r>
            <w:r>
              <w:t>cultural</w:t>
            </w:r>
            <w:r w:rsidRPr="006648DD">
              <w:rPr>
                <w:spacing w:val="-5"/>
              </w:rPr>
              <w:t xml:space="preserve"> </w:t>
            </w:r>
            <w:r w:rsidRPr="006648DD">
              <w:rPr>
                <w:spacing w:val="-2"/>
              </w:rPr>
              <w:t>change.</w:t>
            </w:r>
          </w:p>
        </w:tc>
      </w:tr>
      <w:tr w:rsidR="00220C3E" w14:paraId="051E6B22" w14:textId="77777777" w:rsidTr="00F22AE5">
        <w:trPr>
          <w:trHeight w:val="2634"/>
        </w:trPr>
        <w:tc>
          <w:tcPr>
            <w:tcW w:w="464" w:type="pct"/>
            <w:tcBorders>
              <w:top w:val="single" w:sz="8" w:space="0" w:color="ECEDE9"/>
              <w:bottom w:val="single" w:sz="8" w:space="0" w:color="ECEDE9"/>
            </w:tcBorders>
          </w:tcPr>
          <w:p w14:paraId="5EAFF0C4" w14:textId="77777777" w:rsidR="00220C3E" w:rsidRDefault="00220C3E" w:rsidP="00F22AE5">
            <w:r>
              <w:t>11.2</w:t>
            </w:r>
          </w:p>
        </w:tc>
        <w:tc>
          <w:tcPr>
            <w:tcW w:w="4536" w:type="pct"/>
            <w:tcBorders>
              <w:top w:val="single" w:sz="8" w:space="0" w:color="ECEDE9"/>
              <w:bottom w:val="single" w:sz="8" w:space="0" w:color="ECEDE9"/>
            </w:tcBorders>
          </w:tcPr>
          <w:p w14:paraId="1EB480B9" w14:textId="77777777" w:rsidR="00220C3E" w:rsidRDefault="00220C3E" w:rsidP="00F22AE5">
            <w:r>
              <w:t>The</w:t>
            </w:r>
            <w:r>
              <w:rPr>
                <w:spacing w:val="5"/>
              </w:rPr>
              <w:t xml:space="preserve"> </w:t>
            </w:r>
            <w:r>
              <w:t>RBA</w:t>
            </w:r>
            <w:r>
              <w:rPr>
                <w:spacing w:val="5"/>
              </w:rPr>
              <w:t xml:space="preserve"> </w:t>
            </w:r>
            <w:r>
              <w:t>should</w:t>
            </w:r>
            <w:r>
              <w:rPr>
                <w:spacing w:val="5"/>
              </w:rPr>
              <w:t xml:space="preserve"> </w:t>
            </w:r>
            <w:r>
              <w:t>strengthen</w:t>
            </w:r>
            <w:r>
              <w:rPr>
                <w:spacing w:val="5"/>
              </w:rPr>
              <w:t xml:space="preserve"> </w:t>
            </w:r>
            <w:r>
              <w:t>and</w:t>
            </w:r>
            <w:r>
              <w:rPr>
                <w:spacing w:val="5"/>
              </w:rPr>
              <w:t xml:space="preserve"> </w:t>
            </w:r>
            <w:r>
              <w:t>extend</w:t>
            </w:r>
            <w:r>
              <w:rPr>
                <w:spacing w:val="5"/>
              </w:rPr>
              <w:t xml:space="preserve"> </w:t>
            </w:r>
            <w:r>
              <w:t>its</w:t>
            </w:r>
            <w:r>
              <w:rPr>
                <w:spacing w:val="5"/>
              </w:rPr>
              <w:t xml:space="preserve"> </w:t>
            </w:r>
            <w:r>
              <w:t>leadership</w:t>
            </w:r>
            <w:r>
              <w:rPr>
                <w:spacing w:val="5"/>
              </w:rPr>
              <w:t xml:space="preserve"> </w:t>
            </w:r>
            <w:r>
              <w:t>capability</w:t>
            </w:r>
            <w:r>
              <w:rPr>
                <w:spacing w:val="5"/>
              </w:rPr>
              <w:t xml:space="preserve"> </w:t>
            </w:r>
            <w:r>
              <w:rPr>
                <w:spacing w:val="-2"/>
              </w:rPr>
              <w:t>through:</w:t>
            </w:r>
          </w:p>
          <w:p w14:paraId="0DBAF3CE" w14:textId="77777777" w:rsidR="00220C3E" w:rsidRDefault="00220C3E" w:rsidP="0000278A">
            <w:pPr>
              <w:pStyle w:val="Bullet"/>
            </w:pPr>
            <w:r>
              <w:t>mandatory</w:t>
            </w:r>
            <w:r>
              <w:rPr>
                <w:spacing w:val="1"/>
              </w:rPr>
              <w:t xml:space="preserve"> </w:t>
            </w:r>
            <w:r>
              <w:t>leadership</w:t>
            </w:r>
            <w:r>
              <w:rPr>
                <w:spacing w:val="1"/>
              </w:rPr>
              <w:t xml:space="preserve"> </w:t>
            </w:r>
            <w:r>
              <w:t>training</w:t>
            </w:r>
            <w:r>
              <w:rPr>
                <w:spacing w:val="1"/>
              </w:rPr>
              <w:t xml:space="preserve"> </w:t>
            </w:r>
            <w:r>
              <w:t>for</w:t>
            </w:r>
            <w:r>
              <w:rPr>
                <w:spacing w:val="1"/>
              </w:rPr>
              <w:t xml:space="preserve"> </w:t>
            </w:r>
            <w:r>
              <w:t>all</w:t>
            </w:r>
            <w:r>
              <w:rPr>
                <w:spacing w:val="2"/>
              </w:rPr>
              <w:t xml:space="preserve"> </w:t>
            </w:r>
            <w:r>
              <w:rPr>
                <w:spacing w:val="-2"/>
              </w:rPr>
              <w:t>managers</w:t>
            </w:r>
          </w:p>
          <w:p w14:paraId="0C07E0E5" w14:textId="42E7DD0C" w:rsidR="00220C3E" w:rsidRDefault="00220C3E" w:rsidP="00C4050C">
            <w:pPr>
              <w:pStyle w:val="Bullet"/>
            </w:pPr>
            <w:r>
              <w:t>annual</w:t>
            </w:r>
            <w:r>
              <w:rPr>
                <w:spacing w:val="4"/>
              </w:rPr>
              <w:t xml:space="preserve"> </w:t>
            </w:r>
            <w:r>
              <w:t>externally</w:t>
            </w:r>
            <w:r>
              <w:rPr>
                <w:spacing w:val="4"/>
              </w:rPr>
              <w:t xml:space="preserve"> </w:t>
            </w:r>
            <w:r>
              <w:t>facilitated</w:t>
            </w:r>
            <w:r>
              <w:rPr>
                <w:spacing w:val="4"/>
              </w:rPr>
              <w:t xml:space="preserve"> </w:t>
            </w:r>
            <w:r>
              <w:t>360-degree</w:t>
            </w:r>
            <w:r>
              <w:rPr>
                <w:spacing w:val="4"/>
              </w:rPr>
              <w:t xml:space="preserve"> </w:t>
            </w:r>
            <w:r>
              <w:t>feedback</w:t>
            </w:r>
            <w:r>
              <w:rPr>
                <w:spacing w:val="4"/>
              </w:rPr>
              <w:t xml:space="preserve"> </w:t>
            </w:r>
            <w:r>
              <w:t>mechanisms</w:t>
            </w:r>
            <w:r>
              <w:rPr>
                <w:spacing w:val="4"/>
              </w:rPr>
              <w:t xml:space="preserve"> </w:t>
            </w:r>
            <w:r>
              <w:t>for</w:t>
            </w:r>
            <w:r>
              <w:rPr>
                <w:spacing w:val="4"/>
              </w:rPr>
              <w:t xml:space="preserve"> </w:t>
            </w:r>
            <w:r>
              <w:t>managers</w:t>
            </w:r>
            <w:r>
              <w:rPr>
                <w:spacing w:val="4"/>
              </w:rPr>
              <w:t xml:space="preserve"> </w:t>
            </w:r>
            <w:r>
              <w:rPr>
                <w:spacing w:val="-4"/>
              </w:rPr>
              <w:t>with</w:t>
            </w:r>
            <w:r w:rsidR="00C4050C">
              <w:rPr>
                <w:spacing w:val="-4"/>
              </w:rPr>
              <w:t xml:space="preserve"> </w:t>
            </w:r>
            <w:r>
              <w:t>subsequent</w:t>
            </w:r>
            <w:r w:rsidRPr="00C4050C">
              <w:rPr>
                <w:spacing w:val="1"/>
              </w:rPr>
              <w:t xml:space="preserve"> </w:t>
            </w:r>
            <w:r>
              <w:t>leadership</w:t>
            </w:r>
            <w:r w:rsidRPr="00C4050C">
              <w:rPr>
                <w:spacing w:val="1"/>
              </w:rPr>
              <w:t xml:space="preserve"> </w:t>
            </w:r>
            <w:r>
              <w:t>coaching</w:t>
            </w:r>
            <w:r w:rsidRPr="00C4050C">
              <w:rPr>
                <w:spacing w:val="2"/>
              </w:rPr>
              <w:t xml:space="preserve"> </w:t>
            </w:r>
            <w:r w:rsidRPr="00C4050C">
              <w:rPr>
                <w:spacing w:val="-2"/>
              </w:rPr>
              <w:t>services</w:t>
            </w:r>
          </w:p>
          <w:p w14:paraId="254B5648" w14:textId="77777777" w:rsidR="00220C3E" w:rsidRDefault="00220C3E" w:rsidP="0000278A">
            <w:pPr>
              <w:pStyle w:val="Bullet"/>
            </w:pPr>
            <w:r>
              <w:t>ensuring its leaders are assessed for how effectively they deliver performance management and development processes that capture both the business outcomes and how those outcomes were achieved</w:t>
            </w:r>
          </w:p>
          <w:p w14:paraId="5639DE9F" w14:textId="77777777" w:rsidR="00220C3E" w:rsidRDefault="00220C3E" w:rsidP="0000278A">
            <w:pPr>
              <w:pStyle w:val="Bullet"/>
            </w:pPr>
            <w:r>
              <w:rPr>
                <w:spacing w:val="-2"/>
              </w:rPr>
              <w:t>more</w:t>
            </w:r>
            <w:r>
              <w:rPr>
                <w:spacing w:val="-3"/>
              </w:rPr>
              <w:t xml:space="preserve"> </w:t>
            </w:r>
            <w:r>
              <w:rPr>
                <w:spacing w:val="-2"/>
              </w:rPr>
              <w:t>routine</w:t>
            </w:r>
            <w:r>
              <w:rPr>
                <w:spacing w:val="-1"/>
              </w:rPr>
              <w:t xml:space="preserve"> </w:t>
            </w:r>
            <w:r>
              <w:rPr>
                <w:spacing w:val="-2"/>
              </w:rPr>
              <w:t>and</w:t>
            </w:r>
            <w:r>
              <w:rPr>
                <w:spacing w:val="-1"/>
              </w:rPr>
              <w:t xml:space="preserve"> </w:t>
            </w:r>
            <w:r>
              <w:rPr>
                <w:spacing w:val="-2"/>
              </w:rPr>
              <w:t>transparent</w:t>
            </w:r>
            <w:r>
              <w:rPr>
                <w:spacing w:val="-1"/>
              </w:rPr>
              <w:t xml:space="preserve"> </w:t>
            </w:r>
            <w:r>
              <w:rPr>
                <w:spacing w:val="-2"/>
              </w:rPr>
              <w:t>processes</w:t>
            </w:r>
            <w:r>
              <w:t xml:space="preserve"> </w:t>
            </w:r>
            <w:r>
              <w:rPr>
                <w:spacing w:val="-2"/>
              </w:rPr>
              <w:t>for</w:t>
            </w:r>
            <w:r>
              <w:rPr>
                <w:spacing w:val="-1"/>
              </w:rPr>
              <w:t xml:space="preserve"> </w:t>
            </w:r>
            <w:r>
              <w:rPr>
                <w:spacing w:val="-2"/>
              </w:rPr>
              <w:t>internal</w:t>
            </w:r>
            <w:r>
              <w:rPr>
                <w:spacing w:val="-1"/>
              </w:rPr>
              <w:t xml:space="preserve"> </w:t>
            </w:r>
            <w:r>
              <w:rPr>
                <w:spacing w:val="-2"/>
              </w:rPr>
              <w:t>job</w:t>
            </w:r>
            <w:r>
              <w:rPr>
                <w:spacing w:val="-1"/>
              </w:rPr>
              <w:t xml:space="preserve"> </w:t>
            </w:r>
            <w:r>
              <w:rPr>
                <w:spacing w:val="-2"/>
              </w:rPr>
              <w:t>and</w:t>
            </w:r>
            <w:r>
              <w:rPr>
                <w:spacing w:val="-1"/>
              </w:rPr>
              <w:t xml:space="preserve"> </w:t>
            </w:r>
            <w:r>
              <w:rPr>
                <w:spacing w:val="-2"/>
              </w:rPr>
              <w:t>rotation</w:t>
            </w:r>
            <w:r>
              <w:t xml:space="preserve"> </w:t>
            </w:r>
            <w:r>
              <w:rPr>
                <w:spacing w:val="-2"/>
              </w:rPr>
              <w:t>opportunities.</w:t>
            </w:r>
          </w:p>
        </w:tc>
      </w:tr>
      <w:tr w:rsidR="00220C3E" w14:paraId="717852FC" w14:textId="77777777" w:rsidTr="00F22AE5">
        <w:trPr>
          <w:trHeight w:val="2521"/>
        </w:trPr>
        <w:tc>
          <w:tcPr>
            <w:tcW w:w="464" w:type="pct"/>
            <w:tcBorders>
              <w:top w:val="single" w:sz="8" w:space="0" w:color="ECEDE9"/>
              <w:bottom w:val="single" w:sz="8" w:space="0" w:color="ECEDE9"/>
            </w:tcBorders>
          </w:tcPr>
          <w:p w14:paraId="7B00A401" w14:textId="77777777" w:rsidR="00220C3E" w:rsidRDefault="00220C3E" w:rsidP="00F22AE5">
            <w:r>
              <w:t>11.3</w:t>
            </w:r>
          </w:p>
        </w:tc>
        <w:tc>
          <w:tcPr>
            <w:tcW w:w="4536" w:type="pct"/>
            <w:tcBorders>
              <w:top w:val="single" w:sz="8" w:space="0" w:color="ECEDE9"/>
              <w:bottom w:val="single" w:sz="8" w:space="0" w:color="ECEDE9"/>
            </w:tcBorders>
          </w:tcPr>
          <w:p w14:paraId="62A0C474" w14:textId="77777777" w:rsidR="00220C3E" w:rsidRDefault="00220C3E" w:rsidP="00F22AE5">
            <w:r>
              <w:t>The RBA should further encourage diverse viewpoints and constructive challenge, including by:</w:t>
            </w:r>
          </w:p>
          <w:p w14:paraId="4C9D8D5A" w14:textId="77777777" w:rsidR="00220C3E" w:rsidRPr="00EB5EBA" w:rsidRDefault="00220C3E" w:rsidP="0000278A">
            <w:pPr>
              <w:pStyle w:val="Bullet"/>
            </w:pPr>
            <w:r w:rsidRPr="00EB5EBA">
              <w:t>ensuring</w:t>
            </w:r>
            <w:r w:rsidRPr="00EB5EBA">
              <w:rPr>
                <w:spacing w:val="-2"/>
              </w:rPr>
              <w:t xml:space="preserve"> </w:t>
            </w:r>
            <w:r w:rsidRPr="00EB5EBA">
              <w:t>its</w:t>
            </w:r>
            <w:r w:rsidRPr="00EB5EBA">
              <w:rPr>
                <w:spacing w:val="1"/>
              </w:rPr>
              <w:t xml:space="preserve"> </w:t>
            </w:r>
            <w:r w:rsidRPr="00EB5EBA">
              <w:t>leaders</w:t>
            </w:r>
            <w:r w:rsidRPr="00EB5EBA">
              <w:rPr>
                <w:spacing w:val="1"/>
              </w:rPr>
              <w:t xml:space="preserve"> </w:t>
            </w:r>
            <w:r w:rsidRPr="00EB5EBA">
              <w:t>are assessed</w:t>
            </w:r>
            <w:r w:rsidRPr="00EB5EBA">
              <w:rPr>
                <w:spacing w:val="1"/>
              </w:rPr>
              <w:t xml:space="preserve"> </w:t>
            </w:r>
            <w:r w:rsidRPr="00EB5EBA">
              <w:t>for</w:t>
            </w:r>
            <w:r w:rsidRPr="00EB5EBA">
              <w:rPr>
                <w:spacing w:val="1"/>
              </w:rPr>
              <w:t xml:space="preserve"> </w:t>
            </w:r>
            <w:r w:rsidRPr="00EB5EBA">
              <w:t>how</w:t>
            </w:r>
            <w:r w:rsidRPr="00EB5EBA">
              <w:rPr>
                <w:spacing w:val="1"/>
              </w:rPr>
              <w:t xml:space="preserve"> </w:t>
            </w:r>
            <w:r w:rsidRPr="00EB5EBA">
              <w:t>well they</w:t>
            </w:r>
            <w:r w:rsidRPr="00EB5EBA">
              <w:rPr>
                <w:spacing w:val="1"/>
              </w:rPr>
              <w:t xml:space="preserve"> </w:t>
            </w:r>
            <w:r w:rsidRPr="00EB5EBA">
              <w:t>listen</w:t>
            </w:r>
            <w:r w:rsidRPr="00EB5EBA">
              <w:rPr>
                <w:spacing w:val="1"/>
              </w:rPr>
              <w:t xml:space="preserve"> </w:t>
            </w:r>
            <w:r w:rsidRPr="00EB5EBA">
              <w:t>to and</w:t>
            </w:r>
            <w:r w:rsidRPr="00EB5EBA">
              <w:rPr>
                <w:spacing w:val="1"/>
              </w:rPr>
              <w:t xml:space="preserve"> </w:t>
            </w:r>
            <w:r w:rsidRPr="00EB5EBA">
              <w:t>engage</w:t>
            </w:r>
            <w:r w:rsidRPr="00EB5EBA">
              <w:rPr>
                <w:spacing w:val="1"/>
              </w:rPr>
              <w:t xml:space="preserve"> </w:t>
            </w:r>
            <w:r w:rsidRPr="00EB5EBA">
              <w:t>with</w:t>
            </w:r>
            <w:r w:rsidRPr="00EB5EBA">
              <w:rPr>
                <w:spacing w:val="1"/>
              </w:rPr>
              <w:t xml:space="preserve"> </w:t>
            </w:r>
            <w:r w:rsidRPr="00EB5EBA">
              <w:rPr>
                <w:spacing w:val="-2"/>
              </w:rPr>
              <w:t xml:space="preserve">staff </w:t>
            </w:r>
            <w:r w:rsidRPr="00EB5EBA">
              <w:t>members,</w:t>
            </w:r>
            <w:r w:rsidRPr="00EB5EBA">
              <w:rPr>
                <w:spacing w:val="3"/>
              </w:rPr>
              <w:t xml:space="preserve"> </w:t>
            </w:r>
            <w:r w:rsidRPr="00EB5EBA">
              <w:t>and</w:t>
            </w:r>
            <w:r w:rsidRPr="00EB5EBA">
              <w:rPr>
                <w:spacing w:val="3"/>
              </w:rPr>
              <w:t xml:space="preserve"> </w:t>
            </w:r>
            <w:r w:rsidRPr="00EB5EBA">
              <w:t>welcome</w:t>
            </w:r>
            <w:r w:rsidRPr="00EB5EBA">
              <w:rPr>
                <w:spacing w:val="3"/>
              </w:rPr>
              <w:t xml:space="preserve"> </w:t>
            </w:r>
            <w:r w:rsidRPr="00EB5EBA">
              <w:t>alternative</w:t>
            </w:r>
            <w:r w:rsidRPr="00EB5EBA">
              <w:rPr>
                <w:spacing w:val="3"/>
              </w:rPr>
              <w:t xml:space="preserve"> </w:t>
            </w:r>
            <w:r w:rsidRPr="00EB5EBA">
              <w:rPr>
                <w:spacing w:val="-4"/>
              </w:rPr>
              <w:t>views</w:t>
            </w:r>
          </w:p>
          <w:p w14:paraId="53448F29" w14:textId="77777777" w:rsidR="00220C3E" w:rsidRDefault="00220C3E" w:rsidP="0000278A">
            <w:pPr>
              <w:pStyle w:val="Bullet"/>
            </w:pPr>
            <w:r>
              <w:t>advertising management role vacancies externally as a default and better enabling</w:t>
            </w:r>
            <w:r>
              <w:rPr>
                <w:spacing w:val="-2"/>
              </w:rPr>
              <w:t xml:space="preserve"> </w:t>
            </w:r>
            <w:r>
              <w:t>external</w:t>
            </w:r>
            <w:r>
              <w:rPr>
                <w:spacing w:val="-2"/>
              </w:rPr>
              <w:t xml:space="preserve"> </w:t>
            </w:r>
            <w:r>
              <w:t>hires</w:t>
            </w:r>
            <w:r>
              <w:rPr>
                <w:spacing w:val="-2"/>
              </w:rPr>
              <w:t xml:space="preserve"> </w:t>
            </w:r>
            <w:r>
              <w:t>to</w:t>
            </w:r>
            <w:r>
              <w:rPr>
                <w:spacing w:val="-2"/>
              </w:rPr>
              <w:t xml:space="preserve"> </w:t>
            </w:r>
            <w:r>
              <w:t>succeed</w:t>
            </w:r>
            <w:r>
              <w:rPr>
                <w:spacing w:val="-2"/>
              </w:rPr>
              <w:t xml:space="preserve"> </w:t>
            </w:r>
            <w:r>
              <w:t>in</w:t>
            </w:r>
            <w:r>
              <w:rPr>
                <w:spacing w:val="-2"/>
              </w:rPr>
              <w:t xml:space="preserve"> </w:t>
            </w:r>
            <w:r>
              <w:t>the</w:t>
            </w:r>
            <w:r>
              <w:rPr>
                <w:spacing w:val="-2"/>
              </w:rPr>
              <w:t xml:space="preserve"> </w:t>
            </w:r>
            <w:r>
              <w:t>RBA</w:t>
            </w:r>
            <w:r>
              <w:rPr>
                <w:spacing w:val="-2"/>
              </w:rPr>
              <w:t xml:space="preserve"> </w:t>
            </w:r>
            <w:r>
              <w:t>through</w:t>
            </w:r>
            <w:r>
              <w:rPr>
                <w:spacing w:val="-2"/>
              </w:rPr>
              <w:t xml:space="preserve"> </w:t>
            </w:r>
            <w:r>
              <w:t>improved</w:t>
            </w:r>
            <w:r>
              <w:rPr>
                <w:spacing w:val="-2"/>
              </w:rPr>
              <w:t xml:space="preserve"> </w:t>
            </w:r>
            <w:r>
              <w:t>onboarding and support</w:t>
            </w:r>
          </w:p>
          <w:p w14:paraId="0834ED17" w14:textId="77777777" w:rsidR="00220C3E" w:rsidRDefault="00220C3E" w:rsidP="0000278A">
            <w:pPr>
              <w:pStyle w:val="Bullet"/>
            </w:pPr>
            <w:r>
              <w:t>setting</w:t>
            </w:r>
            <w:r>
              <w:rPr>
                <w:spacing w:val="6"/>
              </w:rPr>
              <w:t xml:space="preserve"> </w:t>
            </w:r>
            <w:r>
              <w:t>diversity</w:t>
            </w:r>
            <w:r>
              <w:rPr>
                <w:spacing w:val="6"/>
              </w:rPr>
              <w:t xml:space="preserve"> </w:t>
            </w:r>
            <w:r>
              <w:t>targets</w:t>
            </w:r>
            <w:r>
              <w:rPr>
                <w:spacing w:val="6"/>
              </w:rPr>
              <w:t xml:space="preserve"> </w:t>
            </w:r>
            <w:r>
              <w:t>and</w:t>
            </w:r>
            <w:r>
              <w:rPr>
                <w:spacing w:val="6"/>
              </w:rPr>
              <w:t xml:space="preserve"> </w:t>
            </w:r>
            <w:r>
              <w:t>tracking</w:t>
            </w:r>
            <w:r>
              <w:rPr>
                <w:spacing w:val="6"/>
              </w:rPr>
              <w:t xml:space="preserve"> </w:t>
            </w:r>
            <w:r>
              <w:t>progress</w:t>
            </w:r>
            <w:r>
              <w:rPr>
                <w:spacing w:val="6"/>
              </w:rPr>
              <w:t xml:space="preserve"> </w:t>
            </w:r>
            <w:r>
              <w:t>against</w:t>
            </w:r>
            <w:r>
              <w:rPr>
                <w:spacing w:val="6"/>
              </w:rPr>
              <w:t xml:space="preserve"> </w:t>
            </w:r>
            <w:r>
              <w:rPr>
                <w:spacing w:val="-4"/>
              </w:rPr>
              <w:t>them.</w:t>
            </w:r>
          </w:p>
        </w:tc>
      </w:tr>
      <w:tr w:rsidR="00220C3E" w14:paraId="34100390" w14:textId="77777777" w:rsidTr="00F22AE5">
        <w:trPr>
          <w:trHeight w:val="2814"/>
        </w:trPr>
        <w:tc>
          <w:tcPr>
            <w:tcW w:w="464" w:type="pct"/>
            <w:tcBorders>
              <w:top w:val="single" w:sz="8" w:space="0" w:color="ECEDE9"/>
            </w:tcBorders>
          </w:tcPr>
          <w:p w14:paraId="30148043" w14:textId="77777777" w:rsidR="00220C3E" w:rsidRDefault="00220C3E" w:rsidP="00F22AE5">
            <w:r>
              <w:t>11.4</w:t>
            </w:r>
          </w:p>
        </w:tc>
        <w:tc>
          <w:tcPr>
            <w:tcW w:w="4536" w:type="pct"/>
            <w:tcBorders>
              <w:top w:val="single" w:sz="8" w:space="0" w:color="ECEDE9"/>
            </w:tcBorders>
          </w:tcPr>
          <w:p w14:paraId="1D8967C7" w14:textId="77777777" w:rsidR="00220C3E" w:rsidRDefault="00220C3E" w:rsidP="00F22AE5">
            <w:r>
              <w:t>The</w:t>
            </w:r>
            <w:r>
              <w:rPr>
                <w:spacing w:val="1"/>
              </w:rPr>
              <w:t xml:space="preserve"> </w:t>
            </w:r>
            <w:r>
              <w:t>RBA</w:t>
            </w:r>
            <w:r>
              <w:rPr>
                <w:spacing w:val="2"/>
              </w:rPr>
              <w:t xml:space="preserve"> </w:t>
            </w:r>
            <w:r>
              <w:t>should</w:t>
            </w:r>
            <w:r>
              <w:rPr>
                <w:spacing w:val="2"/>
              </w:rPr>
              <w:t xml:space="preserve"> </w:t>
            </w:r>
            <w:r>
              <w:t>strengthen</w:t>
            </w:r>
            <w:r>
              <w:rPr>
                <w:spacing w:val="2"/>
              </w:rPr>
              <w:t xml:space="preserve"> </w:t>
            </w:r>
            <w:r>
              <w:t>the</w:t>
            </w:r>
            <w:r>
              <w:rPr>
                <w:spacing w:val="2"/>
              </w:rPr>
              <w:t xml:space="preserve"> </w:t>
            </w:r>
            <w:r>
              <w:t>role</w:t>
            </w:r>
            <w:r>
              <w:rPr>
                <w:spacing w:val="2"/>
              </w:rPr>
              <w:t xml:space="preserve"> </w:t>
            </w:r>
            <w:r>
              <w:t>of</w:t>
            </w:r>
            <w:r>
              <w:rPr>
                <w:spacing w:val="1"/>
              </w:rPr>
              <w:t xml:space="preserve"> </w:t>
            </w:r>
            <w:r>
              <w:t>research</w:t>
            </w:r>
            <w:r>
              <w:rPr>
                <w:spacing w:val="2"/>
              </w:rPr>
              <w:t xml:space="preserve"> </w:t>
            </w:r>
            <w:r>
              <w:t>in</w:t>
            </w:r>
            <w:r>
              <w:rPr>
                <w:spacing w:val="2"/>
              </w:rPr>
              <w:t xml:space="preserve"> </w:t>
            </w:r>
            <w:r>
              <w:t>policy</w:t>
            </w:r>
            <w:r>
              <w:rPr>
                <w:spacing w:val="2"/>
              </w:rPr>
              <w:t xml:space="preserve"> </w:t>
            </w:r>
            <w:r>
              <w:t>formulation,</w:t>
            </w:r>
            <w:r>
              <w:rPr>
                <w:spacing w:val="2"/>
              </w:rPr>
              <w:t xml:space="preserve"> </w:t>
            </w:r>
            <w:r>
              <w:t>including</w:t>
            </w:r>
            <w:r>
              <w:rPr>
                <w:spacing w:val="2"/>
              </w:rPr>
              <w:t xml:space="preserve"> </w:t>
            </w:r>
            <w:r>
              <w:rPr>
                <w:spacing w:val="-5"/>
              </w:rPr>
              <w:t>by:</w:t>
            </w:r>
          </w:p>
          <w:p w14:paraId="3B5F042D" w14:textId="77777777" w:rsidR="00220C3E" w:rsidRDefault="00220C3E" w:rsidP="0000278A">
            <w:pPr>
              <w:pStyle w:val="Bullet"/>
            </w:pPr>
            <w:r>
              <w:t>establishing</w:t>
            </w:r>
            <w:r>
              <w:rPr>
                <w:spacing w:val="8"/>
              </w:rPr>
              <w:t xml:space="preserve"> </w:t>
            </w:r>
            <w:r>
              <w:t>a</w:t>
            </w:r>
            <w:r>
              <w:rPr>
                <w:spacing w:val="9"/>
              </w:rPr>
              <w:t xml:space="preserve"> </w:t>
            </w:r>
            <w:r>
              <w:t>monetary</w:t>
            </w:r>
            <w:r>
              <w:rPr>
                <w:spacing w:val="8"/>
              </w:rPr>
              <w:t xml:space="preserve"> </w:t>
            </w:r>
            <w:r>
              <w:t>policy</w:t>
            </w:r>
            <w:r>
              <w:rPr>
                <w:spacing w:val="9"/>
              </w:rPr>
              <w:t xml:space="preserve"> </w:t>
            </w:r>
            <w:r>
              <w:t>strategy</w:t>
            </w:r>
            <w:r>
              <w:rPr>
                <w:spacing w:val="9"/>
              </w:rPr>
              <w:t xml:space="preserve"> </w:t>
            </w:r>
            <w:r>
              <w:rPr>
                <w:spacing w:val="-4"/>
              </w:rPr>
              <w:t>team</w:t>
            </w:r>
          </w:p>
          <w:p w14:paraId="473005BE" w14:textId="77777777" w:rsidR="00220C3E" w:rsidRDefault="00220C3E" w:rsidP="0000278A">
            <w:pPr>
              <w:pStyle w:val="Bullet"/>
            </w:pPr>
            <w:r>
              <w:t>increasing collaboration between policy groups, including through cross-departmental projects</w:t>
            </w:r>
          </w:p>
          <w:p w14:paraId="18592A3C" w14:textId="77777777" w:rsidR="00220C3E" w:rsidRDefault="00220C3E" w:rsidP="0000278A">
            <w:pPr>
              <w:pStyle w:val="Bullet"/>
            </w:pPr>
            <w:r>
              <w:t>developing and executing a research strategy and agenda overseen by the Monetary Policy Board</w:t>
            </w:r>
          </w:p>
          <w:p w14:paraId="2FB5FBF7" w14:textId="77777777" w:rsidR="00220C3E" w:rsidRDefault="00220C3E" w:rsidP="0000278A">
            <w:pPr>
              <w:pStyle w:val="Bullet"/>
            </w:pPr>
            <w:r>
              <w:t>increasing</w:t>
            </w:r>
            <w:r>
              <w:rPr>
                <w:spacing w:val="2"/>
              </w:rPr>
              <w:t xml:space="preserve"> </w:t>
            </w:r>
            <w:r>
              <w:t>engagement</w:t>
            </w:r>
            <w:r>
              <w:rPr>
                <w:spacing w:val="2"/>
              </w:rPr>
              <w:t xml:space="preserve"> </w:t>
            </w:r>
            <w:r>
              <w:t>with</w:t>
            </w:r>
            <w:r>
              <w:rPr>
                <w:spacing w:val="3"/>
              </w:rPr>
              <w:t xml:space="preserve"> </w:t>
            </w:r>
            <w:r>
              <w:t>universities</w:t>
            </w:r>
            <w:r>
              <w:rPr>
                <w:spacing w:val="2"/>
              </w:rPr>
              <w:t xml:space="preserve"> </w:t>
            </w:r>
            <w:r>
              <w:t>and</w:t>
            </w:r>
            <w:r>
              <w:rPr>
                <w:spacing w:val="3"/>
              </w:rPr>
              <w:t xml:space="preserve"> </w:t>
            </w:r>
            <w:r>
              <w:rPr>
                <w:spacing w:val="-2"/>
              </w:rPr>
              <w:t>thinktanks</w:t>
            </w:r>
          </w:p>
          <w:p w14:paraId="776D3826" w14:textId="18152434" w:rsidR="00220C3E" w:rsidRDefault="00220C3E" w:rsidP="00C4050C">
            <w:pPr>
              <w:pStyle w:val="Bullet"/>
            </w:pPr>
            <w:r>
              <w:t>deepening analytical capability by</w:t>
            </w:r>
            <w:r>
              <w:rPr>
                <w:spacing w:val="1"/>
              </w:rPr>
              <w:t xml:space="preserve"> </w:t>
            </w:r>
            <w:r>
              <w:t>attracting, developing, and</w:t>
            </w:r>
            <w:r>
              <w:rPr>
                <w:spacing w:val="1"/>
              </w:rPr>
              <w:t xml:space="preserve"> </w:t>
            </w:r>
            <w:r>
              <w:rPr>
                <w:spacing w:val="-2"/>
              </w:rPr>
              <w:t>retaining</w:t>
            </w:r>
            <w:r w:rsidR="00C4050C">
              <w:rPr>
                <w:spacing w:val="-2"/>
              </w:rPr>
              <w:t xml:space="preserve"> </w:t>
            </w:r>
            <w:r>
              <w:t>technical</w:t>
            </w:r>
            <w:r w:rsidRPr="00C4050C">
              <w:rPr>
                <w:spacing w:val="-8"/>
              </w:rPr>
              <w:t xml:space="preserve"> </w:t>
            </w:r>
            <w:r w:rsidRPr="00C4050C">
              <w:rPr>
                <w:spacing w:val="-2"/>
              </w:rPr>
              <w:t>expertise.</w:t>
            </w:r>
          </w:p>
        </w:tc>
      </w:tr>
    </w:tbl>
    <w:p w14:paraId="4486F3CD" w14:textId="08224859" w:rsidR="00F1766E" w:rsidRDefault="00F1766E" w:rsidP="000F0FF0"/>
    <w:p w14:paraId="263E34A8" w14:textId="77777777" w:rsidR="00F1766E" w:rsidRDefault="00F1766E">
      <w:pPr>
        <w:spacing w:before="0" w:after="160" w:line="259" w:lineRule="auto"/>
      </w:pPr>
      <w:r>
        <w:br w:type="page"/>
      </w:r>
    </w:p>
    <w:p w14:paraId="69EC7D8B" w14:textId="77777777" w:rsidR="00F1766E" w:rsidRDefault="00F1766E" w:rsidP="00975895">
      <w:pPr>
        <w:pStyle w:val="Heading2"/>
      </w:pPr>
      <w:bookmarkStart w:id="52" w:name="_Toc134221022"/>
      <w:r>
        <w:lastRenderedPageBreak/>
        <w:t>Building</w:t>
      </w:r>
      <w:r>
        <w:rPr>
          <w:spacing w:val="-18"/>
        </w:rPr>
        <w:t xml:space="preserve"> </w:t>
      </w:r>
      <w:r>
        <w:t>on</w:t>
      </w:r>
      <w:r>
        <w:rPr>
          <w:spacing w:val="-18"/>
        </w:rPr>
        <w:t xml:space="preserve"> </w:t>
      </w:r>
      <w:r>
        <w:t>strengths</w:t>
      </w:r>
      <w:bookmarkEnd w:id="52"/>
    </w:p>
    <w:p w14:paraId="2E330BD3" w14:textId="2CF58989" w:rsidR="00F1766E" w:rsidRDefault="00F1766E" w:rsidP="00F1766E">
      <w:r>
        <w:t>The</w:t>
      </w:r>
      <w:r>
        <w:rPr>
          <w:spacing w:val="1"/>
        </w:rPr>
        <w:t xml:space="preserve"> </w:t>
      </w:r>
      <w:r>
        <w:t>RBA’s</w:t>
      </w:r>
      <w:r>
        <w:rPr>
          <w:spacing w:val="1"/>
        </w:rPr>
        <w:t xml:space="preserve"> </w:t>
      </w:r>
      <w:r>
        <w:t>values</w:t>
      </w:r>
      <w:r>
        <w:rPr>
          <w:spacing w:val="1"/>
        </w:rPr>
        <w:t xml:space="preserve"> </w:t>
      </w:r>
      <w:r>
        <w:t>are</w:t>
      </w:r>
      <w:r>
        <w:rPr>
          <w:spacing w:val="2"/>
        </w:rPr>
        <w:t xml:space="preserve"> </w:t>
      </w:r>
      <w:r>
        <w:t>an</w:t>
      </w:r>
      <w:r>
        <w:rPr>
          <w:spacing w:val="1"/>
        </w:rPr>
        <w:t xml:space="preserve"> </w:t>
      </w:r>
      <w:r>
        <w:t>embodiment</w:t>
      </w:r>
      <w:r>
        <w:rPr>
          <w:spacing w:val="1"/>
        </w:rPr>
        <w:t xml:space="preserve"> </w:t>
      </w:r>
      <w:r>
        <w:t>of</w:t>
      </w:r>
      <w:r>
        <w:rPr>
          <w:spacing w:val="2"/>
        </w:rPr>
        <w:t xml:space="preserve"> </w:t>
      </w:r>
      <w:r>
        <w:t>its</w:t>
      </w:r>
      <w:r>
        <w:rPr>
          <w:spacing w:val="1"/>
        </w:rPr>
        <w:t xml:space="preserve"> </w:t>
      </w:r>
      <w:r>
        <w:t>strengths</w:t>
      </w:r>
      <w:r w:rsidR="0068598E">
        <w:rPr>
          <w:spacing w:val="-23"/>
        </w:rPr>
        <w:t>.</w:t>
      </w:r>
      <w:r>
        <w:rPr>
          <w:spacing w:val="1"/>
        </w:rPr>
        <w:t xml:space="preserve"> </w:t>
      </w:r>
      <w:r>
        <w:t>The</w:t>
      </w:r>
      <w:r>
        <w:rPr>
          <w:spacing w:val="1"/>
        </w:rPr>
        <w:t xml:space="preserve"> </w:t>
      </w:r>
      <w:r>
        <w:t>Review</w:t>
      </w:r>
      <w:r>
        <w:rPr>
          <w:spacing w:val="2"/>
        </w:rPr>
        <w:t xml:space="preserve"> </w:t>
      </w:r>
      <w:r>
        <w:t>overwhelmingly</w:t>
      </w:r>
      <w:r>
        <w:rPr>
          <w:spacing w:val="1"/>
        </w:rPr>
        <w:t xml:space="preserve"> </w:t>
      </w:r>
      <w:r>
        <w:t>heard</w:t>
      </w:r>
      <w:r>
        <w:rPr>
          <w:spacing w:val="1"/>
        </w:rPr>
        <w:t xml:space="preserve"> </w:t>
      </w:r>
      <w:r>
        <w:t>that</w:t>
      </w:r>
      <w:r>
        <w:rPr>
          <w:spacing w:val="1"/>
        </w:rPr>
        <w:t xml:space="preserve"> </w:t>
      </w:r>
      <w:r>
        <w:rPr>
          <w:spacing w:val="-5"/>
        </w:rPr>
        <w:t xml:space="preserve">RBA </w:t>
      </w:r>
      <w:r>
        <w:rPr>
          <w:color w:val="231F20"/>
        </w:rPr>
        <w:t>staff</w:t>
      </w:r>
      <w:r>
        <w:rPr>
          <w:color w:val="231F20"/>
          <w:spacing w:val="-3"/>
        </w:rPr>
        <w:t xml:space="preserve"> </w:t>
      </w:r>
      <w:r>
        <w:rPr>
          <w:color w:val="231F20"/>
        </w:rPr>
        <w:t>members</w:t>
      </w:r>
      <w:r>
        <w:rPr>
          <w:color w:val="231F20"/>
          <w:spacing w:val="-1"/>
        </w:rPr>
        <w:t xml:space="preserve"> </w:t>
      </w:r>
      <w:r>
        <w:rPr>
          <w:color w:val="231F20"/>
        </w:rPr>
        <w:t>are strongly</w:t>
      </w:r>
      <w:r>
        <w:rPr>
          <w:color w:val="231F20"/>
          <w:spacing w:val="-1"/>
        </w:rPr>
        <w:t xml:space="preserve"> </w:t>
      </w:r>
      <w:r>
        <w:rPr>
          <w:color w:val="231F20"/>
        </w:rPr>
        <w:t>committed</w:t>
      </w:r>
      <w:r>
        <w:rPr>
          <w:color w:val="231F20"/>
          <w:spacing w:val="-1"/>
        </w:rPr>
        <w:t xml:space="preserve"> </w:t>
      </w:r>
      <w:r>
        <w:rPr>
          <w:color w:val="231F20"/>
        </w:rPr>
        <w:t>to these</w:t>
      </w:r>
      <w:r>
        <w:rPr>
          <w:color w:val="231F20"/>
          <w:spacing w:val="-1"/>
        </w:rPr>
        <w:t xml:space="preserve"> </w:t>
      </w:r>
      <w:r>
        <w:rPr>
          <w:color w:val="231F20"/>
        </w:rPr>
        <w:t>values</w:t>
      </w:r>
      <w:r>
        <w:rPr>
          <w:color w:val="231F20"/>
          <w:spacing w:val="-1"/>
        </w:rPr>
        <w:t xml:space="preserve"> </w:t>
      </w:r>
      <w:r>
        <w:rPr>
          <w:color w:val="231F20"/>
        </w:rPr>
        <w:t>(see Box</w:t>
      </w:r>
      <w:r>
        <w:rPr>
          <w:color w:val="231F20"/>
          <w:spacing w:val="-1"/>
        </w:rPr>
        <w:t xml:space="preserve"> </w:t>
      </w:r>
      <w:r>
        <w:rPr>
          <w:color w:val="231F20"/>
        </w:rPr>
        <w:t>4.1).</w:t>
      </w:r>
      <w:r>
        <w:rPr>
          <w:color w:val="231F20"/>
          <w:spacing w:val="-1"/>
        </w:rPr>
        <w:t xml:space="preserve"> </w:t>
      </w:r>
      <w:r>
        <w:rPr>
          <w:color w:val="231F20"/>
        </w:rPr>
        <w:t>Staff members</w:t>
      </w:r>
      <w:r>
        <w:rPr>
          <w:color w:val="231F20"/>
          <w:spacing w:val="-1"/>
        </w:rPr>
        <w:t xml:space="preserve"> </w:t>
      </w:r>
      <w:r>
        <w:rPr>
          <w:color w:val="231F20"/>
        </w:rPr>
        <w:t>told</w:t>
      </w:r>
      <w:r>
        <w:rPr>
          <w:color w:val="231F20"/>
          <w:spacing w:val="-1"/>
        </w:rPr>
        <w:t xml:space="preserve"> </w:t>
      </w:r>
      <w:r>
        <w:rPr>
          <w:color w:val="231F20"/>
        </w:rPr>
        <w:t xml:space="preserve">the </w:t>
      </w:r>
      <w:r>
        <w:rPr>
          <w:color w:val="231F20"/>
          <w:spacing w:val="-2"/>
        </w:rPr>
        <w:t>Review:</w:t>
      </w:r>
    </w:p>
    <w:p w14:paraId="775963A2" w14:textId="77777777" w:rsidR="00F1766E" w:rsidRDefault="00F1766E" w:rsidP="00F1766E">
      <w:pPr>
        <w:pStyle w:val="italicquote"/>
      </w:pPr>
      <w:r>
        <w:t>‘The</w:t>
      </w:r>
      <w:r>
        <w:rPr>
          <w:spacing w:val="-2"/>
        </w:rPr>
        <w:t xml:space="preserve"> </w:t>
      </w:r>
      <w:r>
        <w:t>Bank’s</w:t>
      </w:r>
      <w:r>
        <w:rPr>
          <w:spacing w:val="-2"/>
        </w:rPr>
        <w:t xml:space="preserve"> </w:t>
      </w:r>
      <w:r>
        <w:t>values</w:t>
      </w:r>
      <w:r>
        <w:rPr>
          <w:spacing w:val="-2"/>
        </w:rPr>
        <w:t xml:space="preserve"> </w:t>
      </w:r>
      <w:r>
        <w:t>very</w:t>
      </w:r>
      <w:r>
        <w:rPr>
          <w:spacing w:val="-2"/>
        </w:rPr>
        <w:t xml:space="preserve"> </w:t>
      </w:r>
      <w:r>
        <w:t>much</w:t>
      </w:r>
      <w:r>
        <w:rPr>
          <w:spacing w:val="-2"/>
        </w:rPr>
        <w:t xml:space="preserve"> </w:t>
      </w:r>
      <w:r>
        <w:t>align</w:t>
      </w:r>
      <w:r>
        <w:rPr>
          <w:spacing w:val="-2"/>
        </w:rPr>
        <w:t xml:space="preserve"> </w:t>
      </w:r>
      <w:r>
        <w:t>to</w:t>
      </w:r>
      <w:r>
        <w:rPr>
          <w:spacing w:val="-2"/>
        </w:rPr>
        <w:t xml:space="preserve"> </w:t>
      </w:r>
      <w:r>
        <w:t>mine,</w:t>
      </w:r>
      <w:r>
        <w:rPr>
          <w:spacing w:val="-2"/>
        </w:rPr>
        <w:t xml:space="preserve"> </w:t>
      </w:r>
      <w:r>
        <w:t>and</w:t>
      </w:r>
      <w:r>
        <w:rPr>
          <w:spacing w:val="-2"/>
        </w:rPr>
        <w:t xml:space="preserve"> </w:t>
      </w:r>
      <w:r>
        <w:t>this</w:t>
      </w:r>
      <w:r>
        <w:rPr>
          <w:spacing w:val="-2"/>
        </w:rPr>
        <w:t xml:space="preserve"> </w:t>
      </w:r>
      <w:r>
        <w:t>continually</w:t>
      </w:r>
      <w:r>
        <w:rPr>
          <w:spacing w:val="-2"/>
        </w:rPr>
        <w:t xml:space="preserve"> </w:t>
      </w:r>
      <w:r>
        <w:t>motivates</w:t>
      </w:r>
      <w:r>
        <w:rPr>
          <w:spacing w:val="-2"/>
        </w:rPr>
        <w:t xml:space="preserve"> </w:t>
      </w:r>
      <w:r>
        <w:t>me</w:t>
      </w:r>
      <w:r>
        <w:rPr>
          <w:spacing w:val="-2"/>
        </w:rPr>
        <w:t xml:space="preserve"> </w:t>
      </w:r>
      <w:r>
        <w:t>to</w:t>
      </w:r>
      <w:r>
        <w:rPr>
          <w:spacing w:val="-2"/>
        </w:rPr>
        <w:t xml:space="preserve"> </w:t>
      </w:r>
      <w:r>
        <w:t>go</w:t>
      </w:r>
      <w:r>
        <w:rPr>
          <w:spacing w:val="-2"/>
        </w:rPr>
        <w:t xml:space="preserve"> </w:t>
      </w:r>
      <w:r>
        <w:t>above</w:t>
      </w:r>
      <w:r>
        <w:rPr>
          <w:spacing w:val="-2"/>
        </w:rPr>
        <w:t xml:space="preserve"> </w:t>
      </w:r>
      <w:r>
        <w:t>and beyond and bring my best self everyday.’</w:t>
      </w:r>
    </w:p>
    <w:p w14:paraId="1023040B" w14:textId="1CCE86E8" w:rsidR="00F1766E" w:rsidRDefault="00F1766E" w:rsidP="00F1766E">
      <w:pPr>
        <w:pStyle w:val="italicquote"/>
        <w:rPr>
          <w:i w:val="0"/>
          <w:sz w:val="18"/>
        </w:rPr>
      </w:pPr>
      <w:r>
        <w:t>‘Staff</w:t>
      </w:r>
      <w:r>
        <w:rPr>
          <w:spacing w:val="-2"/>
        </w:rPr>
        <w:t xml:space="preserve"> </w:t>
      </w:r>
      <w:r>
        <w:t>at</w:t>
      </w:r>
      <w:r>
        <w:rPr>
          <w:spacing w:val="-1"/>
        </w:rPr>
        <w:t xml:space="preserve"> </w:t>
      </w:r>
      <w:r>
        <w:t>all</w:t>
      </w:r>
      <w:r>
        <w:rPr>
          <w:spacing w:val="-2"/>
        </w:rPr>
        <w:t xml:space="preserve"> </w:t>
      </w:r>
      <w:r>
        <w:t>levels</w:t>
      </w:r>
      <w:r>
        <w:rPr>
          <w:spacing w:val="-1"/>
        </w:rPr>
        <w:t xml:space="preserve"> </w:t>
      </w:r>
      <w:r>
        <w:t>clearly</w:t>
      </w:r>
      <w:r>
        <w:rPr>
          <w:spacing w:val="-1"/>
        </w:rPr>
        <w:t xml:space="preserve"> </w:t>
      </w:r>
      <w:r>
        <w:t>embody</w:t>
      </w:r>
      <w:r>
        <w:rPr>
          <w:spacing w:val="-2"/>
        </w:rPr>
        <w:t xml:space="preserve"> </w:t>
      </w:r>
      <w:r>
        <w:t>the</w:t>
      </w:r>
      <w:r>
        <w:rPr>
          <w:spacing w:val="-1"/>
        </w:rPr>
        <w:t xml:space="preserve"> </w:t>
      </w:r>
      <w:r>
        <w:t>bank’s</w:t>
      </w:r>
      <w:r>
        <w:rPr>
          <w:spacing w:val="-1"/>
        </w:rPr>
        <w:t xml:space="preserve"> </w:t>
      </w:r>
      <w:r>
        <w:t>values</w:t>
      </w:r>
      <w:r>
        <w:rPr>
          <w:spacing w:val="-2"/>
        </w:rPr>
        <w:t xml:space="preserve"> </w:t>
      </w:r>
      <w:r>
        <w:t>and</w:t>
      </w:r>
      <w:r>
        <w:rPr>
          <w:spacing w:val="-1"/>
        </w:rPr>
        <w:t xml:space="preserve"> </w:t>
      </w:r>
      <w:r>
        <w:t>take</w:t>
      </w:r>
      <w:r>
        <w:rPr>
          <w:spacing w:val="-1"/>
        </w:rPr>
        <w:t xml:space="preserve"> </w:t>
      </w:r>
      <w:r>
        <w:t>their</w:t>
      </w:r>
      <w:r>
        <w:rPr>
          <w:spacing w:val="-2"/>
        </w:rPr>
        <w:t xml:space="preserve"> </w:t>
      </w:r>
      <w:r>
        <w:t>work</w:t>
      </w:r>
      <w:r>
        <w:rPr>
          <w:spacing w:val="-1"/>
        </w:rPr>
        <w:t xml:space="preserve"> </w:t>
      </w:r>
      <w:r>
        <w:t>and</w:t>
      </w:r>
      <w:r>
        <w:rPr>
          <w:spacing w:val="-2"/>
        </w:rPr>
        <w:t xml:space="preserve"> responsibilities </w:t>
      </w:r>
      <w:r w:rsidRPr="00F1766E">
        <w:t>very</w:t>
      </w:r>
      <w:r>
        <w:rPr>
          <w:color w:val="231F20"/>
          <w:spacing w:val="5"/>
          <w:sz w:val="18"/>
        </w:rPr>
        <w:t xml:space="preserve"> </w:t>
      </w:r>
      <w:r w:rsidRPr="00F1766E">
        <w:t>seriously</w:t>
      </w:r>
      <w:r>
        <w:rPr>
          <w:color w:val="231F20"/>
          <w:spacing w:val="-2"/>
          <w:sz w:val="18"/>
        </w:rPr>
        <w:t>.’</w:t>
      </w:r>
    </w:p>
    <w:p w14:paraId="2A5EC95A" w14:textId="77777777" w:rsidR="00F1766E" w:rsidRDefault="00F1766E" w:rsidP="00F1766E">
      <w:pPr>
        <w:pStyle w:val="italicquote"/>
      </w:pPr>
      <w:r>
        <w:t>̶</w:t>
      </w:r>
      <w:r>
        <w:rPr>
          <w:spacing w:val="54"/>
        </w:rPr>
        <w:t xml:space="preserve"> </w:t>
      </w:r>
      <w:r>
        <w:t xml:space="preserve">RBA staff </w:t>
      </w:r>
      <w:r>
        <w:rPr>
          <w:spacing w:val="-2"/>
        </w:rPr>
        <w:t>members</w:t>
      </w: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BF7851" w14:paraId="13225324" w14:textId="77777777" w:rsidTr="00521B0D">
        <w:tc>
          <w:tcPr>
            <w:tcW w:w="5000" w:type="pct"/>
            <w:tcBorders>
              <w:top w:val="nil"/>
              <w:left w:val="nil"/>
              <w:bottom w:val="nil"/>
              <w:right w:val="nil"/>
            </w:tcBorders>
            <w:shd w:val="clear" w:color="auto" w:fill="F9EEDB" w:themeFill="accent6"/>
          </w:tcPr>
          <w:p w14:paraId="7BB40934" w14:textId="6E96F213" w:rsidR="009D0167" w:rsidRDefault="009D0167" w:rsidP="009D0167">
            <w:pPr>
              <w:pStyle w:val="BoxHeading"/>
            </w:pPr>
            <w:r>
              <w:t>Box 4.1:</w:t>
            </w:r>
            <w:r>
              <w:rPr>
                <w:spacing w:val="-4"/>
              </w:rPr>
              <w:t xml:space="preserve"> </w:t>
            </w:r>
            <w:r>
              <w:t>The</w:t>
            </w:r>
            <w:r>
              <w:rPr>
                <w:spacing w:val="-4"/>
              </w:rPr>
              <w:t xml:space="preserve"> </w:t>
            </w:r>
            <w:r>
              <w:t>RBA’s</w:t>
            </w:r>
            <w:r>
              <w:rPr>
                <w:spacing w:val="-4"/>
              </w:rPr>
              <w:t xml:space="preserve"> </w:t>
            </w:r>
            <w:r>
              <w:rPr>
                <w:spacing w:val="-2"/>
              </w:rPr>
              <w:t>values</w:t>
            </w:r>
          </w:p>
          <w:p w14:paraId="660594A7" w14:textId="77777777" w:rsidR="007602EF" w:rsidRDefault="007602EF" w:rsidP="007602EF">
            <w:pPr>
              <w:pStyle w:val="BoxText"/>
            </w:pPr>
            <w:r>
              <w:t>The</w:t>
            </w:r>
            <w:r>
              <w:rPr>
                <w:spacing w:val="2"/>
              </w:rPr>
              <w:t xml:space="preserve"> </w:t>
            </w:r>
            <w:r>
              <w:t>RBA</w:t>
            </w:r>
            <w:r>
              <w:rPr>
                <w:spacing w:val="2"/>
              </w:rPr>
              <w:t xml:space="preserve"> </w:t>
            </w:r>
            <w:r>
              <w:t>currently</w:t>
            </w:r>
            <w:r>
              <w:rPr>
                <w:spacing w:val="2"/>
              </w:rPr>
              <w:t xml:space="preserve"> </w:t>
            </w:r>
            <w:r>
              <w:t>has</w:t>
            </w:r>
            <w:r>
              <w:rPr>
                <w:spacing w:val="2"/>
              </w:rPr>
              <w:t xml:space="preserve"> </w:t>
            </w:r>
            <w:r>
              <w:t>5</w:t>
            </w:r>
            <w:r>
              <w:rPr>
                <w:spacing w:val="2"/>
              </w:rPr>
              <w:t xml:space="preserve"> </w:t>
            </w:r>
            <w:r>
              <w:t>organisational</w:t>
            </w:r>
            <w:r>
              <w:rPr>
                <w:spacing w:val="2"/>
              </w:rPr>
              <w:t xml:space="preserve"> </w:t>
            </w:r>
            <w:r>
              <w:rPr>
                <w:spacing w:val="-2"/>
              </w:rPr>
              <w:t>values:</w:t>
            </w:r>
          </w:p>
          <w:p w14:paraId="411A6399" w14:textId="77777777" w:rsidR="007602EF" w:rsidRDefault="007602EF" w:rsidP="007602EF">
            <w:pPr>
              <w:pStyle w:val="BodyText"/>
              <w:spacing w:before="10"/>
              <w:rPr>
                <w:sz w:val="11"/>
              </w:rPr>
            </w:pPr>
          </w:p>
          <w:tbl>
            <w:tblPr>
              <w:tblW w:w="0" w:type="auto"/>
              <w:tblInd w:w="390" w:type="dxa"/>
              <w:tblBorders>
                <w:top w:val="single" w:sz="2" w:space="0" w:color="1F4060"/>
                <w:left w:val="single" w:sz="2" w:space="0" w:color="1F4060"/>
                <w:bottom w:val="single" w:sz="2" w:space="0" w:color="1F4060"/>
                <w:right w:val="single" w:sz="2" w:space="0" w:color="1F4060"/>
                <w:insideH w:val="single" w:sz="2" w:space="0" w:color="1F4060"/>
                <w:insideV w:val="single" w:sz="2" w:space="0" w:color="1F4060"/>
              </w:tblBorders>
              <w:tblCellMar>
                <w:left w:w="0" w:type="dxa"/>
                <w:right w:w="0" w:type="dxa"/>
              </w:tblCellMar>
              <w:tblLook w:val="01E0" w:firstRow="1" w:lastRow="1" w:firstColumn="1" w:lastColumn="1" w:noHBand="0" w:noVBand="0"/>
            </w:tblPr>
            <w:tblGrid>
              <w:gridCol w:w="1531"/>
              <w:gridCol w:w="1531"/>
              <w:gridCol w:w="1531"/>
              <w:gridCol w:w="1531"/>
              <w:gridCol w:w="1531"/>
            </w:tblGrid>
            <w:tr w:rsidR="007602EF" w14:paraId="5A17665A" w14:textId="77777777" w:rsidTr="007602EF">
              <w:trPr>
                <w:trHeight w:val="538"/>
              </w:trPr>
              <w:tc>
                <w:tcPr>
                  <w:tcW w:w="1531" w:type="dxa"/>
                  <w:tcBorders>
                    <w:top w:val="nil"/>
                    <w:left w:val="nil"/>
                  </w:tcBorders>
                  <w:shd w:val="clear" w:color="auto" w:fill="auto"/>
                </w:tcPr>
                <w:p w14:paraId="2C6BC11F" w14:textId="77777777" w:rsidR="007602EF" w:rsidRDefault="007602EF" w:rsidP="007602EF">
                  <w:pPr>
                    <w:pStyle w:val="TableParagraph"/>
                    <w:spacing w:before="13" w:line="220" w:lineRule="auto"/>
                    <w:ind w:left="-3"/>
                    <w:rPr>
                      <w:rFonts w:ascii="Open Sans"/>
                      <w:b/>
                      <w:sz w:val="16"/>
                    </w:rPr>
                  </w:pPr>
                  <w:r>
                    <w:rPr>
                      <w:rFonts w:ascii="Open Sans"/>
                      <w:b/>
                      <w:color w:val="231F20"/>
                      <w:sz w:val="16"/>
                    </w:rPr>
                    <w:t>Promotion</w:t>
                  </w:r>
                  <w:r>
                    <w:rPr>
                      <w:rFonts w:ascii="Open Sans"/>
                      <w:b/>
                      <w:color w:val="231F20"/>
                      <w:spacing w:val="-11"/>
                      <w:sz w:val="16"/>
                    </w:rPr>
                    <w:t xml:space="preserve"> </w:t>
                  </w:r>
                  <w:r>
                    <w:rPr>
                      <w:rFonts w:ascii="Open Sans"/>
                      <w:b/>
                      <w:color w:val="231F20"/>
                      <w:sz w:val="16"/>
                    </w:rPr>
                    <w:t>of</w:t>
                  </w:r>
                  <w:r>
                    <w:rPr>
                      <w:rFonts w:ascii="Open Sans"/>
                      <w:b/>
                      <w:color w:val="231F20"/>
                      <w:spacing w:val="-10"/>
                      <w:sz w:val="16"/>
                    </w:rPr>
                    <w:t xml:space="preserve"> </w:t>
                  </w:r>
                  <w:r>
                    <w:rPr>
                      <w:rFonts w:ascii="Open Sans"/>
                      <w:b/>
                      <w:color w:val="231F20"/>
                      <w:sz w:val="16"/>
                    </w:rPr>
                    <w:t>the public</w:t>
                  </w:r>
                  <w:r>
                    <w:rPr>
                      <w:rFonts w:ascii="Open Sans"/>
                      <w:b/>
                      <w:color w:val="231F20"/>
                      <w:spacing w:val="-7"/>
                      <w:sz w:val="16"/>
                    </w:rPr>
                    <w:t xml:space="preserve"> </w:t>
                  </w:r>
                  <w:r>
                    <w:rPr>
                      <w:rFonts w:ascii="Open Sans"/>
                      <w:b/>
                      <w:color w:val="231F20"/>
                      <w:sz w:val="16"/>
                    </w:rPr>
                    <w:t>interest</w:t>
                  </w:r>
                </w:p>
              </w:tc>
              <w:tc>
                <w:tcPr>
                  <w:tcW w:w="1531" w:type="dxa"/>
                  <w:tcBorders>
                    <w:top w:val="nil"/>
                  </w:tcBorders>
                  <w:shd w:val="clear" w:color="auto" w:fill="auto"/>
                </w:tcPr>
                <w:p w14:paraId="3CDC8240" w14:textId="77777777" w:rsidR="007602EF" w:rsidRDefault="007602EF" w:rsidP="007602EF">
                  <w:pPr>
                    <w:pStyle w:val="TableParagraph"/>
                    <w:ind w:left="111"/>
                    <w:rPr>
                      <w:rFonts w:ascii="Open Sans"/>
                      <w:b/>
                      <w:sz w:val="16"/>
                    </w:rPr>
                  </w:pPr>
                  <w:r>
                    <w:rPr>
                      <w:rFonts w:ascii="Open Sans"/>
                      <w:b/>
                      <w:color w:val="231F20"/>
                      <w:spacing w:val="-2"/>
                      <w:sz w:val="16"/>
                    </w:rPr>
                    <w:t>Integrity</w:t>
                  </w:r>
                </w:p>
              </w:tc>
              <w:tc>
                <w:tcPr>
                  <w:tcW w:w="1531" w:type="dxa"/>
                  <w:tcBorders>
                    <w:top w:val="nil"/>
                  </w:tcBorders>
                  <w:shd w:val="clear" w:color="auto" w:fill="auto"/>
                </w:tcPr>
                <w:p w14:paraId="727DAFBB" w14:textId="77777777" w:rsidR="007602EF" w:rsidRDefault="007602EF" w:rsidP="007602EF">
                  <w:pPr>
                    <w:pStyle w:val="TableParagraph"/>
                    <w:ind w:left="111"/>
                    <w:rPr>
                      <w:rFonts w:ascii="Open Sans"/>
                      <w:b/>
                      <w:sz w:val="16"/>
                    </w:rPr>
                  </w:pPr>
                  <w:r>
                    <w:rPr>
                      <w:rFonts w:ascii="Open Sans"/>
                      <w:b/>
                      <w:color w:val="231F20"/>
                      <w:spacing w:val="-2"/>
                      <w:sz w:val="16"/>
                    </w:rPr>
                    <w:t>Excellence</w:t>
                  </w:r>
                </w:p>
              </w:tc>
              <w:tc>
                <w:tcPr>
                  <w:tcW w:w="1531" w:type="dxa"/>
                  <w:tcBorders>
                    <w:top w:val="nil"/>
                  </w:tcBorders>
                  <w:shd w:val="clear" w:color="auto" w:fill="auto"/>
                </w:tcPr>
                <w:p w14:paraId="5ACB9B02" w14:textId="77777777" w:rsidR="007602EF" w:rsidRDefault="007602EF" w:rsidP="007602EF">
                  <w:pPr>
                    <w:pStyle w:val="TableParagraph"/>
                    <w:spacing w:line="209" w:lineRule="exact"/>
                    <w:ind w:left="111"/>
                    <w:rPr>
                      <w:rFonts w:ascii="Open Sans"/>
                      <w:b/>
                      <w:sz w:val="16"/>
                    </w:rPr>
                  </w:pPr>
                  <w:r>
                    <w:rPr>
                      <w:rFonts w:ascii="Open Sans"/>
                      <w:b/>
                      <w:color w:val="231F20"/>
                      <w:spacing w:val="-2"/>
                      <w:sz w:val="16"/>
                    </w:rPr>
                    <w:t>Intelligent</w:t>
                  </w:r>
                </w:p>
                <w:p w14:paraId="50068227" w14:textId="77777777" w:rsidR="007602EF" w:rsidRDefault="007602EF" w:rsidP="007602EF">
                  <w:pPr>
                    <w:pStyle w:val="TableParagraph"/>
                    <w:spacing w:line="209" w:lineRule="exact"/>
                    <w:ind w:left="111"/>
                    <w:rPr>
                      <w:rFonts w:ascii="Open Sans"/>
                      <w:b/>
                      <w:sz w:val="16"/>
                    </w:rPr>
                  </w:pPr>
                  <w:r>
                    <w:rPr>
                      <w:rFonts w:ascii="Open Sans"/>
                      <w:b/>
                      <w:color w:val="231F20"/>
                      <w:spacing w:val="-2"/>
                      <w:sz w:val="16"/>
                    </w:rPr>
                    <w:t>inquiry</w:t>
                  </w:r>
                </w:p>
              </w:tc>
              <w:tc>
                <w:tcPr>
                  <w:tcW w:w="1531" w:type="dxa"/>
                  <w:tcBorders>
                    <w:top w:val="nil"/>
                    <w:right w:val="nil"/>
                  </w:tcBorders>
                  <w:shd w:val="clear" w:color="auto" w:fill="auto"/>
                </w:tcPr>
                <w:p w14:paraId="24BBF79F" w14:textId="77777777" w:rsidR="007602EF" w:rsidRDefault="007602EF" w:rsidP="007602EF">
                  <w:pPr>
                    <w:pStyle w:val="TableParagraph"/>
                    <w:ind w:left="111"/>
                    <w:rPr>
                      <w:rFonts w:ascii="Open Sans"/>
                      <w:b/>
                      <w:sz w:val="16"/>
                    </w:rPr>
                  </w:pPr>
                  <w:r>
                    <w:rPr>
                      <w:rFonts w:ascii="Open Sans"/>
                      <w:b/>
                      <w:color w:val="231F20"/>
                      <w:spacing w:val="-2"/>
                      <w:sz w:val="16"/>
                    </w:rPr>
                    <w:t>Respect</w:t>
                  </w:r>
                </w:p>
              </w:tc>
            </w:tr>
            <w:tr w:rsidR="007602EF" w14:paraId="31741EAA" w14:textId="77777777" w:rsidTr="007602EF">
              <w:trPr>
                <w:trHeight w:val="2953"/>
              </w:trPr>
              <w:tc>
                <w:tcPr>
                  <w:tcW w:w="1531" w:type="dxa"/>
                  <w:tcBorders>
                    <w:left w:val="nil"/>
                    <w:bottom w:val="nil"/>
                  </w:tcBorders>
                  <w:shd w:val="clear" w:color="auto" w:fill="auto"/>
                </w:tcPr>
                <w:p w14:paraId="4EBE717F" w14:textId="305C511A" w:rsidR="007602EF" w:rsidRDefault="007602EF" w:rsidP="007602EF">
                  <w:pPr>
                    <w:pStyle w:val="TableParagraph"/>
                    <w:spacing w:before="132" w:line="220" w:lineRule="auto"/>
                    <w:ind w:left="-3" w:right="110"/>
                    <w:jc w:val="both"/>
                    <w:rPr>
                      <w:sz w:val="16"/>
                    </w:rPr>
                  </w:pPr>
                  <w:r>
                    <w:rPr>
                      <w:color w:val="231F20"/>
                      <w:sz w:val="16"/>
                    </w:rPr>
                    <w:t>We</w:t>
                  </w:r>
                  <w:r>
                    <w:rPr>
                      <w:color w:val="231F20"/>
                      <w:spacing w:val="-10"/>
                      <w:sz w:val="16"/>
                    </w:rPr>
                    <w:t xml:space="preserve"> </w:t>
                  </w:r>
                  <w:r>
                    <w:rPr>
                      <w:color w:val="231F20"/>
                      <w:sz w:val="16"/>
                    </w:rPr>
                    <w:t>serve</w:t>
                  </w:r>
                  <w:r>
                    <w:rPr>
                      <w:color w:val="231F20"/>
                      <w:spacing w:val="-10"/>
                      <w:sz w:val="16"/>
                    </w:rPr>
                    <w:t xml:space="preserve"> </w:t>
                  </w:r>
                  <w:r>
                    <w:rPr>
                      <w:color w:val="231F20"/>
                      <w:sz w:val="16"/>
                    </w:rPr>
                    <w:t>the</w:t>
                  </w:r>
                  <w:r>
                    <w:rPr>
                      <w:color w:val="231F20"/>
                      <w:spacing w:val="-10"/>
                      <w:sz w:val="16"/>
                    </w:rPr>
                    <w:t xml:space="preserve"> </w:t>
                  </w:r>
                  <w:r>
                    <w:rPr>
                      <w:color w:val="231F20"/>
                      <w:sz w:val="16"/>
                    </w:rPr>
                    <w:t>public interest</w:t>
                  </w:r>
                  <w:r w:rsidR="0068598E">
                    <w:rPr>
                      <w:color w:val="231F20"/>
                      <w:spacing w:val="-11"/>
                      <w:sz w:val="16"/>
                    </w:rPr>
                    <w:t>.</w:t>
                  </w:r>
                  <w:r>
                    <w:rPr>
                      <w:color w:val="231F20"/>
                      <w:spacing w:val="-4"/>
                      <w:w w:val="85"/>
                      <w:sz w:val="16"/>
                    </w:rPr>
                    <w:t xml:space="preserve"> </w:t>
                  </w:r>
                  <w:r>
                    <w:rPr>
                      <w:color w:val="231F20"/>
                      <w:sz w:val="16"/>
                    </w:rPr>
                    <w:t>We</w:t>
                  </w:r>
                  <w:r>
                    <w:rPr>
                      <w:color w:val="231F20"/>
                      <w:spacing w:val="-10"/>
                      <w:sz w:val="16"/>
                    </w:rPr>
                    <w:t xml:space="preserve"> </w:t>
                  </w:r>
                  <w:r>
                    <w:rPr>
                      <w:color w:val="231F20"/>
                      <w:sz w:val="16"/>
                    </w:rPr>
                    <w:t>ensure that our efforts</w:t>
                  </w:r>
                </w:p>
                <w:p w14:paraId="7B14F711" w14:textId="78DBC033" w:rsidR="007602EF" w:rsidRDefault="007602EF" w:rsidP="007602EF">
                  <w:pPr>
                    <w:pStyle w:val="TableParagraph"/>
                    <w:spacing w:line="220" w:lineRule="auto"/>
                    <w:ind w:left="-3" w:right="130"/>
                    <w:rPr>
                      <w:sz w:val="16"/>
                    </w:rPr>
                  </w:pPr>
                  <w:r>
                    <w:rPr>
                      <w:color w:val="231F20"/>
                      <w:sz w:val="16"/>
                    </w:rPr>
                    <w:t>are</w:t>
                  </w:r>
                  <w:r>
                    <w:rPr>
                      <w:color w:val="231F20"/>
                      <w:spacing w:val="-11"/>
                      <w:sz w:val="16"/>
                    </w:rPr>
                    <w:t xml:space="preserve"> </w:t>
                  </w:r>
                  <w:r>
                    <w:rPr>
                      <w:color w:val="231F20"/>
                      <w:sz w:val="16"/>
                    </w:rPr>
                    <w:t>directed</w:t>
                  </w:r>
                  <w:r>
                    <w:rPr>
                      <w:color w:val="231F20"/>
                      <w:spacing w:val="-10"/>
                      <w:sz w:val="16"/>
                    </w:rPr>
                    <w:t xml:space="preserve"> </w:t>
                  </w:r>
                  <w:r>
                    <w:rPr>
                      <w:color w:val="231F20"/>
                      <w:sz w:val="16"/>
                    </w:rPr>
                    <w:t>to</w:t>
                  </w:r>
                  <w:r>
                    <w:rPr>
                      <w:color w:val="231F20"/>
                      <w:spacing w:val="-11"/>
                      <w:sz w:val="16"/>
                    </w:rPr>
                    <w:t xml:space="preserve"> </w:t>
                  </w:r>
                  <w:r>
                    <w:rPr>
                      <w:color w:val="231F20"/>
                      <w:sz w:val="16"/>
                    </w:rPr>
                    <w:t>this objective, and not to</w:t>
                  </w:r>
                  <w:r>
                    <w:rPr>
                      <w:color w:val="231F20"/>
                      <w:spacing w:val="-5"/>
                      <w:sz w:val="16"/>
                    </w:rPr>
                    <w:t xml:space="preserve"> </w:t>
                  </w:r>
                  <w:r>
                    <w:rPr>
                      <w:color w:val="231F20"/>
                      <w:sz w:val="16"/>
                    </w:rPr>
                    <w:t>serving</w:t>
                  </w:r>
                  <w:r>
                    <w:rPr>
                      <w:color w:val="231F20"/>
                      <w:spacing w:val="-5"/>
                      <w:sz w:val="16"/>
                    </w:rPr>
                    <w:t xml:space="preserve"> </w:t>
                  </w:r>
                  <w:r>
                    <w:rPr>
                      <w:color w:val="231F20"/>
                      <w:sz w:val="16"/>
                    </w:rPr>
                    <w:t>our</w:t>
                  </w:r>
                  <w:r>
                    <w:rPr>
                      <w:color w:val="231F20"/>
                      <w:spacing w:val="-5"/>
                      <w:sz w:val="16"/>
                    </w:rPr>
                    <w:t xml:space="preserve"> </w:t>
                  </w:r>
                  <w:r>
                    <w:rPr>
                      <w:color w:val="231F20"/>
                      <w:sz w:val="16"/>
                    </w:rPr>
                    <w:t>own interests or the interests of any other person or group</w:t>
                  </w:r>
                  <w:r w:rsidR="0068598E">
                    <w:rPr>
                      <w:color w:val="231F20"/>
                      <w:spacing w:val="-23"/>
                      <w:sz w:val="16"/>
                    </w:rPr>
                    <w:t>.</w:t>
                  </w:r>
                </w:p>
              </w:tc>
              <w:tc>
                <w:tcPr>
                  <w:tcW w:w="1531" w:type="dxa"/>
                  <w:tcBorders>
                    <w:bottom w:val="nil"/>
                  </w:tcBorders>
                  <w:shd w:val="clear" w:color="auto" w:fill="auto"/>
                </w:tcPr>
                <w:p w14:paraId="6E573086" w14:textId="64ABBBD9" w:rsidR="007602EF" w:rsidRDefault="007602EF" w:rsidP="007602EF">
                  <w:pPr>
                    <w:pStyle w:val="TableParagraph"/>
                    <w:spacing w:before="132" w:line="220" w:lineRule="auto"/>
                    <w:ind w:left="111" w:right="148"/>
                    <w:jc w:val="both"/>
                    <w:rPr>
                      <w:sz w:val="16"/>
                    </w:rPr>
                  </w:pPr>
                  <w:r>
                    <w:rPr>
                      <w:color w:val="231F20"/>
                      <w:sz w:val="16"/>
                    </w:rPr>
                    <w:t>We are honest in our dealings with others</w:t>
                  </w:r>
                  <w:r>
                    <w:rPr>
                      <w:color w:val="231F20"/>
                      <w:spacing w:val="-11"/>
                      <w:sz w:val="16"/>
                    </w:rPr>
                    <w:t xml:space="preserve"> </w:t>
                  </w:r>
                  <w:r>
                    <w:rPr>
                      <w:color w:val="231F20"/>
                      <w:sz w:val="16"/>
                    </w:rPr>
                    <w:t>within</w:t>
                  </w:r>
                  <w:r>
                    <w:rPr>
                      <w:color w:val="231F20"/>
                      <w:spacing w:val="-10"/>
                      <w:sz w:val="16"/>
                    </w:rPr>
                    <w:t xml:space="preserve"> </w:t>
                  </w:r>
                  <w:r>
                    <w:rPr>
                      <w:color w:val="231F20"/>
                      <w:sz w:val="16"/>
                    </w:rPr>
                    <w:t>and outside</w:t>
                  </w:r>
                  <w:r>
                    <w:rPr>
                      <w:color w:val="231F20"/>
                      <w:spacing w:val="2"/>
                      <w:sz w:val="16"/>
                    </w:rPr>
                    <w:t xml:space="preserve"> </w:t>
                  </w:r>
                  <w:r>
                    <w:rPr>
                      <w:color w:val="231F20"/>
                      <w:sz w:val="16"/>
                    </w:rPr>
                    <w:t>the</w:t>
                  </w:r>
                  <w:r>
                    <w:rPr>
                      <w:color w:val="231F20"/>
                      <w:spacing w:val="2"/>
                      <w:sz w:val="16"/>
                    </w:rPr>
                    <w:t xml:space="preserve"> </w:t>
                  </w:r>
                  <w:r>
                    <w:rPr>
                      <w:color w:val="231F20"/>
                      <w:sz w:val="16"/>
                    </w:rPr>
                    <w:t>Bank</w:t>
                  </w:r>
                  <w:r w:rsidR="0068598E">
                    <w:rPr>
                      <w:color w:val="231F20"/>
                      <w:spacing w:val="-19"/>
                      <w:sz w:val="16"/>
                    </w:rPr>
                    <w:t>.</w:t>
                  </w:r>
                </w:p>
                <w:p w14:paraId="21ED6D82" w14:textId="77777777" w:rsidR="007602EF" w:rsidRDefault="007602EF" w:rsidP="007602EF">
                  <w:pPr>
                    <w:pStyle w:val="TableParagraph"/>
                    <w:spacing w:line="220" w:lineRule="auto"/>
                    <w:ind w:left="111" w:right="240"/>
                    <w:rPr>
                      <w:sz w:val="16"/>
                    </w:rPr>
                  </w:pPr>
                  <w:r>
                    <w:rPr>
                      <w:color w:val="231F20"/>
                      <w:sz w:val="16"/>
                    </w:rPr>
                    <w:t>We are open and</w:t>
                  </w:r>
                  <w:r>
                    <w:rPr>
                      <w:color w:val="231F20"/>
                      <w:spacing w:val="-11"/>
                      <w:sz w:val="16"/>
                    </w:rPr>
                    <w:t xml:space="preserve"> </w:t>
                  </w:r>
                  <w:r>
                    <w:rPr>
                      <w:color w:val="231F20"/>
                      <w:sz w:val="16"/>
                    </w:rPr>
                    <w:t>clear</w:t>
                  </w:r>
                  <w:r>
                    <w:rPr>
                      <w:color w:val="231F20"/>
                      <w:spacing w:val="-10"/>
                      <w:sz w:val="16"/>
                    </w:rPr>
                    <w:t xml:space="preserve"> </w:t>
                  </w:r>
                  <w:r>
                    <w:rPr>
                      <w:color w:val="231F20"/>
                      <w:sz w:val="16"/>
                    </w:rPr>
                    <w:t>in</w:t>
                  </w:r>
                  <w:r>
                    <w:rPr>
                      <w:color w:val="231F20"/>
                      <w:spacing w:val="-11"/>
                      <w:sz w:val="16"/>
                    </w:rPr>
                    <w:t xml:space="preserve"> </w:t>
                  </w:r>
                  <w:r>
                    <w:rPr>
                      <w:color w:val="231F20"/>
                      <w:sz w:val="16"/>
                    </w:rPr>
                    <w:t>our</w:t>
                  </w:r>
                </w:p>
                <w:p w14:paraId="2C8ECC33" w14:textId="7A655E5A" w:rsidR="007602EF" w:rsidRDefault="007602EF" w:rsidP="007602EF">
                  <w:pPr>
                    <w:pStyle w:val="TableParagraph"/>
                    <w:spacing w:line="220" w:lineRule="auto"/>
                    <w:ind w:left="111" w:right="53"/>
                    <w:rPr>
                      <w:sz w:val="16"/>
                    </w:rPr>
                  </w:pPr>
                  <w:r>
                    <w:rPr>
                      <w:color w:val="231F20"/>
                      <w:sz w:val="16"/>
                    </w:rPr>
                    <w:t>dealings with our colleagues</w:t>
                  </w:r>
                  <w:r w:rsidR="0068598E">
                    <w:rPr>
                      <w:color w:val="231F20"/>
                      <w:spacing w:val="-17"/>
                      <w:sz w:val="16"/>
                    </w:rPr>
                    <w:t>.</w:t>
                  </w:r>
                  <w:r>
                    <w:rPr>
                      <w:color w:val="231F20"/>
                      <w:w w:val="85"/>
                      <w:sz w:val="16"/>
                    </w:rPr>
                    <w:t xml:space="preserve"> </w:t>
                  </w:r>
                  <w:r>
                    <w:rPr>
                      <w:color w:val="231F20"/>
                      <w:sz w:val="16"/>
                    </w:rPr>
                    <w:t>We take</w:t>
                  </w:r>
                  <w:r>
                    <w:rPr>
                      <w:color w:val="231F20"/>
                      <w:spacing w:val="-7"/>
                      <w:sz w:val="16"/>
                    </w:rPr>
                    <w:t xml:space="preserve"> </w:t>
                  </w:r>
                  <w:r>
                    <w:rPr>
                      <w:color w:val="231F20"/>
                      <w:sz w:val="16"/>
                    </w:rPr>
                    <w:t>appropriate action if we are aware of others who</w:t>
                  </w:r>
                  <w:r>
                    <w:rPr>
                      <w:color w:val="231F20"/>
                      <w:spacing w:val="-11"/>
                      <w:sz w:val="16"/>
                    </w:rPr>
                    <w:t xml:space="preserve"> </w:t>
                  </w:r>
                  <w:r>
                    <w:rPr>
                      <w:color w:val="231F20"/>
                      <w:sz w:val="16"/>
                    </w:rPr>
                    <w:t>are</w:t>
                  </w:r>
                  <w:r>
                    <w:rPr>
                      <w:color w:val="231F20"/>
                      <w:spacing w:val="-10"/>
                      <w:sz w:val="16"/>
                    </w:rPr>
                    <w:t xml:space="preserve"> </w:t>
                  </w:r>
                  <w:r>
                    <w:rPr>
                      <w:color w:val="231F20"/>
                      <w:sz w:val="16"/>
                    </w:rPr>
                    <w:t>not</w:t>
                  </w:r>
                  <w:r>
                    <w:rPr>
                      <w:color w:val="231F20"/>
                      <w:spacing w:val="-11"/>
                      <w:sz w:val="16"/>
                    </w:rPr>
                    <w:t xml:space="preserve"> </w:t>
                  </w:r>
                  <w:r>
                    <w:rPr>
                      <w:color w:val="231F20"/>
                      <w:sz w:val="16"/>
                    </w:rPr>
                    <w:t>acting properly</w:t>
                  </w:r>
                  <w:r w:rsidR="0068598E">
                    <w:rPr>
                      <w:color w:val="231F20"/>
                      <w:spacing w:val="-23"/>
                      <w:sz w:val="16"/>
                    </w:rPr>
                    <w:t>.</w:t>
                  </w:r>
                </w:p>
              </w:tc>
              <w:tc>
                <w:tcPr>
                  <w:tcW w:w="1531" w:type="dxa"/>
                  <w:tcBorders>
                    <w:bottom w:val="nil"/>
                  </w:tcBorders>
                  <w:shd w:val="clear" w:color="auto" w:fill="auto"/>
                </w:tcPr>
                <w:p w14:paraId="7D3C8E4D" w14:textId="77777777" w:rsidR="007602EF" w:rsidRDefault="007602EF" w:rsidP="007602EF">
                  <w:pPr>
                    <w:pStyle w:val="TableParagraph"/>
                    <w:spacing w:before="132" w:line="220" w:lineRule="auto"/>
                    <w:ind w:left="111" w:right="450"/>
                    <w:rPr>
                      <w:sz w:val="16"/>
                    </w:rPr>
                  </w:pPr>
                  <w:r>
                    <w:rPr>
                      <w:color w:val="231F20"/>
                      <w:sz w:val="16"/>
                    </w:rPr>
                    <w:t>We strive for technical</w:t>
                  </w:r>
                  <w:r>
                    <w:rPr>
                      <w:color w:val="231F20"/>
                      <w:spacing w:val="-11"/>
                      <w:sz w:val="16"/>
                    </w:rPr>
                    <w:t xml:space="preserve"> </w:t>
                  </w:r>
                  <w:r>
                    <w:rPr>
                      <w:color w:val="231F20"/>
                      <w:sz w:val="16"/>
                    </w:rPr>
                    <w:t xml:space="preserve">and </w:t>
                  </w:r>
                  <w:r>
                    <w:rPr>
                      <w:color w:val="231F20"/>
                      <w:spacing w:val="-2"/>
                      <w:sz w:val="16"/>
                    </w:rPr>
                    <w:t>professional</w:t>
                  </w:r>
                  <w:r>
                    <w:rPr>
                      <w:color w:val="231F20"/>
                      <w:sz w:val="16"/>
                    </w:rPr>
                    <w:t xml:space="preserve"> </w:t>
                  </w:r>
                  <w:r>
                    <w:rPr>
                      <w:color w:val="231F20"/>
                      <w:spacing w:val="-2"/>
                      <w:sz w:val="16"/>
                    </w:rPr>
                    <w:t>excellence.</w:t>
                  </w:r>
                </w:p>
              </w:tc>
              <w:tc>
                <w:tcPr>
                  <w:tcW w:w="1531" w:type="dxa"/>
                  <w:tcBorders>
                    <w:bottom w:val="nil"/>
                  </w:tcBorders>
                  <w:shd w:val="clear" w:color="auto" w:fill="auto"/>
                </w:tcPr>
                <w:p w14:paraId="172C0EA5" w14:textId="575D495E" w:rsidR="007602EF" w:rsidRDefault="007602EF" w:rsidP="007602EF">
                  <w:pPr>
                    <w:pStyle w:val="TableParagraph"/>
                    <w:spacing w:before="132" w:line="220" w:lineRule="auto"/>
                    <w:ind w:left="111" w:right="84"/>
                    <w:rPr>
                      <w:sz w:val="16"/>
                    </w:rPr>
                  </w:pPr>
                  <w:r>
                    <w:rPr>
                      <w:color w:val="231F20"/>
                      <w:sz w:val="16"/>
                    </w:rPr>
                    <w:t>We think carefully about the work</w:t>
                  </w:r>
                  <w:r>
                    <w:rPr>
                      <w:color w:val="231F20"/>
                      <w:spacing w:val="40"/>
                      <w:sz w:val="16"/>
                    </w:rPr>
                    <w:t xml:space="preserve"> </w:t>
                  </w:r>
                  <w:r>
                    <w:rPr>
                      <w:color w:val="231F20"/>
                      <w:sz w:val="16"/>
                    </w:rPr>
                    <w:t>we do and how</w:t>
                  </w:r>
                  <w:r>
                    <w:rPr>
                      <w:color w:val="231F20"/>
                      <w:spacing w:val="40"/>
                      <w:sz w:val="16"/>
                    </w:rPr>
                    <w:t xml:space="preserve"> </w:t>
                  </w:r>
                  <w:r>
                    <w:rPr>
                      <w:color w:val="231F20"/>
                      <w:sz w:val="16"/>
                    </w:rPr>
                    <w:t>we undertake it</w:t>
                  </w:r>
                  <w:r w:rsidR="0068598E">
                    <w:rPr>
                      <w:color w:val="231F20"/>
                      <w:spacing w:val="-11"/>
                      <w:sz w:val="16"/>
                    </w:rPr>
                    <w:t>.</w:t>
                  </w:r>
                  <w:r>
                    <w:rPr>
                      <w:color w:val="231F20"/>
                      <w:sz w:val="16"/>
                    </w:rPr>
                    <w:t xml:space="preserve"> We</w:t>
                  </w:r>
                  <w:r>
                    <w:rPr>
                      <w:color w:val="231F20"/>
                      <w:spacing w:val="-7"/>
                      <w:sz w:val="16"/>
                    </w:rPr>
                    <w:t xml:space="preserve"> </w:t>
                  </w:r>
                  <w:r>
                    <w:rPr>
                      <w:color w:val="231F20"/>
                      <w:sz w:val="16"/>
                    </w:rPr>
                    <w:t>encourage debate,</w:t>
                  </w:r>
                  <w:r>
                    <w:rPr>
                      <w:color w:val="231F20"/>
                      <w:spacing w:val="-7"/>
                      <w:sz w:val="16"/>
                    </w:rPr>
                    <w:t xml:space="preserve"> </w:t>
                  </w:r>
                  <w:r>
                    <w:rPr>
                      <w:color w:val="231F20"/>
                      <w:sz w:val="16"/>
                    </w:rPr>
                    <w:t>ask questions</w:t>
                  </w:r>
                  <w:r>
                    <w:rPr>
                      <w:color w:val="231F20"/>
                      <w:spacing w:val="-7"/>
                      <w:sz w:val="16"/>
                    </w:rPr>
                    <w:t xml:space="preserve"> </w:t>
                  </w:r>
                  <w:r>
                    <w:rPr>
                      <w:color w:val="231F20"/>
                      <w:sz w:val="16"/>
                    </w:rPr>
                    <w:t>and speak</w:t>
                  </w:r>
                  <w:r>
                    <w:rPr>
                      <w:color w:val="231F20"/>
                      <w:spacing w:val="-11"/>
                      <w:sz w:val="16"/>
                    </w:rPr>
                    <w:t xml:space="preserve"> </w:t>
                  </w:r>
                  <w:r>
                    <w:rPr>
                      <w:color w:val="231F20"/>
                      <w:sz w:val="16"/>
                    </w:rPr>
                    <w:t>up</w:t>
                  </w:r>
                  <w:r>
                    <w:rPr>
                      <w:color w:val="231F20"/>
                      <w:spacing w:val="-10"/>
                      <w:sz w:val="16"/>
                    </w:rPr>
                    <w:t xml:space="preserve"> </w:t>
                  </w:r>
                  <w:r>
                    <w:rPr>
                      <w:color w:val="231F20"/>
                      <w:sz w:val="16"/>
                    </w:rPr>
                    <w:t>when</w:t>
                  </w:r>
                  <w:r>
                    <w:rPr>
                      <w:color w:val="231F20"/>
                      <w:spacing w:val="-11"/>
                      <w:sz w:val="16"/>
                    </w:rPr>
                    <w:t xml:space="preserve"> </w:t>
                  </w:r>
                  <w:r>
                    <w:rPr>
                      <w:color w:val="231F20"/>
                      <w:sz w:val="16"/>
                    </w:rPr>
                    <w:t>we have concerns</w:t>
                  </w:r>
                  <w:r w:rsidR="0068598E">
                    <w:rPr>
                      <w:color w:val="231F20"/>
                      <w:spacing w:val="-17"/>
                      <w:sz w:val="16"/>
                    </w:rPr>
                    <w:t>.</w:t>
                  </w:r>
                </w:p>
              </w:tc>
              <w:tc>
                <w:tcPr>
                  <w:tcW w:w="1531" w:type="dxa"/>
                  <w:tcBorders>
                    <w:bottom w:val="nil"/>
                    <w:right w:val="nil"/>
                  </w:tcBorders>
                  <w:shd w:val="clear" w:color="auto" w:fill="auto"/>
                </w:tcPr>
                <w:p w14:paraId="103A8E5C" w14:textId="1C11A543" w:rsidR="007602EF" w:rsidRDefault="007602EF" w:rsidP="007602EF">
                  <w:pPr>
                    <w:pStyle w:val="TableParagraph"/>
                    <w:spacing w:before="132" w:line="220" w:lineRule="auto"/>
                    <w:ind w:left="111" w:right="86"/>
                    <w:rPr>
                      <w:sz w:val="16"/>
                    </w:rPr>
                  </w:pPr>
                  <w:r>
                    <w:rPr>
                      <w:color w:val="231F20"/>
                      <w:sz w:val="16"/>
                    </w:rPr>
                    <w:t>We treat one another</w:t>
                  </w:r>
                  <w:r>
                    <w:rPr>
                      <w:color w:val="231F20"/>
                      <w:spacing w:val="-7"/>
                      <w:sz w:val="16"/>
                    </w:rPr>
                    <w:t xml:space="preserve"> </w:t>
                  </w:r>
                  <w:r>
                    <w:rPr>
                      <w:color w:val="231F20"/>
                      <w:sz w:val="16"/>
                    </w:rPr>
                    <w:t>with respect</w:t>
                  </w:r>
                  <w:r>
                    <w:rPr>
                      <w:color w:val="231F20"/>
                      <w:spacing w:val="-7"/>
                      <w:sz w:val="16"/>
                    </w:rPr>
                    <w:t xml:space="preserve"> </w:t>
                  </w:r>
                  <w:r>
                    <w:rPr>
                      <w:color w:val="231F20"/>
                      <w:sz w:val="16"/>
                    </w:rPr>
                    <w:t>and courtesy</w:t>
                  </w:r>
                  <w:r w:rsidR="0068598E">
                    <w:rPr>
                      <w:color w:val="231F20"/>
                      <w:spacing w:val="-17"/>
                      <w:sz w:val="16"/>
                    </w:rPr>
                    <w:t>.</w:t>
                  </w:r>
                  <w:r>
                    <w:rPr>
                      <w:color w:val="231F20"/>
                      <w:w w:val="85"/>
                      <w:sz w:val="16"/>
                    </w:rPr>
                    <w:t xml:space="preserve"> </w:t>
                  </w:r>
                  <w:r>
                    <w:rPr>
                      <w:color w:val="231F20"/>
                      <w:sz w:val="16"/>
                    </w:rPr>
                    <w:t>We</w:t>
                  </w:r>
                  <w:r>
                    <w:rPr>
                      <w:color w:val="231F20"/>
                      <w:spacing w:val="40"/>
                      <w:sz w:val="16"/>
                    </w:rPr>
                    <w:t xml:space="preserve"> </w:t>
                  </w:r>
                  <w:r>
                    <w:rPr>
                      <w:color w:val="231F20"/>
                      <w:sz w:val="16"/>
                    </w:rPr>
                    <w:t>value</w:t>
                  </w:r>
                  <w:r>
                    <w:rPr>
                      <w:color w:val="231F20"/>
                      <w:spacing w:val="-7"/>
                      <w:sz w:val="16"/>
                    </w:rPr>
                    <w:t xml:space="preserve"> </w:t>
                  </w:r>
                  <w:r>
                    <w:rPr>
                      <w:color w:val="231F20"/>
                      <w:sz w:val="16"/>
                    </w:rPr>
                    <w:t>one another’s</w:t>
                  </w:r>
                  <w:r>
                    <w:rPr>
                      <w:color w:val="231F20"/>
                      <w:spacing w:val="-7"/>
                      <w:sz w:val="16"/>
                    </w:rPr>
                    <w:t xml:space="preserve"> </w:t>
                  </w:r>
                  <w:r>
                    <w:rPr>
                      <w:color w:val="231F20"/>
                      <w:sz w:val="16"/>
                    </w:rPr>
                    <w:t>views and</w:t>
                  </w:r>
                  <w:r>
                    <w:rPr>
                      <w:color w:val="231F20"/>
                      <w:spacing w:val="-11"/>
                      <w:sz w:val="16"/>
                    </w:rPr>
                    <w:t xml:space="preserve"> </w:t>
                  </w:r>
                  <w:r>
                    <w:rPr>
                      <w:color w:val="231F20"/>
                      <w:sz w:val="16"/>
                    </w:rPr>
                    <w:t>contributions</w:t>
                  </w:r>
                  <w:r w:rsidR="0068598E">
                    <w:rPr>
                      <w:color w:val="231F20"/>
                      <w:spacing w:val="-22"/>
                      <w:sz w:val="16"/>
                    </w:rPr>
                    <w:t>.</w:t>
                  </w:r>
                </w:p>
              </w:tc>
            </w:tr>
          </w:tbl>
          <w:p w14:paraId="4EC91EEC" w14:textId="77777777" w:rsidR="007602EF" w:rsidRDefault="007602EF" w:rsidP="007602EF">
            <w:pPr>
              <w:pStyle w:val="BodyText"/>
              <w:spacing w:before="8"/>
              <w:rPr>
                <w:sz w:val="14"/>
              </w:rPr>
            </w:pPr>
          </w:p>
          <w:p w14:paraId="14B4224C" w14:textId="0A9CC4BB" w:rsidR="007602EF" w:rsidRDefault="007602EF" w:rsidP="007602EF">
            <w:pPr>
              <w:pStyle w:val="BoxText"/>
            </w:pPr>
            <w:r>
              <w:t>In October 2022, the Government announced it would extend the Australian Public Service (APS) values across all agencies covered by the PGPA Act (Gallagher 2022)</w:t>
            </w:r>
            <w:r w:rsidR="0068598E">
              <w:rPr>
                <w:spacing w:val="-20"/>
              </w:rPr>
              <w:t>.</w:t>
            </w:r>
            <w:r>
              <w:rPr>
                <w:w w:val="85"/>
              </w:rPr>
              <w:t xml:space="preserve"> </w:t>
            </w:r>
            <w:r>
              <w:t>This means all relevant agencies will have a core set of values including being impartial, committed to service, accountable, respectful, and ethical</w:t>
            </w:r>
            <w:r w:rsidR="0068598E">
              <w:rPr>
                <w:spacing w:val="-23"/>
              </w:rPr>
              <w:t>.</w:t>
            </w:r>
            <w:r>
              <w:rPr>
                <w:w w:val="85"/>
              </w:rPr>
              <w:t xml:space="preserve"> </w:t>
            </w:r>
            <w:r>
              <w:t>The Government has also committed to include stewardship as an APS value. Agencies can continue to have agency-specific values that co- exist alongside the core set.</w:t>
            </w:r>
          </w:p>
          <w:p w14:paraId="20D12918" w14:textId="2C5F8EF6" w:rsidR="00BF7851" w:rsidRPr="005073DA" w:rsidRDefault="007602EF" w:rsidP="00521B0D">
            <w:pPr>
              <w:pStyle w:val="BoxText"/>
            </w:pPr>
            <w:r>
              <w:t>In the case of the RBA, this will mean that the institution will need to evaluate its agency-specific values to work cohesively with the core set of APS values.</w:t>
            </w:r>
          </w:p>
        </w:tc>
      </w:tr>
    </w:tbl>
    <w:p w14:paraId="7FDEFBEB" w14:textId="79930CCB" w:rsidR="00FD2001" w:rsidRDefault="00FD2001" w:rsidP="00FD2001">
      <w:r>
        <w:t>RBA staff members have a very strong sense of pride and attachment to their organisation, ranking more highly than the APS across a range of indicators including loyalty to their organisation, motivation and purpose (Chart 4.1). RBA staff members also felt very positively about the RBA’s approach to health and wellbeing (Chart 4</w:t>
      </w:r>
      <w:r w:rsidR="0068598E">
        <w:rPr>
          <w:spacing w:val="-21"/>
        </w:rPr>
        <w:t>.</w:t>
      </w:r>
      <w:r>
        <w:rPr>
          <w:w w:val="117"/>
        </w:rPr>
        <w:t>2)</w:t>
      </w:r>
      <w:r w:rsidR="0068598E">
        <w:rPr>
          <w:spacing w:val="-21"/>
          <w:w w:val="99"/>
        </w:rPr>
        <w:t>.</w:t>
      </w:r>
      <w:r>
        <w:rPr>
          <w:w w:val="85"/>
        </w:rPr>
        <w:t xml:space="preserve"> </w:t>
      </w:r>
      <w:r>
        <w:t xml:space="preserve">Note, throughout this chapter, responses to the </w:t>
      </w:r>
      <w:r>
        <w:rPr>
          <w:color w:val="231F20"/>
        </w:rPr>
        <w:t>RBA Review Staff Survey are benchmarked to the APS where available. RBA staff members are not engaged</w:t>
      </w:r>
      <w:r>
        <w:rPr>
          <w:color w:val="231F20"/>
          <w:spacing w:val="-2"/>
        </w:rPr>
        <w:t xml:space="preserve"> </w:t>
      </w:r>
      <w:r>
        <w:rPr>
          <w:color w:val="231F20"/>
        </w:rPr>
        <w:t>under</w:t>
      </w:r>
      <w:r>
        <w:rPr>
          <w:color w:val="231F20"/>
          <w:spacing w:val="-1"/>
        </w:rPr>
        <w:t xml:space="preserve"> </w:t>
      </w:r>
      <w:r>
        <w:rPr>
          <w:color w:val="231F20"/>
        </w:rPr>
        <w:t>the</w:t>
      </w:r>
      <w:r>
        <w:rPr>
          <w:color w:val="231F20"/>
          <w:spacing w:val="-1"/>
        </w:rPr>
        <w:t xml:space="preserve"> </w:t>
      </w:r>
      <w:r>
        <w:rPr>
          <w:i/>
          <w:color w:val="231F20"/>
        </w:rPr>
        <w:t>Public</w:t>
      </w:r>
      <w:r>
        <w:rPr>
          <w:i/>
          <w:color w:val="231F20"/>
          <w:spacing w:val="-1"/>
        </w:rPr>
        <w:t xml:space="preserve"> </w:t>
      </w:r>
      <w:r>
        <w:rPr>
          <w:i/>
          <w:color w:val="231F20"/>
        </w:rPr>
        <w:t>Service</w:t>
      </w:r>
      <w:r>
        <w:rPr>
          <w:i/>
          <w:color w:val="231F20"/>
          <w:spacing w:val="-1"/>
        </w:rPr>
        <w:t xml:space="preserve"> </w:t>
      </w:r>
      <w:r>
        <w:rPr>
          <w:i/>
          <w:color w:val="231F20"/>
        </w:rPr>
        <w:t>Act</w:t>
      </w:r>
      <w:r>
        <w:rPr>
          <w:i/>
          <w:color w:val="231F20"/>
          <w:spacing w:val="-1"/>
        </w:rPr>
        <w:t xml:space="preserve"> </w:t>
      </w:r>
      <w:r>
        <w:rPr>
          <w:i/>
          <w:color w:val="231F20"/>
        </w:rPr>
        <w:t>1999</w:t>
      </w:r>
      <w:r>
        <w:rPr>
          <w:color w:val="231F20"/>
        </w:rPr>
        <w:t>,</w:t>
      </w:r>
      <w:r>
        <w:rPr>
          <w:color w:val="231F20"/>
          <w:spacing w:val="-1"/>
        </w:rPr>
        <w:t xml:space="preserve"> </w:t>
      </w:r>
      <w:r>
        <w:rPr>
          <w:color w:val="231F20"/>
        </w:rPr>
        <w:t>but</w:t>
      </w:r>
      <w:r>
        <w:rPr>
          <w:color w:val="231F20"/>
          <w:spacing w:val="-1"/>
        </w:rPr>
        <w:t xml:space="preserve"> </w:t>
      </w:r>
      <w:r>
        <w:rPr>
          <w:color w:val="231F20"/>
        </w:rPr>
        <w:t>the</w:t>
      </w:r>
      <w:r>
        <w:rPr>
          <w:color w:val="231F20"/>
          <w:spacing w:val="-1"/>
        </w:rPr>
        <w:t xml:space="preserve"> </w:t>
      </w:r>
      <w:r>
        <w:rPr>
          <w:color w:val="231F20"/>
        </w:rPr>
        <w:t>RBA</w:t>
      </w:r>
      <w:r>
        <w:rPr>
          <w:color w:val="231F20"/>
          <w:spacing w:val="-1"/>
        </w:rPr>
        <w:t xml:space="preserve"> </w:t>
      </w:r>
      <w:r>
        <w:rPr>
          <w:color w:val="231F20"/>
        </w:rPr>
        <w:t>has</w:t>
      </w:r>
      <w:r>
        <w:rPr>
          <w:color w:val="231F20"/>
          <w:spacing w:val="-1"/>
        </w:rPr>
        <w:t xml:space="preserve"> </w:t>
      </w:r>
      <w:r>
        <w:rPr>
          <w:color w:val="231F20"/>
        </w:rPr>
        <w:t>similarities</w:t>
      </w:r>
      <w:r>
        <w:rPr>
          <w:color w:val="231F20"/>
          <w:spacing w:val="-1"/>
        </w:rPr>
        <w:t xml:space="preserve"> </w:t>
      </w:r>
      <w:r>
        <w:rPr>
          <w:color w:val="231F20"/>
        </w:rPr>
        <w:t>to</w:t>
      </w:r>
      <w:r>
        <w:rPr>
          <w:color w:val="231F20"/>
          <w:spacing w:val="-1"/>
        </w:rPr>
        <w:t xml:space="preserve"> </w:t>
      </w:r>
      <w:r>
        <w:rPr>
          <w:color w:val="231F20"/>
        </w:rPr>
        <w:t>APS</w:t>
      </w:r>
      <w:r>
        <w:rPr>
          <w:color w:val="231F20"/>
          <w:spacing w:val="-1"/>
        </w:rPr>
        <w:t xml:space="preserve"> </w:t>
      </w:r>
      <w:r>
        <w:rPr>
          <w:color w:val="231F20"/>
        </w:rPr>
        <w:t>entities</w:t>
      </w:r>
      <w:r>
        <w:rPr>
          <w:color w:val="231F20"/>
          <w:spacing w:val="-1"/>
        </w:rPr>
        <w:t xml:space="preserve"> </w:t>
      </w:r>
      <w:r>
        <w:rPr>
          <w:color w:val="231F20"/>
        </w:rPr>
        <w:t>in</w:t>
      </w:r>
      <w:r>
        <w:rPr>
          <w:color w:val="231F20"/>
          <w:spacing w:val="-1"/>
        </w:rPr>
        <w:t xml:space="preserve"> </w:t>
      </w:r>
      <w:r>
        <w:rPr>
          <w:color w:val="231F20"/>
        </w:rPr>
        <w:t>terms</w:t>
      </w:r>
      <w:r>
        <w:rPr>
          <w:color w:val="231F20"/>
          <w:spacing w:val="-1"/>
        </w:rPr>
        <w:t xml:space="preserve"> </w:t>
      </w:r>
      <w:r>
        <w:rPr>
          <w:color w:val="231F20"/>
        </w:rPr>
        <w:t>of</w:t>
      </w:r>
      <w:r>
        <w:rPr>
          <w:color w:val="231F20"/>
          <w:spacing w:val="-1"/>
        </w:rPr>
        <w:t xml:space="preserve"> </w:t>
      </w:r>
      <w:r>
        <w:rPr>
          <w:color w:val="231F20"/>
        </w:rPr>
        <w:t>the public sector values and practices expected of its staff, and functional similarities in its work. While the APS provides a useful comparator, the Review recognises that the RBA has its own character, and organisational approaches need to be aligned to what is best for the RBA’s role</w:t>
      </w:r>
      <w:r w:rsidR="0068598E">
        <w:rPr>
          <w:color w:val="231F20"/>
          <w:spacing w:val="-20"/>
        </w:rPr>
        <w:t>.</w:t>
      </w:r>
    </w:p>
    <w:p w14:paraId="7D7CCDA4" w14:textId="096D6B5A" w:rsidR="00500019" w:rsidRDefault="00500019" w:rsidP="004C08EA">
      <w:pPr>
        <w:pStyle w:val="BoxHeading"/>
        <w:rPr>
          <w:spacing w:val="-5"/>
        </w:rPr>
      </w:pPr>
      <w:r>
        <w:lastRenderedPageBreak/>
        <w:t>Chart</w:t>
      </w:r>
      <w:r>
        <w:rPr>
          <w:spacing w:val="-2"/>
        </w:rPr>
        <w:t xml:space="preserve"> </w:t>
      </w:r>
      <w:r>
        <w:t>4.1:</w:t>
      </w:r>
      <w:r>
        <w:rPr>
          <w:spacing w:val="-2"/>
        </w:rPr>
        <w:t xml:space="preserve"> </w:t>
      </w:r>
      <w:r>
        <w:t>Staff</w:t>
      </w:r>
      <w:r>
        <w:rPr>
          <w:spacing w:val="-2"/>
        </w:rPr>
        <w:t xml:space="preserve"> </w:t>
      </w:r>
      <w:r>
        <w:t>perceptions</w:t>
      </w:r>
      <w:r>
        <w:rPr>
          <w:spacing w:val="-2"/>
        </w:rPr>
        <w:t xml:space="preserve"> </w:t>
      </w:r>
      <w:r>
        <w:t>of</w:t>
      </w:r>
      <w:r>
        <w:rPr>
          <w:spacing w:val="-2"/>
        </w:rPr>
        <w:t xml:space="preserve"> </w:t>
      </w:r>
      <w:r>
        <w:t>the</w:t>
      </w:r>
      <w:r>
        <w:rPr>
          <w:spacing w:val="-2"/>
        </w:rPr>
        <w:t xml:space="preserve"> </w:t>
      </w:r>
      <w:r>
        <w:rPr>
          <w:spacing w:val="-5"/>
        </w:rPr>
        <w:t>RBA</w:t>
      </w:r>
    </w:p>
    <w:p w14:paraId="64C66FFC" w14:textId="039AC550" w:rsidR="001005AF" w:rsidRPr="001005AF" w:rsidRDefault="001005AF" w:rsidP="003B1622">
      <w:pPr>
        <w:jc w:val="center"/>
      </w:pPr>
      <w:r>
        <w:rPr>
          <w:noProof/>
        </w:rPr>
        <w:drawing>
          <wp:inline distT="0" distB="0" distL="0" distR="0" wp14:anchorId="63903818" wp14:editId="7F1B21E1">
            <wp:extent cx="4892926" cy="3044981"/>
            <wp:effectExtent l="0" t="0" r="3175" b="3175"/>
            <wp:docPr id="27" name="Picture 27" descr="ABar chart showing the proportion of RBA staff members who agreed with a statement, compared with APS staff members. &#10;I am proud to work in the RBA. 91 per cent agreed and the APS equivalent is 75 per cent.&#10;I feel a strong personal attachment to the RBA. 75 per cent agreed and the APS equivalent is 61 per cent.&#10;The RBA really inspires me to do my best work every day. The RBA really inspires me to do my best work every day. 69 per cent agreed and the APS equivalent is 58 per cent.&#10;I believe strongly in the purpose and objectives of the RBA. 93 per cent agreed and the APS equivalent is 84 per cent.&#10;I would recommend the RBA as a good place to work. 76 per cent agreed and the APS equivalent is 69 per cent.&#10;I feel committed to the RBA’s goals. 90 per cent agreed and the APS equivalent is 83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Bar chart showing the proportion of RBA staff members who agreed with a statement, compared with APS staff members. &#10;I am proud to work in the RBA. 91 per cent agreed and the APS equivalent is 75 per cent.&#10;I feel a strong personal attachment to the RBA. 75 per cent agreed and the APS equivalent is 61 per cent.&#10;The RBA really inspires me to do my best work every day. The RBA really inspires me to do my best work every day. 69 per cent agreed and the APS equivalent is 58 per cent.&#10;I believe strongly in the purpose and objectives of the RBA. 93 per cent agreed and the APS equivalent is 84 per cent.&#10;I would recommend the RBA as a good place to work. 76 per cent agreed and the APS equivalent is 69 per cent.&#10;I feel committed to the RBA’s goals. 90 per cent agreed and the APS equivalent is 83 per cent.&#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92926" cy="3044981"/>
                    </a:xfrm>
                    <a:prstGeom prst="rect">
                      <a:avLst/>
                    </a:prstGeom>
                  </pic:spPr>
                </pic:pic>
              </a:graphicData>
            </a:graphic>
          </wp:inline>
        </w:drawing>
      </w:r>
    </w:p>
    <w:p w14:paraId="292B6DEB" w14:textId="774BFBD1" w:rsidR="00AD6EA1" w:rsidRDefault="00AD6EA1" w:rsidP="00AD6EA1">
      <w:pPr>
        <w:pStyle w:val="Note"/>
        <w:jc w:val="center"/>
      </w:pPr>
    </w:p>
    <w:p w14:paraId="323F8897" w14:textId="63A0C17B" w:rsidR="009E6923" w:rsidRDefault="009E6923" w:rsidP="00AD6EA1">
      <w:pPr>
        <w:pStyle w:val="Note"/>
      </w:pPr>
      <w:r>
        <w:t>Source:</w:t>
      </w:r>
      <w:r>
        <w:rPr>
          <w:spacing w:val="7"/>
        </w:rPr>
        <w:t xml:space="preserve"> </w:t>
      </w:r>
      <w:r>
        <w:t>RBA</w:t>
      </w:r>
      <w:r>
        <w:rPr>
          <w:spacing w:val="7"/>
        </w:rPr>
        <w:t xml:space="preserve"> </w:t>
      </w:r>
      <w:r>
        <w:t>Review</w:t>
      </w:r>
      <w:r>
        <w:rPr>
          <w:spacing w:val="7"/>
        </w:rPr>
        <w:t xml:space="preserve"> </w:t>
      </w:r>
      <w:r>
        <w:t>Staff</w:t>
      </w:r>
      <w:r>
        <w:rPr>
          <w:spacing w:val="7"/>
        </w:rPr>
        <w:t xml:space="preserve"> </w:t>
      </w:r>
      <w:r>
        <w:t>Survey</w:t>
      </w:r>
      <w:r>
        <w:rPr>
          <w:spacing w:val="8"/>
        </w:rPr>
        <w:t xml:space="preserve"> </w:t>
      </w:r>
      <w:r>
        <w:rPr>
          <w:spacing w:val="-2"/>
        </w:rPr>
        <w:t>(2022)</w:t>
      </w:r>
    </w:p>
    <w:p w14:paraId="4A67C9AB" w14:textId="4C5D8DFB" w:rsidR="009E6923" w:rsidRDefault="009E6923" w:rsidP="009E6923">
      <w:pPr>
        <w:pStyle w:val="Note"/>
      </w:pPr>
      <w:r>
        <w:t>Note:</w:t>
      </w:r>
      <w:r>
        <w:rPr>
          <w:spacing w:val="-2"/>
        </w:rPr>
        <w:t xml:space="preserve"> </w:t>
      </w:r>
      <w:r>
        <w:t>Ordered by the magnitude of variation from the APS</w:t>
      </w:r>
      <w:r w:rsidR="0068598E">
        <w:rPr>
          <w:spacing w:val="-11"/>
        </w:rPr>
        <w:t>.</w:t>
      </w:r>
      <w:r>
        <w:rPr>
          <w:w w:val="85"/>
        </w:rPr>
        <w:t xml:space="preserve"> </w:t>
      </w:r>
      <w:r>
        <w:t>Response scale was ‘strongly agree’, ‘agree’, ‘neither</w:t>
      </w:r>
      <w:r>
        <w:rPr>
          <w:spacing w:val="-1"/>
        </w:rPr>
        <w:t xml:space="preserve"> </w:t>
      </w:r>
      <w:r>
        <w:t>agree nor disagree’, ‘disagree’, ‘strongly disagree’</w:t>
      </w:r>
      <w:r w:rsidR="0068598E">
        <w:rPr>
          <w:spacing w:val="-11"/>
        </w:rPr>
        <w:t>.</w:t>
      </w:r>
      <w:r>
        <w:rPr>
          <w:w w:val="85"/>
        </w:rPr>
        <w:t xml:space="preserve"> </w:t>
      </w:r>
      <w:r>
        <w:t>Bars indicate proportion of respondents who selected ‘strongly agree’ and ‘agree’</w:t>
      </w:r>
      <w:r w:rsidR="0068598E">
        <w:rPr>
          <w:spacing w:val="-7"/>
        </w:rPr>
        <w:t>.</w:t>
      </w:r>
    </w:p>
    <w:p w14:paraId="309AA826" w14:textId="77777777" w:rsidR="009E6923" w:rsidRDefault="009E6923" w:rsidP="00500019">
      <w:pPr>
        <w:tabs>
          <w:tab w:val="left" w:pos="5115"/>
        </w:tabs>
      </w:pPr>
    </w:p>
    <w:p w14:paraId="39CD578E" w14:textId="77777777" w:rsidR="00843FCA" w:rsidRDefault="00843FCA" w:rsidP="003D0F3B">
      <w:pPr>
        <w:pStyle w:val="BoxHeading"/>
        <w:rPr>
          <w:spacing w:val="-2"/>
        </w:rPr>
      </w:pPr>
      <w:r>
        <w:t>Chart</w:t>
      </w:r>
      <w:r>
        <w:rPr>
          <w:spacing w:val="2"/>
        </w:rPr>
        <w:t xml:space="preserve"> </w:t>
      </w:r>
      <w:r>
        <w:t>4.2:</w:t>
      </w:r>
      <w:r>
        <w:rPr>
          <w:spacing w:val="2"/>
        </w:rPr>
        <w:t xml:space="preserve"> </w:t>
      </w:r>
      <w:r>
        <w:t>Staff</w:t>
      </w:r>
      <w:r>
        <w:rPr>
          <w:spacing w:val="2"/>
        </w:rPr>
        <w:t xml:space="preserve"> </w:t>
      </w:r>
      <w:r>
        <w:t>perceptions</w:t>
      </w:r>
      <w:r>
        <w:rPr>
          <w:spacing w:val="2"/>
        </w:rPr>
        <w:t xml:space="preserve"> </w:t>
      </w:r>
      <w:r>
        <w:t>of</w:t>
      </w:r>
      <w:r>
        <w:rPr>
          <w:spacing w:val="3"/>
        </w:rPr>
        <w:t xml:space="preserve"> </w:t>
      </w:r>
      <w:r>
        <w:t>health</w:t>
      </w:r>
      <w:r>
        <w:rPr>
          <w:spacing w:val="2"/>
        </w:rPr>
        <w:t xml:space="preserve"> </w:t>
      </w:r>
      <w:r>
        <w:t>and</w:t>
      </w:r>
      <w:r>
        <w:rPr>
          <w:spacing w:val="2"/>
        </w:rPr>
        <w:t xml:space="preserve"> </w:t>
      </w:r>
      <w:r>
        <w:rPr>
          <w:spacing w:val="-2"/>
        </w:rPr>
        <w:t>wellbeing</w:t>
      </w:r>
    </w:p>
    <w:p w14:paraId="706EB708" w14:textId="4F18B19C" w:rsidR="00FA2A57" w:rsidRPr="00FA2A57" w:rsidRDefault="00240947" w:rsidP="00FA2A57">
      <w:pPr>
        <w:jc w:val="center"/>
      </w:pPr>
      <w:r>
        <w:rPr>
          <w:noProof/>
        </w:rPr>
        <w:drawing>
          <wp:inline distT="0" distB="0" distL="0" distR="0" wp14:anchorId="016292C1" wp14:editId="36734497">
            <wp:extent cx="4892926" cy="3044981"/>
            <wp:effectExtent l="0" t="0" r="3175" b="3175"/>
            <wp:docPr id="28" name="Picture 28" descr="Bar chart showing the proportion of RBA staff members who agreed with a statement, compared with APS staff members. &#10;My organisation does a good job of communicating what it can offer me in terms of health and wellbeing. 80 per cent agreed and the APS equivalent is 64 per cent.&#10;My organisation does a good job of promoting health and wellbeing. 78 per cent agreed and the APS equivalent is 64 per cent.&#10;I think my organisation cares about my health and wellbeing. 72 per cent agreed and the APS equivalent is 61 per cent.&#10;I am satisfied with the policies/practices in place to help me manage my health and wellbeing. 74 per cent agreed and the APS equivalent is 64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ar chart showing the proportion of RBA staff members who agreed with a statement, compared with APS staff members. &#10;My organisation does a good job of communicating what it can offer me in terms of health and wellbeing. 80 per cent agreed and the APS equivalent is 64 per cent.&#10;My organisation does a good job of promoting health and wellbeing. 78 per cent agreed and the APS equivalent is 64 per cent.&#10;I think my organisation cares about my health and wellbeing. 72 per cent agreed and the APS equivalent is 61 per cent.&#10;I am satisfied with the policies/practices in place to help me manage my health and wellbeing. 74 per cent agreed and the APS equivalent is 64 per cent.&#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92926" cy="3044981"/>
                    </a:xfrm>
                    <a:prstGeom prst="rect">
                      <a:avLst/>
                    </a:prstGeom>
                  </pic:spPr>
                </pic:pic>
              </a:graphicData>
            </a:graphic>
          </wp:inline>
        </w:drawing>
      </w:r>
    </w:p>
    <w:p w14:paraId="47209AE4" w14:textId="77777777" w:rsidR="003D0F3B" w:rsidRDefault="003D0F3B" w:rsidP="003D0F3B">
      <w:pPr>
        <w:pStyle w:val="Note"/>
      </w:pPr>
      <w:r>
        <w:t>Source:</w:t>
      </w:r>
      <w:r>
        <w:rPr>
          <w:spacing w:val="7"/>
        </w:rPr>
        <w:t xml:space="preserve"> </w:t>
      </w:r>
      <w:r>
        <w:t>RBA</w:t>
      </w:r>
      <w:r>
        <w:rPr>
          <w:spacing w:val="7"/>
        </w:rPr>
        <w:t xml:space="preserve"> </w:t>
      </w:r>
      <w:r>
        <w:t>Review</w:t>
      </w:r>
      <w:r>
        <w:rPr>
          <w:spacing w:val="7"/>
        </w:rPr>
        <w:t xml:space="preserve"> </w:t>
      </w:r>
      <w:r>
        <w:t>Staff</w:t>
      </w:r>
      <w:r>
        <w:rPr>
          <w:spacing w:val="7"/>
        </w:rPr>
        <w:t xml:space="preserve"> </w:t>
      </w:r>
      <w:r>
        <w:t>Survey</w:t>
      </w:r>
      <w:r>
        <w:rPr>
          <w:spacing w:val="8"/>
        </w:rPr>
        <w:t xml:space="preserve"> </w:t>
      </w:r>
      <w:r>
        <w:rPr>
          <w:spacing w:val="-2"/>
        </w:rPr>
        <w:t>(2022)</w:t>
      </w:r>
    </w:p>
    <w:p w14:paraId="48E30248" w14:textId="1746186F" w:rsidR="003D0F3B" w:rsidRDefault="003D0F3B" w:rsidP="003D0F3B">
      <w:pPr>
        <w:pStyle w:val="Note"/>
      </w:pPr>
      <w:r>
        <w:t>Note: Ordered by the magnitude of variation from the APS</w:t>
      </w:r>
      <w:r w:rsidR="0068598E">
        <w:rPr>
          <w:spacing w:val="-19"/>
        </w:rPr>
        <w:t>.</w:t>
      </w:r>
      <w:r>
        <w:rPr>
          <w:w w:val="85"/>
        </w:rPr>
        <w:t xml:space="preserve"> </w:t>
      </w:r>
      <w:r>
        <w:t>Response scale was ‘strongly agree’, ‘agree’, ‘neither agree nor disagree’, ‘disagree’, ‘strongly disagree’</w:t>
      </w:r>
      <w:r w:rsidR="0068598E">
        <w:rPr>
          <w:spacing w:val="-12"/>
        </w:rPr>
        <w:t>.</w:t>
      </w:r>
      <w:r>
        <w:t xml:space="preserve"> Bars indicate proportion of respondents who selected</w:t>
      </w:r>
      <w:r>
        <w:rPr>
          <w:spacing w:val="40"/>
        </w:rPr>
        <w:t xml:space="preserve"> </w:t>
      </w:r>
      <w:r>
        <w:t>‘strongly agree’ and ‘agree’</w:t>
      </w:r>
      <w:r w:rsidR="0068598E">
        <w:rPr>
          <w:spacing w:val="-9"/>
        </w:rPr>
        <w:t>.</w:t>
      </w:r>
    </w:p>
    <w:p w14:paraId="6520FF10" w14:textId="77777777" w:rsidR="00FA2A57" w:rsidRDefault="00FA2A57" w:rsidP="00CE6AF7"/>
    <w:p w14:paraId="6A6E9002" w14:textId="2688B1FD" w:rsidR="00CE6AF7" w:rsidRDefault="00CE6AF7" w:rsidP="00CE6AF7">
      <w:r>
        <w:lastRenderedPageBreak/>
        <w:t>External stakeholders commented on the high calibre of the RBA staff. A former Reserve Bank Board Member commented that, ‘the quality of staff is the best’. Many stakeholders remarked that the RBA provides high quality technical training and continues to be an employer of choice for graduates.</w:t>
      </w:r>
    </w:p>
    <w:p w14:paraId="2E977DC3" w14:textId="3E62F570" w:rsidR="00CE6AF7" w:rsidRDefault="00CE6AF7" w:rsidP="00CE6AF7">
      <w:r>
        <w:t>The calibre of staff members is reflected in high-quality outputs. Current and former Reserve</w:t>
      </w:r>
      <w:r>
        <w:rPr>
          <w:spacing w:val="40"/>
        </w:rPr>
        <w:t xml:space="preserve"> </w:t>
      </w:r>
      <w:r>
        <w:t>Bank Board Members consistently praised the quality of board papers (Chapter 3 discusses ways the scope of papers should be adjusted to improve monetary policy deliberations). External stakeholders noted that the RBA’s published research and analytical notes were a valuable resource upon which they drew</w:t>
      </w:r>
      <w:r w:rsidR="0068598E">
        <w:rPr>
          <w:spacing w:val="-9"/>
        </w:rPr>
        <w:t>.</w:t>
      </w:r>
    </w:p>
    <w:p w14:paraId="62E06739" w14:textId="0C92BB9E" w:rsidR="00CE6AF7" w:rsidRDefault="00CE6AF7" w:rsidP="00CE6AF7">
      <w:pPr>
        <w:rPr>
          <w:spacing w:val="-10"/>
          <w:w w:val="85"/>
        </w:rPr>
      </w:pPr>
      <w:r>
        <w:t>Many</w:t>
      </w:r>
      <w:r>
        <w:rPr>
          <w:spacing w:val="1"/>
        </w:rPr>
        <w:t xml:space="preserve"> </w:t>
      </w:r>
      <w:r>
        <w:t>staff</w:t>
      </w:r>
      <w:r>
        <w:rPr>
          <w:spacing w:val="1"/>
        </w:rPr>
        <w:t xml:space="preserve"> </w:t>
      </w:r>
      <w:r>
        <w:t>members</w:t>
      </w:r>
      <w:r>
        <w:rPr>
          <w:spacing w:val="2"/>
        </w:rPr>
        <w:t xml:space="preserve"> </w:t>
      </w:r>
      <w:r>
        <w:t>also</w:t>
      </w:r>
      <w:r>
        <w:rPr>
          <w:spacing w:val="1"/>
        </w:rPr>
        <w:t xml:space="preserve"> </w:t>
      </w:r>
      <w:r>
        <w:t>commented</w:t>
      </w:r>
      <w:r>
        <w:rPr>
          <w:spacing w:val="1"/>
        </w:rPr>
        <w:t xml:space="preserve"> </w:t>
      </w:r>
      <w:r>
        <w:t>on</w:t>
      </w:r>
      <w:r>
        <w:rPr>
          <w:spacing w:val="2"/>
        </w:rPr>
        <w:t xml:space="preserve"> </w:t>
      </w:r>
      <w:r>
        <w:t>the</w:t>
      </w:r>
      <w:r>
        <w:rPr>
          <w:spacing w:val="1"/>
        </w:rPr>
        <w:t xml:space="preserve"> </w:t>
      </w:r>
      <w:r>
        <w:t>supportive</w:t>
      </w:r>
      <w:r>
        <w:rPr>
          <w:spacing w:val="2"/>
        </w:rPr>
        <w:t xml:space="preserve"> </w:t>
      </w:r>
      <w:r>
        <w:t>and</w:t>
      </w:r>
      <w:r>
        <w:rPr>
          <w:spacing w:val="1"/>
        </w:rPr>
        <w:t xml:space="preserve"> </w:t>
      </w:r>
      <w:r>
        <w:t>collegiate</w:t>
      </w:r>
      <w:r>
        <w:rPr>
          <w:spacing w:val="1"/>
        </w:rPr>
        <w:t xml:space="preserve"> </w:t>
      </w:r>
      <w:r>
        <w:t>environment</w:t>
      </w:r>
      <w:r>
        <w:rPr>
          <w:spacing w:val="2"/>
        </w:rPr>
        <w:t xml:space="preserve"> </w:t>
      </w:r>
      <w:r>
        <w:t>at</w:t>
      </w:r>
      <w:r>
        <w:rPr>
          <w:spacing w:val="1"/>
        </w:rPr>
        <w:t xml:space="preserve"> </w:t>
      </w:r>
      <w:r>
        <w:t>the</w:t>
      </w:r>
      <w:r>
        <w:rPr>
          <w:spacing w:val="2"/>
        </w:rPr>
        <w:t xml:space="preserve"> </w:t>
      </w:r>
      <w:r>
        <w:rPr>
          <w:spacing w:val="-4"/>
        </w:rPr>
        <w:t xml:space="preserve">RBA. </w:t>
      </w:r>
      <w:r>
        <w:t>Common</w:t>
      </w:r>
      <w:r>
        <w:rPr>
          <w:spacing w:val="-2"/>
        </w:rPr>
        <w:t xml:space="preserve"> </w:t>
      </w:r>
      <w:r>
        <w:t>words</w:t>
      </w:r>
      <w:r>
        <w:rPr>
          <w:spacing w:val="-1"/>
        </w:rPr>
        <w:t xml:space="preserve"> </w:t>
      </w:r>
      <w:r>
        <w:t>used</w:t>
      </w:r>
      <w:r>
        <w:rPr>
          <w:spacing w:val="-1"/>
        </w:rPr>
        <w:t xml:space="preserve"> </w:t>
      </w:r>
      <w:r>
        <w:t>to</w:t>
      </w:r>
      <w:r>
        <w:rPr>
          <w:spacing w:val="-1"/>
        </w:rPr>
        <w:t xml:space="preserve"> </w:t>
      </w:r>
      <w:r>
        <w:t>describe</w:t>
      </w:r>
      <w:r>
        <w:rPr>
          <w:spacing w:val="-2"/>
        </w:rPr>
        <w:t xml:space="preserve"> </w:t>
      </w:r>
      <w:r>
        <w:t>the</w:t>
      </w:r>
      <w:r>
        <w:rPr>
          <w:spacing w:val="-1"/>
        </w:rPr>
        <w:t xml:space="preserve"> </w:t>
      </w:r>
      <w:r>
        <w:t>RBA</w:t>
      </w:r>
      <w:r>
        <w:rPr>
          <w:spacing w:val="-1"/>
        </w:rPr>
        <w:t xml:space="preserve"> </w:t>
      </w:r>
      <w:r>
        <w:t>were</w:t>
      </w:r>
      <w:r>
        <w:rPr>
          <w:spacing w:val="-1"/>
        </w:rPr>
        <w:t xml:space="preserve"> </w:t>
      </w:r>
      <w:r>
        <w:t>‘inclusive’,</w:t>
      </w:r>
      <w:r>
        <w:rPr>
          <w:spacing w:val="-1"/>
        </w:rPr>
        <w:t xml:space="preserve"> </w:t>
      </w:r>
      <w:r>
        <w:t>‘supportive’</w:t>
      </w:r>
      <w:r>
        <w:rPr>
          <w:spacing w:val="-2"/>
        </w:rPr>
        <w:t xml:space="preserve"> </w:t>
      </w:r>
      <w:r>
        <w:t>and</w:t>
      </w:r>
      <w:r>
        <w:rPr>
          <w:spacing w:val="-1"/>
        </w:rPr>
        <w:t xml:space="preserve"> </w:t>
      </w:r>
      <w:r>
        <w:t>‘friendly’</w:t>
      </w:r>
      <w:r>
        <w:rPr>
          <w:spacing w:val="-1"/>
        </w:rPr>
        <w:t xml:space="preserve"> </w:t>
      </w:r>
      <w:r>
        <w:t>(Figure</w:t>
      </w:r>
      <w:r>
        <w:rPr>
          <w:spacing w:val="-1"/>
        </w:rPr>
        <w:t xml:space="preserve"> </w:t>
      </w:r>
      <w:r>
        <w:t>4</w:t>
      </w:r>
      <w:r w:rsidR="0068598E">
        <w:rPr>
          <w:spacing w:val="-25"/>
        </w:rPr>
        <w:t>.</w:t>
      </w:r>
      <w:r>
        <w:rPr>
          <w:w w:val="117"/>
        </w:rPr>
        <w:t>1)</w:t>
      </w:r>
      <w:r w:rsidR="0068598E">
        <w:rPr>
          <w:spacing w:val="-24"/>
          <w:w w:val="99"/>
        </w:rPr>
        <w:t>.</w:t>
      </w:r>
    </w:p>
    <w:p w14:paraId="10BFD337" w14:textId="77777777" w:rsidR="00402950" w:rsidRDefault="00402950" w:rsidP="00402950">
      <w:pPr>
        <w:pStyle w:val="BoxHeading"/>
      </w:pPr>
      <w:r>
        <w:t>Figure</w:t>
      </w:r>
      <w:r>
        <w:rPr>
          <w:spacing w:val="-1"/>
        </w:rPr>
        <w:t xml:space="preserve"> </w:t>
      </w:r>
      <w:r>
        <w:t>4.1: Most</w:t>
      </w:r>
      <w:r>
        <w:rPr>
          <w:spacing w:val="-1"/>
        </w:rPr>
        <w:t xml:space="preserve"> </w:t>
      </w:r>
      <w:r>
        <w:t>common words staff</w:t>
      </w:r>
      <w:r>
        <w:rPr>
          <w:spacing w:val="-1"/>
        </w:rPr>
        <w:t xml:space="preserve"> </w:t>
      </w:r>
      <w:r>
        <w:t>members used</w:t>
      </w:r>
      <w:r>
        <w:rPr>
          <w:spacing w:val="-1"/>
        </w:rPr>
        <w:t xml:space="preserve"> </w:t>
      </w:r>
      <w:r>
        <w:t>to describe the</w:t>
      </w:r>
      <w:r>
        <w:rPr>
          <w:spacing w:val="-1"/>
        </w:rPr>
        <w:t xml:space="preserve"> </w:t>
      </w:r>
      <w:r>
        <w:rPr>
          <w:spacing w:val="-5"/>
        </w:rPr>
        <w:t>RBA</w:t>
      </w:r>
    </w:p>
    <w:p w14:paraId="2F7A00AD" w14:textId="77777777" w:rsidR="003458BD" w:rsidRDefault="003458BD" w:rsidP="00CE6AF7"/>
    <w:p w14:paraId="486ACB69" w14:textId="1B46D293" w:rsidR="00843FCA" w:rsidRDefault="003458BD" w:rsidP="00402950">
      <w:pPr>
        <w:tabs>
          <w:tab w:val="left" w:pos="5115"/>
        </w:tabs>
        <w:jc w:val="center"/>
      </w:pPr>
      <w:r>
        <w:rPr>
          <w:noProof/>
          <w:sz w:val="20"/>
        </w:rPr>
        <w:drawing>
          <wp:inline distT="0" distB="0" distL="0" distR="0" wp14:anchorId="070902C9" wp14:editId="15A3BDA0">
            <wp:extent cx="4335069" cy="1832228"/>
            <wp:effectExtent l="0" t="0" r="8890" b="0"/>
            <wp:docPr id="9" name="image25.png" descr="A word cloud showing the most common words people used to describe the culture at the RBA. The most common words were inclusive, supportive, hierarchical, friendly and conserv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png"/>
                    <pic:cNvPicPr/>
                  </pic:nvPicPr>
                  <pic:blipFill>
                    <a:blip r:embed="rId37" cstate="print"/>
                    <a:stretch>
                      <a:fillRect/>
                    </a:stretch>
                  </pic:blipFill>
                  <pic:spPr>
                    <a:xfrm>
                      <a:off x="0" y="0"/>
                      <a:ext cx="4335069" cy="1832228"/>
                    </a:xfrm>
                    <a:prstGeom prst="rect">
                      <a:avLst/>
                    </a:prstGeom>
                  </pic:spPr>
                </pic:pic>
              </a:graphicData>
            </a:graphic>
          </wp:inline>
        </w:drawing>
      </w:r>
    </w:p>
    <w:p w14:paraId="35F70127" w14:textId="77777777" w:rsidR="00402950" w:rsidRDefault="00402950" w:rsidP="00402950">
      <w:pPr>
        <w:tabs>
          <w:tab w:val="left" w:pos="5115"/>
        </w:tabs>
        <w:jc w:val="center"/>
      </w:pPr>
    </w:p>
    <w:p w14:paraId="5F866FBC" w14:textId="16C38C39" w:rsidR="009E5E9F" w:rsidRDefault="009E5E9F" w:rsidP="009E5E9F">
      <w:pPr>
        <w:pStyle w:val="Note"/>
      </w:pPr>
      <w:r>
        <w:t>Source:</w:t>
      </w:r>
      <w:r>
        <w:rPr>
          <w:spacing w:val="5"/>
        </w:rPr>
        <w:t xml:space="preserve"> </w:t>
      </w:r>
      <w:r>
        <w:t>RBA</w:t>
      </w:r>
      <w:r>
        <w:rPr>
          <w:spacing w:val="6"/>
        </w:rPr>
        <w:t xml:space="preserve"> </w:t>
      </w:r>
      <w:r>
        <w:t>Review</w:t>
      </w:r>
      <w:r>
        <w:rPr>
          <w:spacing w:val="6"/>
        </w:rPr>
        <w:t xml:space="preserve"> </w:t>
      </w:r>
      <w:r>
        <w:t>Staff</w:t>
      </w:r>
      <w:r>
        <w:rPr>
          <w:spacing w:val="6"/>
        </w:rPr>
        <w:t xml:space="preserve"> </w:t>
      </w:r>
      <w:r>
        <w:t>Survey</w:t>
      </w:r>
      <w:r>
        <w:rPr>
          <w:spacing w:val="6"/>
        </w:rPr>
        <w:t xml:space="preserve"> </w:t>
      </w:r>
      <w:r>
        <w:t>(2022)</w:t>
      </w:r>
      <w:r w:rsidR="0068598E">
        <w:rPr>
          <w:spacing w:val="-19"/>
        </w:rPr>
        <w:t>.</w:t>
      </w:r>
    </w:p>
    <w:p w14:paraId="43797A54" w14:textId="49E75A20" w:rsidR="009E5E9F" w:rsidRDefault="009E5E9F" w:rsidP="009E5E9F">
      <w:pPr>
        <w:pStyle w:val="Note"/>
      </w:pPr>
      <w:r>
        <w:t>Note:</w:t>
      </w:r>
      <w:r>
        <w:rPr>
          <w:spacing w:val="1"/>
        </w:rPr>
        <w:t xml:space="preserve"> </w:t>
      </w:r>
      <w:r>
        <w:t>Font</w:t>
      </w:r>
      <w:r>
        <w:rPr>
          <w:spacing w:val="1"/>
        </w:rPr>
        <w:t xml:space="preserve"> </w:t>
      </w:r>
      <w:r>
        <w:t>size</w:t>
      </w:r>
      <w:r>
        <w:rPr>
          <w:spacing w:val="2"/>
        </w:rPr>
        <w:t xml:space="preserve"> </w:t>
      </w:r>
      <w:r>
        <w:t>correlates</w:t>
      </w:r>
      <w:r>
        <w:rPr>
          <w:spacing w:val="1"/>
        </w:rPr>
        <w:t xml:space="preserve"> </w:t>
      </w:r>
      <w:r>
        <w:t>to</w:t>
      </w:r>
      <w:r>
        <w:rPr>
          <w:spacing w:val="2"/>
        </w:rPr>
        <w:t xml:space="preserve"> </w:t>
      </w:r>
      <w:r>
        <w:t>the</w:t>
      </w:r>
      <w:r>
        <w:rPr>
          <w:spacing w:val="1"/>
        </w:rPr>
        <w:t xml:space="preserve"> </w:t>
      </w:r>
      <w:r>
        <w:t>number</w:t>
      </w:r>
      <w:r>
        <w:rPr>
          <w:spacing w:val="1"/>
        </w:rPr>
        <w:t xml:space="preserve"> </w:t>
      </w:r>
      <w:r>
        <w:t>of</w:t>
      </w:r>
      <w:r>
        <w:rPr>
          <w:spacing w:val="2"/>
        </w:rPr>
        <w:t xml:space="preserve"> </w:t>
      </w:r>
      <w:r>
        <w:t>mentions</w:t>
      </w:r>
      <w:r w:rsidR="0068598E">
        <w:rPr>
          <w:spacing w:val="-21"/>
        </w:rPr>
        <w:t>.</w:t>
      </w:r>
    </w:p>
    <w:p w14:paraId="28ECE634" w14:textId="77777777" w:rsidR="00EA46DA" w:rsidRDefault="00EA46DA" w:rsidP="00EA46DA">
      <w:pPr>
        <w:pStyle w:val="Heading4"/>
      </w:pPr>
      <w:r>
        <w:t>Opportunities</w:t>
      </w:r>
      <w:r>
        <w:rPr>
          <w:spacing w:val="1"/>
        </w:rPr>
        <w:t xml:space="preserve"> </w:t>
      </w:r>
      <w:r>
        <w:t>to</w:t>
      </w:r>
      <w:r>
        <w:rPr>
          <w:spacing w:val="3"/>
        </w:rPr>
        <w:t xml:space="preserve"> </w:t>
      </w:r>
      <w:r>
        <w:rPr>
          <w:spacing w:val="-4"/>
        </w:rPr>
        <w:t>grow</w:t>
      </w:r>
    </w:p>
    <w:p w14:paraId="227EB0BD" w14:textId="6D166307" w:rsidR="00EA46DA" w:rsidRDefault="00EA46DA" w:rsidP="00EA46DA">
      <w:r>
        <w:t>A common challenge for organisations and leaders is that strengths can become weaknesses when they are overplayed. It is difficult to get this balance right. Examples at the RBA include that strong commitment to the organisation can breed a lack of openness to external ideas. Collegiality can</w:t>
      </w:r>
      <w:r>
        <w:rPr>
          <w:spacing w:val="40"/>
        </w:rPr>
        <w:t xml:space="preserve"> </w:t>
      </w:r>
      <w:r>
        <w:t>lead to avoidance of difficult discussions to resolve issues. Respect for and deference to senior leaders can result in a lack of challenge. Commitment to excellence can result in risk aversion that limits delegation and empowerment of junior staff members. Strengths and weaknesses are inevitably intertwined</w:t>
      </w:r>
      <w:r w:rsidR="0068598E">
        <w:rPr>
          <w:spacing w:val="-23"/>
        </w:rPr>
        <w:t>.</w:t>
      </w:r>
      <w:r>
        <w:rPr>
          <w:w w:val="85"/>
        </w:rPr>
        <w:t xml:space="preserve"> </w:t>
      </w:r>
      <w:r>
        <w:t>Striking the right balance will ensure that the RBA can best use its strengths</w:t>
      </w:r>
      <w:r w:rsidR="0068598E">
        <w:rPr>
          <w:spacing w:val="-23"/>
        </w:rPr>
        <w:t>.</w:t>
      </w:r>
      <w:r>
        <w:t xml:space="preserve"> Many of the recommendations in this chapter address instances where strengths appear to have been overplayed</w:t>
      </w:r>
      <w:r w:rsidR="0068598E">
        <w:rPr>
          <w:spacing w:val="-17"/>
        </w:rPr>
        <w:t>.</w:t>
      </w:r>
    </w:p>
    <w:p w14:paraId="714F0B7D" w14:textId="0B38BBDE" w:rsidR="00EA46DA" w:rsidRDefault="00EA46DA" w:rsidP="00EA46DA">
      <w:r>
        <w:t>Much of the difficulty in achieving the right balance of behaviours stems from managing trade-offs between different approaches to and perspectives on issues. For example, some staff members suggested to the Review that promotion on the basis of technical and analytical skills detracts from leadership capabilities, while others suggested the opposite. This has resulted in staff members believing that both technical and leadership capabilities are undervalued or underdeveloped at different times for different roles. As these skills are not mutually exclusive, one way this trade-off can be managed is through training and development. Similarly, some staff members suggested that calls for a greater level of challenge and debate at the RBA could create a more combative and aggressive environment that would result in a less inclusive workplace. These trade-offs can be managed through resetting shared norms of engagement</w:t>
      </w:r>
      <w:r w:rsidR="0068598E">
        <w:rPr>
          <w:spacing w:val="-13"/>
        </w:rPr>
        <w:t>.</w:t>
      </w:r>
    </w:p>
    <w:p w14:paraId="11B69230" w14:textId="64E71A92" w:rsidR="00337752" w:rsidRDefault="00EA46DA" w:rsidP="00A400B3">
      <w:pPr>
        <w:tabs>
          <w:tab w:val="left" w:pos="5115"/>
        </w:tabs>
        <w:rPr>
          <w:color w:val="231F20"/>
          <w:w w:val="85"/>
        </w:rPr>
      </w:pPr>
      <w:r>
        <w:rPr>
          <w:color w:val="231F20"/>
        </w:rPr>
        <w:lastRenderedPageBreak/>
        <w:t>It is important to resolve perceived or actual trade-offs and conflicts. This involves open, honest and frank discussions with staff members, clearly outlining desired behaviours and shared goals, and</w:t>
      </w:r>
      <w:r>
        <w:rPr>
          <w:color w:val="231F20"/>
          <w:spacing w:val="-1"/>
        </w:rPr>
        <w:t xml:space="preserve"> </w:t>
      </w:r>
      <w:r>
        <w:rPr>
          <w:color w:val="231F20"/>
        </w:rPr>
        <w:t>then</w:t>
      </w:r>
      <w:r>
        <w:rPr>
          <w:color w:val="231F20"/>
          <w:spacing w:val="-1"/>
        </w:rPr>
        <w:t xml:space="preserve"> </w:t>
      </w:r>
      <w:r>
        <w:rPr>
          <w:color w:val="231F20"/>
        </w:rPr>
        <w:t>encouraging</w:t>
      </w:r>
      <w:r>
        <w:rPr>
          <w:color w:val="231F20"/>
          <w:spacing w:val="-1"/>
        </w:rPr>
        <w:t xml:space="preserve"> </w:t>
      </w:r>
      <w:r>
        <w:rPr>
          <w:color w:val="231F20"/>
        </w:rPr>
        <w:t>these</w:t>
      </w:r>
      <w:r>
        <w:rPr>
          <w:color w:val="231F20"/>
          <w:spacing w:val="-1"/>
        </w:rPr>
        <w:t xml:space="preserve"> </w:t>
      </w:r>
      <w:r>
        <w:rPr>
          <w:color w:val="231F20"/>
        </w:rPr>
        <w:t>through</w:t>
      </w:r>
      <w:r>
        <w:rPr>
          <w:color w:val="231F20"/>
          <w:spacing w:val="-1"/>
        </w:rPr>
        <w:t xml:space="preserve"> </w:t>
      </w:r>
      <w:r>
        <w:rPr>
          <w:color w:val="231F20"/>
        </w:rPr>
        <w:t>performance</w:t>
      </w:r>
      <w:r>
        <w:rPr>
          <w:color w:val="231F20"/>
          <w:spacing w:val="-1"/>
        </w:rPr>
        <w:t xml:space="preserve"> </w:t>
      </w:r>
      <w:r>
        <w:rPr>
          <w:color w:val="231F20"/>
        </w:rPr>
        <w:t>incentives</w:t>
      </w:r>
      <w:r w:rsidR="0068598E">
        <w:rPr>
          <w:color w:val="231F20"/>
          <w:spacing w:val="-24"/>
        </w:rPr>
        <w:t>.</w:t>
      </w:r>
      <w:r>
        <w:rPr>
          <w:color w:val="231F20"/>
          <w:w w:val="85"/>
        </w:rPr>
        <w:t xml:space="preserve"> </w:t>
      </w:r>
      <w:r>
        <w:rPr>
          <w:color w:val="231F20"/>
        </w:rPr>
        <w:t>Ultimately,</w:t>
      </w:r>
      <w:r>
        <w:rPr>
          <w:color w:val="231F20"/>
          <w:spacing w:val="-1"/>
        </w:rPr>
        <w:t xml:space="preserve"> </w:t>
      </w:r>
      <w:r>
        <w:rPr>
          <w:color w:val="231F20"/>
        </w:rPr>
        <w:t>the</w:t>
      </w:r>
      <w:r>
        <w:rPr>
          <w:color w:val="231F20"/>
          <w:spacing w:val="-1"/>
        </w:rPr>
        <w:t xml:space="preserve"> </w:t>
      </w:r>
      <w:r>
        <w:rPr>
          <w:color w:val="231F20"/>
        </w:rPr>
        <w:t>goal</w:t>
      </w:r>
      <w:r>
        <w:rPr>
          <w:color w:val="231F20"/>
          <w:spacing w:val="-1"/>
        </w:rPr>
        <w:t xml:space="preserve"> </w:t>
      </w:r>
      <w:r>
        <w:rPr>
          <w:color w:val="231F20"/>
        </w:rPr>
        <w:t>is</w:t>
      </w:r>
      <w:r>
        <w:rPr>
          <w:color w:val="231F20"/>
          <w:spacing w:val="-1"/>
        </w:rPr>
        <w:t xml:space="preserve"> </w:t>
      </w:r>
      <w:r>
        <w:rPr>
          <w:color w:val="231F20"/>
        </w:rPr>
        <w:t>to</w:t>
      </w:r>
      <w:r>
        <w:rPr>
          <w:color w:val="231F20"/>
          <w:spacing w:val="-1"/>
        </w:rPr>
        <w:t xml:space="preserve"> </w:t>
      </w:r>
      <w:r>
        <w:rPr>
          <w:color w:val="231F20"/>
        </w:rPr>
        <w:t>foster</w:t>
      </w:r>
      <w:r>
        <w:rPr>
          <w:color w:val="231F20"/>
          <w:spacing w:val="-1"/>
        </w:rPr>
        <w:t xml:space="preserve"> </w:t>
      </w:r>
      <w:r>
        <w:rPr>
          <w:color w:val="231F20"/>
        </w:rPr>
        <w:t>and maintain an environment that strikes the right balance in behaviours to enable staff members to contribute to their full potential</w:t>
      </w:r>
      <w:r w:rsidR="0068598E">
        <w:rPr>
          <w:color w:val="231F20"/>
          <w:spacing w:val="-19"/>
        </w:rPr>
        <w:t>.</w:t>
      </w:r>
      <w:r>
        <w:rPr>
          <w:color w:val="231F20"/>
          <w:w w:val="85"/>
        </w:rPr>
        <w:t xml:space="preserve"> </w:t>
      </w:r>
      <w:r>
        <w:rPr>
          <w:color w:val="231F20"/>
        </w:rPr>
        <w:t>These ideas are embedded in the Review’s recommendations</w:t>
      </w:r>
      <w:r w:rsidR="0068598E">
        <w:rPr>
          <w:color w:val="231F20"/>
          <w:spacing w:val="-19"/>
        </w:rPr>
        <w:t>.</w:t>
      </w:r>
    </w:p>
    <w:p w14:paraId="21E3C2DD" w14:textId="77777777" w:rsidR="00CF260C" w:rsidRDefault="00CF260C" w:rsidP="00CF260C">
      <w:pPr>
        <w:pStyle w:val="Heading2"/>
      </w:pPr>
      <w:bookmarkStart w:id="53" w:name="_Toc134221023"/>
      <w:r>
        <w:t>Recommendation</w:t>
      </w:r>
      <w:r>
        <w:rPr>
          <w:spacing w:val="-17"/>
        </w:rPr>
        <w:t xml:space="preserve"> </w:t>
      </w:r>
      <w:r>
        <w:t>11.1:</w:t>
      </w:r>
      <w:r>
        <w:rPr>
          <w:spacing w:val="-17"/>
        </w:rPr>
        <w:t xml:space="preserve"> </w:t>
      </w:r>
      <w:r>
        <w:t>Empowered</w:t>
      </w:r>
      <w:r>
        <w:rPr>
          <w:spacing w:val="-17"/>
        </w:rPr>
        <w:t xml:space="preserve"> </w:t>
      </w:r>
      <w:r>
        <w:t>staff</w:t>
      </w:r>
      <w:r>
        <w:rPr>
          <w:spacing w:val="-17"/>
        </w:rPr>
        <w:t xml:space="preserve"> </w:t>
      </w:r>
      <w:r>
        <w:t>in</w:t>
      </w:r>
      <w:r>
        <w:rPr>
          <w:spacing w:val="-16"/>
        </w:rPr>
        <w:t xml:space="preserve"> </w:t>
      </w:r>
      <w:r>
        <w:t>a</w:t>
      </w:r>
      <w:r>
        <w:rPr>
          <w:spacing w:val="-17"/>
        </w:rPr>
        <w:t xml:space="preserve"> </w:t>
      </w:r>
      <w:r>
        <w:t>more dynamic organisation</w:t>
      </w:r>
      <w:bookmarkEnd w:id="53"/>
    </w:p>
    <w:tbl>
      <w:tblPr>
        <w:tblW w:w="5000" w:type="pct"/>
        <w:tblCellMar>
          <w:left w:w="0" w:type="dxa"/>
          <w:right w:w="0" w:type="dxa"/>
        </w:tblCellMar>
        <w:tblLook w:val="01E0" w:firstRow="1" w:lastRow="1" w:firstColumn="1" w:lastColumn="1" w:noHBand="0" w:noVBand="0"/>
      </w:tblPr>
      <w:tblGrid>
        <w:gridCol w:w="8228"/>
        <w:gridCol w:w="842"/>
      </w:tblGrid>
      <w:tr w:rsidR="00337752" w14:paraId="6084920E" w14:textId="77777777" w:rsidTr="00F22AE5">
        <w:trPr>
          <w:trHeight w:val="581"/>
        </w:trPr>
        <w:tc>
          <w:tcPr>
            <w:tcW w:w="5000" w:type="pct"/>
            <w:gridSpan w:val="2"/>
            <w:tcBorders>
              <w:bottom w:val="single" w:sz="8" w:space="0" w:color="ECEDE9"/>
            </w:tcBorders>
          </w:tcPr>
          <w:p w14:paraId="22097970" w14:textId="14E8AA60" w:rsidR="00337752" w:rsidRPr="006A08A1" w:rsidRDefault="00337752" w:rsidP="006A08A1">
            <w:pPr>
              <w:pStyle w:val="Heading4"/>
            </w:pPr>
            <w:r>
              <w:t>Recommendation</w:t>
            </w:r>
            <w:r>
              <w:rPr>
                <w:spacing w:val="-3"/>
              </w:rPr>
              <w:t xml:space="preserve"> </w:t>
            </w:r>
            <w:r>
              <w:t xml:space="preserve">11.1: </w:t>
            </w:r>
            <w:r w:rsidR="006A08A1">
              <w:t>Empowered</w:t>
            </w:r>
            <w:r w:rsidR="006A08A1">
              <w:rPr>
                <w:spacing w:val="-3"/>
              </w:rPr>
              <w:t xml:space="preserve"> </w:t>
            </w:r>
            <w:r w:rsidR="006A08A1">
              <w:t>staff</w:t>
            </w:r>
            <w:r w:rsidR="006A08A1">
              <w:rPr>
                <w:spacing w:val="-4"/>
              </w:rPr>
              <w:t xml:space="preserve"> </w:t>
            </w:r>
            <w:r w:rsidR="006A08A1">
              <w:t>in</w:t>
            </w:r>
            <w:r w:rsidR="006A08A1">
              <w:rPr>
                <w:spacing w:val="-3"/>
              </w:rPr>
              <w:t xml:space="preserve"> </w:t>
            </w:r>
            <w:r w:rsidR="006A08A1">
              <w:t>a</w:t>
            </w:r>
            <w:r w:rsidR="006A08A1">
              <w:rPr>
                <w:spacing w:val="-4"/>
              </w:rPr>
              <w:t xml:space="preserve"> </w:t>
            </w:r>
            <w:r w:rsidR="006A08A1">
              <w:t>more</w:t>
            </w:r>
            <w:r w:rsidR="006A08A1">
              <w:rPr>
                <w:spacing w:val="-3"/>
              </w:rPr>
              <w:t xml:space="preserve"> </w:t>
            </w:r>
            <w:r w:rsidR="006A08A1">
              <w:t>dynamic</w:t>
            </w:r>
            <w:r w:rsidR="006A08A1">
              <w:rPr>
                <w:spacing w:val="-4"/>
              </w:rPr>
              <w:t xml:space="preserve"> </w:t>
            </w:r>
            <w:r w:rsidR="006A08A1">
              <w:rPr>
                <w:spacing w:val="-2"/>
              </w:rPr>
              <w:t>organisation</w:t>
            </w:r>
          </w:p>
        </w:tc>
      </w:tr>
      <w:tr w:rsidR="00337752" w14:paraId="36FC4CD1" w14:textId="77777777" w:rsidTr="00F22AE5">
        <w:trPr>
          <w:gridAfter w:val="1"/>
          <w:wAfter w:w="464" w:type="pct"/>
          <w:trHeight w:val="1948"/>
        </w:trPr>
        <w:tc>
          <w:tcPr>
            <w:tcW w:w="4536" w:type="pct"/>
            <w:tcBorders>
              <w:top w:val="single" w:sz="8" w:space="0" w:color="ECEDE9"/>
              <w:bottom w:val="single" w:sz="8" w:space="0" w:color="ECEDE9"/>
            </w:tcBorders>
          </w:tcPr>
          <w:p w14:paraId="58E41128" w14:textId="77777777" w:rsidR="00337752" w:rsidRDefault="00337752" w:rsidP="00F22AE5">
            <w:r>
              <w:t>The RBA should further empower its staff and raise the dynamism of the organisation.</w:t>
            </w:r>
            <w:r>
              <w:rPr>
                <w:spacing w:val="-1"/>
              </w:rPr>
              <w:t xml:space="preserve"> </w:t>
            </w:r>
            <w:r>
              <w:t>To</w:t>
            </w:r>
            <w:r>
              <w:rPr>
                <w:spacing w:val="-1"/>
              </w:rPr>
              <w:t xml:space="preserve"> </w:t>
            </w:r>
            <w:r>
              <w:t>support</w:t>
            </w:r>
            <w:r>
              <w:rPr>
                <w:spacing w:val="-1"/>
              </w:rPr>
              <w:t xml:space="preserve"> </w:t>
            </w:r>
            <w:r>
              <w:t>this,</w:t>
            </w:r>
            <w:r>
              <w:rPr>
                <w:spacing w:val="-1"/>
              </w:rPr>
              <w:t xml:space="preserve"> </w:t>
            </w:r>
            <w:r>
              <w:t>it</w:t>
            </w:r>
            <w:r>
              <w:rPr>
                <w:spacing w:val="-1"/>
              </w:rPr>
              <w:t xml:space="preserve"> </w:t>
            </w:r>
            <w:r>
              <w:t>should</w:t>
            </w:r>
            <w:r>
              <w:rPr>
                <w:spacing w:val="-1"/>
              </w:rPr>
              <w:t xml:space="preserve"> </w:t>
            </w:r>
            <w:r>
              <w:t>appoint</w:t>
            </w:r>
            <w:r>
              <w:rPr>
                <w:spacing w:val="-2"/>
              </w:rPr>
              <w:t xml:space="preserve"> </w:t>
            </w:r>
            <w:r>
              <w:t>a</w:t>
            </w:r>
            <w:r>
              <w:rPr>
                <w:spacing w:val="-1"/>
              </w:rPr>
              <w:t xml:space="preserve"> </w:t>
            </w:r>
            <w:r>
              <w:t>Chief</w:t>
            </w:r>
            <w:r>
              <w:rPr>
                <w:spacing w:val="-1"/>
              </w:rPr>
              <w:t xml:space="preserve"> </w:t>
            </w:r>
            <w:r>
              <w:t>Operating</w:t>
            </w:r>
            <w:r>
              <w:rPr>
                <w:spacing w:val="-1"/>
              </w:rPr>
              <w:t xml:space="preserve"> </w:t>
            </w:r>
            <w:r>
              <w:t>Officer,</w:t>
            </w:r>
            <w:r>
              <w:rPr>
                <w:spacing w:val="-1"/>
              </w:rPr>
              <w:t xml:space="preserve"> </w:t>
            </w:r>
            <w:r>
              <w:t>at</w:t>
            </w:r>
            <w:r>
              <w:rPr>
                <w:spacing w:val="-1"/>
              </w:rPr>
              <w:t xml:space="preserve"> </w:t>
            </w:r>
            <w:r>
              <w:t>Deputy Governor level, who:</w:t>
            </w:r>
          </w:p>
          <w:p w14:paraId="4072FEDA" w14:textId="77777777" w:rsidR="00337752" w:rsidRPr="00FA4DE9" w:rsidRDefault="00337752" w:rsidP="00FA4DE9">
            <w:pPr>
              <w:pStyle w:val="Bullet"/>
            </w:pPr>
            <w:r w:rsidRPr="00FA4DE9">
              <w:t>leads all corporate and enabling functions</w:t>
            </w:r>
          </w:p>
          <w:p w14:paraId="16A7CA70" w14:textId="77777777" w:rsidR="00337752" w:rsidRPr="00FA4DE9" w:rsidRDefault="00337752" w:rsidP="00FA4DE9">
            <w:pPr>
              <w:pStyle w:val="Bullet"/>
            </w:pPr>
            <w:r w:rsidRPr="00FA4DE9">
              <w:t>is tasked with improving delegation, strategic workforce planning, succession</w:t>
            </w:r>
          </w:p>
          <w:p w14:paraId="3E0DEAFA" w14:textId="77777777" w:rsidR="00337752" w:rsidRDefault="00337752" w:rsidP="00FA4DE9">
            <w:pPr>
              <w:pStyle w:val="Bullet"/>
            </w:pPr>
            <w:r w:rsidRPr="00FA4DE9">
              <w:t>planning, the allocation of resources, risk management and driving cultural change.</w:t>
            </w:r>
          </w:p>
        </w:tc>
      </w:tr>
    </w:tbl>
    <w:p w14:paraId="45A3C251" w14:textId="2E38F00A" w:rsidR="0001054A" w:rsidRDefault="0001054A" w:rsidP="0001054A">
      <w:r>
        <w:t>Every</w:t>
      </w:r>
      <w:r>
        <w:rPr>
          <w:spacing w:val="2"/>
        </w:rPr>
        <w:t xml:space="preserve"> </w:t>
      </w:r>
      <w:r>
        <w:t>institution</w:t>
      </w:r>
      <w:r>
        <w:rPr>
          <w:spacing w:val="2"/>
        </w:rPr>
        <w:t xml:space="preserve"> </w:t>
      </w:r>
      <w:r>
        <w:t>has</w:t>
      </w:r>
      <w:r>
        <w:rPr>
          <w:spacing w:val="3"/>
        </w:rPr>
        <w:t xml:space="preserve"> </w:t>
      </w:r>
      <w:r>
        <w:t>ways</w:t>
      </w:r>
      <w:r>
        <w:rPr>
          <w:spacing w:val="2"/>
        </w:rPr>
        <w:t xml:space="preserve"> </w:t>
      </w:r>
      <w:r>
        <w:t>in</w:t>
      </w:r>
      <w:r>
        <w:rPr>
          <w:spacing w:val="2"/>
        </w:rPr>
        <w:t xml:space="preserve"> </w:t>
      </w:r>
      <w:r>
        <w:t>which</w:t>
      </w:r>
      <w:r>
        <w:rPr>
          <w:spacing w:val="3"/>
        </w:rPr>
        <w:t xml:space="preserve"> </w:t>
      </w:r>
      <w:r>
        <w:t>it</w:t>
      </w:r>
      <w:r>
        <w:rPr>
          <w:spacing w:val="2"/>
        </w:rPr>
        <w:t xml:space="preserve"> </w:t>
      </w:r>
      <w:r>
        <w:t>can</w:t>
      </w:r>
      <w:r>
        <w:rPr>
          <w:spacing w:val="3"/>
        </w:rPr>
        <w:t xml:space="preserve"> </w:t>
      </w:r>
      <w:r>
        <w:t>improve.</w:t>
      </w:r>
      <w:r>
        <w:rPr>
          <w:spacing w:val="2"/>
        </w:rPr>
        <w:t xml:space="preserve"> </w:t>
      </w:r>
      <w:r>
        <w:t>The</w:t>
      </w:r>
      <w:r>
        <w:rPr>
          <w:spacing w:val="2"/>
        </w:rPr>
        <w:t xml:space="preserve"> </w:t>
      </w:r>
      <w:r>
        <w:t>Review</w:t>
      </w:r>
      <w:r>
        <w:rPr>
          <w:spacing w:val="3"/>
        </w:rPr>
        <w:t xml:space="preserve"> </w:t>
      </w:r>
      <w:r>
        <w:t>has</w:t>
      </w:r>
      <w:r>
        <w:rPr>
          <w:spacing w:val="2"/>
        </w:rPr>
        <w:t xml:space="preserve"> </w:t>
      </w:r>
      <w:r>
        <w:t>identified</w:t>
      </w:r>
      <w:r>
        <w:rPr>
          <w:spacing w:val="2"/>
        </w:rPr>
        <w:t xml:space="preserve"> </w:t>
      </w:r>
      <w:r>
        <w:t>the</w:t>
      </w:r>
      <w:r>
        <w:rPr>
          <w:spacing w:val="3"/>
        </w:rPr>
        <w:t xml:space="preserve"> </w:t>
      </w:r>
      <w:r>
        <w:t>following</w:t>
      </w:r>
      <w:r>
        <w:rPr>
          <w:spacing w:val="2"/>
        </w:rPr>
        <w:t xml:space="preserve"> </w:t>
      </w:r>
      <w:r>
        <w:t>issues</w:t>
      </w:r>
      <w:r>
        <w:rPr>
          <w:spacing w:val="3"/>
        </w:rPr>
        <w:t xml:space="preserve"> </w:t>
      </w:r>
      <w:r>
        <w:rPr>
          <w:spacing w:val="-5"/>
        </w:rPr>
        <w:t xml:space="preserve">for </w:t>
      </w:r>
      <w:r>
        <w:rPr>
          <w:color w:val="231F20"/>
        </w:rPr>
        <w:t>which a continued and</w:t>
      </w:r>
      <w:r>
        <w:rPr>
          <w:color w:val="231F20"/>
          <w:spacing w:val="1"/>
        </w:rPr>
        <w:t xml:space="preserve"> </w:t>
      </w:r>
      <w:r>
        <w:rPr>
          <w:color w:val="231F20"/>
        </w:rPr>
        <w:t>sustained focus by</w:t>
      </w:r>
      <w:r>
        <w:rPr>
          <w:color w:val="231F20"/>
          <w:spacing w:val="1"/>
        </w:rPr>
        <w:t xml:space="preserve"> </w:t>
      </w:r>
      <w:r>
        <w:rPr>
          <w:color w:val="231F20"/>
        </w:rPr>
        <w:t>the RBA is</w:t>
      </w:r>
      <w:r>
        <w:rPr>
          <w:color w:val="231F20"/>
          <w:spacing w:val="1"/>
        </w:rPr>
        <w:t xml:space="preserve"> </w:t>
      </w:r>
      <w:r>
        <w:rPr>
          <w:color w:val="231F20"/>
          <w:spacing w:val="-2"/>
        </w:rPr>
        <w:t>required:</w:t>
      </w:r>
    </w:p>
    <w:p w14:paraId="7CDF0258" w14:textId="6FBE8324" w:rsidR="0001054A" w:rsidRPr="00FA4DE9" w:rsidRDefault="0001054A" w:rsidP="00FA4DE9">
      <w:pPr>
        <w:pStyle w:val="Bullet"/>
      </w:pPr>
      <w:r w:rsidRPr="00FA4DE9">
        <w:t>The RBA has a hierarchical culture which can slow down decision making, limit sensible delegation and lead to some staff members feeling disempowered.</w:t>
      </w:r>
    </w:p>
    <w:p w14:paraId="1269D86B" w14:textId="77777777" w:rsidR="0001054A" w:rsidRPr="00FA4DE9" w:rsidRDefault="0001054A" w:rsidP="00FA4DE9">
      <w:pPr>
        <w:pStyle w:val="Bullet"/>
      </w:pPr>
      <w:r w:rsidRPr="00FA4DE9">
        <w:t>Organisational structures, resourcing, and processes are not as flexible as they could be, meaning change is not always managed well or efficiently.</w:t>
      </w:r>
    </w:p>
    <w:p w14:paraId="78899D12" w14:textId="4E6C81FC" w:rsidR="0001054A" w:rsidRPr="00FA4DE9" w:rsidRDefault="0001054A" w:rsidP="00FA4DE9">
      <w:pPr>
        <w:pStyle w:val="Bullet"/>
      </w:pPr>
      <w:r w:rsidRPr="00FA4DE9">
        <w:t>While siloes have reduced overtime, the RBA could do more to improve collaboration and lift performance by exploiting efficiencies and sharing learnings across the organisation.</w:t>
      </w:r>
    </w:p>
    <w:p w14:paraId="25357A30" w14:textId="3515F892" w:rsidR="0001054A" w:rsidRPr="00FA4DE9" w:rsidRDefault="0001054A" w:rsidP="00FA4DE9">
      <w:pPr>
        <w:pStyle w:val="Bullet"/>
      </w:pPr>
      <w:r w:rsidRPr="00FA4DE9">
        <w:t>The RBA has more to do to deepen its professional corporate expertise, which is critical to adopting best-practice ways of working</w:t>
      </w:r>
      <w:r w:rsidR="0068598E" w:rsidRPr="00FA4DE9">
        <w:t>.</w:t>
      </w:r>
    </w:p>
    <w:p w14:paraId="228364CE" w14:textId="0DFEE50F" w:rsidR="0001054A" w:rsidRPr="00FA4DE9" w:rsidRDefault="0001054A" w:rsidP="00FA4DE9">
      <w:pPr>
        <w:pStyle w:val="Bullet"/>
      </w:pPr>
      <w:r w:rsidRPr="00FA4DE9">
        <w:t>Excess risk aversion is an issue in some parts of the RBA and staff members’ understanding of good risk management practices varies across the organisation</w:t>
      </w:r>
      <w:r w:rsidR="0068598E" w:rsidRPr="00FA4DE9">
        <w:t>.</w:t>
      </w:r>
    </w:p>
    <w:p w14:paraId="25BEEFFB" w14:textId="2F1BE881" w:rsidR="0001054A" w:rsidRDefault="0001054A" w:rsidP="0001054A">
      <w:r>
        <w:t>Many of these issues are interlinked, and staff members relayed to the Review how they reinforce one another</w:t>
      </w:r>
      <w:r w:rsidR="0068598E">
        <w:rPr>
          <w:spacing w:val="-22"/>
        </w:rPr>
        <w:t>.</w:t>
      </w:r>
      <w:r>
        <w:rPr>
          <w:w w:val="85"/>
        </w:rPr>
        <w:t xml:space="preserve"> </w:t>
      </w:r>
      <w:r>
        <w:t>Addressing them requires a multifaceted and strategic approach, covering changes to formal rules and approaches and importantly, improving the tone and culture of ‘how the RBA does things’.</w:t>
      </w:r>
    </w:p>
    <w:p w14:paraId="29092C0E" w14:textId="74D1E353" w:rsidR="0001054A" w:rsidRDefault="0001054A" w:rsidP="0001054A">
      <w:r>
        <w:t>The</w:t>
      </w:r>
      <w:r>
        <w:rPr>
          <w:spacing w:val="12"/>
        </w:rPr>
        <w:t xml:space="preserve"> </w:t>
      </w:r>
      <w:r>
        <w:t>RBA’s</w:t>
      </w:r>
      <w:r>
        <w:rPr>
          <w:spacing w:val="11"/>
        </w:rPr>
        <w:t xml:space="preserve"> </w:t>
      </w:r>
      <w:r>
        <w:t>staff</w:t>
      </w:r>
      <w:r>
        <w:rPr>
          <w:spacing w:val="12"/>
        </w:rPr>
        <w:t xml:space="preserve"> </w:t>
      </w:r>
      <w:r>
        <w:t>and</w:t>
      </w:r>
      <w:r>
        <w:rPr>
          <w:spacing w:val="11"/>
        </w:rPr>
        <w:t xml:space="preserve"> </w:t>
      </w:r>
      <w:r>
        <w:t>leaders</w:t>
      </w:r>
      <w:r>
        <w:rPr>
          <w:spacing w:val="12"/>
        </w:rPr>
        <w:t xml:space="preserve"> </w:t>
      </w:r>
      <w:r>
        <w:t>have</w:t>
      </w:r>
      <w:r>
        <w:rPr>
          <w:spacing w:val="11"/>
        </w:rPr>
        <w:t xml:space="preserve"> </w:t>
      </w:r>
      <w:r>
        <w:t>identified</w:t>
      </w:r>
      <w:r>
        <w:rPr>
          <w:spacing w:val="12"/>
        </w:rPr>
        <w:t xml:space="preserve"> </w:t>
      </w:r>
      <w:r>
        <w:t>similar</w:t>
      </w:r>
      <w:r>
        <w:rPr>
          <w:spacing w:val="11"/>
        </w:rPr>
        <w:t xml:space="preserve"> </w:t>
      </w:r>
      <w:r>
        <w:t>issues</w:t>
      </w:r>
      <w:r>
        <w:rPr>
          <w:spacing w:val="12"/>
        </w:rPr>
        <w:t xml:space="preserve"> </w:t>
      </w:r>
      <w:r>
        <w:t>in</w:t>
      </w:r>
      <w:r>
        <w:rPr>
          <w:spacing w:val="11"/>
        </w:rPr>
        <w:t xml:space="preserve"> </w:t>
      </w:r>
      <w:r>
        <w:t>the</w:t>
      </w:r>
      <w:r>
        <w:rPr>
          <w:spacing w:val="12"/>
        </w:rPr>
        <w:t xml:space="preserve"> </w:t>
      </w:r>
      <w:r>
        <w:t>past</w:t>
      </w:r>
      <w:r>
        <w:rPr>
          <w:spacing w:val="11"/>
        </w:rPr>
        <w:t xml:space="preserve"> </w:t>
      </w:r>
      <w:r>
        <w:t>and</w:t>
      </w:r>
      <w:r>
        <w:rPr>
          <w:spacing w:val="12"/>
        </w:rPr>
        <w:t xml:space="preserve"> </w:t>
      </w:r>
      <w:r>
        <w:t>have</w:t>
      </w:r>
      <w:r>
        <w:rPr>
          <w:spacing w:val="11"/>
        </w:rPr>
        <w:t xml:space="preserve"> </w:t>
      </w:r>
      <w:r>
        <w:t>taken</w:t>
      </w:r>
      <w:r>
        <w:rPr>
          <w:spacing w:val="12"/>
        </w:rPr>
        <w:t xml:space="preserve"> </w:t>
      </w:r>
      <w:r>
        <w:t>various steps to address them. However, a gap remains in the lived experience of staff and there is an opportunity to do more</w:t>
      </w:r>
      <w:r w:rsidR="0068598E">
        <w:rPr>
          <w:spacing w:val="-24"/>
        </w:rPr>
        <w:t>.</w:t>
      </w:r>
      <w:r>
        <w:rPr>
          <w:w w:val="85"/>
        </w:rPr>
        <w:t xml:space="preserve"> </w:t>
      </w:r>
      <w:r>
        <w:t>The recommended actions are intended to support the RBA’s continued focus on these issues</w:t>
      </w:r>
      <w:r w:rsidR="0068598E">
        <w:rPr>
          <w:spacing w:val="-9"/>
        </w:rPr>
        <w:t>.</w:t>
      </w:r>
    </w:p>
    <w:p w14:paraId="50B04C5A" w14:textId="6569AD2E" w:rsidR="00402950" w:rsidRDefault="0001054A" w:rsidP="0001054A">
      <w:pPr>
        <w:rPr>
          <w:color w:val="231F20"/>
          <w:w w:val="85"/>
        </w:rPr>
      </w:pPr>
      <w:r>
        <w:t>A</w:t>
      </w:r>
      <w:r>
        <w:rPr>
          <w:spacing w:val="-1"/>
        </w:rPr>
        <w:t xml:space="preserve"> </w:t>
      </w:r>
      <w:r>
        <w:t>new</w:t>
      </w:r>
      <w:r>
        <w:rPr>
          <w:spacing w:val="-1"/>
        </w:rPr>
        <w:t xml:space="preserve"> </w:t>
      </w:r>
      <w:r>
        <w:t>Chief</w:t>
      </w:r>
      <w:r>
        <w:rPr>
          <w:spacing w:val="-1"/>
        </w:rPr>
        <w:t xml:space="preserve"> </w:t>
      </w:r>
      <w:r>
        <w:t>Operating</w:t>
      </w:r>
      <w:r>
        <w:rPr>
          <w:spacing w:val="-1"/>
        </w:rPr>
        <w:t xml:space="preserve"> </w:t>
      </w:r>
      <w:r>
        <w:t>Officer</w:t>
      </w:r>
      <w:r>
        <w:rPr>
          <w:spacing w:val="-1"/>
        </w:rPr>
        <w:t xml:space="preserve"> </w:t>
      </w:r>
      <w:r>
        <w:t>(COO)</w:t>
      </w:r>
      <w:r>
        <w:rPr>
          <w:spacing w:val="-1"/>
        </w:rPr>
        <w:t xml:space="preserve"> </w:t>
      </w:r>
      <w:r>
        <w:t>should</w:t>
      </w:r>
      <w:r>
        <w:rPr>
          <w:spacing w:val="-1"/>
        </w:rPr>
        <w:t xml:space="preserve"> </w:t>
      </w:r>
      <w:r>
        <w:t>be</w:t>
      </w:r>
      <w:r>
        <w:rPr>
          <w:spacing w:val="-1"/>
        </w:rPr>
        <w:t xml:space="preserve"> </w:t>
      </w:r>
      <w:r>
        <w:t>appointed</w:t>
      </w:r>
      <w:r>
        <w:rPr>
          <w:spacing w:val="-1"/>
        </w:rPr>
        <w:t xml:space="preserve"> </w:t>
      </w:r>
      <w:r>
        <w:t>at</w:t>
      </w:r>
      <w:r>
        <w:rPr>
          <w:spacing w:val="-1"/>
        </w:rPr>
        <w:t xml:space="preserve"> </w:t>
      </w:r>
      <w:r>
        <w:t>the</w:t>
      </w:r>
      <w:r>
        <w:rPr>
          <w:spacing w:val="-1"/>
        </w:rPr>
        <w:t xml:space="preserve"> </w:t>
      </w:r>
      <w:r>
        <w:t>same</w:t>
      </w:r>
      <w:r>
        <w:rPr>
          <w:spacing w:val="-1"/>
        </w:rPr>
        <w:t xml:space="preserve"> </w:t>
      </w:r>
      <w:r>
        <w:t>level</w:t>
      </w:r>
      <w:r>
        <w:rPr>
          <w:spacing w:val="-1"/>
        </w:rPr>
        <w:t xml:space="preserve"> </w:t>
      </w:r>
      <w:r>
        <w:t>as</w:t>
      </w:r>
      <w:r>
        <w:rPr>
          <w:spacing w:val="-1"/>
        </w:rPr>
        <w:t xml:space="preserve"> </w:t>
      </w:r>
      <w:r>
        <w:t>the</w:t>
      </w:r>
      <w:r>
        <w:rPr>
          <w:spacing w:val="-1"/>
        </w:rPr>
        <w:t xml:space="preserve"> </w:t>
      </w:r>
      <w:r>
        <w:t xml:space="preserve">Deputy </w:t>
      </w:r>
      <w:r>
        <w:rPr>
          <w:spacing w:val="-2"/>
        </w:rPr>
        <w:t xml:space="preserve">Governor </w:t>
      </w:r>
      <w:r>
        <w:rPr>
          <w:color w:val="231F20"/>
        </w:rPr>
        <w:t>in the RBA’s operational structure to support the RBA to continue building an organisation that is more empowered, strategic, and dynamic</w:t>
      </w:r>
      <w:r w:rsidR="0068598E">
        <w:rPr>
          <w:color w:val="231F20"/>
          <w:spacing w:val="-19"/>
        </w:rPr>
        <w:t>.</w:t>
      </w:r>
      <w:r>
        <w:rPr>
          <w:color w:val="231F20"/>
          <w:w w:val="85"/>
        </w:rPr>
        <w:t xml:space="preserve"> </w:t>
      </w:r>
      <w:r>
        <w:rPr>
          <w:color w:val="231F20"/>
        </w:rPr>
        <w:t>The role should have responsibility for the RBA’s corporate and enabling functions. The COO should sit on the RBA’s Executive Committee and Governance Board (discussed in more detail in Chapter 5)</w:t>
      </w:r>
      <w:r w:rsidR="0068598E">
        <w:rPr>
          <w:color w:val="231F20"/>
          <w:spacing w:val="-16"/>
        </w:rPr>
        <w:t>.</w:t>
      </w:r>
    </w:p>
    <w:p w14:paraId="57FFBE6A" w14:textId="77777777" w:rsidR="007E06CF" w:rsidRDefault="007E06CF" w:rsidP="007E06CF">
      <w:r>
        <w:t>Creating</w:t>
      </w:r>
      <w:r>
        <w:rPr>
          <w:spacing w:val="-3"/>
        </w:rPr>
        <w:t xml:space="preserve"> </w:t>
      </w:r>
      <w:r>
        <w:t>the</w:t>
      </w:r>
      <w:r>
        <w:rPr>
          <w:spacing w:val="-2"/>
        </w:rPr>
        <w:t xml:space="preserve"> </w:t>
      </w:r>
      <w:r>
        <w:t>new</w:t>
      </w:r>
      <w:r>
        <w:rPr>
          <w:spacing w:val="-2"/>
        </w:rPr>
        <w:t xml:space="preserve"> </w:t>
      </w:r>
      <w:r>
        <w:t>COO</w:t>
      </w:r>
      <w:r>
        <w:rPr>
          <w:spacing w:val="-2"/>
        </w:rPr>
        <w:t xml:space="preserve"> </w:t>
      </w:r>
      <w:r>
        <w:t>role</w:t>
      </w:r>
      <w:r>
        <w:rPr>
          <w:spacing w:val="-2"/>
        </w:rPr>
        <w:t xml:space="preserve"> will:</w:t>
      </w:r>
    </w:p>
    <w:p w14:paraId="0938DE39" w14:textId="77777777" w:rsidR="007E06CF" w:rsidRDefault="007E06CF" w:rsidP="0000278A">
      <w:pPr>
        <w:pStyle w:val="Bullet"/>
      </w:pPr>
      <w:r>
        <w:t>Enable an executive leader with seniority to guide enterprise-wide initiatives and uplift the consideration of strategic operational issues within executive decision making forums.</w:t>
      </w:r>
    </w:p>
    <w:p w14:paraId="7699B914" w14:textId="650B40D1" w:rsidR="007E06CF" w:rsidRDefault="007E06CF" w:rsidP="0000278A">
      <w:pPr>
        <w:pStyle w:val="Bullet"/>
      </w:pPr>
      <w:r w:rsidRPr="007E06CF">
        <w:lastRenderedPageBreak/>
        <w:t>Support</w:t>
      </w:r>
      <w:r w:rsidRPr="007E06CF">
        <w:rPr>
          <w:spacing w:val="3"/>
        </w:rPr>
        <w:t xml:space="preserve"> </w:t>
      </w:r>
      <w:r w:rsidRPr="007E06CF">
        <w:t>improved</w:t>
      </w:r>
      <w:r w:rsidRPr="007E06CF">
        <w:rPr>
          <w:spacing w:val="4"/>
        </w:rPr>
        <w:t xml:space="preserve"> </w:t>
      </w:r>
      <w:r w:rsidRPr="007E06CF">
        <w:t>enterprise</w:t>
      </w:r>
      <w:r w:rsidRPr="007E06CF">
        <w:rPr>
          <w:spacing w:val="3"/>
        </w:rPr>
        <w:t xml:space="preserve"> </w:t>
      </w:r>
      <w:r w:rsidRPr="007E06CF">
        <w:t>risk</w:t>
      </w:r>
      <w:r w:rsidRPr="007E06CF">
        <w:rPr>
          <w:spacing w:val="4"/>
        </w:rPr>
        <w:t xml:space="preserve"> </w:t>
      </w:r>
      <w:r w:rsidRPr="007E06CF">
        <w:t>management,</w:t>
      </w:r>
      <w:r w:rsidRPr="007E06CF">
        <w:rPr>
          <w:spacing w:val="3"/>
        </w:rPr>
        <w:t xml:space="preserve"> </w:t>
      </w:r>
      <w:r w:rsidRPr="007E06CF">
        <w:t>including</w:t>
      </w:r>
      <w:r w:rsidRPr="007E06CF">
        <w:rPr>
          <w:spacing w:val="4"/>
        </w:rPr>
        <w:t xml:space="preserve"> </w:t>
      </w:r>
      <w:r w:rsidRPr="007E06CF">
        <w:t>frameworks</w:t>
      </w:r>
      <w:r w:rsidRPr="007E06CF">
        <w:rPr>
          <w:spacing w:val="3"/>
        </w:rPr>
        <w:t xml:space="preserve"> </w:t>
      </w:r>
      <w:r w:rsidRPr="007E06CF">
        <w:t>and</w:t>
      </w:r>
      <w:r w:rsidRPr="007E06CF">
        <w:rPr>
          <w:spacing w:val="4"/>
        </w:rPr>
        <w:t xml:space="preserve"> </w:t>
      </w:r>
      <w:r w:rsidRPr="007E06CF">
        <w:t>processes,</w:t>
      </w:r>
      <w:r w:rsidRPr="007E06CF">
        <w:rPr>
          <w:spacing w:val="4"/>
        </w:rPr>
        <w:t xml:space="preserve"> </w:t>
      </w:r>
      <w:r w:rsidRPr="007E06CF">
        <w:rPr>
          <w:spacing w:val="-5"/>
        </w:rPr>
        <w:t>and</w:t>
      </w:r>
      <w:r>
        <w:rPr>
          <w:spacing w:val="-5"/>
        </w:rPr>
        <w:t xml:space="preserve"> </w:t>
      </w:r>
      <w:r w:rsidRPr="007E06CF">
        <w:t>embed</w:t>
      </w:r>
      <w:r w:rsidRPr="007E06CF">
        <w:rPr>
          <w:spacing w:val="-1"/>
        </w:rPr>
        <w:t xml:space="preserve"> </w:t>
      </w:r>
      <w:r w:rsidRPr="007E06CF">
        <w:t>better</w:t>
      </w:r>
      <w:r w:rsidRPr="007E06CF">
        <w:rPr>
          <w:spacing w:val="1"/>
        </w:rPr>
        <w:t xml:space="preserve"> </w:t>
      </w:r>
      <w:r w:rsidRPr="007E06CF">
        <w:t>understanding</w:t>
      </w:r>
      <w:r w:rsidRPr="007E06CF">
        <w:rPr>
          <w:spacing w:val="2"/>
        </w:rPr>
        <w:t xml:space="preserve"> </w:t>
      </w:r>
      <w:r w:rsidRPr="007E06CF">
        <w:t>of</w:t>
      </w:r>
      <w:r w:rsidRPr="007E06CF">
        <w:rPr>
          <w:spacing w:val="1"/>
        </w:rPr>
        <w:t xml:space="preserve"> </w:t>
      </w:r>
      <w:r w:rsidRPr="007E06CF">
        <w:t>these</w:t>
      </w:r>
      <w:r w:rsidRPr="007E06CF">
        <w:rPr>
          <w:spacing w:val="2"/>
        </w:rPr>
        <w:t xml:space="preserve"> </w:t>
      </w:r>
      <w:r w:rsidRPr="007E06CF">
        <w:t>issues</w:t>
      </w:r>
      <w:r w:rsidRPr="007E06CF">
        <w:rPr>
          <w:spacing w:val="1"/>
        </w:rPr>
        <w:t xml:space="preserve"> </w:t>
      </w:r>
      <w:r w:rsidRPr="007E06CF">
        <w:t>among</w:t>
      </w:r>
      <w:r w:rsidRPr="007E06CF">
        <w:rPr>
          <w:spacing w:val="2"/>
        </w:rPr>
        <w:t xml:space="preserve"> </w:t>
      </w:r>
      <w:r w:rsidRPr="007E06CF">
        <w:t>the</w:t>
      </w:r>
      <w:r w:rsidRPr="007E06CF">
        <w:rPr>
          <w:spacing w:val="1"/>
        </w:rPr>
        <w:t xml:space="preserve"> </w:t>
      </w:r>
      <w:r w:rsidRPr="007E06CF">
        <w:t>RBA’s</w:t>
      </w:r>
      <w:r w:rsidRPr="007E06CF">
        <w:rPr>
          <w:spacing w:val="2"/>
        </w:rPr>
        <w:t xml:space="preserve"> </w:t>
      </w:r>
      <w:r w:rsidRPr="007E06CF">
        <w:rPr>
          <w:spacing w:val="-2"/>
        </w:rPr>
        <w:t>staff.</w:t>
      </w:r>
    </w:p>
    <w:p w14:paraId="6F35BD9F" w14:textId="184AA15A" w:rsidR="007E06CF" w:rsidRDefault="007E06CF" w:rsidP="0000278A">
      <w:pPr>
        <w:pStyle w:val="Bullet"/>
      </w:pPr>
      <w:r w:rsidRPr="007E06CF">
        <w:t>Bolster</w:t>
      </w:r>
      <w:r w:rsidRPr="007E06CF">
        <w:rPr>
          <w:spacing w:val="-1"/>
        </w:rPr>
        <w:t xml:space="preserve"> </w:t>
      </w:r>
      <w:r w:rsidRPr="007E06CF">
        <w:t>the</w:t>
      </w:r>
      <w:r w:rsidRPr="007E06CF">
        <w:rPr>
          <w:spacing w:val="1"/>
        </w:rPr>
        <w:t xml:space="preserve"> </w:t>
      </w:r>
      <w:r w:rsidRPr="007E06CF">
        <w:t>work</w:t>
      </w:r>
      <w:r w:rsidRPr="007E06CF">
        <w:rPr>
          <w:spacing w:val="1"/>
        </w:rPr>
        <w:t xml:space="preserve"> </w:t>
      </w:r>
      <w:r w:rsidRPr="007E06CF">
        <w:t>of</w:t>
      </w:r>
      <w:r w:rsidRPr="007E06CF">
        <w:rPr>
          <w:spacing w:val="1"/>
        </w:rPr>
        <w:t xml:space="preserve"> </w:t>
      </w:r>
      <w:r w:rsidRPr="007E06CF">
        <w:t>the</w:t>
      </w:r>
      <w:r w:rsidRPr="007E06CF">
        <w:rPr>
          <w:spacing w:val="2"/>
        </w:rPr>
        <w:t xml:space="preserve"> </w:t>
      </w:r>
      <w:r w:rsidRPr="007E06CF">
        <w:t>RBA’s</w:t>
      </w:r>
      <w:r w:rsidRPr="007E06CF">
        <w:rPr>
          <w:spacing w:val="1"/>
        </w:rPr>
        <w:t xml:space="preserve"> </w:t>
      </w:r>
      <w:r w:rsidRPr="007E06CF">
        <w:t>other</w:t>
      </w:r>
      <w:r w:rsidRPr="007E06CF">
        <w:rPr>
          <w:spacing w:val="1"/>
        </w:rPr>
        <w:t xml:space="preserve"> </w:t>
      </w:r>
      <w:r w:rsidRPr="007E06CF">
        <w:t>executive</w:t>
      </w:r>
      <w:r w:rsidRPr="007E06CF">
        <w:rPr>
          <w:spacing w:val="1"/>
        </w:rPr>
        <w:t xml:space="preserve"> </w:t>
      </w:r>
      <w:r w:rsidRPr="007E06CF">
        <w:t>leaders</w:t>
      </w:r>
      <w:r w:rsidRPr="007E06CF">
        <w:rPr>
          <w:spacing w:val="1"/>
        </w:rPr>
        <w:t xml:space="preserve"> </w:t>
      </w:r>
      <w:r w:rsidRPr="007E06CF">
        <w:t>to</w:t>
      </w:r>
      <w:r w:rsidRPr="007E06CF">
        <w:rPr>
          <w:spacing w:val="2"/>
        </w:rPr>
        <w:t xml:space="preserve"> </w:t>
      </w:r>
      <w:r w:rsidRPr="007E06CF">
        <w:t>effectively</w:t>
      </w:r>
      <w:r w:rsidRPr="007E06CF">
        <w:rPr>
          <w:spacing w:val="1"/>
        </w:rPr>
        <w:t xml:space="preserve"> </w:t>
      </w:r>
      <w:r w:rsidRPr="007E06CF">
        <w:t>manage</w:t>
      </w:r>
      <w:r w:rsidRPr="007E06CF">
        <w:rPr>
          <w:spacing w:val="1"/>
        </w:rPr>
        <w:t xml:space="preserve"> </w:t>
      </w:r>
      <w:r w:rsidRPr="007E06CF">
        <w:t>the</w:t>
      </w:r>
      <w:r w:rsidRPr="007E06CF">
        <w:rPr>
          <w:spacing w:val="1"/>
        </w:rPr>
        <w:t xml:space="preserve"> </w:t>
      </w:r>
      <w:r w:rsidRPr="007E06CF">
        <w:t>RBA</w:t>
      </w:r>
      <w:r w:rsidRPr="007E06CF">
        <w:rPr>
          <w:spacing w:val="1"/>
        </w:rPr>
        <w:t xml:space="preserve"> </w:t>
      </w:r>
      <w:r w:rsidRPr="007E06CF">
        <w:t>and</w:t>
      </w:r>
      <w:r w:rsidRPr="007E06CF">
        <w:rPr>
          <w:spacing w:val="2"/>
        </w:rPr>
        <w:t xml:space="preserve"> </w:t>
      </w:r>
      <w:r w:rsidRPr="007E06CF">
        <w:rPr>
          <w:spacing w:val="-2"/>
        </w:rPr>
        <w:t>allow</w:t>
      </w:r>
      <w:r>
        <w:rPr>
          <w:spacing w:val="-2"/>
        </w:rPr>
        <w:t xml:space="preserve"> </w:t>
      </w:r>
      <w:r w:rsidRPr="007E06CF">
        <w:t>the</w:t>
      </w:r>
      <w:r w:rsidRPr="007E06CF">
        <w:rPr>
          <w:spacing w:val="1"/>
        </w:rPr>
        <w:t xml:space="preserve"> </w:t>
      </w:r>
      <w:r w:rsidRPr="007E06CF">
        <w:t>Deputy</w:t>
      </w:r>
      <w:r w:rsidRPr="007E06CF">
        <w:rPr>
          <w:spacing w:val="1"/>
        </w:rPr>
        <w:t xml:space="preserve"> </w:t>
      </w:r>
      <w:r w:rsidRPr="007E06CF">
        <w:t>Governor</w:t>
      </w:r>
      <w:r w:rsidRPr="007E06CF">
        <w:rPr>
          <w:spacing w:val="2"/>
        </w:rPr>
        <w:t xml:space="preserve"> </w:t>
      </w:r>
      <w:r w:rsidRPr="007E06CF">
        <w:t>(who</w:t>
      </w:r>
      <w:r w:rsidRPr="007E06CF">
        <w:rPr>
          <w:spacing w:val="1"/>
        </w:rPr>
        <w:t xml:space="preserve"> </w:t>
      </w:r>
      <w:r w:rsidRPr="007E06CF">
        <w:t>currently</w:t>
      </w:r>
      <w:r w:rsidRPr="007E06CF">
        <w:rPr>
          <w:spacing w:val="1"/>
        </w:rPr>
        <w:t xml:space="preserve"> </w:t>
      </w:r>
      <w:r w:rsidRPr="007E06CF">
        <w:t>has</w:t>
      </w:r>
      <w:r w:rsidRPr="007E06CF">
        <w:rPr>
          <w:spacing w:val="2"/>
        </w:rPr>
        <w:t xml:space="preserve"> </w:t>
      </w:r>
      <w:r w:rsidRPr="007E06CF">
        <w:t>these</w:t>
      </w:r>
      <w:r w:rsidRPr="007E06CF">
        <w:rPr>
          <w:spacing w:val="1"/>
        </w:rPr>
        <w:t xml:space="preserve"> </w:t>
      </w:r>
      <w:r w:rsidRPr="007E06CF">
        <w:t>responsibilities)</w:t>
      </w:r>
      <w:r w:rsidRPr="007E06CF">
        <w:rPr>
          <w:spacing w:val="1"/>
        </w:rPr>
        <w:t xml:space="preserve"> </w:t>
      </w:r>
      <w:r w:rsidRPr="007E06CF">
        <w:t>more</w:t>
      </w:r>
      <w:r w:rsidRPr="007E06CF">
        <w:rPr>
          <w:spacing w:val="2"/>
        </w:rPr>
        <w:t xml:space="preserve"> </w:t>
      </w:r>
      <w:r w:rsidRPr="007E06CF">
        <w:t>time</w:t>
      </w:r>
      <w:r w:rsidRPr="007E06CF">
        <w:rPr>
          <w:spacing w:val="1"/>
        </w:rPr>
        <w:t xml:space="preserve"> </w:t>
      </w:r>
      <w:r w:rsidRPr="007E06CF">
        <w:t>to</w:t>
      </w:r>
      <w:r w:rsidRPr="007E06CF">
        <w:rPr>
          <w:spacing w:val="1"/>
        </w:rPr>
        <w:t xml:space="preserve"> </w:t>
      </w:r>
      <w:r w:rsidRPr="007E06CF">
        <w:t>focus</w:t>
      </w:r>
      <w:r w:rsidRPr="007E06CF">
        <w:rPr>
          <w:spacing w:val="2"/>
        </w:rPr>
        <w:t xml:space="preserve"> </w:t>
      </w:r>
      <w:r w:rsidRPr="007E06CF">
        <w:t>on</w:t>
      </w:r>
      <w:r w:rsidRPr="007E06CF">
        <w:rPr>
          <w:spacing w:val="1"/>
        </w:rPr>
        <w:t xml:space="preserve"> </w:t>
      </w:r>
      <w:r w:rsidRPr="007E06CF">
        <w:t>policy</w:t>
      </w:r>
      <w:r w:rsidR="0068598E">
        <w:rPr>
          <w:spacing w:val="-23"/>
        </w:rPr>
        <w:t>.</w:t>
      </w:r>
    </w:p>
    <w:p w14:paraId="7BB87698" w14:textId="2470BD06" w:rsidR="007E06CF" w:rsidRDefault="007E06CF" w:rsidP="0000278A">
      <w:pPr>
        <w:pStyle w:val="Bullet"/>
      </w:pPr>
      <w:r>
        <w:t>Enable greater communication between the RBA’s executive leaders and staff members on organisational issues, including through driving the development of a Culture Plan which outlines changes the RBA will pursue and a plan for achieving them (see Chapter 6)</w:t>
      </w:r>
      <w:r w:rsidR="0068598E">
        <w:rPr>
          <w:spacing w:val="-20"/>
        </w:rPr>
        <w:t>.</w:t>
      </w:r>
    </w:p>
    <w:p w14:paraId="234E3558" w14:textId="7C6C8C95" w:rsidR="007E06CF" w:rsidRDefault="007E06CF" w:rsidP="0000278A">
      <w:pPr>
        <w:pStyle w:val="Bullet"/>
      </w:pPr>
      <w:r w:rsidRPr="007E06CF">
        <w:t>Provide</w:t>
      </w:r>
      <w:r w:rsidRPr="007E06CF">
        <w:rPr>
          <w:spacing w:val="3"/>
        </w:rPr>
        <w:t xml:space="preserve"> </w:t>
      </w:r>
      <w:r w:rsidRPr="007E06CF">
        <w:t>an</w:t>
      </w:r>
      <w:r w:rsidRPr="007E06CF">
        <w:rPr>
          <w:spacing w:val="3"/>
        </w:rPr>
        <w:t xml:space="preserve"> </w:t>
      </w:r>
      <w:r w:rsidRPr="007E06CF">
        <w:t>additional</w:t>
      </w:r>
      <w:r w:rsidRPr="007E06CF">
        <w:rPr>
          <w:spacing w:val="3"/>
        </w:rPr>
        <w:t xml:space="preserve"> </w:t>
      </w:r>
      <w:r w:rsidRPr="007E06CF">
        <w:t>authoritative</w:t>
      </w:r>
      <w:r w:rsidRPr="007E06CF">
        <w:rPr>
          <w:spacing w:val="3"/>
        </w:rPr>
        <w:t xml:space="preserve"> </w:t>
      </w:r>
      <w:r w:rsidRPr="007E06CF">
        <w:t>voice</w:t>
      </w:r>
      <w:r w:rsidRPr="007E06CF">
        <w:rPr>
          <w:spacing w:val="4"/>
        </w:rPr>
        <w:t xml:space="preserve"> </w:t>
      </w:r>
      <w:r w:rsidRPr="007E06CF">
        <w:t>of</w:t>
      </w:r>
      <w:r w:rsidRPr="007E06CF">
        <w:rPr>
          <w:spacing w:val="3"/>
        </w:rPr>
        <w:t xml:space="preserve"> </w:t>
      </w:r>
      <w:r w:rsidRPr="007E06CF">
        <w:t>constructive</w:t>
      </w:r>
      <w:r w:rsidRPr="007E06CF">
        <w:rPr>
          <w:spacing w:val="3"/>
        </w:rPr>
        <w:t xml:space="preserve"> </w:t>
      </w:r>
      <w:r w:rsidRPr="007E06CF">
        <w:t>challenge</w:t>
      </w:r>
      <w:r w:rsidRPr="007E06CF">
        <w:rPr>
          <w:spacing w:val="3"/>
        </w:rPr>
        <w:t xml:space="preserve"> </w:t>
      </w:r>
      <w:r w:rsidRPr="007E06CF">
        <w:t>in</w:t>
      </w:r>
      <w:r w:rsidRPr="007E06CF">
        <w:rPr>
          <w:spacing w:val="3"/>
        </w:rPr>
        <w:t xml:space="preserve"> </w:t>
      </w:r>
      <w:r w:rsidRPr="007E06CF">
        <w:t>the</w:t>
      </w:r>
      <w:r w:rsidRPr="007E06CF">
        <w:rPr>
          <w:spacing w:val="4"/>
        </w:rPr>
        <w:t xml:space="preserve"> </w:t>
      </w:r>
      <w:r w:rsidRPr="007E06CF">
        <w:rPr>
          <w:spacing w:val="-2"/>
        </w:rPr>
        <w:t>RBA’s</w:t>
      </w:r>
      <w:r>
        <w:rPr>
          <w:spacing w:val="-2"/>
        </w:rPr>
        <w:t xml:space="preserve"> </w:t>
      </w:r>
      <w:r w:rsidRPr="007E06CF">
        <w:t xml:space="preserve">governance </w:t>
      </w:r>
      <w:r w:rsidRPr="007E06CF">
        <w:rPr>
          <w:spacing w:val="-2"/>
        </w:rPr>
        <w:t>forums.</w:t>
      </w:r>
    </w:p>
    <w:p w14:paraId="0A614976" w14:textId="4BABA0F2" w:rsidR="007E06CF" w:rsidRDefault="007E06CF" w:rsidP="007E06CF">
      <w:r>
        <w:t>The COO should look for ways to improve how effectively resources are used, and enhance delegation</w:t>
      </w:r>
      <w:r>
        <w:rPr>
          <w:spacing w:val="-3"/>
        </w:rPr>
        <w:t xml:space="preserve"> </w:t>
      </w:r>
      <w:r>
        <w:t>and</w:t>
      </w:r>
      <w:r>
        <w:rPr>
          <w:spacing w:val="-3"/>
        </w:rPr>
        <w:t xml:space="preserve"> </w:t>
      </w:r>
      <w:r>
        <w:t>decision</w:t>
      </w:r>
      <w:r>
        <w:rPr>
          <w:spacing w:val="-3"/>
        </w:rPr>
        <w:t xml:space="preserve"> </w:t>
      </w:r>
      <w:r>
        <w:t>making</w:t>
      </w:r>
      <w:r w:rsidR="0068598E">
        <w:rPr>
          <w:spacing w:val="-24"/>
        </w:rPr>
        <w:t>.</w:t>
      </w:r>
      <w:r>
        <w:rPr>
          <w:w w:val="85"/>
        </w:rPr>
        <w:t xml:space="preserve"> </w:t>
      </w:r>
      <w:r>
        <w:t>The</w:t>
      </w:r>
      <w:r>
        <w:rPr>
          <w:spacing w:val="-3"/>
        </w:rPr>
        <w:t xml:space="preserve"> </w:t>
      </w:r>
      <w:r>
        <w:t>COO</w:t>
      </w:r>
      <w:r>
        <w:rPr>
          <w:spacing w:val="-3"/>
        </w:rPr>
        <w:t xml:space="preserve"> </w:t>
      </w:r>
      <w:r>
        <w:t>should</w:t>
      </w:r>
      <w:r>
        <w:rPr>
          <w:spacing w:val="-3"/>
        </w:rPr>
        <w:t xml:space="preserve"> </w:t>
      </w:r>
      <w:r>
        <w:t>look</w:t>
      </w:r>
      <w:r>
        <w:rPr>
          <w:spacing w:val="-3"/>
        </w:rPr>
        <w:t xml:space="preserve"> </w:t>
      </w:r>
      <w:r>
        <w:t>for</w:t>
      </w:r>
      <w:r>
        <w:rPr>
          <w:spacing w:val="-3"/>
        </w:rPr>
        <w:t xml:space="preserve"> </w:t>
      </w:r>
      <w:r>
        <w:t>opportunities</w:t>
      </w:r>
      <w:r>
        <w:rPr>
          <w:spacing w:val="-3"/>
        </w:rPr>
        <w:t xml:space="preserve"> </w:t>
      </w:r>
      <w:r>
        <w:t>to</w:t>
      </w:r>
      <w:r>
        <w:rPr>
          <w:spacing w:val="-3"/>
        </w:rPr>
        <w:t xml:space="preserve"> </w:t>
      </w:r>
      <w:r>
        <w:t>reorganise</w:t>
      </w:r>
      <w:r>
        <w:rPr>
          <w:spacing w:val="-3"/>
        </w:rPr>
        <w:t xml:space="preserve"> </w:t>
      </w:r>
      <w:r>
        <w:t>resources</w:t>
      </w:r>
      <w:r>
        <w:rPr>
          <w:spacing w:val="-3"/>
        </w:rPr>
        <w:t xml:space="preserve"> </w:t>
      </w:r>
      <w:r>
        <w:t>to reduce</w:t>
      </w:r>
      <w:r>
        <w:rPr>
          <w:spacing w:val="-6"/>
        </w:rPr>
        <w:t xml:space="preserve"> </w:t>
      </w:r>
      <w:r>
        <w:t>overlap</w:t>
      </w:r>
      <w:r>
        <w:rPr>
          <w:spacing w:val="-6"/>
        </w:rPr>
        <w:t xml:space="preserve"> </w:t>
      </w:r>
      <w:r>
        <w:t>and</w:t>
      </w:r>
      <w:r>
        <w:rPr>
          <w:spacing w:val="-6"/>
        </w:rPr>
        <w:t xml:space="preserve"> </w:t>
      </w:r>
      <w:r>
        <w:t>promote</w:t>
      </w:r>
      <w:r>
        <w:rPr>
          <w:spacing w:val="-6"/>
        </w:rPr>
        <w:t xml:space="preserve"> </w:t>
      </w:r>
      <w:r>
        <w:t>greater</w:t>
      </w:r>
      <w:r>
        <w:rPr>
          <w:spacing w:val="-6"/>
        </w:rPr>
        <w:t xml:space="preserve"> </w:t>
      </w:r>
      <w:r>
        <w:t>efficiencies.</w:t>
      </w:r>
      <w:r>
        <w:rPr>
          <w:spacing w:val="-6"/>
        </w:rPr>
        <w:t xml:space="preserve"> </w:t>
      </w:r>
      <w:r>
        <w:t>They</w:t>
      </w:r>
      <w:r>
        <w:rPr>
          <w:spacing w:val="-6"/>
        </w:rPr>
        <w:t xml:space="preserve"> </w:t>
      </w:r>
      <w:r>
        <w:t>should</w:t>
      </w:r>
      <w:r>
        <w:rPr>
          <w:spacing w:val="-6"/>
        </w:rPr>
        <w:t xml:space="preserve"> </w:t>
      </w:r>
      <w:r>
        <w:t>consider</w:t>
      </w:r>
      <w:r>
        <w:rPr>
          <w:spacing w:val="-6"/>
        </w:rPr>
        <w:t xml:space="preserve"> </w:t>
      </w:r>
      <w:r>
        <w:t>whether</w:t>
      </w:r>
      <w:r>
        <w:rPr>
          <w:spacing w:val="-6"/>
        </w:rPr>
        <w:t xml:space="preserve"> </w:t>
      </w:r>
      <w:r>
        <w:t>the</w:t>
      </w:r>
      <w:r>
        <w:rPr>
          <w:spacing w:val="-6"/>
        </w:rPr>
        <w:t xml:space="preserve"> </w:t>
      </w:r>
      <w:r>
        <w:t>RBA’s</w:t>
      </w:r>
      <w:r>
        <w:rPr>
          <w:spacing w:val="-6"/>
        </w:rPr>
        <w:t xml:space="preserve"> </w:t>
      </w:r>
      <w:r>
        <w:t>structure and internal processes support effective collaboration and the dynamism to rapidly redeploy resources for changing needs (for example, in the form of taskforces). Several RBA staff members highlighted to the Review the positive example of the RBA’s recently formed Climate Analysis and Policy section and its use of expertise from across the organisation. They noted this could be replicated more proactively in response to emerging issues</w:t>
      </w:r>
      <w:r w:rsidR="0068598E">
        <w:rPr>
          <w:spacing w:val="-16"/>
        </w:rPr>
        <w:t>.</w:t>
      </w:r>
    </w:p>
    <w:p w14:paraId="6AF0AA5E" w14:textId="5B832D6E" w:rsidR="007E06CF" w:rsidRDefault="007E06CF" w:rsidP="007E06CF">
      <w:r>
        <w:t>The</w:t>
      </w:r>
      <w:r>
        <w:rPr>
          <w:spacing w:val="-2"/>
        </w:rPr>
        <w:t xml:space="preserve"> </w:t>
      </w:r>
      <w:r>
        <w:t>COO</w:t>
      </w:r>
      <w:r>
        <w:rPr>
          <w:spacing w:val="1"/>
        </w:rPr>
        <w:t xml:space="preserve"> </w:t>
      </w:r>
      <w:r>
        <w:t>should oversee</w:t>
      </w:r>
      <w:r>
        <w:rPr>
          <w:spacing w:val="1"/>
        </w:rPr>
        <w:t xml:space="preserve"> </w:t>
      </w:r>
      <w:r>
        <w:t>work to</w:t>
      </w:r>
      <w:r>
        <w:rPr>
          <w:spacing w:val="1"/>
        </w:rPr>
        <w:t xml:space="preserve"> </w:t>
      </w:r>
      <w:r>
        <w:t>examine the</w:t>
      </w:r>
      <w:r>
        <w:rPr>
          <w:spacing w:val="1"/>
        </w:rPr>
        <w:t xml:space="preserve"> </w:t>
      </w:r>
      <w:r>
        <w:t>roles, responsibilities</w:t>
      </w:r>
      <w:r>
        <w:rPr>
          <w:spacing w:val="1"/>
        </w:rPr>
        <w:t xml:space="preserve"> </w:t>
      </w:r>
      <w:r>
        <w:t>and management</w:t>
      </w:r>
      <w:r>
        <w:rPr>
          <w:spacing w:val="1"/>
        </w:rPr>
        <w:t xml:space="preserve"> </w:t>
      </w:r>
      <w:r>
        <w:rPr>
          <w:spacing w:val="-2"/>
        </w:rPr>
        <w:t xml:space="preserve">spans </w:t>
      </w:r>
      <w:r>
        <w:t>of control at all levels to ensure they are appropriate and support the RBA’s structure</w:t>
      </w:r>
      <w:r w:rsidR="0068598E">
        <w:rPr>
          <w:spacing w:val="-20"/>
        </w:rPr>
        <w:t>.</w:t>
      </w:r>
      <w:r>
        <w:t xml:space="preserve"> The</w:t>
      </w:r>
      <w:r>
        <w:rPr>
          <w:spacing w:val="80"/>
        </w:rPr>
        <w:t xml:space="preserve"> </w:t>
      </w:r>
      <w:r>
        <w:t>design of these should enable streamlined processes and communication. It should also reduce unnecessary layers of decision making that can waste effort and create risk. The aim is to have clear accountabilities to facilitate decision making at appropriate levels – that is, decisions are</w:t>
      </w:r>
      <w:r>
        <w:rPr>
          <w:spacing w:val="80"/>
          <w:w w:val="150"/>
        </w:rPr>
        <w:t xml:space="preserve"> </w:t>
      </w:r>
      <w:r>
        <w:t>not</w:t>
      </w:r>
      <w:r>
        <w:rPr>
          <w:spacing w:val="-1"/>
        </w:rPr>
        <w:t xml:space="preserve"> </w:t>
      </w:r>
      <w:r>
        <w:t>unnecessarily</w:t>
      </w:r>
      <w:r>
        <w:rPr>
          <w:spacing w:val="-1"/>
        </w:rPr>
        <w:t xml:space="preserve"> </w:t>
      </w:r>
      <w:r>
        <w:t>escalated</w:t>
      </w:r>
      <w:r>
        <w:rPr>
          <w:spacing w:val="-1"/>
        </w:rPr>
        <w:t xml:space="preserve"> </w:t>
      </w:r>
      <w:r>
        <w:t>or</w:t>
      </w:r>
      <w:r>
        <w:rPr>
          <w:spacing w:val="-1"/>
        </w:rPr>
        <w:t xml:space="preserve"> </w:t>
      </w:r>
      <w:r>
        <w:t>retained</w:t>
      </w:r>
      <w:r>
        <w:rPr>
          <w:spacing w:val="-1"/>
        </w:rPr>
        <w:t xml:space="preserve"> </w:t>
      </w:r>
      <w:r>
        <w:t>at</w:t>
      </w:r>
      <w:r>
        <w:rPr>
          <w:spacing w:val="-1"/>
        </w:rPr>
        <w:t xml:space="preserve"> </w:t>
      </w:r>
      <w:r>
        <w:t>more</w:t>
      </w:r>
      <w:r>
        <w:rPr>
          <w:spacing w:val="-1"/>
        </w:rPr>
        <w:t xml:space="preserve"> </w:t>
      </w:r>
      <w:r>
        <w:t>senior</w:t>
      </w:r>
      <w:r>
        <w:rPr>
          <w:spacing w:val="-1"/>
        </w:rPr>
        <w:t xml:space="preserve"> </w:t>
      </w:r>
      <w:r>
        <w:t>levels</w:t>
      </w:r>
      <w:r w:rsidR="0068598E">
        <w:rPr>
          <w:spacing w:val="-24"/>
        </w:rPr>
        <w:t>.</w:t>
      </w:r>
      <w:r>
        <w:rPr>
          <w:w w:val="85"/>
        </w:rPr>
        <w:t xml:space="preserve"> </w:t>
      </w:r>
      <w:r>
        <w:t>The</w:t>
      </w:r>
      <w:r>
        <w:rPr>
          <w:spacing w:val="-1"/>
        </w:rPr>
        <w:t xml:space="preserve"> </w:t>
      </w:r>
      <w:r>
        <w:t>size</w:t>
      </w:r>
      <w:r>
        <w:rPr>
          <w:spacing w:val="-1"/>
        </w:rPr>
        <w:t xml:space="preserve"> </w:t>
      </w:r>
      <w:r>
        <w:t>and</w:t>
      </w:r>
      <w:r>
        <w:rPr>
          <w:spacing w:val="-1"/>
        </w:rPr>
        <w:t xml:space="preserve"> </w:t>
      </w:r>
      <w:r>
        <w:t>composition</w:t>
      </w:r>
      <w:r>
        <w:rPr>
          <w:spacing w:val="-1"/>
        </w:rPr>
        <w:t xml:space="preserve"> </w:t>
      </w:r>
      <w:r>
        <w:t>of</w:t>
      </w:r>
      <w:r>
        <w:rPr>
          <w:spacing w:val="-1"/>
        </w:rPr>
        <w:t xml:space="preserve"> </w:t>
      </w:r>
      <w:r>
        <w:t>teams should enable managers to provide support and guidance while empowering team members</w:t>
      </w:r>
      <w:r w:rsidR="0068598E">
        <w:rPr>
          <w:spacing w:val="-18"/>
        </w:rPr>
        <w:t>.</w:t>
      </w:r>
    </w:p>
    <w:p w14:paraId="70EC8633" w14:textId="168ACBC1" w:rsidR="007E06CF" w:rsidRDefault="007E06CF" w:rsidP="007E06CF">
      <w:r>
        <w:t>The RBA should develop a strategic workforce planning capability and improve its succession planning</w:t>
      </w:r>
      <w:r w:rsidR="0068598E">
        <w:rPr>
          <w:spacing w:val="-19"/>
        </w:rPr>
        <w:t>.</w:t>
      </w:r>
      <w:r>
        <w:t xml:space="preserve"> A greater focus on strategic workforce planning will assist the RBA to identify and</w:t>
      </w:r>
      <w:r>
        <w:rPr>
          <w:spacing w:val="80"/>
        </w:rPr>
        <w:t xml:space="preserve"> </w:t>
      </w:r>
      <w:r>
        <w:t>plan how to close the gap between current and future workforce needs to enable delivery of its mandate. It will assist the RBA to consider the balance of different expertise and the design of the roles it will need in the future</w:t>
      </w:r>
      <w:r w:rsidR="0068598E">
        <w:rPr>
          <w:spacing w:val="-20"/>
        </w:rPr>
        <w:t>.</w:t>
      </w:r>
      <w:r>
        <w:rPr>
          <w:w w:val="85"/>
        </w:rPr>
        <w:t xml:space="preserve"> </w:t>
      </w:r>
      <w:r>
        <w:t>Relatedly, the RBA should have robust processes for succession planning to ensure it has a high-quality pipeline of future leaders</w:t>
      </w:r>
      <w:r w:rsidR="0068598E">
        <w:rPr>
          <w:spacing w:val="-19"/>
        </w:rPr>
        <w:t>.</w:t>
      </w:r>
      <w:r>
        <w:rPr>
          <w:w w:val="85"/>
        </w:rPr>
        <w:t xml:space="preserve"> </w:t>
      </w:r>
      <w:r>
        <w:t>Processes for succession planning for the RBA’s senior leaders (such as its Department Head, Deputy Head and Senior Manager roles) and executive leaders should be consistent and structured. They should give</w:t>
      </w:r>
      <w:r>
        <w:rPr>
          <w:spacing w:val="80"/>
        </w:rPr>
        <w:t xml:space="preserve"> </w:t>
      </w:r>
      <w:r>
        <w:t>regard to both the relevant experience of individuals and the overall skills mix needed by the RBA’s management</w:t>
      </w:r>
      <w:r>
        <w:rPr>
          <w:spacing w:val="-2"/>
        </w:rPr>
        <w:t xml:space="preserve"> </w:t>
      </w:r>
      <w:r>
        <w:t>team</w:t>
      </w:r>
      <w:r w:rsidR="0068598E">
        <w:rPr>
          <w:spacing w:val="-25"/>
        </w:rPr>
        <w:t>.</w:t>
      </w:r>
      <w:r>
        <w:rPr>
          <w:w w:val="85"/>
        </w:rPr>
        <w:t xml:space="preserve"> </w:t>
      </w:r>
      <w:r>
        <w:t>Oversight</w:t>
      </w:r>
      <w:r>
        <w:rPr>
          <w:spacing w:val="-2"/>
        </w:rPr>
        <w:t xml:space="preserve"> </w:t>
      </w:r>
      <w:r>
        <w:t>by</w:t>
      </w:r>
      <w:r>
        <w:rPr>
          <w:spacing w:val="-2"/>
        </w:rPr>
        <w:t xml:space="preserve"> </w:t>
      </w:r>
      <w:r>
        <w:t>the</w:t>
      </w:r>
      <w:r>
        <w:rPr>
          <w:spacing w:val="-2"/>
        </w:rPr>
        <w:t xml:space="preserve"> </w:t>
      </w:r>
      <w:r>
        <w:t>Governance</w:t>
      </w:r>
      <w:r>
        <w:rPr>
          <w:spacing w:val="-2"/>
        </w:rPr>
        <w:t xml:space="preserve"> </w:t>
      </w:r>
      <w:r>
        <w:t>Board</w:t>
      </w:r>
      <w:r>
        <w:rPr>
          <w:spacing w:val="-2"/>
        </w:rPr>
        <w:t xml:space="preserve"> </w:t>
      </w:r>
      <w:r>
        <w:t>(see</w:t>
      </w:r>
      <w:r>
        <w:rPr>
          <w:spacing w:val="-2"/>
        </w:rPr>
        <w:t xml:space="preserve"> </w:t>
      </w:r>
      <w:r>
        <w:t>Chapter</w:t>
      </w:r>
      <w:r>
        <w:rPr>
          <w:spacing w:val="-2"/>
        </w:rPr>
        <w:t xml:space="preserve"> </w:t>
      </w:r>
      <w:r>
        <w:t>5)</w:t>
      </w:r>
      <w:r>
        <w:rPr>
          <w:spacing w:val="-2"/>
        </w:rPr>
        <w:t xml:space="preserve"> </w:t>
      </w:r>
      <w:r>
        <w:t>will</w:t>
      </w:r>
      <w:r>
        <w:rPr>
          <w:spacing w:val="-2"/>
        </w:rPr>
        <w:t xml:space="preserve"> </w:t>
      </w:r>
      <w:r>
        <w:t>help</w:t>
      </w:r>
      <w:r>
        <w:rPr>
          <w:spacing w:val="-2"/>
        </w:rPr>
        <w:t xml:space="preserve"> </w:t>
      </w:r>
      <w:r>
        <w:t>to</w:t>
      </w:r>
      <w:r>
        <w:rPr>
          <w:spacing w:val="-2"/>
        </w:rPr>
        <w:t xml:space="preserve"> </w:t>
      </w:r>
      <w:r>
        <w:t>ensure</w:t>
      </w:r>
      <w:r>
        <w:rPr>
          <w:spacing w:val="-2"/>
        </w:rPr>
        <w:t xml:space="preserve"> </w:t>
      </w:r>
      <w:r>
        <w:t>that</w:t>
      </w:r>
      <w:r>
        <w:rPr>
          <w:spacing w:val="-2"/>
        </w:rPr>
        <w:t xml:space="preserve"> </w:t>
      </w:r>
      <w:r>
        <w:t>the executive leadership team has the appropriate balance of skills and experience to deliver on the RBA’s strategic objectives</w:t>
      </w:r>
      <w:r w:rsidR="0068598E">
        <w:rPr>
          <w:spacing w:val="-11"/>
        </w:rPr>
        <w:t>.</w:t>
      </w:r>
    </w:p>
    <w:p w14:paraId="7146D058" w14:textId="5FF824B1" w:rsidR="00F44204" w:rsidRDefault="00F44204" w:rsidP="00F44204">
      <w:r>
        <w:t>The RBA should take further steps to improve its risk culture and management</w:t>
      </w:r>
      <w:r w:rsidR="0068598E">
        <w:rPr>
          <w:spacing w:val="-19"/>
        </w:rPr>
        <w:t>.</w:t>
      </w:r>
      <w:r>
        <w:rPr>
          <w:w w:val="85"/>
        </w:rPr>
        <w:t xml:space="preserve"> </w:t>
      </w:r>
      <w:r>
        <w:t>Building on the work it already has underway, the RBA should embed a strong understanding of risk management across all levels of the organisation. This will help staff members to better assess different types of risks and appropriate responses</w:t>
      </w:r>
      <w:r w:rsidR="0068598E">
        <w:rPr>
          <w:spacing w:val="-19"/>
        </w:rPr>
        <w:t>.</w:t>
      </w:r>
      <w:r>
        <w:rPr>
          <w:w w:val="85"/>
        </w:rPr>
        <w:t xml:space="preserve"> </w:t>
      </w:r>
      <w:r>
        <w:t>Over time, it should help to diminish unnecessary risk aversion, promote better risk identification and management, and risk assessment related to strategic decisions</w:t>
      </w:r>
      <w:r w:rsidR="0068598E">
        <w:rPr>
          <w:spacing w:val="-17"/>
        </w:rPr>
        <w:t>.</w:t>
      </w:r>
      <w:r>
        <w:rPr>
          <w:w w:val="85"/>
        </w:rPr>
        <w:t xml:space="preserve"> </w:t>
      </w:r>
      <w:r>
        <w:t>Progress should continue to be made through induction, training, and awareness initiatives so that these practices are consistently adopted</w:t>
      </w:r>
      <w:r w:rsidR="0068598E">
        <w:rPr>
          <w:spacing w:val="-13"/>
        </w:rPr>
        <w:t>.</w:t>
      </w:r>
    </w:p>
    <w:p w14:paraId="44B3AE6A" w14:textId="5306AB40" w:rsidR="00F44204" w:rsidRDefault="00F44204" w:rsidP="00F44204">
      <w:r>
        <w:t>Active sponsorship and support from executive leaders</w:t>
      </w:r>
      <w:r>
        <w:rPr>
          <w:rStyle w:val="FootnoteReference"/>
        </w:rPr>
        <w:footnoteReference w:id="10"/>
      </w:r>
      <w:r>
        <w:t xml:space="preserve"> are essential to help drive cultural and behavioural changes in the RBA’s approach to risk</w:t>
      </w:r>
      <w:r w:rsidR="0068598E">
        <w:rPr>
          <w:spacing w:val="-19"/>
        </w:rPr>
        <w:t>.</w:t>
      </w:r>
      <w:r>
        <w:rPr>
          <w:w w:val="85"/>
        </w:rPr>
        <w:t xml:space="preserve"> </w:t>
      </w:r>
      <w:r>
        <w:t xml:space="preserve">This includes accepting manageable risks and acknowledging that failures inevitably come with taking on more risk. The RBA’s staff should be </w:t>
      </w:r>
      <w:r>
        <w:lastRenderedPageBreak/>
        <w:t>encouraged to innovate, and be supported when learning from mistakes, with the recognition that decisions not to act often also entail cost and risk</w:t>
      </w:r>
      <w:r w:rsidR="0068598E">
        <w:rPr>
          <w:spacing w:val="-24"/>
        </w:rPr>
        <w:t>.</w:t>
      </w:r>
      <w:r>
        <w:rPr>
          <w:w w:val="85"/>
        </w:rPr>
        <w:t xml:space="preserve"> </w:t>
      </w:r>
      <w:r>
        <w:t>Setting this tone will help to reduce unnecessary ‘gold plating’ or perfectionism. It will also support a culture where failures that are a natural part of innovation are seen as ways to learn</w:t>
      </w:r>
      <w:r w:rsidR="0068598E">
        <w:rPr>
          <w:spacing w:val="-24"/>
        </w:rPr>
        <w:t>.</w:t>
      </w:r>
      <w:r>
        <w:rPr>
          <w:w w:val="85"/>
        </w:rPr>
        <w:t xml:space="preserve"> </w:t>
      </w:r>
      <w:r>
        <w:t>These changes should be overseen by the Governance Board (see Chapter 5)</w:t>
      </w:r>
      <w:r w:rsidR="0068598E">
        <w:rPr>
          <w:spacing w:val="-11"/>
        </w:rPr>
        <w:t>.</w:t>
      </w:r>
    </w:p>
    <w:p w14:paraId="2180A314" w14:textId="77777777" w:rsidR="00F44204" w:rsidRDefault="00F44204" w:rsidP="0075106B">
      <w:pPr>
        <w:pStyle w:val="Heading3"/>
      </w:pPr>
      <w:r>
        <w:t>Supporting</w:t>
      </w:r>
      <w:r>
        <w:rPr>
          <w:spacing w:val="-9"/>
        </w:rPr>
        <w:t xml:space="preserve"> </w:t>
      </w:r>
      <w:r>
        <w:rPr>
          <w:spacing w:val="-2"/>
        </w:rPr>
        <w:t>assessment</w:t>
      </w:r>
    </w:p>
    <w:p w14:paraId="28972493" w14:textId="77777777" w:rsidR="00F44204" w:rsidRDefault="00F44204" w:rsidP="0075106B">
      <w:pPr>
        <w:pStyle w:val="Heading4"/>
      </w:pPr>
      <w:r>
        <w:t>Greater delegation and</w:t>
      </w:r>
      <w:r>
        <w:rPr>
          <w:spacing w:val="1"/>
        </w:rPr>
        <w:t xml:space="preserve"> </w:t>
      </w:r>
      <w:r>
        <w:t>empowerment of</w:t>
      </w:r>
      <w:r>
        <w:rPr>
          <w:spacing w:val="1"/>
        </w:rPr>
        <w:t xml:space="preserve"> </w:t>
      </w:r>
      <w:r>
        <w:t xml:space="preserve">staff </w:t>
      </w:r>
      <w:r>
        <w:rPr>
          <w:spacing w:val="-2"/>
        </w:rPr>
        <w:t>members</w:t>
      </w:r>
    </w:p>
    <w:p w14:paraId="4962EBA6" w14:textId="77777777" w:rsidR="00F44204" w:rsidRDefault="00F44204" w:rsidP="0075106B">
      <w:r>
        <w:t>RBA staff members frequently raised decision making, delegation, and hierarchy as areas for improvement. The Review heard from staff members that decisions tend to be pushed up to or retained exclusively at more senior levels. Others relayed that delegation was inconsistent across teams or could change at short notice, creating risk. Staff members identified various drivers for this including:</w:t>
      </w:r>
    </w:p>
    <w:p w14:paraId="72F72DBF" w14:textId="77777777" w:rsidR="00F44204" w:rsidRDefault="00F44204" w:rsidP="0000278A">
      <w:pPr>
        <w:pStyle w:val="Bullet"/>
      </w:pPr>
      <w:r>
        <w:t>risk</w:t>
      </w:r>
      <w:r>
        <w:rPr>
          <w:spacing w:val="2"/>
        </w:rPr>
        <w:t xml:space="preserve"> </w:t>
      </w:r>
      <w:r>
        <w:t>aversion,</w:t>
      </w:r>
      <w:r>
        <w:rPr>
          <w:spacing w:val="2"/>
        </w:rPr>
        <w:t xml:space="preserve"> </w:t>
      </w:r>
      <w:r>
        <w:t>which</w:t>
      </w:r>
      <w:r>
        <w:rPr>
          <w:spacing w:val="3"/>
        </w:rPr>
        <w:t xml:space="preserve"> </w:t>
      </w:r>
      <w:r>
        <w:t>in</w:t>
      </w:r>
      <w:r>
        <w:rPr>
          <w:spacing w:val="2"/>
        </w:rPr>
        <w:t xml:space="preserve"> </w:t>
      </w:r>
      <w:r>
        <w:t>this</w:t>
      </w:r>
      <w:r>
        <w:rPr>
          <w:spacing w:val="3"/>
        </w:rPr>
        <w:t xml:space="preserve"> </w:t>
      </w:r>
      <w:r>
        <w:t>context</w:t>
      </w:r>
      <w:r>
        <w:rPr>
          <w:spacing w:val="2"/>
        </w:rPr>
        <w:t xml:space="preserve"> </w:t>
      </w:r>
      <w:r>
        <w:t>shifts</w:t>
      </w:r>
      <w:r>
        <w:rPr>
          <w:spacing w:val="2"/>
        </w:rPr>
        <w:t xml:space="preserve"> </w:t>
      </w:r>
      <w:r>
        <w:t>accountability</w:t>
      </w:r>
      <w:r>
        <w:rPr>
          <w:spacing w:val="3"/>
        </w:rPr>
        <w:t xml:space="preserve"> </w:t>
      </w:r>
      <w:r>
        <w:t>or</w:t>
      </w:r>
      <w:r>
        <w:rPr>
          <w:spacing w:val="2"/>
        </w:rPr>
        <w:t xml:space="preserve"> </w:t>
      </w:r>
      <w:r>
        <w:t>blame</w:t>
      </w:r>
      <w:r>
        <w:rPr>
          <w:spacing w:val="3"/>
        </w:rPr>
        <w:t xml:space="preserve"> </w:t>
      </w:r>
      <w:r>
        <w:t>for</w:t>
      </w:r>
      <w:r>
        <w:rPr>
          <w:spacing w:val="2"/>
        </w:rPr>
        <w:t xml:space="preserve"> </w:t>
      </w:r>
      <w:r>
        <w:t>potential</w:t>
      </w:r>
      <w:r>
        <w:rPr>
          <w:spacing w:val="3"/>
        </w:rPr>
        <w:t xml:space="preserve"> </w:t>
      </w:r>
      <w:r>
        <w:rPr>
          <w:spacing w:val="-2"/>
        </w:rPr>
        <w:t>mistakes</w:t>
      </w:r>
    </w:p>
    <w:p w14:paraId="0FA2EE8D" w14:textId="77777777" w:rsidR="00F44204" w:rsidRDefault="00F44204" w:rsidP="0000278A">
      <w:pPr>
        <w:pStyle w:val="Bullet"/>
      </w:pPr>
      <w:r>
        <w:t>lack</w:t>
      </w:r>
      <w:r>
        <w:rPr>
          <w:spacing w:val="-1"/>
        </w:rPr>
        <w:t xml:space="preserve"> </w:t>
      </w:r>
      <w:r>
        <w:t>of</w:t>
      </w:r>
      <w:r>
        <w:rPr>
          <w:spacing w:val="-1"/>
        </w:rPr>
        <w:t xml:space="preserve"> </w:t>
      </w:r>
      <w:r>
        <w:t>clear accountability</w:t>
      </w:r>
    </w:p>
    <w:p w14:paraId="78A65BEE" w14:textId="77777777" w:rsidR="00F44204" w:rsidRDefault="00F44204" w:rsidP="0000278A">
      <w:pPr>
        <w:pStyle w:val="Bullet"/>
      </w:pPr>
      <w:r>
        <w:t>a culturally ingrained deference to</w:t>
      </w:r>
      <w:r>
        <w:rPr>
          <w:spacing w:val="1"/>
        </w:rPr>
        <w:t xml:space="preserve"> </w:t>
      </w:r>
      <w:r>
        <w:rPr>
          <w:spacing w:val="-2"/>
        </w:rPr>
        <w:t>authority</w:t>
      </w:r>
    </w:p>
    <w:p w14:paraId="2121A8F5" w14:textId="7C190A40" w:rsidR="00F44204" w:rsidRDefault="00F44204" w:rsidP="0000278A">
      <w:pPr>
        <w:pStyle w:val="Bullet"/>
      </w:pPr>
      <w:r>
        <w:t>incentives that reward individuals for analytical output and those who appear to be across technical issues, resulting in resistance among some managers to genuinely delegate and empower team members</w:t>
      </w:r>
      <w:r w:rsidR="0068598E">
        <w:rPr>
          <w:spacing w:val="-11"/>
        </w:rPr>
        <w:t>.</w:t>
      </w:r>
    </w:p>
    <w:p w14:paraId="235B7D45" w14:textId="77777777" w:rsidR="00F44204" w:rsidRDefault="00F44204" w:rsidP="0075106B">
      <w:r>
        <w:t>This was not a universal view. Some staff members felt empowered to do their work and thought delegation was working well, and suggested that different experiences were driven by individual managers. Staff members reflected that better and more consistent delegation would empower them, improve efficiency and better manage risks. Having clearer accountabilities would enable decisions to be delegated to an appropriate level. As one staff member commented:</w:t>
      </w:r>
    </w:p>
    <w:p w14:paraId="07E197BC" w14:textId="77777777" w:rsidR="00F44204" w:rsidRDefault="00F44204" w:rsidP="0075106B">
      <w:pPr>
        <w:pStyle w:val="italicquote"/>
      </w:pPr>
      <w:r>
        <w:t>‘It is very difficult to implement change because all levels of management are keen to comment on everything, even very small changes. Things could be better delegated, or staff trusted to make decisions</w:t>
      </w:r>
      <w:r>
        <w:rPr>
          <w:spacing w:val="-2"/>
        </w:rPr>
        <w:t xml:space="preserve"> </w:t>
      </w:r>
      <w:r>
        <w:t>up</w:t>
      </w:r>
      <w:r>
        <w:rPr>
          <w:spacing w:val="-2"/>
        </w:rPr>
        <w:t xml:space="preserve"> </w:t>
      </w:r>
      <w:r>
        <w:t>to</w:t>
      </w:r>
      <w:r>
        <w:rPr>
          <w:spacing w:val="-2"/>
        </w:rPr>
        <w:t xml:space="preserve"> </w:t>
      </w:r>
      <w:r>
        <w:t>a</w:t>
      </w:r>
      <w:r>
        <w:rPr>
          <w:spacing w:val="-2"/>
        </w:rPr>
        <w:t xml:space="preserve"> </w:t>
      </w:r>
      <w:r>
        <w:t>certain</w:t>
      </w:r>
      <w:r>
        <w:rPr>
          <w:spacing w:val="-2"/>
        </w:rPr>
        <w:t xml:space="preserve"> </w:t>
      </w:r>
      <w:r>
        <w:t>point.</w:t>
      </w:r>
      <w:r>
        <w:rPr>
          <w:spacing w:val="-2"/>
        </w:rPr>
        <w:t xml:space="preserve"> </w:t>
      </w:r>
      <w:r>
        <w:t>Sometimes</w:t>
      </w:r>
      <w:r>
        <w:rPr>
          <w:spacing w:val="-2"/>
        </w:rPr>
        <w:t xml:space="preserve"> </w:t>
      </w:r>
      <w:r>
        <w:t>it’s</w:t>
      </w:r>
      <w:r>
        <w:rPr>
          <w:spacing w:val="-2"/>
        </w:rPr>
        <w:t xml:space="preserve"> </w:t>
      </w:r>
      <w:r>
        <w:t>not</w:t>
      </w:r>
      <w:r>
        <w:rPr>
          <w:spacing w:val="-2"/>
        </w:rPr>
        <w:t xml:space="preserve"> </w:t>
      </w:r>
      <w:r>
        <w:t>entirely</w:t>
      </w:r>
      <w:r>
        <w:rPr>
          <w:spacing w:val="-2"/>
        </w:rPr>
        <w:t xml:space="preserve"> </w:t>
      </w:r>
      <w:r>
        <w:t>clear</w:t>
      </w:r>
      <w:r>
        <w:rPr>
          <w:spacing w:val="-2"/>
        </w:rPr>
        <w:t xml:space="preserve"> </w:t>
      </w:r>
      <w:r>
        <w:t>whose</w:t>
      </w:r>
      <w:r>
        <w:rPr>
          <w:spacing w:val="-2"/>
        </w:rPr>
        <w:t xml:space="preserve"> </w:t>
      </w:r>
      <w:r>
        <w:t>sign</w:t>
      </w:r>
      <w:r>
        <w:rPr>
          <w:spacing w:val="-2"/>
        </w:rPr>
        <w:t xml:space="preserve"> </w:t>
      </w:r>
      <w:r>
        <w:t>off</w:t>
      </w:r>
      <w:r>
        <w:rPr>
          <w:spacing w:val="-2"/>
        </w:rPr>
        <w:t xml:space="preserve"> </w:t>
      </w:r>
      <w:r>
        <w:t>you</w:t>
      </w:r>
      <w:r>
        <w:rPr>
          <w:spacing w:val="-2"/>
        </w:rPr>
        <w:t xml:space="preserve"> </w:t>
      </w:r>
      <w:r>
        <w:t>need</w:t>
      </w:r>
      <w:r>
        <w:rPr>
          <w:spacing w:val="-2"/>
        </w:rPr>
        <w:t xml:space="preserve"> </w:t>
      </w:r>
      <w:r>
        <w:t>on</w:t>
      </w:r>
      <w:r>
        <w:rPr>
          <w:spacing w:val="-2"/>
        </w:rPr>
        <w:t xml:space="preserve"> </w:t>
      </w:r>
      <w:r>
        <w:t>certain things because everyone has an opinion, but no one will make the final call.’</w:t>
      </w:r>
    </w:p>
    <w:p w14:paraId="7486CEB3" w14:textId="77777777" w:rsidR="00F44204" w:rsidRDefault="00F44204" w:rsidP="0075106B">
      <w:pPr>
        <w:pStyle w:val="italicquote"/>
      </w:pPr>
      <w:r>
        <w:t>–</w:t>
      </w:r>
      <w:r>
        <w:rPr>
          <w:spacing w:val="1"/>
        </w:rPr>
        <w:t xml:space="preserve"> </w:t>
      </w:r>
      <w:r>
        <w:t>RBA</w:t>
      </w:r>
      <w:r>
        <w:rPr>
          <w:spacing w:val="1"/>
        </w:rPr>
        <w:t xml:space="preserve"> </w:t>
      </w:r>
      <w:r>
        <w:t>staff</w:t>
      </w:r>
      <w:r>
        <w:rPr>
          <w:spacing w:val="1"/>
        </w:rPr>
        <w:t xml:space="preserve"> </w:t>
      </w:r>
      <w:r>
        <w:rPr>
          <w:spacing w:val="-2"/>
        </w:rPr>
        <w:t>member</w:t>
      </w:r>
    </w:p>
    <w:p w14:paraId="28599D1D" w14:textId="576EA914" w:rsidR="00DE5060" w:rsidRDefault="00DE5060" w:rsidP="00DE5060">
      <w:r>
        <w:t>A</w:t>
      </w:r>
      <w:r>
        <w:rPr>
          <w:spacing w:val="2"/>
        </w:rPr>
        <w:t xml:space="preserve"> </w:t>
      </w:r>
      <w:r>
        <w:t>substantial</w:t>
      </w:r>
      <w:r>
        <w:rPr>
          <w:spacing w:val="3"/>
        </w:rPr>
        <w:t xml:space="preserve"> </w:t>
      </w:r>
      <w:r>
        <w:t>proportion</w:t>
      </w:r>
      <w:r>
        <w:rPr>
          <w:spacing w:val="3"/>
        </w:rPr>
        <w:t xml:space="preserve"> </w:t>
      </w:r>
      <w:r>
        <w:t>of</w:t>
      </w:r>
      <w:r>
        <w:rPr>
          <w:spacing w:val="2"/>
        </w:rPr>
        <w:t xml:space="preserve"> </w:t>
      </w:r>
      <w:r>
        <w:t>respondents</w:t>
      </w:r>
      <w:r>
        <w:rPr>
          <w:spacing w:val="3"/>
        </w:rPr>
        <w:t xml:space="preserve"> </w:t>
      </w:r>
      <w:r>
        <w:t>to</w:t>
      </w:r>
      <w:r>
        <w:rPr>
          <w:spacing w:val="3"/>
        </w:rPr>
        <w:t xml:space="preserve"> </w:t>
      </w:r>
      <w:r>
        <w:t>the</w:t>
      </w:r>
      <w:r>
        <w:rPr>
          <w:spacing w:val="2"/>
        </w:rPr>
        <w:t xml:space="preserve"> </w:t>
      </w:r>
      <w:r>
        <w:t>RBA</w:t>
      </w:r>
      <w:r>
        <w:rPr>
          <w:spacing w:val="3"/>
        </w:rPr>
        <w:t xml:space="preserve"> </w:t>
      </w:r>
      <w:r>
        <w:t>Review</w:t>
      </w:r>
      <w:r>
        <w:rPr>
          <w:spacing w:val="3"/>
        </w:rPr>
        <w:t xml:space="preserve"> </w:t>
      </w:r>
      <w:r>
        <w:t>Staff</w:t>
      </w:r>
      <w:r>
        <w:rPr>
          <w:spacing w:val="2"/>
        </w:rPr>
        <w:t xml:space="preserve"> </w:t>
      </w:r>
      <w:r>
        <w:t>Survey</w:t>
      </w:r>
      <w:r>
        <w:rPr>
          <w:spacing w:val="3"/>
        </w:rPr>
        <w:t xml:space="preserve"> </w:t>
      </w:r>
      <w:r>
        <w:t>indicated</w:t>
      </w:r>
      <w:r>
        <w:rPr>
          <w:spacing w:val="3"/>
        </w:rPr>
        <w:t xml:space="preserve"> </w:t>
      </w:r>
      <w:r>
        <w:t>that</w:t>
      </w:r>
      <w:r>
        <w:rPr>
          <w:spacing w:val="3"/>
        </w:rPr>
        <w:t xml:space="preserve"> </w:t>
      </w:r>
      <w:r>
        <w:rPr>
          <w:spacing w:val="-2"/>
        </w:rPr>
        <w:t xml:space="preserve">decision </w:t>
      </w:r>
      <w:r>
        <w:t>making</w:t>
      </w:r>
      <w:r>
        <w:rPr>
          <w:spacing w:val="-2"/>
        </w:rPr>
        <w:t xml:space="preserve"> </w:t>
      </w:r>
      <w:r>
        <w:t>processes</w:t>
      </w:r>
      <w:r>
        <w:rPr>
          <w:spacing w:val="-1"/>
        </w:rPr>
        <w:t xml:space="preserve"> </w:t>
      </w:r>
      <w:r>
        <w:t>created</w:t>
      </w:r>
      <w:r>
        <w:rPr>
          <w:spacing w:val="-2"/>
        </w:rPr>
        <w:t xml:space="preserve"> </w:t>
      </w:r>
      <w:r>
        <w:t>barriers</w:t>
      </w:r>
      <w:r>
        <w:rPr>
          <w:spacing w:val="-1"/>
        </w:rPr>
        <w:t xml:space="preserve"> </w:t>
      </w:r>
      <w:r>
        <w:t>to</w:t>
      </w:r>
      <w:r>
        <w:rPr>
          <w:spacing w:val="-2"/>
        </w:rPr>
        <w:t xml:space="preserve"> </w:t>
      </w:r>
      <w:r>
        <w:t>them</w:t>
      </w:r>
      <w:r>
        <w:rPr>
          <w:spacing w:val="-1"/>
        </w:rPr>
        <w:t xml:space="preserve"> </w:t>
      </w:r>
      <w:r>
        <w:t>performing</w:t>
      </w:r>
      <w:r>
        <w:rPr>
          <w:spacing w:val="-1"/>
        </w:rPr>
        <w:t xml:space="preserve"> </w:t>
      </w:r>
      <w:r>
        <w:t>at</w:t>
      </w:r>
      <w:r>
        <w:rPr>
          <w:spacing w:val="-2"/>
        </w:rPr>
        <w:t xml:space="preserve"> </w:t>
      </w:r>
      <w:r>
        <w:t>their</w:t>
      </w:r>
      <w:r>
        <w:rPr>
          <w:spacing w:val="-1"/>
        </w:rPr>
        <w:t xml:space="preserve"> </w:t>
      </w:r>
      <w:r>
        <w:t>best</w:t>
      </w:r>
      <w:r>
        <w:rPr>
          <w:spacing w:val="-2"/>
        </w:rPr>
        <w:t xml:space="preserve"> </w:t>
      </w:r>
      <w:r>
        <w:t>(Chart</w:t>
      </w:r>
      <w:r>
        <w:rPr>
          <w:spacing w:val="-1"/>
        </w:rPr>
        <w:t xml:space="preserve"> </w:t>
      </w:r>
      <w:r>
        <w:t>4</w:t>
      </w:r>
      <w:r w:rsidR="0068598E">
        <w:rPr>
          <w:spacing w:val="-25"/>
        </w:rPr>
        <w:t>.</w:t>
      </w:r>
      <w:r>
        <w:rPr>
          <w:w w:val="117"/>
        </w:rPr>
        <w:t>3)</w:t>
      </w:r>
      <w:r w:rsidR="0068598E">
        <w:rPr>
          <w:spacing w:val="-24"/>
          <w:w w:val="99"/>
        </w:rPr>
        <w:t>.</w:t>
      </w:r>
    </w:p>
    <w:p w14:paraId="1641F864" w14:textId="52B3349C" w:rsidR="00450FBC" w:rsidRDefault="00450FBC" w:rsidP="00181A85">
      <w:pPr>
        <w:pStyle w:val="BoxHeading"/>
      </w:pPr>
      <w:r>
        <w:lastRenderedPageBreak/>
        <w:t>Chart 4.3: Staff perceptions of barriers to them performing at their best (decision making)</w:t>
      </w:r>
    </w:p>
    <w:p w14:paraId="2ED287B0" w14:textId="68EFD34A" w:rsidR="008B4756" w:rsidRDefault="00181A85" w:rsidP="00181A85">
      <w:pPr>
        <w:keepNext/>
        <w:jc w:val="center"/>
      </w:pPr>
      <w:r>
        <w:rPr>
          <w:noProof/>
        </w:rPr>
        <w:drawing>
          <wp:inline distT="0" distB="0" distL="0" distR="0" wp14:anchorId="5389B23F" wp14:editId="31C38FE0">
            <wp:extent cx="4892926" cy="2368672"/>
            <wp:effectExtent l="0" t="0" r="3175" b="0"/>
            <wp:docPr id="29" name="Picture 29" descr="Bar chart showing the proportion of RBA staff members who agreed, disagreed or were neutral about a statement.&#10;Multiple layers of decision making within the RBA are a barrier to me performing at my best. Agree 39 per cent. Somewhat 31 per cent. Disagree 30 per cent. &#10;Authority for decision making is at a higher level than required. Agree 36 per cent. Somewhat 27 per cent. Disagree 37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r chart showing the proportion of RBA staff members who agreed, disagreed or were neutral about a statement.&#10;Multiple layers of decision making within the RBA are a barrier to me performing at my best. Agree 39 per cent. Somewhat 31 per cent. Disagree 30 per cent. &#10;Authority for decision making is at a higher level than required. Agree 36 per cent. Somewhat 27 per cent. Disagree 37 per cent. &#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92926" cy="2368672"/>
                    </a:xfrm>
                    <a:prstGeom prst="rect">
                      <a:avLst/>
                    </a:prstGeom>
                  </pic:spPr>
                </pic:pic>
              </a:graphicData>
            </a:graphic>
          </wp:inline>
        </w:drawing>
      </w:r>
    </w:p>
    <w:p w14:paraId="0337C005" w14:textId="57BAA82C" w:rsidR="00524F8D" w:rsidRDefault="00524F8D" w:rsidP="00181A85">
      <w:pPr>
        <w:pStyle w:val="Note"/>
        <w:keepNext/>
      </w:pPr>
      <w:r>
        <w:t>Source:</w:t>
      </w:r>
      <w:r>
        <w:rPr>
          <w:spacing w:val="5"/>
        </w:rPr>
        <w:t xml:space="preserve"> </w:t>
      </w:r>
      <w:r>
        <w:t>RBA</w:t>
      </w:r>
      <w:r>
        <w:rPr>
          <w:spacing w:val="6"/>
        </w:rPr>
        <w:t xml:space="preserve"> </w:t>
      </w:r>
      <w:r>
        <w:t>Review</w:t>
      </w:r>
      <w:r>
        <w:rPr>
          <w:spacing w:val="6"/>
        </w:rPr>
        <w:t xml:space="preserve"> </w:t>
      </w:r>
      <w:r>
        <w:t>Staff</w:t>
      </w:r>
      <w:r>
        <w:rPr>
          <w:spacing w:val="6"/>
        </w:rPr>
        <w:t xml:space="preserve"> </w:t>
      </w:r>
      <w:r>
        <w:t>Survey</w:t>
      </w:r>
      <w:r>
        <w:rPr>
          <w:spacing w:val="6"/>
        </w:rPr>
        <w:t xml:space="preserve"> </w:t>
      </w:r>
      <w:r>
        <w:t>(2022)</w:t>
      </w:r>
      <w:r w:rsidR="0068598E">
        <w:rPr>
          <w:spacing w:val="-19"/>
        </w:rPr>
        <w:t>.</w:t>
      </w:r>
    </w:p>
    <w:p w14:paraId="0CCE2C1A" w14:textId="77777777" w:rsidR="00524F8D" w:rsidRDefault="00524F8D" w:rsidP="00181A85">
      <w:pPr>
        <w:pStyle w:val="Note"/>
        <w:keepNext/>
      </w:pPr>
      <w:r>
        <w:t>Note: Response scale was ‘to a very great extent’, ‘to a great extent’, ‘somewhat’, ‘very little’, ‘not at all’. Agree includes ‘to a very great extent’ and ‘to a great extent’. Disagree includes ‘very little’ and ‘not at all’.</w:t>
      </w:r>
    </w:p>
    <w:p w14:paraId="43260DF5" w14:textId="77777777" w:rsidR="00C6628D" w:rsidRDefault="00C6628D" w:rsidP="00C6628D">
      <w:r>
        <w:t>Staff</w:t>
      </w:r>
      <w:r>
        <w:rPr>
          <w:spacing w:val="9"/>
        </w:rPr>
        <w:t xml:space="preserve"> </w:t>
      </w:r>
      <w:r>
        <w:t>observations</w:t>
      </w:r>
      <w:r>
        <w:rPr>
          <w:spacing w:val="9"/>
        </w:rPr>
        <w:t xml:space="preserve"> </w:t>
      </w:r>
      <w:r>
        <w:rPr>
          <w:spacing w:val="-2"/>
        </w:rPr>
        <w:t>included:</w:t>
      </w:r>
    </w:p>
    <w:p w14:paraId="25F25562" w14:textId="77777777" w:rsidR="00C6628D" w:rsidRDefault="00C6628D" w:rsidP="00C6628D">
      <w:pPr>
        <w:pStyle w:val="italicquote"/>
      </w:pPr>
      <w:r>
        <w:t>‘…The</w:t>
      </w:r>
      <w:r>
        <w:rPr>
          <w:spacing w:val="-2"/>
        </w:rPr>
        <w:t xml:space="preserve"> </w:t>
      </w:r>
      <w:r>
        <w:t>RBA</w:t>
      </w:r>
      <w:r>
        <w:rPr>
          <w:spacing w:val="-2"/>
        </w:rPr>
        <w:t xml:space="preserve"> </w:t>
      </w:r>
      <w:r>
        <w:t>should</w:t>
      </w:r>
      <w:r>
        <w:rPr>
          <w:spacing w:val="-2"/>
        </w:rPr>
        <w:t xml:space="preserve"> </w:t>
      </w:r>
      <w:r>
        <w:t>become</w:t>
      </w:r>
      <w:r>
        <w:rPr>
          <w:spacing w:val="-2"/>
        </w:rPr>
        <w:t xml:space="preserve"> </w:t>
      </w:r>
      <w:r>
        <w:t>better</w:t>
      </w:r>
      <w:r>
        <w:rPr>
          <w:spacing w:val="-2"/>
        </w:rPr>
        <w:t xml:space="preserve"> </w:t>
      </w:r>
      <w:r>
        <w:t>at</w:t>
      </w:r>
      <w:r>
        <w:rPr>
          <w:spacing w:val="-2"/>
        </w:rPr>
        <w:t xml:space="preserve"> </w:t>
      </w:r>
      <w:r>
        <w:t>empowering,</w:t>
      </w:r>
      <w:r>
        <w:rPr>
          <w:spacing w:val="-2"/>
        </w:rPr>
        <w:t xml:space="preserve"> </w:t>
      </w:r>
      <w:r>
        <w:t>delegating</w:t>
      </w:r>
      <w:r>
        <w:rPr>
          <w:spacing w:val="-2"/>
        </w:rPr>
        <w:t xml:space="preserve"> </w:t>
      </w:r>
      <w:r>
        <w:t>responsibility</w:t>
      </w:r>
      <w:r>
        <w:rPr>
          <w:spacing w:val="-2"/>
        </w:rPr>
        <w:t xml:space="preserve"> </w:t>
      </w:r>
      <w:r>
        <w:t>and</w:t>
      </w:r>
      <w:r>
        <w:rPr>
          <w:spacing w:val="-2"/>
        </w:rPr>
        <w:t xml:space="preserve"> </w:t>
      </w:r>
      <w:r>
        <w:t>holding</w:t>
      </w:r>
      <w:r>
        <w:rPr>
          <w:spacing w:val="-2"/>
        </w:rPr>
        <w:t xml:space="preserve"> </w:t>
      </w:r>
      <w:r>
        <w:t>to</w:t>
      </w:r>
      <w:r>
        <w:rPr>
          <w:spacing w:val="-2"/>
        </w:rPr>
        <w:t xml:space="preserve"> </w:t>
      </w:r>
      <w:r>
        <w:t>account, rather than pushing the accountability to the highest level. This practice also removes decision makers from the subject matter, enabling poor decisions to be made, especially when a lack of cognitive diversity and hierarchical culture silence voices that could challenge decisions.’</w:t>
      </w:r>
    </w:p>
    <w:p w14:paraId="5CC26139" w14:textId="77777777" w:rsidR="00C6628D" w:rsidRDefault="00C6628D" w:rsidP="00C6628D">
      <w:pPr>
        <w:pStyle w:val="italicquote"/>
      </w:pPr>
      <w:r>
        <w:t>–</w:t>
      </w:r>
      <w:r>
        <w:rPr>
          <w:spacing w:val="1"/>
        </w:rPr>
        <w:t xml:space="preserve"> </w:t>
      </w:r>
      <w:r>
        <w:t>RBA</w:t>
      </w:r>
      <w:r>
        <w:rPr>
          <w:spacing w:val="1"/>
        </w:rPr>
        <w:t xml:space="preserve"> </w:t>
      </w:r>
      <w:r>
        <w:t>staff</w:t>
      </w:r>
      <w:r>
        <w:rPr>
          <w:spacing w:val="1"/>
        </w:rPr>
        <w:t xml:space="preserve"> </w:t>
      </w:r>
      <w:r>
        <w:rPr>
          <w:spacing w:val="-2"/>
        </w:rPr>
        <w:t>member</w:t>
      </w:r>
    </w:p>
    <w:p w14:paraId="2818B2A2" w14:textId="01268810" w:rsidR="00C6628D" w:rsidRDefault="00C6628D" w:rsidP="00C6628D">
      <w:r>
        <w:t>The RBA would benefit from identifying opportunities to improve the clarity and consistency of delegation among its staff. This should be supported and sponsored by the COO, and should include consideration of roles, responsibilities, accountabilities, and management spans of control across all areas and levels of the RBA</w:t>
      </w:r>
      <w:r w:rsidR="0068598E">
        <w:rPr>
          <w:spacing w:val="-24"/>
        </w:rPr>
        <w:t>.</w:t>
      </w:r>
      <w:r>
        <w:rPr>
          <w:w w:val="85"/>
        </w:rPr>
        <w:t xml:space="preserve"> </w:t>
      </w:r>
      <w:r>
        <w:t>Delegation authorities in important operational areas of the RBA should be subject to occasional internal audits to ensure they are being followed</w:t>
      </w:r>
      <w:r w:rsidR="0068598E">
        <w:rPr>
          <w:spacing w:val="-19"/>
        </w:rPr>
        <w:t>.</w:t>
      </w:r>
    </w:p>
    <w:p w14:paraId="398A7848" w14:textId="77777777" w:rsidR="000622F1" w:rsidRDefault="000622F1" w:rsidP="000622F1">
      <w:pPr>
        <w:pStyle w:val="Heading4"/>
      </w:pPr>
      <w:r>
        <w:t>More</w:t>
      </w:r>
      <w:r>
        <w:rPr>
          <w:spacing w:val="1"/>
        </w:rPr>
        <w:t xml:space="preserve"> </w:t>
      </w:r>
      <w:r>
        <w:t>dynamic</w:t>
      </w:r>
      <w:r>
        <w:rPr>
          <w:spacing w:val="2"/>
        </w:rPr>
        <w:t xml:space="preserve"> </w:t>
      </w:r>
      <w:r>
        <w:t>and</w:t>
      </w:r>
      <w:r>
        <w:rPr>
          <w:spacing w:val="1"/>
        </w:rPr>
        <w:t xml:space="preserve"> </w:t>
      </w:r>
      <w:r>
        <w:t>flexible</w:t>
      </w:r>
      <w:r>
        <w:rPr>
          <w:spacing w:val="2"/>
        </w:rPr>
        <w:t xml:space="preserve"> </w:t>
      </w:r>
      <w:r>
        <w:t>structures</w:t>
      </w:r>
      <w:r>
        <w:rPr>
          <w:spacing w:val="2"/>
        </w:rPr>
        <w:t xml:space="preserve"> </w:t>
      </w:r>
      <w:r>
        <w:t>and</w:t>
      </w:r>
      <w:r>
        <w:rPr>
          <w:spacing w:val="1"/>
        </w:rPr>
        <w:t xml:space="preserve"> </w:t>
      </w:r>
      <w:r>
        <w:rPr>
          <w:spacing w:val="-2"/>
        </w:rPr>
        <w:t>approaches</w:t>
      </w:r>
    </w:p>
    <w:p w14:paraId="03615179" w14:textId="7F93BE4F" w:rsidR="000622F1" w:rsidRDefault="000622F1" w:rsidP="000622F1">
      <w:r>
        <w:t xml:space="preserve">The RBA has long-standing and relatively unchanged organisational structures. Several senior staff members noted that significant restructures are rare. The last major organisational restructure was catalysed by external events in 1998 – the Government’s shifting of bank prudential supervision </w:t>
      </w:r>
      <w:r>
        <w:rPr>
          <w:color w:val="231F20"/>
        </w:rPr>
        <w:t>to APRA, and the establishment of the Payments System Board. Staff members also reflected that short-term mobility and reorganisation of resources to quickly respond to emerging issues is not</w:t>
      </w:r>
      <w:r>
        <w:rPr>
          <w:color w:val="231F20"/>
          <w:spacing w:val="80"/>
        </w:rPr>
        <w:t xml:space="preserve"> </w:t>
      </w:r>
      <w:r>
        <w:rPr>
          <w:color w:val="231F20"/>
        </w:rPr>
        <w:t>a well-established or particularly valued way of working within the RBA</w:t>
      </w:r>
      <w:r w:rsidR="0068598E">
        <w:rPr>
          <w:color w:val="231F20"/>
          <w:spacing w:val="-18"/>
        </w:rPr>
        <w:t>.</w:t>
      </w:r>
      <w:r>
        <w:rPr>
          <w:color w:val="231F20"/>
          <w:w w:val="85"/>
        </w:rPr>
        <w:t xml:space="preserve"> </w:t>
      </w:r>
      <w:r>
        <w:rPr>
          <w:color w:val="231F20"/>
        </w:rPr>
        <w:t>However, the onset of the COVID-19 pandemic did necessitate some rapid reorganisation of employees, showing that it is possible.</w:t>
      </w:r>
    </w:p>
    <w:p w14:paraId="477F316D" w14:textId="24CEE9C4" w:rsidR="000622F1" w:rsidRDefault="000622F1" w:rsidP="000622F1">
      <w:r>
        <w:t>Long-standing structure has some benefits. Staff members reflected that it is ‘easy to figure out</w:t>
      </w:r>
      <w:r>
        <w:rPr>
          <w:spacing w:val="80"/>
        </w:rPr>
        <w:t xml:space="preserve"> </w:t>
      </w:r>
      <w:r>
        <w:t>who does what’ at the RBA. In the RBA Review Staff Survey, 83 per cent of employees thought it was clear what their duties and responsibilities were. However, staff members generally expressed a greater desire for more agility in how they worked</w:t>
      </w:r>
      <w:r w:rsidR="0068598E">
        <w:rPr>
          <w:spacing w:val="-19"/>
        </w:rPr>
        <w:t>.</w:t>
      </w:r>
      <w:r>
        <w:rPr>
          <w:w w:val="85"/>
        </w:rPr>
        <w:t xml:space="preserve"> </w:t>
      </w:r>
      <w:r>
        <w:t>Comments to the Review included:</w:t>
      </w:r>
    </w:p>
    <w:p w14:paraId="7597EB5A" w14:textId="77777777" w:rsidR="000622F1" w:rsidRDefault="000622F1" w:rsidP="00B832A8">
      <w:pPr>
        <w:pStyle w:val="italicquote"/>
        <w:keepNext/>
        <w:ind w:right="522"/>
      </w:pPr>
      <w:r>
        <w:lastRenderedPageBreak/>
        <w:t>‘There is a Bank-wide issue in sometimes not being bold enough to ‘give something a shot’, or</w:t>
      </w:r>
      <w:r>
        <w:rPr>
          <w:spacing w:val="40"/>
        </w:rPr>
        <w:t xml:space="preserve"> </w:t>
      </w:r>
      <w:r>
        <w:t>to</w:t>
      </w:r>
      <w:r>
        <w:rPr>
          <w:spacing w:val="-1"/>
        </w:rPr>
        <w:t xml:space="preserve"> </w:t>
      </w:r>
      <w:r>
        <w:t>restructure</w:t>
      </w:r>
      <w:r>
        <w:rPr>
          <w:spacing w:val="-1"/>
        </w:rPr>
        <w:t xml:space="preserve"> </w:t>
      </w:r>
      <w:r>
        <w:t>teams</w:t>
      </w:r>
      <w:r>
        <w:rPr>
          <w:spacing w:val="-1"/>
        </w:rPr>
        <w:t xml:space="preserve"> </w:t>
      </w:r>
      <w:r>
        <w:t>and</w:t>
      </w:r>
      <w:r>
        <w:rPr>
          <w:spacing w:val="-1"/>
        </w:rPr>
        <w:t xml:space="preserve"> </w:t>
      </w:r>
      <w:r>
        <w:t>try</w:t>
      </w:r>
      <w:r>
        <w:rPr>
          <w:spacing w:val="-1"/>
        </w:rPr>
        <w:t xml:space="preserve"> </w:t>
      </w:r>
      <w:r>
        <w:t>new</w:t>
      </w:r>
      <w:r>
        <w:rPr>
          <w:spacing w:val="-1"/>
        </w:rPr>
        <w:t xml:space="preserve"> </w:t>
      </w:r>
      <w:r>
        <w:t>things.</w:t>
      </w:r>
      <w:r>
        <w:rPr>
          <w:spacing w:val="-1"/>
        </w:rPr>
        <w:t xml:space="preserve"> </w:t>
      </w:r>
      <w:r>
        <w:t>In</w:t>
      </w:r>
      <w:r>
        <w:rPr>
          <w:spacing w:val="-1"/>
        </w:rPr>
        <w:t xml:space="preserve"> </w:t>
      </w:r>
      <w:r>
        <w:t>part,</w:t>
      </w:r>
      <w:r>
        <w:rPr>
          <w:spacing w:val="-1"/>
        </w:rPr>
        <w:t xml:space="preserve"> </w:t>
      </w:r>
      <w:r>
        <w:t>this</w:t>
      </w:r>
      <w:r>
        <w:rPr>
          <w:spacing w:val="-1"/>
        </w:rPr>
        <w:t xml:space="preserve"> </w:t>
      </w:r>
      <w:r>
        <w:t>is</w:t>
      </w:r>
      <w:r>
        <w:rPr>
          <w:spacing w:val="-1"/>
        </w:rPr>
        <w:t xml:space="preserve"> </w:t>
      </w:r>
      <w:r>
        <w:t>because</w:t>
      </w:r>
      <w:r>
        <w:rPr>
          <w:spacing w:val="-1"/>
        </w:rPr>
        <w:t xml:space="preserve"> </w:t>
      </w:r>
      <w:r>
        <w:t>the</w:t>
      </w:r>
      <w:r>
        <w:rPr>
          <w:spacing w:val="-1"/>
        </w:rPr>
        <w:t xml:space="preserve"> </w:t>
      </w:r>
      <w:r>
        <w:t>Bank</w:t>
      </w:r>
      <w:r>
        <w:rPr>
          <w:spacing w:val="-1"/>
        </w:rPr>
        <w:t xml:space="preserve"> </w:t>
      </w:r>
      <w:r>
        <w:t>hasn’t</w:t>
      </w:r>
      <w:r>
        <w:rPr>
          <w:spacing w:val="-1"/>
        </w:rPr>
        <w:t xml:space="preserve"> </w:t>
      </w:r>
      <w:r>
        <w:t>faced</w:t>
      </w:r>
      <w:r>
        <w:rPr>
          <w:spacing w:val="-1"/>
        </w:rPr>
        <w:t xml:space="preserve"> </w:t>
      </w:r>
      <w:r>
        <w:t>the</w:t>
      </w:r>
      <w:r>
        <w:rPr>
          <w:spacing w:val="-1"/>
        </w:rPr>
        <w:t xml:space="preserve"> </w:t>
      </w:r>
      <w:r>
        <w:t>same external pressures as other organisations.’</w:t>
      </w:r>
    </w:p>
    <w:p w14:paraId="602CC3D8" w14:textId="77777777" w:rsidR="000622F1" w:rsidRDefault="000622F1" w:rsidP="00B832A8">
      <w:pPr>
        <w:pStyle w:val="italicquote"/>
        <w:keepNext/>
        <w:ind w:right="522"/>
      </w:pPr>
      <w:r>
        <w:t>̶</w:t>
      </w:r>
      <w:r>
        <w:rPr>
          <w:spacing w:val="-1"/>
        </w:rPr>
        <w:t xml:space="preserve"> </w:t>
      </w:r>
      <w:r>
        <w:t>̶</w:t>
      </w:r>
      <w:r>
        <w:rPr>
          <w:spacing w:val="53"/>
        </w:rPr>
        <w:t xml:space="preserve"> </w:t>
      </w:r>
      <w:r>
        <w:t xml:space="preserve">RBA staff </w:t>
      </w:r>
      <w:r>
        <w:rPr>
          <w:spacing w:val="-2"/>
        </w:rPr>
        <w:t>member</w:t>
      </w:r>
    </w:p>
    <w:p w14:paraId="3FBAFB4C" w14:textId="759F9A30" w:rsidR="000622F1" w:rsidRDefault="000622F1" w:rsidP="000622F1">
      <w:r>
        <w:t>The RBA would benefit from more regularly considering how its organisational structu</w:t>
      </w:r>
      <w:r w:rsidR="0068598E">
        <w:t>r</w:t>
      </w:r>
      <w:r>
        <w:t>e could be adapted</w:t>
      </w:r>
      <w:r>
        <w:rPr>
          <w:spacing w:val="-1"/>
        </w:rPr>
        <w:t xml:space="preserve"> </w:t>
      </w:r>
      <w:r>
        <w:t>to</w:t>
      </w:r>
      <w:r>
        <w:rPr>
          <w:spacing w:val="-1"/>
        </w:rPr>
        <w:t xml:space="preserve"> </w:t>
      </w:r>
      <w:r>
        <w:t>better</w:t>
      </w:r>
      <w:r>
        <w:rPr>
          <w:spacing w:val="-1"/>
        </w:rPr>
        <w:t xml:space="preserve"> </w:t>
      </w:r>
      <w:r>
        <w:t>enable</w:t>
      </w:r>
      <w:r>
        <w:rPr>
          <w:spacing w:val="-1"/>
        </w:rPr>
        <w:t xml:space="preserve"> </w:t>
      </w:r>
      <w:r>
        <w:t>it</w:t>
      </w:r>
      <w:r>
        <w:rPr>
          <w:spacing w:val="-1"/>
        </w:rPr>
        <w:t xml:space="preserve"> </w:t>
      </w:r>
      <w:r>
        <w:t>to</w:t>
      </w:r>
      <w:r>
        <w:rPr>
          <w:spacing w:val="-1"/>
        </w:rPr>
        <w:t xml:space="preserve"> </w:t>
      </w:r>
      <w:r>
        <w:t>respond</w:t>
      </w:r>
      <w:r>
        <w:rPr>
          <w:spacing w:val="-1"/>
        </w:rPr>
        <w:t xml:space="preserve"> </w:t>
      </w:r>
      <w:r>
        <w:t>to</w:t>
      </w:r>
      <w:r>
        <w:rPr>
          <w:spacing w:val="-1"/>
        </w:rPr>
        <w:t xml:space="preserve"> </w:t>
      </w:r>
      <w:r>
        <w:t>emerging</w:t>
      </w:r>
      <w:r>
        <w:rPr>
          <w:spacing w:val="-1"/>
        </w:rPr>
        <w:t xml:space="preserve"> </w:t>
      </w:r>
      <w:r>
        <w:t>risks,</w:t>
      </w:r>
      <w:r>
        <w:rPr>
          <w:spacing w:val="-1"/>
        </w:rPr>
        <w:t xml:space="preserve"> </w:t>
      </w:r>
      <w:r>
        <w:t>challenges</w:t>
      </w:r>
      <w:r>
        <w:rPr>
          <w:spacing w:val="-1"/>
        </w:rPr>
        <w:t xml:space="preserve"> </w:t>
      </w:r>
      <w:r>
        <w:t>and</w:t>
      </w:r>
      <w:r>
        <w:rPr>
          <w:spacing w:val="-1"/>
        </w:rPr>
        <w:t xml:space="preserve"> </w:t>
      </w:r>
      <w:r>
        <w:t>short-term</w:t>
      </w:r>
      <w:r>
        <w:rPr>
          <w:spacing w:val="-1"/>
        </w:rPr>
        <w:t xml:space="preserve"> </w:t>
      </w:r>
      <w:r>
        <w:t>pressures</w:t>
      </w:r>
      <w:r w:rsidR="0068598E">
        <w:rPr>
          <w:spacing w:val="-24"/>
        </w:rPr>
        <w:t>.</w:t>
      </w:r>
      <w:r>
        <w:rPr>
          <w:w w:val="85"/>
        </w:rPr>
        <w:t xml:space="preserve"> </w:t>
      </w:r>
      <w:r>
        <w:t>This would also help to ensure that its resources are being used effectively and efficiently.</w:t>
      </w:r>
    </w:p>
    <w:p w14:paraId="034779CA" w14:textId="59B1FA20" w:rsidR="000622F1" w:rsidRDefault="000622F1" w:rsidP="000622F1">
      <w:r>
        <w:t>Related to this, the RBA should enhance its strategic workforce planning, which is currently an area of limited capability and capacity</w:t>
      </w:r>
      <w:r w:rsidR="0068598E">
        <w:rPr>
          <w:spacing w:val="-24"/>
        </w:rPr>
        <w:t>.</w:t>
      </w:r>
      <w:r>
        <w:rPr>
          <w:w w:val="85"/>
        </w:rPr>
        <w:t xml:space="preserve"> </w:t>
      </w:r>
      <w:r>
        <w:t>The RBA is not alone in this with only 54 per cent of APS agencies having their own workforce plan and 76 per cent of APS capability reviews conducted between</w:t>
      </w:r>
      <w:r>
        <w:rPr>
          <w:spacing w:val="40"/>
        </w:rPr>
        <w:t xml:space="preserve"> </w:t>
      </w:r>
      <w:r>
        <w:t>2011 and 2015 identifying workforce planning as a serious concern (Independent Review of the Australian Public Service 2019)</w:t>
      </w:r>
      <w:r w:rsidR="0068598E">
        <w:rPr>
          <w:spacing w:val="-9"/>
        </w:rPr>
        <w:t>.</w:t>
      </w:r>
    </w:p>
    <w:p w14:paraId="6817F26D" w14:textId="6796FEED" w:rsidR="000622F1" w:rsidRDefault="000622F1" w:rsidP="000622F1">
      <w:r>
        <w:t>During focus groups and interviews, staff members relayed examples of areas where they</w:t>
      </w:r>
      <w:r>
        <w:rPr>
          <w:spacing w:val="80"/>
        </w:rPr>
        <w:t xml:space="preserve"> </w:t>
      </w:r>
      <w:r>
        <w:t>thought the RBA should plan to develop enhanced skills to improve its future performance</w:t>
      </w:r>
      <w:r w:rsidR="0068598E">
        <w:rPr>
          <w:spacing w:val="-24"/>
        </w:rPr>
        <w:t>.</w:t>
      </w:r>
      <w:r>
        <w:rPr>
          <w:w w:val="85"/>
        </w:rPr>
        <w:t xml:space="preserve"> </w:t>
      </w:r>
      <w:r>
        <w:t>These included expertise in computer coding and modern, accessible communications. Planning for</w:t>
      </w:r>
      <w:r>
        <w:rPr>
          <w:spacing w:val="40"/>
        </w:rPr>
        <w:t xml:space="preserve"> </w:t>
      </w:r>
      <w:r>
        <w:t>such changes would also enhance the RBA’s ability to uplift career planning and development, a point of consistent calls for improvement from staff members (see also Recommendation 11.2 of this chapter).</w:t>
      </w:r>
    </w:p>
    <w:p w14:paraId="79BC3AB4" w14:textId="7D9DBD96" w:rsidR="000622F1" w:rsidRDefault="000622F1" w:rsidP="000622F1">
      <w:r>
        <w:t>The Review also heard concerns from staff members that internal RBA processes were quite inflexible. Staff members gave multiple examples of processes that were unnecessarily drawn out. For example, several staff members told the Review that procurement processes could require so many layers of approval that quotes had expired by the time the process was complete. Other staff members relayed that processes around decision making could be performative and superficial rather than genuine, and that it was difficult to prosecute new ways of doing things and push back against a ‘we’ve always done it this way’ attitude</w:t>
      </w:r>
      <w:r w:rsidR="0068598E">
        <w:rPr>
          <w:spacing w:val="-13"/>
        </w:rPr>
        <w:t>.</w:t>
      </w:r>
    </w:p>
    <w:p w14:paraId="45250CF1" w14:textId="04A65F75" w:rsidR="000622F1" w:rsidRDefault="000622F1" w:rsidP="000622F1">
      <w:r>
        <w:t>In the RBA Review Staff Survey, perceptions of administrative burden and change management were poorer than across the APS (Chart 4</w:t>
      </w:r>
      <w:r w:rsidR="0068598E">
        <w:rPr>
          <w:spacing w:val="-21"/>
        </w:rPr>
        <w:t>.</w:t>
      </w:r>
      <w:r>
        <w:rPr>
          <w:w w:val="117"/>
        </w:rPr>
        <w:t>4)</w:t>
      </w:r>
      <w:r w:rsidR="0068598E">
        <w:rPr>
          <w:spacing w:val="-21"/>
          <w:w w:val="99"/>
        </w:rPr>
        <w:t>.</w:t>
      </w:r>
      <w:r>
        <w:rPr>
          <w:w w:val="85"/>
        </w:rPr>
        <w:t xml:space="preserve"> </w:t>
      </w:r>
      <w:r>
        <w:t>The proportion of respondents who agreed that change is managed well in their organisation was 9 percentage points lower than the APS</w:t>
      </w:r>
      <w:r w:rsidR="0068598E">
        <w:rPr>
          <w:spacing w:val="-19"/>
        </w:rPr>
        <w:t>.</w:t>
      </w:r>
    </w:p>
    <w:p w14:paraId="33DC654D" w14:textId="77777777" w:rsidR="002A1E1F" w:rsidRDefault="002A1E1F" w:rsidP="00F3091C">
      <w:pPr>
        <w:pStyle w:val="BoxHeading"/>
        <w:keepLines/>
      </w:pPr>
      <w:r>
        <w:lastRenderedPageBreak/>
        <w:t>Chart</w:t>
      </w:r>
      <w:r>
        <w:rPr>
          <w:spacing w:val="1"/>
        </w:rPr>
        <w:t xml:space="preserve"> </w:t>
      </w:r>
      <w:r>
        <w:t>4.4:</w:t>
      </w:r>
      <w:r>
        <w:rPr>
          <w:spacing w:val="2"/>
        </w:rPr>
        <w:t xml:space="preserve"> </w:t>
      </w:r>
      <w:r>
        <w:t>Staff</w:t>
      </w:r>
      <w:r>
        <w:rPr>
          <w:spacing w:val="2"/>
        </w:rPr>
        <w:t xml:space="preserve"> </w:t>
      </w:r>
      <w:r>
        <w:t>perceptions</w:t>
      </w:r>
      <w:r>
        <w:rPr>
          <w:spacing w:val="2"/>
        </w:rPr>
        <w:t xml:space="preserve"> </w:t>
      </w:r>
      <w:r>
        <w:t>of</w:t>
      </w:r>
      <w:r>
        <w:rPr>
          <w:spacing w:val="2"/>
        </w:rPr>
        <w:t xml:space="preserve"> </w:t>
      </w:r>
      <w:r>
        <w:t>change</w:t>
      </w:r>
      <w:r>
        <w:rPr>
          <w:spacing w:val="2"/>
        </w:rPr>
        <w:t xml:space="preserve"> </w:t>
      </w:r>
      <w:r>
        <w:t>management</w:t>
      </w:r>
      <w:r>
        <w:rPr>
          <w:spacing w:val="1"/>
        </w:rPr>
        <w:t xml:space="preserve"> </w:t>
      </w:r>
      <w:r>
        <w:t>and</w:t>
      </w:r>
      <w:r>
        <w:rPr>
          <w:spacing w:val="2"/>
        </w:rPr>
        <w:t xml:space="preserve"> </w:t>
      </w:r>
      <w:r>
        <w:t>administrative</w:t>
      </w:r>
      <w:r>
        <w:rPr>
          <w:spacing w:val="2"/>
        </w:rPr>
        <w:t xml:space="preserve"> </w:t>
      </w:r>
      <w:r>
        <w:rPr>
          <w:spacing w:val="-2"/>
        </w:rPr>
        <w:t>processes</w:t>
      </w:r>
    </w:p>
    <w:p w14:paraId="0065F5AE" w14:textId="05C25042" w:rsidR="00524F8D" w:rsidRDefault="00181A85" w:rsidP="00F3091C">
      <w:pPr>
        <w:keepNext/>
        <w:keepLines/>
        <w:jc w:val="center"/>
      </w:pPr>
      <w:r>
        <w:rPr>
          <w:noProof/>
        </w:rPr>
        <w:drawing>
          <wp:inline distT="0" distB="0" distL="0" distR="0" wp14:anchorId="0A8D9985" wp14:editId="5FBEB21B">
            <wp:extent cx="4892926" cy="2536955"/>
            <wp:effectExtent l="0" t="0" r="3175" b="0"/>
            <wp:docPr id="31" name="Picture 31" descr="Bar chart showing the proportion of RBA staff members who agreed, disagreed or were neutral about a statement.&#10;Staff are consulted about change at work. Agree 48 per cent. Sometimes 36 per cent. Disagree 16 per cent. &#10;Change is managed well in the RBA. Agree 35 per cent. Neutral 32 per cent. Disagree 32 per cent. &#10;Administrative processes within the RBA are a barrier to me performing at my best. Agree 38 per cent. Somewhat 36 per cent. Disagree 26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ar chart showing the proportion of RBA staff members who agreed, disagreed or were neutral about a statement.&#10;Staff are consulted about change at work. Agree 48 per cent. Sometimes 36 per cent. Disagree 16 per cent. &#10;Change is managed well in the RBA. Agree 35 per cent. Neutral 32 per cent. Disagree 32 per cent. &#10;Administrative processes within the RBA are a barrier to me performing at my best. Agree 38 per cent. Somewhat 36 per cent. Disagree 26 per cent. &#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92926" cy="2536955"/>
                    </a:xfrm>
                    <a:prstGeom prst="rect">
                      <a:avLst/>
                    </a:prstGeom>
                  </pic:spPr>
                </pic:pic>
              </a:graphicData>
            </a:graphic>
          </wp:inline>
        </w:drawing>
      </w:r>
    </w:p>
    <w:p w14:paraId="11A646BB" w14:textId="4E8B0B28" w:rsidR="00EB7400" w:rsidRDefault="00EB7400" w:rsidP="00F3091C">
      <w:pPr>
        <w:pStyle w:val="Note"/>
        <w:keepNext/>
        <w:keepLines/>
      </w:pPr>
      <w:r>
        <w:t>Source:</w:t>
      </w:r>
      <w:r>
        <w:rPr>
          <w:spacing w:val="5"/>
        </w:rPr>
        <w:t xml:space="preserve"> </w:t>
      </w:r>
      <w:r>
        <w:t>RBA</w:t>
      </w:r>
      <w:r>
        <w:rPr>
          <w:spacing w:val="6"/>
        </w:rPr>
        <w:t xml:space="preserve"> </w:t>
      </w:r>
      <w:r>
        <w:t>Review</w:t>
      </w:r>
      <w:r>
        <w:rPr>
          <w:spacing w:val="6"/>
        </w:rPr>
        <w:t xml:space="preserve"> </w:t>
      </w:r>
      <w:r>
        <w:t>Staff</w:t>
      </w:r>
      <w:r>
        <w:rPr>
          <w:spacing w:val="6"/>
        </w:rPr>
        <w:t xml:space="preserve"> </w:t>
      </w:r>
      <w:r>
        <w:t>Survey</w:t>
      </w:r>
      <w:r>
        <w:rPr>
          <w:spacing w:val="6"/>
        </w:rPr>
        <w:t xml:space="preserve"> </w:t>
      </w:r>
      <w:r>
        <w:t>(2022)</w:t>
      </w:r>
      <w:r w:rsidR="0068598E">
        <w:rPr>
          <w:spacing w:val="-19"/>
        </w:rPr>
        <w:t>.</w:t>
      </w:r>
    </w:p>
    <w:p w14:paraId="32F42F81" w14:textId="43EC6D95" w:rsidR="00EB7400" w:rsidRDefault="00EB7400" w:rsidP="00F3091C">
      <w:pPr>
        <w:pStyle w:val="Note"/>
        <w:keepNext/>
        <w:keepLines/>
      </w:pPr>
      <w:r>
        <w:t>Note:</w:t>
      </w:r>
      <w:r>
        <w:rPr>
          <w:spacing w:val="-1"/>
        </w:rPr>
        <w:t xml:space="preserve"> </w:t>
      </w:r>
      <w:r>
        <w:t>Bars may not sum to 100 due to rounding</w:t>
      </w:r>
      <w:r w:rsidR="0068598E">
        <w:rPr>
          <w:spacing w:val="-22"/>
        </w:rPr>
        <w:t>.</w:t>
      </w:r>
    </w:p>
    <w:p w14:paraId="5CCF2AD9" w14:textId="32353923" w:rsidR="00EB7400" w:rsidRDefault="00EB7400" w:rsidP="00F3091C">
      <w:pPr>
        <w:pStyle w:val="Note"/>
        <w:keepNext/>
        <w:keepLines/>
      </w:pPr>
      <w:r>
        <w:rPr>
          <w:rFonts w:ascii="Verdana" w:hAnsi="Verdana"/>
        </w:rPr>
        <w:t>†</w:t>
      </w:r>
      <w:r>
        <w:t>Response scale was ‘always’, ‘often’, ‘sometimes’, ‘rarely’, ‘never’</w:t>
      </w:r>
      <w:r w:rsidR="0068598E">
        <w:rPr>
          <w:spacing w:val="-19"/>
        </w:rPr>
        <w:t>.</w:t>
      </w:r>
      <w:r>
        <w:rPr>
          <w:w w:val="85"/>
        </w:rPr>
        <w:t xml:space="preserve"> </w:t>
      </w:r>
      <w:r>
        <w:t>Agree includes ‘always’ and ‘often’</w:t>
      </w:r>
      <w:r w:rsidR="0068598E">
        <w:rPr>
          <w:spacing w:val="-19"/>
        </w:rPr>
        <w:t>.</w:t>
      </w:r>
      <w:r>
        <w:t xml:space="preserve"> Disagree includes ‘rarely’ and ‘never’</w:t>
      </w:r>
      <w:r>
        <w:rPr>
          <w:w w:val="85"/>
        </w:rPr>
        <w:t>.</w:t>
      </w:r>
    </w:p>
    <w:p w14:paraId="12ABAF83" w14:textId="36B3C44C" w:rsidR="00EB7400" w:rsidRDefault="00EB7400" w:rsidP="00F3091C">
      <w:pPr>
        <w:pStyle w:val="Note"/>
        <w:keepNext/>
        <w:keepLines/>
      </w:pPr>
      <w:r>
        <w:t>*Response scale was ‘strongly agree’, ‘agree’, ‘neither agree nor disagree’, ‘disagree’, ‘strongly disagree’</w:t>
      </w:r>
      <w:r w:rsidR="0068598E">
        <w:rPr>
          <w:spacing w:val="-18"/>
        </w:rPr>
        <w:t>.</w:t>
      </w:r>
      <w:r>
        <w:t xml:space="preserve"> Agree includes ‘strongly agree’ and ‘agree’</w:t>
      </w:r>
      <w:r w:rsidR="0068598E">
        <w:rPr>
          <w:spacing w:val="-13"/>
        </w:rPr>
        <w:t>.</w:t>
      </w:r>
      <w:r>
        <w:rPr>
          <w:w w:val="85"/>
        </w:rPr>
        <w:t xml:space="preserve"> </w:t>
      </w:r>
      <w:r>
        <w:t>Disagree includes ‘disagree’ and ‘strongly disagree’</w:t>
      </w:r>
      <w:r w:rsidR="0068598E">
        <w:rPr>
          <w:spacing w:val="-13"/>
        </w:rPr>
        <w:t>.</w:t>
      </w:r>
    </w:p>
    <w:p w14:paraId="5F78DE8C" w14:textId="77777777" w:rsidR="00EB7400" w:rsidRDefault="00EB7400" w:rsidP="00F3091C">
      <w:pPr>
        <w:pStyle w:val="Note"/>
        <w:keepNext/>
        <w:keepLines/>
      </w:pPr>
      <w:r>
        <w:t>^Response scale was ‘to a very great extent’, ‘to a great extent’, ‘somewhat’, ‘very little’, ‘not at all’. Agree includes ‘to a very great extent’ and ‘to a great extent’. Disagree includes ‘very little’ and ‘not at all’.</w:t>
      </w:r>
    </w:p>
    <w:p w14:paraId="761CACEC" w14:textId="77777777" w:rsidR="00167DA7" w:rsidRDefault="00167DA7" w:rsidP="00167DA7">
      <w:r>
        <w:t>When asked about what they would like to change about the RBA, comments from staff members included:</w:t>
      </w:r>
    </w:p>
    <w:p w14:paraId="4522CF72" w14:textId="77777777" w:rsidR="00167DA7" w:rsidRDefault="00167DA7" w:rsidP="00167DA7">
      <w:pPr>
        <w:pStyle w:val="italicquote"/>
      </w:pPr>
      <w:r>
        <w:t>‘More agility when working through projects and considering opinions/processes/best practice from external organisations. We are fairly stuck in our ways when it comes to getting things done. Good ideas can sometimes get lost in thought chambers.’</w:t>
      </w:r>
    </w:p>
    <w:p w14:paraId="54A8D17D" w14:textId="5518BFA4" w:rsidR="00167DA7" w:rsidRDefault="00167DA7" w:rsidP="00167DA7">
      <w:pPr>
        <w:pStyle w:val="italicquote"/>
      </w:pPr>
      <w:r>
        <w:t>‘There</w:t>
      </w:r>
      <w:r>
        <w:rPr>
          <w:spacing w:val="-4"/>
        </w:rPr>
        <w:t xml:space="preserve"> </w:t>
      </w:r>
      <w:r>
        <w:t>is</w:t>
      </w:r>
      <w:r>
        <w:rPr>
          <w:spacing w:val="-1"/>
        </w:rPr>
        <w:t xml:space="preserve"> </w:t>
      </w:r>
      <w:r>
        <w:t>a</w:t>
      </w:r>
      <w:r>
        <w:rPr>
          <w:spacing w:val="-2"/>
        </w:rPr>
        <w:t xml:space="preserve"> </w:t>
      </w:r>
      <w:r>
        <w:t>lack</w:t>
      </w:r>
      <w:r>
        <w:rPr>
          <w:spacing w:val="-1"/>
        </w:rPr>
        <w:t xml:space="preserve"> </w:t>
      </w:r>
      <w:r>
        <w:t>of</w:t>
      </w:r>
      <w:r>
        <w:rPr>
          <w:spacing w:val="-1"/>
        </w:rPr>
        <w:t xml:space="preserve"> </w:t>
      </w:r>
      <w:r>
        <w:t>understanding</w:t>
      </w:r>
      <w:r>
        <w:rPr>
          <w:spacing w:val="-2"/>
        </w:rPr>
        <w:t xml:space="preserve"> </w:t>
      </w:r>
      <w:r>
        <w:t>that</w:t>
      </w:r>
      <w:r>
        <w:rPr>
          <w:spacing w:val="-1"/>
        </w:rPr>
        <w:t xml:space="preserve"> </w:t>
      </w:r>
      <w:r>
        <w:t>you</w:t>
      </w:r>
      <w:r>
        <w:rPr>
          <w:spacing w:val="-1"/>
        </w:rPr>
        <w:t xml:space="preserve"> </w:t>
      </w:r>
      <w:r>
        <w:t>reap</w:t>
      </w:r>
      <w:r>
        <w:rPr>
          <w:spacing w:val="-2"/>
        </w:rPr>
        <w:t xml:space="preserve"> </w:t>
      </w:r>
      <w:r>
        <w:t>rewards</w:t>
      </w:r>
      <w:r>
        <w:rPr>
          <w:spacing w:val="-1"/>
        </w:rPr>
        <w:t xml:space="preserve"> </w:t>
      </w:r>
      <w:r>
        <w:t>of</w:t>
      </w:r>
      <w:r>
        <w:rPr>
          <w:spacing w:val="-2"/>
        </w:rPr>
        <w:t xml:space="preserve"> </w:t>
      </w:r>
      <w:r>
        <w:t>changing</w:t>
      </w:r>
      <w:r>
        <w:rPr>
          <w:spacing w:val="-1"/>
        </w:rPr>
        <w:t xml:space="preserve"> </w:t>
      </w:r>
      <w:r>
        <w:t>systems</w:t>
      </w:r>
      <w:r>
        <w:rPr>
          <w:spacing w:val="-1"/>
        </w:rPr>
        <w:t xml:space="preserve"> </w:t>
      </w:r>
      <w:r>
        <w:t>and</w:t>
      </w:r>
      <w:r>
        <w:rPr>
          <w:spacing w:val="-2"/>
        </w:rPr>
        <w:t xml:space="preserve"> </w:t>
      </w:r>
      <w:r>
        <w:t>processes</w:t>
      </w:r>
      <w:r>
        <w:rPr>
          <w:spacing w:val="-1"/>
        </w:rPr>
        <w:t xml:space="preserve"> </w:t>
      </w:r>
      <w:r>
        <w:t>even</w:t>
      </w:r>
      <w:r>
        <w:rPr>
          <w:spacing w:val="-1"/>
        </w:rPr>
        <w:t xml:space="preserve"> </w:t>
      </w:r>
      <w:r>
        <w:rPr>
          <w:spacing w:val="-5"/>
        </w:rPr>
        <w:t xml:space="preserve">if </w:t>
      </w:r>
      <w:r>
        <w:t>there</w:t>
      </w:r>
      <w:r>
        <w:rPr>
          <w:spacing w:val="-5"/>
        </w:rPr>
        <w:t xml:space="preserve"> </w:t>
      </w:r>
      <w:r>
        <w:t>is</w:t>
      </w:r>
      <w:r>
        <w:rPr>
          <w:spacing w:val="-3"/>
        </w:rPr>
        <w:t xml:space="preserve"> </w:t>
      </w:r>
      <w:r>
        <w:t>short-term</w:t>
      </w:r>
      <w:r>
        <w:rPr>
          <w:spacing w:val="-2"/>
        </w:rPr>
        <w:t xml:space="preserve"> </w:t>
      </w:r>
      <w:r>
        <w:t>cost.</w:t>
      </w:r>
      <w:r>
        <w:rPr>
          <w:spacing w:val="-3"/>
        </w:rPr>
        <w:t xml:space="preserve"> </w:t>
      </w:r>
      <w:r>
        <w:t>Managers</w:t>
      </w:r>
      <w:r>
        <w:rPr>
          <w:spacing w:val="-2"/>
        </w:rPr>
        <w:t xml:space="preserve"> </w:t>
      </w:r>
      <w:r>
        <w:t>tend</w:t>
      </w:r>
      <w:r>
        <w:rPr>
          <w:spacing w:val="-3"/>
        </w:rPr>
        <w:t xml:space="preserve"> </w:t>
      </w:r>
      <w:r>
        <w:t>to</w:t>
      </w:r>
      <w:r>
        <w:rPr>
          <w:spacing w:val="-2"/>
        </w:rPr>
        <w:t xml:space="preserve"> </w:t>
      </w:r>
      <w:r>
        <w:t>only</w:t>
      </w:r>
      <w:r>
        <w:rPr>
          <w:spacing w:val="-3"/>
        </w:rPr>
        <w:t xml:space="preserve"> </w:t>
      </w:r>
      <w:r>
        <w:t>see</w:t>
      </w:r>
      <w:r>
        <w:rPr>
          <w:spacing w:val="-2"/>
        </w:rPr>
        <w:t xml:space="preserve"> </w:t>
      </w:r>
      <w:r>
        <w:t>change</w:t>
      </w:r>
      <w:r>
        <w:rPr>
          <w:spacing w:val="-3"/>
        </w:rPr>
        <w:t xml:space="preserve"> </w:t>
      </w:r>
      <w:r>
        <w:t>through</w:t>
      </w:r>
      <w:r>
        <w:rPr>
          <w:spacing w:val="-2"/>
        </w:rPr>
        <w:t xml:space="preserve"> </w:t>
      </w:r>
      <w:r>
        <w:t>a</w:t>
      </w:r>
      <w:r>
        <w:rPr>
          <w:spacing w:val="-3"/>
        </w:rPr>
        <w:t xml:space="preserve"> </w:t>
      </w:r>
      <w:r>
        <w:t>cost</w:t>
      </w:r>
      <w:r>
        <w:rPr>
          <w:spacing w:val="-2"/>
        </w:rPr>
        <w:t xml:space="preserve"> lens.’</w:t>
      </w:r>
    </w:p>
    <w:p w14:paraId="6B798ACA" w14:textId="77777777" w:rsidR="00167DA7" w:rsidRDefault="00167DA7" w:rsidP="00167DA7">
      <w:pPr>
        <w:pStyle w:val="italicquote"/>
      </w:pPr>
      <w:r>
        <w:t>̶</w:t>
      </w:r>
      <w:r>
        <w:rPr>
          <w:spacing w:val="-1"/>
        </w:rPr>
        <w:t xml:space="preserve"> </w:t>
      </w:r>
      <w:r>
        <w:t>̶</w:t>
      </w:r>
      <w:r>
        <w:rPr>
          <w:spacing w:val="53"/>
        </w:rPr>
        <w:t xml:space="preserve"> </w:t>
      </w:r>
      <w:r>
        <w:t xml:space="preserve">RBA staff </w:t>
      </w:r>
      <w:r>
        <w:rPr>
          <w:spacing w:val="-2"/>
        </w:rPr>
        <w:t>members</w:t>
      </w:r>
    </w:p>
    <w:p w14:paraId="1D8F4D2A" w14:textId="6EA00AD1" w:rsidR="00167DA7" w:rsidRDefault="00167DA7" w:rsidP="00167DA7">
      <w:r>
        <w:t>In a constantly changing environment, it is important the RBA maintains flexibility. It needs to</w:t>
      </w:r>
      <w:r>
        <w:rPr>
          <w:spacing w:val="40"/>
        </w:rPr>
        <w:t xml:space="preserve"> </w:t>
      </w:r>
      <w:r>
        <w:t>be</w:t>
      </w:r>
      <w:r>
        <w:rPr>
          <w:spacing w:val="-1"/>
        </w:rPr>
        <w:t xml:space="preserve"> </w:t>
      </w:r>
      <w:r>
        <w:t>able</w:t>
      </w:r>
      <w:r>
        <w:rPr>
          <w:spacing w:val="-1"/>
        </w:rPr>
        <w:t xml:space="preserve"> </w:t>
      </w:r>
      <w:r>
        <w:t>to</w:t>
      </w:r>
      <w:r>
        <w:rPr>
          <w:spacing w:val="-1"/>
        </w:rPr>
        <w:t xml:space="preserve"> </w:t>
      </w:r>
      <w:r>
        <w:t>rapidly</w:t>
      </w:r>
      <w:r>
        <w:rPr>
          <w:spacing w:val="-1"/>
        </w:rPr>
        <w:t xml:space="preserve"> </w:t>
      </w:r>
      <w:r>
        <w:t>plan</w:t>
      </w:r>
      <w:r>
        <w:rPr>
          <w:spacing w:val="-1"/>
        </w:rPr>
        <w:t xml:space="preserve"> </w:t>
      </w:r>
      <w:r>
        <w:t>for</w:t>
      </w:r>
      <w:r>
        <w:rPr>
          <w:spacing w:val="-1"/>
        </w:rPr>
        <w:t xml:space="preserve"> </w:t>
      </w:r>
      <w:r>
        <w:t>and</w:t>
      </w:r>
      <w:r>
        <w:rPr>
          <w:spacing w:val="-1"/>
        </w:rPr>
        <w:t xml:space="preserve"> </w:t>
      </w:r>
      <w:r>
        <w:t>realign</w:t>
      </w:r>
      <w:r>
        <w:rPr>
          <w:spacing w:val="-1"/>
        </w:rPr>
        <w:t xml:space="preserve"> </w:t>
      </w:r>
      <w:r>
        <w:t>its</w:t>
      </w:r>
      <w:r>
        <w:rPr>
          <w:spacing w:val="-1"/>
        </w:rPr>
        <w:t xml:space="preserve"> </w:t>
      </w:r>
      <w:r>
        <w:t>operations</w:t>
      </w:r>
      <w:r>
        <w:rPr>
          <w:spacing w:val="-1"/>
        </w:rPr>
        <w:t xml:space="preserve"> </w:t>
      </w:r>
      <w:r>
        <w:t>to</w:t>
      </w:r>
      <w:r>
        <w:rPr>
          <w:spacing w:val="-1"/>
        </w:rPr>
        <w:t xml:space="preserve"> </w:t>
      </w:r>
      <w:r>
        <w:t>meet</w:t>
      </w:r>
      <w:r>
        <w:rPr>
          <w:spacing w:val="-1"/>
        </w:rPr>
        <w:t xml:space="preserve"> </w:t>
      </w:r>
      <w:r>
        <w:t>changing</w:t>
      </w:r>
      <w:r>
        <w:rPr>
          <w:spacing w:val="-1"/>
        </w:rPr>
        <w:t xml:space="preserve"> </w:t>
      </w:r>
      <w:r>
        <w:t>priorities</w:t>
      </w:r>
      <w:r w:rsidR="0068598E">
        <w:rPr>
          <w:spacing w:val="-25"/>
        </w:rPr>
        <w:t>.</w:t>
      </w:r>
      <w:r>
        <w:rPr>
          <w:w w:val="85"/>
        </w:rPr>
        <w:t xml:space="preserve"> </w:t>
      </w:r>
      <w:r>
        <w:t>To</w:t>
      </w:r>
      <w:r>
        <w:rPr>
          <w:spacing w:val="-1"/>
        </w:rPr>
        <w:t xml:space="preserve"> </w:t>
      </w:r>
      <w:r>
        <w:t>continue</w:t>
      </w:r>
      <w:r>
        <w:rPr>
          <w:spacing w:val="-1"/>
        </w:rPr>
        <w:t xml:space="preserve"> </w:t>
      </w:r>
      <w:r>
        <w:t>to be a</w:t>
      </w:r>
      <w:r>
        <w:rPr>
          <w:spacing w:val="2"/>
        </w:rPr>
        <w:t xml:space="preserve"> </w:t>
      </w:r>
      <w:r>
        <w:t>high</w:t>
      </w:r>
      <w:r>
        <w:rPr>
          <w:spacing w:val="3"/>
        </w:rPr>
        <w:t xml:space="preserve"> </w:t>
      </w:r>
      <w:r>
        <w:t>performing</w:t>
      </w:r>
      <w:r>
        <w:rPr>
          <w:spacing w:val="2"/>
        </w:rPr>
        <w:t xml:space="preserve"> </w:t>
      </w:r>
      <w:r>
        <w:t>institution,</w:t>
      </w:r>
      <w:r>
        <w:rPr>
          <w:spacing w:val="3"/>
        </w:rPr>
        <w:t xml:space="preserve"> </w:t>
      </w:r>
      <w:r>
        <w:t>the</w:t>
      </w:r>
      <w:r>
        <w:rPr>
          <w:spacing w:val="2"/>
        </w:rPr>
        <w:t xml:space="preserve"> </w:t>
      </w:r>
      <w:r>
        <w:t>RBA</w:t>
      </w:r>
      <w:r>
        <w:rPr>
          <w:spacing w:val="2"/>
        </w:rPr>
        <w:t xml:space="preserve"> </w:t>
      </w:r>
      <w:r>
        <w:t>must</w:t>
      </w:r>
      <w:r>
        <w:rPr>
          <w:spacing w:val="3"/>
        </w:rPr>
        <w:t xml:space="preserve"> </w:t>
      </w:r>
      <w:r>
        <w:t>be</w:t>
      </w:r>
      <w:r>
        <w:rPr>
          <w:spacing w:val="2"/>
        </w:rPr>
        <w:t xml:space="preserve"> </w:t>
      </w:r>
      <w:r>
        <w:t>proactive</w:t>
      </w:r>
      <w:r>
        <w:rPr>
          <w:spacing w:val="3"/>
        </w:rPr>
        <w:t xml:space="preserve"> </w:t>
      </w:r>
      <w:r>
        <w:t>in</w:t>
      </w:r>
      <w:r>
        <w:rPr>
          <w:spacing w:val="2"/>
        </w:rPr>
        <w:t xml:space="preserve"> </w:t>
      </w:r>
      <w:r>
        <w:t>looking</w:t>
      </w:r>
      <w:r>
        <w:rPr>
          <w:spacing w:val="2"/>
        </w:rPr>
        <w:t xml:space="preserve"> </w:t>
      </w:r>
      <w:r>
        <w:t>for</w:t>
      </w:r>
      <w:r>
        <w:rPr>
          <w:spacing w:val="3"/>
        </w:rPr>
        <w:t xml:space="preserve"> </w:t>
      </w:r>
      <w:r>
        <w:t>ways</w:t>
      </w:r>
      <w:r>
        <w:rPr>
          <w:spacing w:val="2"/>
        </w:rPr>
        <w:t xml:space="preserve"> </w:t>
      </w:r>
      <w:r>
        <w:t>to</w:t>
      </w:r>
      <w:r>
        <w:rPr>
          <w:spacing w:val="3"/>
        </w:rPr>
        <w:t xml:space="preserve"> </w:t>
      </w:r>
      <w:r>
        <w:rPr>
          <w:spacing w:val="-2"/>
        </w:rPr>
        <w:t xml:space="preserve">continuously </w:t>
      </w:r>
      <w:r>
        <w:rPr>
          <w:color w:val="231F20"/>
        </w:rPr>
        <w:t>improve,</w:t>
      </w:r>
      <w:r>
        <w:rPr>
          <w:color w:val="231F20"/>
          <w:spacing w:val="2"/>
        </w:rPr>
        <w:t xml:space="preserve"> </w:t>
      </w:r>
      <w:r>
        <w:rPr>
          <w:color w:val="231F20"/>
        </w:rPr>
        <w:t>harness</w:t>
      </w:r>
      <w:r>
        <w:rPr>
          <w:color w:val="231F20"/>
          <w:spacing w:val="3"/>
        </w:rPr>
        <w:t xml:space="preserve"> </w:t>
      </w:r>
      <w:r>
        <w:rPr>
          <w:color w:val="231F20"/>
        </w:rPr>
        <w:t>new</w:t>
      </w:r>
      <w:r>
        <w:rPr>
          <w:color w:val="231F20"/>
          <w:spacing w:val="3"/>
        </w:rPr>
        <w:t xml:space="preserve"> </w:t>
      </w:r>
      <w:r>
        <w:rPr>
          <w:color w:val="231F20"/>
        </w:rPr>
        <w:t>technologies,</w:t>
      </w:r>
      <w:r>
        <w:rPr>
          <w:color w:val="231F20"/>
          <w:spacing w:val="3"/>
        </w:rPr>
        <w:t xml:space="preserve"> </w:t>
      </w:r>
      <w:r>
        <w:rPr>
          <w:color w:val="231F20"/>
        </w:rPr>
        <w:t>anticipate</w:t>
      </w:r>
      <w:r>
        <w:rPr>
          <w:color w:val="231F20"/>
          <w:spacing w:val="3"/>
        </w:rPr>
        <w:t xml:space="preserve"> </w:t>
      </w:r>
      <w:r>
        <w:rPr>
          <w:color w:val="231F20"/>
        </w:rPr>
        <w:t>and</w:t>
      </w:r>
      <w:r>
        <w:rPr>
          <w:color w:val="231F20"/>
          <w:spacing w:val="2"/>
        </w:rPr>
        <w:t xml:space="preserve"> </w:t>
      </w:r>
      <w:r>
        <w:rPr>
          <w:color w:val="231F20"/>
        </w:rPr>
        <w:t>address</w:t>
      </w:r>
      <w:r>
        <w:rPr>
          <w:color w:val="231F20"/>
          <w:spacing w:val="3"/>
        </w:rPr>
        <w:t xml:space="preserve"> </w:t>
      </w:r>
      <w:r>
        <w:rPr>
          <w:color w:val="231F20"/>
        </w:rPr>
        <w:t>risks,</w:t>
      </w:r>
      <w:r>
        <w:rPr>
          <w:color w:val="231F20"/>
          <w:spacing w:val="3"/>
        </w:rPr>
        <w:t xml:space="preserve"> </w:t>
      </w:r>
      <w:r>
        <w:rPr>
          <w:color w:val="231F20"/>
        </w:rPr>
        <w:t>and</w:t>
      </w:r>
      <w:r>
        <w:rPr>
          <w:color w:val="231F20"/>
          <w:spacing w:val="3"/>
        </w:rPr>
        <w:t xml:space="preserve"> </w:t>
      </w:r>
      <w:r>
        <w:rPr>
          <w:color w:val="231F20"/>
        </w:rPr>
        <w:t>enable</w:t>
      </w:r>
      <w:r>
        <w:rPr>
          <w:color w:val="231F20"/>
          <w:spacing w:val="3"/>
        </w:rPr>
        <w:t xml:space="preserve"> </w:t>
      </w:r>
      <w:r>
        <w:rPr>
          <w:color w:val="231F20"/>
        </w:rPr>
        <w:t>innovative</w:t>
      </w:r>
      <w:r>
        <w:rPr>
          <w:color w:val="231F20"/>
          <w:spacing w:val="3"/>
        </w:rPr>
        <w:t xml:space="preserve"> </w:t>
      </w:r>
      <w:r>
        <w:rPr>
          <w:color w:val="231F20"/>
          <w:spacing w:val="-2"/>
        </w:rPr>
        <w:t xml:space="preserve">solutions </w:t>
      </w:r>
      <w:r>
        <w:rPr>
          <w:color w:val="231F20"/>
        </w:rPr>
        <w:t>to</w:t>
      </w:r>
      <w:r>
        <w:rPr>
          <w:color w:val="231F20"/>
          <w:spacing w:val="-2"/>
        </w:rPr>
        <w:t xml:space="preserve"> </w:t>
      </w:r>
      <w:r>
        <w:rPr>
          <w:color w:val="231F20"/>
        </w:rPr>
        <w:t>complex</w:t>
      </w:r>
      <w:r>
        <w:rPr>
          <w:color w:val="231F20"/>
          <w:spacing w:val="-2"/>
        </w:rPr>
        <w:t xml:space="preserve"> problems.</w:t>
      </w:r>
    </w:p>
    <w:p w14:paraId="3B8F25E3" w14:textId="77777777" w:rsidR="00167DA7" w:rsidRDefault="00167DA7" w:rsidP="00754FFE">
      <w:pPr>
        <w:pStyle w:val="Heading4"/>
      </w:pPr>
      <w:r>
        <w:t>Enhanced</w:t>
      </w:r>
      <w:r>
        <w:rPr>
          <w:spacing w:val="2"/>
        </w:rPr>
        <w:t xml:space="preserve"> </w:t>
      </w:r>
      <w:r>
        <w:t>collaboration</w:t>
      </w:r>
    </w:p>
    <w:p w14:paraId="7DAD3E4B" w14:textId="77777777" w:rsidR="00167DA7" w:rsidRDefault="00167DA7" w:rsidP="00754FFE">
      <w:r>
        <w:t>The Review heard from staff members that the RBA can be quite siloed and there can be barriers to collaboration. In the RBA Review Staff Survey, 28 per cent of respondents thought that siloed work practices were, to a great or very great extent, a barrier to them performing at their best.</w:t>
      </w:r>
    </w:p>
    <w:p w14:paraId="581D8CC3" w14:textId="77777777" w:rsidR="007F44B1" w:rsidRDefault="007F44B1" w:rsidP="007F44B1">
      <w:pPr>
        <w:pStyle w:val="italicquote"/>
      </w:pPr>
      <w:r>
        <w:t>‘A lot of the things we do are often relevant to multiple departments at the Bank, but there sometimes appears to be an invisible barrier between departments when it comes to communication</w:t>
      </w:r>
      <w:r>
        <w:rPr>
          <w:spacing w:val="-3"/>
        </w:rPr>
        <w:t xml:space="preserve"> </w:t>
      </w:r>
      <w:r>
        <w:t>and</w:t>
      </w:r>
      <w:r>
        <w:rPr>
          <w:spacing w:val="-3"/>
        </w:rPr>
        <w:t xml:space="preserve"> </w:t>
      </w:r>
      <w:r>
        <w:t>collaboration.</w:t>
      </w:r>
      <w:r>
        <w:rPr>
          <w:spacing w:val="-3"/>
        </w:rPr>
        <w:t xml:space="preserve"> </w:t>
      </w:r>
      <w:r>
        <w:t>There</w:t>
      </w:r>
      <w:r>
        <w:rPr>
          <w:spacing w:val="-3"/>
        </w:rPr>
        <w:t xml:space="preserve"> </w:t>
      </w:r>
      <w:r>
        <w:t>should</w:t>
      </w:r>
      <w:r>
        <w:rPr>
          <w:spacing w:val="-3"/>
        </w:rPr>
        <w:t xml:space="preserve"> </w:t>
      </w:r>
      <w:r>
        <w:t>be</w:t>
      </w:r>
      <w:r>
        <w:rPr>
          <w:spacing w:val="-3"/>
        </w:rPr>
        <w:t xml:space="preserve"> </w:t>
      </w:r>
      <w:r>
        <w:t>ways</w:t>
      </w:r>
      <w:r>
        <w:rPr>
          <w:spacing w:val="-3"/>
        </w:rPr>
        <w:t xml:space="preserve"> </w:t>
      </w:r>
      <w:r>
        <w:t>to</w:t>
      </w:r>
      <w:r>
        <w:rPr>
          <w:spacing w:val="-3"/>
        </w:rPr>
        <w:t xml:space="preserve"> </w:t>
      </w:r>
      <w:r>
        <w:t>manage</w:t>
      </w:r>
      <w:r>
        <w:rPr>
          <w:spacing w:val="-3"/>
        </w:rPr>
        <w:t xml:space="preserve"> </w:t>
      </w:r>
      <w:r>
        <w:t>this</w:t>
      </w:r>
      <w:r>
        <w:rPr>
          <w:spacing w:val="-3"/>
        </w:rPr>
        <w:t xml:space="preserve"> </w:t>
      </w:r>
      <w:r>
        <w:t>more</w:t>
      </w:r>
      <w:r>
        <w:rPr>
          <w:spacing w:val="-3"/>
        </w:rPr>
        <w:t xml:space="preserve"> </w:t>
      </w:r>
      <w:r>
        <w:t>effectively</w:t>
      </w:r>
      <w:r>
        <w:rPr>
          <w:spacing w:val="-3"/>
        </w:rPr>
        <w:t xml:space="preserve"> </w:t>
      </w:r>
      <w:r>
        <w:t>or</w:t>
      </w:r>
      <w:r>
        <w:rPr>
          <w:spacing w:val="-3"/>
        </w:rPr>
        <w:t xml:space="preserve"> </w:t>
      </w:r>
      <w:r>
        <w:t>at least promote within the Bank that we can be one team and not work as silos.’</w:t>
      </w:r>
    </w:p>
    <w:p w14:paraId="00AE0875" w14:textId="77777777" w:rsidR="007F44B1" w:rsidRDefault="007F44B1" w:rsidP="007F44B1">
      <w:pPr>
        <w:pStyle w:val="italicquote"/>
      </w:pPr>
      <w:r>
        <w:t>̶</w:t>
      </w:r>
      <w:r>
        <w:rPr>
          <w:spacing w:val="54"/>
        </w:rPr>
        <w:t xml:space="preserve"> </w:t>
      </w:r>
      <w:r>
        <w:t xml:space="preserve">RBA staff </w:t>
      </w:r>
      <w:r>
        <w:rPr>
          <w:spacing w:val="-2"/>
        </w:rPr>
        <w:t>member</w:t>
      </w:r>
    </w:p>
    <w:p w14:paraId="69C26B5A" w14:textId="1AC61B5B" w:rsidR="00C4598F" w:rsidRDefault="00C4598F" w:rsidP="00C4598F">
      <w:r>
        <w:lastRenderedPageBreak/>
        <w:t>The survey results indicated that there were differences in staff members’ perceptions on siloes across the RBA</w:t>
      </w:r>
      <w:r w:rsidR="0068598E">
        <w:rPr>
          <w:spacing w:val="-17"/>
        </w:rPr>
        <w:t>.</w:t>
      </w:r>
      <w:r>
        <w:rPr>
          <w:w w:val="85"/>
        </w:rPr>
        <w:t xml:space="preserve"> </w:t>
      </w:r>
      <w:r>
        <w:t>Respondents in departments such as Finance, Human Resources, and Audit (captured as part of the Executive Support Group) considered siloed work practices a greater issue when compared with staff from policy departments (Chart 4.5). In focus groups with RBA staff members, those in enterprise-wide roles such as risk, human resources and IT were much more likely to be concerned about siloes across the organisation, possibly reflecting that their jobs often involved implementing RBA-wide initiatives</w:t>
      </w:r>
      <w:r w:rsidR="0068598E">
        <w:rPr>
          <w:spacing w:val="-9"/>
        </w:rPr>
        <w:t>.</w:t>
      </w:r>
    </w:p>
    <w:p w14:paraId="577F9BCB" w14:textId="3FF62C4C" w:rsidR="00592E70" w:rsidRDefault="00592E70" w:rsidP="0087193B">
      <w:pPr>
        <w:pStyle w:val="BoxHeading"/>
        <w:keepLines/>
      </w:pPr>
      <w:r>
        <w:t>Chart 4.5: Staff perceptions of whether siloed work practices are a barrier to them performing at their best, by functional group</w:t>
      </w:r>
    </w:p>
    <w:p w14:paraId="2FBB9F17" w14:textId="2DC0B6E8" w:rsidR="002A1E1F" w:rsidRDefault="00F3091C" w:rsidP="00B832A8">
      <w:pPr>
        <w:keepNext/>
        <w:keepLines/>
        <w:tabs>
          <w:tab w:val="left" w:pos="1187"/>
        </w:tabs>
        <w:jc w:val="center"/>
      </w:pPr>
      <w:r>
        <w:rPr>
          <w:noProof/>
        </w:rPr>
        <w:drawing>
          <wp:inline distT="0" distB="0" distL="0" distR="0" wp14:anchorId="5535AF75" wp14:editId="480415A2">
            <wp:extent cx="4892926" cy="2371847"/>
            <wp:effectExtent l="0" t="0" r="3175" b="0"/>
            <wp:docPr id="32" name="Picture 32" descr="Bar chart showing the proportion of RBA staff who agreed, disagreed or were neutral that siloed work practices were a barrier to them performing at their best. The chart shows responses for all of the RBA groups. &#10;Economic Group. Agree 22 per cent. Somewhat 15 per cent. Disagree 63 per cent. &#10;Financial Markets Group. Agree 32 per cent. Somewhat 27 per cent. Disagree 41 per cent.&#10;Business Services Group. Agree 19 per cent. Somewhat 40 per cent. Disagree 41 per cent.&#10;Corporate Services Group. Agree 31 per cent. Somewhat 28 per cent. Disagree 41 per cent.&#10;Financial System Group. Agree 23 per cent. Somewhat 37 per cent. Disagree 40 per cent.&#10;Executive Support Group. Agree 32 per cent. Somewhat 36 per cent. Disagree 32 per cent.&#10;RBA Overall. Agree 28 per cent. Somewhat 32 per cent. Disagree 40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Bar chart showing the proportion of RBA staff who agreed, disagreed or were neutral that siloed work practices were a barrier to them performing at their best. The chart shows responses for all of the RBA groups. &#10;Economic Group. Agree 22 per cent. Somewhat 15 per cent. Disagree 63 per cent. &#10;Financial Markets Group. Agree 32 per cent. Somewhat 27 per cent. Disagree 41 per cent.&#10;Business Services Group. Agree 19 per cent. Somewhat 40 per cent. Disagree 41 per cent.&#10;Corporate Services Group. Agree 31 per cent. Somewhat 28 per cent. Disagree 41 per cent.&#10;Financial System Group. Agree 23 per cent. Somewhat 37 per cent. Disagree 40 per cent.&#10;Executive Support Group. Agree 32 per cent. Somewhat 36 per cent. Disagree 32 per cent.&#10;RBA Overall. Agree 28 per cent. Somewhat 32 per cent. Disagree 40 per cent.&#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92926" cy="2371847"/>
                    </a:xfrm>
                    <a:prstGeom prst="rect">
                      <a:avLst/>
                    </a:prstGeom>
                  </pic:spPr>
                </pic:pic>
              </a:graphicData>
            </a:graphic>
          </wp:inline>
        </w:drawing>
      </w:r>
    </w:p>
    <w:p w14:paraId="07F24972" w14:textId="4BFEA744" w:rsidR="00B65600" w:rsidRDefault="00B65600" w:rsidP="0087193B">
      <w:pPr>
        <w:pStyle w:val="Note"/>
        <w:keepNext/>
        <w:keepLines/>
      </w:pPr>
      <w:r>
        <w:t>Source:</w:t>
      </w:r>
      <w:r>
        <w:rPr>
          <w:spacing w:val="5"/>
        </w:rPr>
        <w:t xml:space="preserve"> </w:t>
      </w:r>
      <w:r>
        <w:t>RBA</w:t>
      </w:r>
      <w:r>
        <w:rPr>
          <w:spacing w:val="6"/>
        </w:rPr>
        <w:t xml:space="preserve"> </w:t>
      </w:r>
      <w:r>
        <w:t>Review</w:t>
      </w:r>
      <w:r>
        <w:rPr>
          <w:spacing w:val="6"/>
        </w:rPr>
        <w:t xml:space="preserve"> </w:t>
      </w:r>
      <w:r>
        <w:t>Staff</w:t>
      </w:r>
      <w:r>
        <w:rPr>
          <w:spacing w:val="6"/>
        </w:rPr>
        <w:t xml:space="preserve"> </w:t>
      </w:r>
      <w:r>
        <w:t>Survey</w:t>
      </w:r>
      <w:r>
        <w:rPr>
          <w:spacing w:val="6"/>
        </w:rPr>
        <w:t xml:space="preserve"> </w:t>
      </w:r>
      <w:r>
        <w:t>(2022)</w:t>
      </w:r>
      <w:r w:rsidR="0068598E">
        <w:rPr>
          <w:spacing w:val="-19"/>
        </w:rPr>
        <w:t>.</w:t>
      </w:r>
    </w:p>
    <w:p w14:paraId="74F85647" w14:textId="77777777" w:rsidR="00B65600" w:rsidRDefault="00B65600" w:rsidP="0087193B">
      <w:pPr>
        <w:pStyle w:val="Note"/>
        <w:keepNext/>
        <w:keepLines/>
      </w:pPr>
      <w:r>
        <w:t>Note: Response scale was ‘to a very great extent’, ‘to a great extent’, ‘somewhat’, ‘very little’, ‘not at all’. Agree includes ‘to a very great extent’ and ‘to a great extent’. Disagree includes ‘very little’ and ‘not at all’.</w:t>
      </w:r>
    </w:p>
    <w:p w14:paraId="67564F11" w14:textId="77777777" w:rsidR="00E95A09" w:rsidRDefault="00E95A09" w:rsidP="00E95A09">
      <w:r>
        <w:t>Focus groups and survey responses suggested that the long-standing organisational structures, while creating clarity about subject matter responsibilities, had acted to limit opportunities for collaboration. For example, a staff member observed:</w:t>
      </w:r>
    </w:p>
    <w:p w14:paraId="752439E8" w14:textId="77777777" w:rsidR="00E95A09" w:rsidRDefault="00E95A09" w:rsidP="00E95A09">
      <w:pPr>
        <w:pStyle w:val="italicquote"/>
      </w:pPr>
      <w:r>
        <w:t>‘The organisational structure creates and enables a siloed approach, in effect the Assistant Governors</w:t>
      </w:r>
      <w:r>
        <w:rPr>
          <w:spacing w:val="-2"/>
        </w:rPr>
        <w:t xml:space="preserve"> </w:t>
      </w:r>
      <w:r>
        <w:t>are</w:t>
      </w:r>
      <w:r>
        <w:rPr>
          <w:spacing w:val="-2"/>
        </w:rPr>
        <w:t xml:space="preserve"> </w:t>
      </w:r>
      <w:r>
        <w:t>enabled</w:t>
      </w:r>
      <w:r>
        <w:rPr>
          <w:spacing w:val="-2"/>
        </w:rPr>
        <w:t xml:space="preserve"> </w:t>
      </w:r>
      <w:r>
        <w:t>to</w:t>
      </w:r>
      <w:r>
        <w:rPr>
          <w:spacing w:val="-2"/>
        </w:rPr>
        <w:t xml:space="preserve"> </w:t>
      </w:r>
      <w:r>
        <w:t>do</w:t>
      </w:r>
      <w:r>
        <w:rPr>
          <w:spacing w:val="-2"/>
        </w:rPr>
        <w:t xml:space="preserve"> </w:t>
      </w:r>
      <w:r>
        <w:t>what</w:t>
      </w:r>
      <w:r>
        <w:rPr>
          <w:spacing w:val="-2"/>
        </w:rPr>
        <w:t xml:space="preserve"> </w:t>
      </w:r>
      <w:r>
        <w:t>they</w:t>
      </w:r>
      <w:r>
        <w:rPr>
          <w:spacing w:val="-2"/>
        </w:rPr>
        <w:t xml:space="preserve"> </w:t>
      </w:r>
      <w:r>
        <w:t>see</w:t>
      </w:r>
      <w:r>
        <w:rPr>
          <w:spacing w:val="-2"/>
        </w:rPr>
        <w:t xml:space="preserve"> </w:t>
      </w:r>
      <w:r>
        <w:t>fit,</w:t>
      </w:r>
      <w:r>
        <w:rPr>
          <w:spacing w:val="-2"/>
        </w:rPr>
        <w:t xml:space="preserve"> </w:t>
      </w:r>
      <w:r>
        <w:t>this</w:t>
      </w:r>
      <w:r>
        <w:rPr>
          <w:spacing w:val="-2"/>
        </w:rPr>
        <w:t xml:space="preserve"> </w:t>
      </w:r>
      <w:r>
        <w:t>creates</w:t>
      </w:r>
      <w:r>
        <w:rPr>
          <w:spacing w:val="-2"/>
        </w:rPr>
        <w:t xml:space="preserve"> </w:t>
      </w:r>
      <w:r>
        <w:t>pockets</w:t>
      </w:r>
      <w:r>
        <w:rPr>
          <w:spacing w:val="-2"/>
        </w:rPr>
        <w:t xml:space="preserve"> </w:t>
      </w:r>
      <w:r>
        <w:t>of</w:t>
      </w:r>
      <w:r>
        <w:rPr>
          <w:spacing w:val="-2"/>
        </w:rPr>
        <w:t xml:space="preserve"> </w:t>
      </w:r>
      <w:r>
        <w:t>excellence,</w:t>
      </w:r>
      <w:r>
        <w:rPr>
          <w:spacing w:val="-2"/>
        </w:rPr>
        <w:t xml:space="preserve"> </w:t>
      </w:r>
      <w:r>
        <w:t>but</w:t>
      </w:r>
      <w:r>
        <w:rPr>
          <w:spacing w:val="-2"/>
        </w:rPr>
        <w:t xml:space="preserve"> </w:t>
      </w:r>
      <w:r>
        <w:t>overall</w:t>
      </w:r>
      <w:r>
        <w:rPr>
          <w:spacing w:val="-2"/>
        </w:rPr>
        <w:t xml:space="preserve"> </w:t>
      </w:r>
      <w:r>
        <w:t>enables inconsistent approaches and ultimately sub optimal outcomes.’</w:t>
      </w:r>
    </w:p>
    <w:p w14:paraId="6C558A41" w14:textId="09CE675B" w:rsidR="00B65600" w:rsidRDefault="00E95A09" w:rsidP="00E95A09">
      <w:pPr>
        <w:pStyle w:val="italicquote"/>
        <w:rPr>
          <w:spacing w:val="-2"/>
        </w:rPr>
      </w:pPr>
      <w:r>
        <w:t>̶</w:t>
      </w:r>
      <w:r>
        <w:rPr>
          <w:spacing w:val="54"/>
        </w:rPr>
        <w:t xml:space="preserve"> </w:t>
      </w:r>
      <w:r>
        <w:t xml:space="preserve">RBA staff </w:t>
      </w:r>
      <w:r>
        <w:rPr>
          <w:spacing w:val="-2"/>
        </w:rPr>
        <w:t>member</w:t>
      </w:r>
    </w:p>
    <w:p w14:paraId="1276ACFC" w14:textId="21E5366E" w:rsidR="006E3F01" w:rsidRDefault="006E3F01" w:rsidP="006E3F01">
      <w:r>
        <w:t>Breaking down these barriers would help the RBA to better harness the expertise and knowledge from across the organisation and support good local initiatives to be more widely adopted</w:t>
      </w:r>
      <w:r w:rsidR="0068598E">
        <w:rPr>
          <w:spacing w:val="-24"/>
        </w:rPr>
        <w:t>.</w:t>
      </w:r>
      <w:r>
        <w:rPr>
          <w:w w:val="85"/>
        </w:rPr>
        <w:t xml:space="preserve"> </w:t>
      </w:r>
      <w:r>
        <w:t>Sharing of knowledge, experiences and lessons learned would help to build more effective processes.</w:t>
      </w:r>
    </w:p>
    <w:p w14:paraId="68FCACF2" w14:textId="77777777" w:rsidR="006E3F01" w:rsidRDefault="006E3F01" w:rsidP="006E3F01">
      <w:pPr>
        <w:pStyle w:val="Heading4"/>
      </w:pPr>
      <w:r>
        <w:t>Valuing</w:t>
      </w:r>
      <w:r>
        <w:rPr>
          <w:spacing w:val="-1"/>
        </w:rPr>
        <w:t xml:space="preserve"> </w:t>
      </w:r>
      <w:r>
        <w:t xml:space="preserve">professional corporate </w:t>
      </w:r>
      <w:r>
        <w:rPr>
          <w:spacing w:val="-2"/>
        </w:rPr>
        <w:t>expertise</w:t>
      </w:r>
    </w:p>
    <w:p w14:paraId="4083B494" w14:textId="6D586763" w:rsidR="006E3F01" w:rsidRDefault="006E3F01" w:rsidP="006E3F01">
      <w:r>
        <w:t>The RBA has made a concerted effort to bring more senior external expertise into its corporate functions over recent years. The Review recognises this progress and supports it continuing. It is also the case that some of the RBA’s corporate functions – such as external financial reporting – are very well regarded and the concerns the Review heard around professional corporate expertise do not apply consistently across all areas</w:t>
      </w:r>
      <w:r w:rsidR="0068598E">
        <w:rPr>
          <w:spacing w:val="-11"/>
        </w:rPr>
        <w:t>.</w:t>
      </w:r>
    </w:p>
    <w:p w14:paraId="17B3647D" w14:textId="4A4C2C0C" w:rsidR="006E3F01" w:rsidRDefault="006E3F01" w:rsidP="006E3F01">
      <w:r>
        <w:t>Nonetheless,</w:t>
      </w:r>
      <w:r>
        <w:rPr>
          <w:spacing w:val="15"/>
        </w:rPr>
        <w:t xml:space="preserve"> </w:t>
      </w:r>
      <w:r>
        <w:t>the</w:t>
      </w:r>
      <w:r>
        <w:rPr>
          <w:spacing w:val="14"/>
        </w:rPr>
        <w:t xml:space="preserve"> </w:t>
      </w:r>
      <w:r>
        <w:t>Review</w:t>
      </w:r>
      <w:r>
        <w:rPr>
          <w:spacing w:val="15"/>
        </w:rPr>
        <w:t xml:space="preserve"> </w:t>
      </w:r>
      <w:r>
        <w:t>heard</w:t>
      </w:r>
      <w:r>
        <w:rPr>
          <w:spacing w:val="14"/>
        </w:rPr>
        <w:t xml:space="preserve"> </w:t>
      </w:r>
      <w:r>
        <w:t>from</w:t>
      </w:r>
      <w:r>
        <w:rPr>
          <w:spacing w:val="15"/>
        </w:rPr>
        <w:t xml:space="preserve"> </w:t>
      </w:r>
      <w:r>
        <w:t>both</w:t>
      </w:r>
      <w:r>
        <w:rPr>
          <w:spacing w:val="14"/>
        </w:rPr>
        <w:t xml:space="preserve"> </w:t>
      </w:r>
      <w:r>
        <w:t>policy</w:t>
      </w:r>
      <w:r>
        <w:rPr>
          <w:spacing w:val="15"/>
        </w:rPr>
        <w:t xml:space="preserve"> </w:t>
      </w:r>
      <w:r>
        <w:t>and</w:t>
      </w:r>
      <w:r>
        <w:rPr>
          <w:spacing w:val="14"/>
        </w:rPr>
        <w:t xml:space="preserve"> </w:t>
      </w:r>
      <w:r>
        <w:t>operational</w:t>
      </w:r>
      <w:r>
        <w:rPr>
          <w:spacing w:val="15"/>
        </w:rPr>
        <w:t xml:space="preserve"> </w:t>
      </w:r>
      <w:r>
        <w:t>staff</w:t>
      </w:r>
      <w:r>
        <w:rPr>
          <w:spacing w:val="14"/>
        </w:rPr>
        <w:t xml:space="preserve"> </w:t>
      </w:r>
      <w:r>
        <w:t>members</w:t>
      </w:r>
      <w:r>
        <w:rPr>
          <w:spacing w:val="15"/>
        </w:rPr>
        <w:t xml:space="preserve"> </w:t>
      </w:r>
      <w:r>
        <w:t>that</w:t>
      </w:r>
      <w:r>
        <w:rPr>
          <w:spacing w:val="14"/>
        </w:rPr>
        <w:t xml:space="preserve"> </w:t>
      </w:r>
      <w:r>
        <w:t>the</w:t>
      </w:r>
      <w:r>
        <w:rPr>
          <w:spacing w:val="15"/>
        </w:rPr>
        <w:t xml:space="preserve"> </w:t>
      </w:r>
      <w:r>
        <w:t>RBA has been slow to deepen its professional corporate expertise. This was particularly in the areas</w:t>
      </w:r>
      <w:r>
        <w:rPr>
          <w:spacing w:val="80"/>
        </w:rPr>
        <w:t xml:space="preserve"> </w:t>
      </w:r>
      <w:r>
        <w:t>of risk, human resources, legal services, and communications</w:t>
      </w:r>
      <w:r w:rsidR="0068598E">
        <w:rPr>
          <w:spacing w:val="-17"/>
        </w:rPr>
        <w:t>.</w:t>
      </w:r>
      <w:r>
        <w:t xml:space="preserve"> While the Review acknowledges</w:t>
      </w:r>
      <w:r>
        <w:rPr>
          <w:spacing w:val="40"/>
        </w:rPr>
        <w:t xml:space="preserve"> </w:t>
      </w:r>
      <w:r>
        <w:t xml:space="preserve">the improvements the RBA has made, staff members observed that some legacy issues remain, and the </w:t>
      </w:r>
      <w:r>
        <w:lastRenderedPageBreak/>
        <w:t>RBA is behind comparable organisations with respect to some of its work practices</w:t>
      </w:r>
      <w:r w:rsidR="0068598E">
        <w:rPr>
          <w:spacing w:val="-20"/>
        </w:rPr>
        <w:t>.</w:t>
      </w:r>
      <w:r>
        <w:rPr>
          <w:w w:val="85"/>
        </w:rPr>
        <w:t xml:space="preserve"> </w:t>
      </w:r>
      <w:r>
        <w:t>For example, staff members considered that the persistence of some of the behaviours outlined in this section were in part due to the relatively late development of a leadership strategy and more balanced capability framework, as well as a historical tendency to limit external hiring.</w:t>
      </w:r>
    </w:p>
    <w:p w14:paraId="5822D744" w14:textId="502412E9" w:rsidR="006E3F01" w:rsidRDefault="006E3F01" w:rsidP="006E3F01">
      <w:r>
        <w:t>Many staff members remarked to the Review that the RBA has a long history of transferring professional economists from policy departments into senior corporate roles</w:t>
      </w:r>
      <w:r w:rsidR="0068598E">
        <w:rPr>
          <w:spacing w:val="-24"/>
        </w:rPr>
        <w:t>.</w:t>
      </w:r>
      <w:r>
        <w:rPr>
          <w:w w:val="85"/>
        </w:rPr>
        <w:t xml:space="preserve"> </w:t>
      </w:r>
      <w:r>
        <w:t>A common remark the Review heard was that the organisation was ‘run by economists for economists’</w:t>
      </w:r>
      <w:r w:rsidR="0068598E">
        <w:rPr>
          <w:spacing w:val="-23"/>
        </w:rPr>
        <w:t>.</w:t>
      </w:r>
      <w:r>
        <w:rPr>
          <w:w w:val="85"/>
        </w:rPr>
        <w:t xml:space="preserve"> </w:t>
      </w:r>
      <w:r>
        <w:t>Asked about what they would like to change about the RBA’s culture, staff members’ observations included:</w:t>
      </w:r>
    </w:p>
    <w:p w14:paraId="4BA92CF6" w14:textId="77777777" w:rsidR="006E3F01" w:rsidRDefault="006E3F01" w:rsidP="006E3F01">
      <w:pPr>
        <w:pStyle w:val="italicquote"/>
      </w:pPr>
      <w:r>
        <w:t>‘There</w:t>
      </w:r>
      <w:r>
        <w:rPr>
          <w:spacing w:val="-1"/>
        </w:rPr>
        <w:t xml:space="preserve"> </w:t>
      </w:r>
      <w:r>
        <w:t>are</w:t>
      </w:r>
      <w:r>
        <w:rPr>
          <w:spacing w:val="-1"/>
        </w:rPr>
        <w:t xml:space="preserve"> </w:t>
      </w:r>
      <w:r>
        <w:t>economists</w:t>
      </w:r>
      <w:r>
        <w:rPr>
          <w:spacing w:val="-1"/>
        </w:rPr>
        <w:t xml:space="preserve"> </w:t>
      </w:r>
      <w:r>
        <w:t>everywhere</w:t>
      </w:r>
      <w:r>
        <w:rPr>
          <w:spacing w:val="-1"/>
        </w:rPr>
        <w:t xml:space="preserve"> </w:t>
      </w:r>
      <w:r>
        <w:t>in</w:t>
      </w:r>
      <w:r>
        <w:rPr>
          <w:spacing w:val="-1"/>
        </w:rPr>
        <w:t xml:space="preserve"> </w:t>
      </w:r>
      <w:r>
        <w:t>the</w:t>
      </w:r>
      <w:r>
        <w:rPr>
          <w:spacing w:val="-1"/>
        </w:rPr>
        <w:t xml:space="preserve"> </w:t>
      </w:r>
      <w:r>
        <w:t>Bank</w:t>
      </w:r>
      <w:r>
        <w:rPr>
          <w:spacing w:val="-1"/>
        </w:rPr>
        <w:t xml:space="preserve"> </w:t>
      </w:r>
      <w:r>
        <w:t>where</w:t>
      </w:r>
      <w:r>
        <w:rPr>
          <w:spacing w:val="-1"/>
        </w:rPr>
        <w:t xml:space="preserve"> </w:t>
      </w:r>
      <w:r>
        <w:t>they</w:t>
      </w:r>
      <w:r>
        <w:rPr>
          <w:spacing w:val="-1"/>
        </w:rPr>
        <w:t xml:space="preserve"> </w:t>
      </w:r>
      <w:r>
        <w:t>shouldn’t</w:t>
      </w:r>
      <w:r>
        <w:rPr>
          <w:spacing w:val="-1"/>
        </w:rPr>
        <w:t xml:space="preserve"> </w:t>
      </w:r>
      <w:r>
        <w:t>be,</w:t>
      </w:r>
      <w:r>
        <w:rPr>
          <w:spacing w:val="-1"/>
        </w:rPr>
        <w:t xml:space="preserve"> </w:t>
      </w:r>
      <w:r>
        <w:t>and</w:t>
      </w:r>
      <w:r>
        <w:rPr>
          <w:spacing w:val="-1"/>
        </w:rPr>
        <w:t xml:space="preserve"> </w:t>
      </w:r>
      <w:r>
        <w:t>their</w:t>
      </w:r>
      <w:r>
        <w:rPr>
          <w:spacing w:val="-1"/>
        </w:rPr>
        <w:t xml:space="preserve"> </w:t>
      </w:r>
      <w:r>
        <w:t>opinion</w:t>
      </w:r>
      <w:r>
        <w:rPr>
          <w:spacing w:val="-1"/>
        </w:rPr>
        <w:t xml:space="preserve"> </w:t>
      </w:r>
      <w:r>
        <w:t>is</w:t>
      </w:r>
      <w:r>
        <w:rPr>
          <w:spacing w:val="-1"/>
        </w:rPr>
        <w:t xml:space="preserve"> </w:t>
      </w:r>
      <w:r>
        <w:t>weighed higher than all others. Employing them removes the opportunity for subject matter experts to actually improve and innovate.’</w:t>
      </w:r>
    </w:p>
    <w:p w14:paraId="342EAA5E" w14:textId="77777777" w:rsidR="006E3F01" w:rsidRDefault="006E3F01" w:rsidP="006E3F01">
      <w:pPr>
        <w:pStyle w:val="italicquote"/>
      </w:pPr>
      <w:r>
        <w:t>‘I</w:t>
      </w:r>
      <w:r>
        <w:rPr>
          <w:spacing w:val="-3"/>
        </w:rPr>
        <w:t xml:space="preserve"> </w:t>
      </w:r>
      <w:r>
        <w:t>think</w:t>
      </w:r>
      <w:r>
        <w:rPr>
          <w:spacing w:val="-3"/>
        </w:rPr>
        <w:t xml:space="preserve"> </w:t>
      </w:r>
      <w:r>
        <w:t>there</w:t>
      </w:r>
      <w:r>
        <w:rPr>
          <w:spacing w:val="-3"/>
        </w:rPr>
        <w:t xml:space="preserve"> </w:t>
      </w:r>
      <w:r>
        <w:t>is</w:t>
      </w:r>
      <w:r>
        <w:rPr>
          <w:spacing w:val="-3"/>
        </w:rPr>
        <w:t xml:space="preserve"> </w:t>
      </w:r>
      <w:r>
        <w:t>a</w:t>
      </w:r>
      <w:r>
        <w:rPr>
          <w:spacing w:val="-3"/>
        </w:rPr>
        <w:t xml:space="preserve"> </w:t>
      </w:r>
      <w:r>
        <w:t>fundamental</w:t>
      </w:r>
      <w:r>
        <w:rPr>
          <w:spacing w:val="-3"/>
        </w:rPr>
        <w:t xml:space="preserve"> </w:t>
      </w:r>
      <w:r>
        <w:t>bias</w:t>
      </w:r>
      <w:r>
        <w:rPr>
          <w:spacing w:val="-3"/>
        </w:rPr>
        <w:t xml:space="preserve"> </w:t>
      </w:r>
      <w:r>
        <w:t>in</w:t>
      </w:r>
      <w:r>
        <w:rPr>
          <w:spacing w:val="-3"/>
        </w:rPr>
        <w:t xml:space="preserve"> </w:t>
      </w:r>
      <w:r>
        <w:t>the</w:t>
      </w:r>
      <w:r>
        <w:rPr>
          <w:spacing w:val="-3"/>
        </w:rPr>
        <w:t xml:space="preserve"> </w:t>
      </w:r>
      <w:r>
        <w:t>RBA’s</w:t>
      </w:r>
      <w:r>
        <w:rPr>
          <w:spacing w:val="-3"/>
        </w:rPr>
        <w:t xml:space="preserve"> </w:t>
      </w:r>
      <w:r>
        <w:t>culture</w:t>
      </w:r>
      <w:r>
        <w:rPr>
          <w:spacing w:val="-3"/>
        </w:rPr>
        <w:t xml:space="preserve"> </w:t>
      </w:r>
      <w:r>
        <w:t>to</w:t>
      </w:r>
      <w:r>
        <w:rPr>
          <w:spacing w:val="-3"/>
        </w:rPr>
        <w:t xml:space="preserve"> </w:t>
      </w:r>
      <w:r>
        <w:t>promote</w:t>
      </w:r>
      <w:r>
        <w:rPr>
          <w:spacing w:val="-3"/>
        </w:rPr>
        <w:t xml:space="preserve"> </w:t>
      </w:r>
      <w:r>
        <w:t>economists</w:t>
      </w:r>
      <w:r>
        <w:rPr>
          <w:spacing w:val="-3"/>
        </w:rPr>
        <w:t xml:space="preserve"> </w:t>
      </w:r>
      <w:r>
        <w:t>even</w:t>
      </w:r>
      <w:r>
        <w:rPr>
          <w:spacing w:val="-3"/>
        </w:rPr>
        <w:t xml:space="preserve"> </w:t>
      </w:r>
      <w:r>
        <w:t>though</w:t>
      </w:r>
      <w:r>
        <w:rPr>
          <w:spacing w:val="-3"/>
        </w:rPr>
        <w:t xml:space="preserve"> </w:t>
      </w:r>
      <w:r>
        <w:t>there</w:t>
      </w:r>
      <w:r>
        <w:rPr>
          <w:spacing w:val="-3"/>
        </w:rPr>
        <w:t xml:space="preserve"> </w:t>
      </w:r>
      <w:r>
        <w:t>are staff who have years of operational experience. Due to this, I’ve seen operational staff with a lot of corporate knowledge leave the bank.’</w:t>
      </w:r>
    </w:p>
    <w:p w14:paraId="7D4A992F" w14:textId="77777777" w:rsidR="006E3F01" w:rsidRDefault="006E3F01" w:rsidP="006E3F01">
      <w:pPr>
        <w:pStyle w:val="italicquote"/>
      </w:pPr>
      <w:r>
        <w:t>̶</w:t>
      </w:r>
      <w:r>
        <w:rPr>
          <w:spacing w:val="54"/>
        </w:rPr>
        <w:t xml:space="preserve"> </w:t>
      </w:r>
      <w:r>
        <w:t xml:space="preserve">RBA staff </w:t>
      </w:r>
      <w:r>
        <w:rPr>
          <w:spacing w:val="-2"/>
        </w:rPr>
        <w:t>members</w:t>
      </w:r>
    </w:p>
    <w:p w14:paraId="6F8E8A4B" w14:textId="0DE30016" w:rsidR="006E3F01" w:rsidRDefault="006E3F01" w:rsidP="006E3F01">
      <w:r>
        <w:t>Many senior leaders at the RBA commented to the Review that the introduction of a dedicated COO role would be a significant improvement. It is unusual for an organisation the size of the</w:t>
      </w:r>
      <w:r>
        <w:rPr>
          <w:spacing w:val="80"/>
        </w:rPr>
        <w:t xml:space="preserve"> </w:t>
      </w:r>
      <w:r>
        <w:t>RBA not to have a sole executive leadership position with responsibility for leading corporate and executive operations. Some senior staff members thought that without a dedicated executive</w:t>
      </w:r>
      <w:r>
        <w:rPr>
          <w:spacing w:val="80"/>
        </w:rPr>
        <w:t xml:space="preserve"> </w:t>
      </w:r>
      <w:r>
        <w:t>and authoritative voice, important corporate strategic issues were not always fully considered by the RBA’s executive decision making bodies. There can be difficulty at the RBA in trying to achieve consistency and buy-in across the RBA’s functional areas in terms of implementing best practice ways of working</w:t>
      </w:r>
      <w:r w:rsidR="0068598E">
        <w:rPr>
          <w:spacing w:val="-24"/>
        </w:rPr>
        <w:t>.</w:t>
      </w:r>
      <w:r>
        <w:rPr>
          <w:w w:val="85"/>
        </w:rPr>
        <w:t xml:space="preserve"> </w:t>
      </w:r>
      <w:r>
        <w:t>Siloing can lead to partial solutions for issues that are enterprise wide, with an insufficient focus on end-to-end processes. For example, a staff member commented to the Review:</w:t>
      </w:r>
    </w:p>
    <w:p w14:paraId="4A5C5C01" w14:textId="77777777" w:rsidR="006E3F01" w:rsidRDefault="006E3F01" w:rsidP="006E3F01">
      <w:pPr>
        <w:pStyle w:val="italicquote"/>
      </w:pPr>
      <w:r>
        <w:t>‘Departments are run as ‘fiefdoms’, who come up with their own ways of doing things in terms of processes and delegation. This makes it difficult to design governance and controls effectively. It is not</w:t>
      </w:r>
      <w:r>
        <w:rPr>
          <w:spacing w:val="-3"/>
        </w:rPr>
        <w:t xml:space="preserve"> </w:t>
      </w:r>
      <w:r>
        <w:t>clear</w:t>
      </w:r>
      <w:r>
        <w:rPr>
          <w:spacing w:val="-3"/>
        </w:rPr>
        <w:t xml:space="preserve"> </w:t>
      </w:r>
      <w:r>
        <w:t>who</w:t>
      </w:r>
      <w:r>
        <w:rPr>
          <w:spacing w:val="-3"/>
        </w:rPr>
        <w:t xml:space="preserve"> </w:t>
      </w:r>
      <w:r>
        <w:t>really</w:t>
      </w:r>
      <w:r>
        <w:rPr>
          <w:spacing w:val="-3"/>
        </w:rPr>
        <w:t xml:space="preserve"> </w:t>
      </w:r>
      <w:r>
        <w:t>has</w:t>
      </w:r>
      <w:r>
        <w:rPr>
          <w:spacing w:val="-3"/>
        </w:rPr>
        <w:t xml:space="preserve"> </w:t>
      </w:r>
      <w:r>
        <w:t>the</w:t>
      </w:r>
      <w:r>
        <w:rPr>
          <w:spacing w:val="-3"/>
        </w:rPr>
        <w:t xml:space="preserve"> </w:t>
      </w:r>
      <w:r>
        <w:t>power</w:t>
      </w:r>
      <w:r>
        <w:rPr>
          <w:spacing w:val="-3"/>
        </w:rPr>
        <w:t xml:space="preserve"> </w:t>
      </w:r>
      <w:r>
        <w:t>to</w:t>
      </w:r>
      <w:r>
        <w:rPr>
          <w:spacing w:val="-3"/>
        </w:rPr>
        <w:t xml:space="preserve"> </w:t>
      </w:r>
      <w:r>
        <w:t>corral</w:t>
      </w:r>
      <w:r>
        <w:rPr>
          <w:spacing w:val="-3"/>
        </w:rPr>
        <w:t xml:space="preserve"> </w:t>
      </w:r>
      <w:r>
        <w:t>the</w:t>
      </w:r>
      <w:r>
        <w:rPr>
          <w:spacing w:val="-3"/>
        </w:rPr>
        <w:t xml:space="preserve"> </w:t>
      </w:r>
      <w:r>
        <w:t>Departments</w:t>
      </w:r>
      <w:r>
        <w:rPr>
          <w:spacing w:val="-3"/>
        </w:rPr>
        <w:t xml:space="preserve"> </w:t>
      </w:r>
      <w:r>
        <w:t>in</w:t>
      </w:r>
      <w:r>
        <w:rPr>
          <w:spacing w:val="-3"/>
        </w:rPr>
        <w:t xml:space="preserve"> </w:t>
      </w:r>
      <w:r>
        <w:t>a</w:t>
      </w:r>
      <w:r>
        <w:rPr>
          <w:spacing w:val="-3"/>
        </w:rPr>
        <w:t xml:space="preserve"> </w:t>
      </w:r>
      <w:r>
        <w:t>centralised</w:t>
      </w:r>
      <w:r>
        <w:rPr>
          <w:spacing w:val="-3"/>
        </w:rPr>
        <w:t xml:space="preserve"> </w:t>
      </w:r>
      <w:r>
        <w:t>way</w:t>
      </w:r>
      <w:r>
        <w:rPr>
          <w:spacing w:val="-3"/>
        </w:rPr>
        <w:t xml:space="preserve"> </w:t>
      </w:r>
      <w:r>
        <w:t>and</w:t>
      </w:r>
      <w:r>
        <w:rPr>
          <w:spacing w:val="-3"/>
        </w:rPr>
        <w:t xml:space="preserve"> </w:t>
      </w:r>
      <w:r>
        <w:t>get</w:t>
      </w:r>
      <w:r>
        <w:rPr>
          <w:spacing w:val="-3"/>
        </w:rPr>
        <w:t xml:space="preserve"> </w:t>
      </w:r>
      <w:r>
        <w:t>them</w:t>
      </w:r>
      <w:r>
        <w:rPr>
          <w:spacing w:val="-3"/>
        </w:rPr>
        <w:t xml:space="preserve"> </w:t>
      </w:r>
      <w:r>
        <w:t>to operate consistently.’</w:t>
      </w:r>
    </w:p>
    <w:p w14:paraId="54426D66" w14:textId="77777777" w:rsidR="006E3F01" w:rsidRDefault="006E3F01" w:rsidP="006E3F01">
      <w:pPr>
        <w:pStyle w:val="italicquote"/>
      </w:pPr>
      <w:r>
        <w:t>̶</w:t>
      </w:r>
      <w:r>
        <w:rPr>
          <w:spacing w:val="54"/>
        </w:rPr>
        <w:t xml:space="preserve"> </w:t>
      </w:r>
      <w:r>
        <w:t xml:space="preserve">RBA staff </w:t>
      </w:r>
      <w:r>
        <w:rPr>
          <w:spacing w:val="-2"/>
        </w:rPr>
        <w:t>member</w:t>
      </w:r>
    </w:p>
    <w:p w14:paraId="7B5E5E79" w14:textId="4CC17EC0" w:rsidR="00006335" w:rsidRDefault="00006335" w:rsidP="00006335">
      <w:r>
        <w:t>Currently, the role of the Deputy Governor – which has responsibility for the RBA’s enabling functions, as well as policy responsibilities – is too large to give appropriate regard to both and should be split. Overseeing the RBA’s policy functions requires different skills to overseeing its corporate and operational functions, and it is challenging for any single person to cover this breadth of skills</w:t>
      </w:r>
      <w:r w:rsidR="0068598E">
        <w:rPr>
          <w:spacing w:val="-11"/>
        </w:rPr>
        <w:t>.</w:t>
      </w:r>
    </w:p>
    <w:p w14:paraId="3B966520" w14:textId="77777777" w:rsidR="00006335" w:rsidRDefault="00006335" w:rsidP="00006335">
      <w:pPr>
        <w:pStyle w:val="Heading4"/>
      </w:pPr>
      <w:r>
        <w:t xml:space="preserve">Improving the risk </w:t>
      </w:r>
      <w:r>
        <w:rPr>
          <w:spacing w:val="-2"/>
        </w:rPr>
        <w:t>culture</w:t>
      </w:r>
    </w:p>
    <w:p w14:paraId="13B2605C" w14:textId="64C55193" w:rsidR="00006335" w:rsidRDefault="00006335" w:rsidP="00006335">
      <w:r>
        <w:t>The Review notes that operational areas of the RBA generally have a well-developed and balanced approach to risk management</w:t>
      </w:r>
      <w:r w:rsidR="0068598E">
        <w:rPr>
          <w:spacing w:val="-21"/>
        </w:rPr>
        <w:t>.</w:t>
      </w:r>
      <w:r>
        <w:rPr>
          <w:w w:val="85"/>
        </w:rPr>
        <w:t xml:space="preserve"> </w:t>
      </w:r>
      <w:r>
        <w:t>This in part relates to the nature of the risks faced by these areas, with risks generally being more measurable and immediately consequential</w:t>
      </w:r>
      <w:r w:rsidR="0068598E">
        <w:rPr>
          <w:spacing w:val="-24"/>
        </w:rPr>
        <w:t>.</w:t>
      </w:r>
      <w:r>
        <w:rPr>
          <w:w w:val="85"/>
        </w:rPr>
        <w:t xml:space="preserve"> </w:t>
      </w:r>
      <w:r>
        <w:t>Nonetheless, in some areas there are opportunities for improvement, which is why the RBA has undertaken several initiatives including:</w:t>
      </w:r>
    </w:p>
    <w:p w14:paraId="3D2753D5" w14:textId="77777777" w:rsidR="00006335" w:rsidRDefault="00006335" w:rsidP="0000278A">
      <w:pPr>
        <w:pStyle w:val="Bullet"/>
      </w:pPr>
      <w:r>
        <w:t>refreshing its</w:t>
      </w:r>
      <w:r>
        <w:rPr>
          <w:spacing w:val="2"/>
        </w:rPr>
        <w:t xml:space="preserve"> </w:t>
      </w:r>
      <w:r>
        <w:t>Risk</w:t>
      </w:r>
      <w:r>
        <w:rPr>
          <w:spacing w:val="2"/>
        </w:rPr>
        <w:t xml:space="preserve"> </w:t>
      </w:r>
      <w:r>
        <w:t>Appetite</w:t>
      </w:r>
      <w:r>
        <w:rPr>
          <w:spacing w:val="2"/>
        </w:rPr>
        <w:t xml:space="preserve"> </w:t>
      </w:r>
      <w:r>
        <w:t>Statement</w:t>
      </w:r>
      <w:r>
        <w:rPr>
          <w:spacing w:val="2"/>
        </w:rPr>
        <w:t xml:space="preserve"> </w:t>
      </w:r>
      <w:r>
        <w:t>and</w:t>
      </w:r>
      <w:r>
        <w:rPr>
          <w:spacing w:val="2"/>
        </w:rPr>
        <w:t xml:space="preserve"> </w:t>
      </w:r>
      <w:r>
        <w:t>engaging</w:t>
      </w:r>
      <w:r>
        <w:rPr>
          <w:spacing w:val="2"/>
        </w:rPr>
        <w:t xml:space="preserve"> </w:t>
      </w:r>
      <w:r>
        <w:t>employees</w:t>
      </w:r>
      <w:r>
        <w:rPr>
          <w:spacing w:val="2"/>
        </w:rPr>
        <w:t xml:space="preserve"> </w:t>
      </w:r>
      <w:r>
        <w:t>on</w:t>
      </w:r>
      <w:r>
        <w:rPr>
          <w:spacing w:val="2"/>
        </w:rPr>
        <w:t xml:space="preserve"> </w:t>
      </w:r>
      <w:r>
        <w:t>its</w:t>
      </w:r>
      <w:r>
        <w:rPr>
          <w:spacing w:val="3"/>
        </w:rPr>
        <w:t xml:space="preserve"> </w:t>
      </w:r>
      <w:r>
        <w:rPr>
          <w:spacing w:val="-2"/>
        </w:rPr>
        <w:t>content</w:t>
      </w:r>
    </w:p>
    <w:p w14:paraId="28C7E4E0" w14:textId="77777777" w:rsidR="00006335" w:rsidRDefault="00006335" w:rsidP="0000278A">
      <w:pPr>
        <w:pStyle w:val="Bullet"/>
      </w:pPr>
      <w:r>
        <w:t>reviewing</w:t>
      </w:r>
      <w:r>
        <w:rPr>
          <w:spacing w:val="1"/>
        </w:rPr>
        <w:t xml:space="preserve"> </w:t>
      </w:r>
      <w:r>
        <w:t>its</w:t>
      </w:r>
      <w:r>
        <w:rPr>
          <w:spacing w:val="2"/>
        </w:rPr>
        <w:t xml:space="preserve"> </w:t>
      </w:r>
      <w:r>
        <w:t>Risk</w:t>
      </w:r>
      <w:r>
        <w:rPr>
          <w:spacing w:val="2"/>
        </w:rPr>
        <w:t xml:space="preserve"> </w:t>
      </w:r>
      <w:r>
        <w:t>Management</w:t>
      </w:r>
      <w:r>
        <w:rPr>
          <w:spacing w:val="2"/>
        </w:rPr>
        <w:t xml:space="preserve"> </w:t>
      </w:r>
      <w:r>
        <w:rPr>
          <w:spacing w:val="-2"/>
        </w:rPr>
        <w:t>Framework</w:t>
      </w:r>
    </w:p>
    <w:p w14:paraId="17A43EB1" w14:textId="77777777" w:rsidR="00006335" w:rsidRDefault="00006335" w:rsidP="0000278A">
      <w:pPr>
        <w:pStyle w:val="Bullet"/>
      </w:pPr>
      <w:r>
        <w:t>requiring</w:t>
      </w:r>
      <w:r>
        <w:rPr>
          <w:spacing w:val="2"/>
        </w:rPr>
        <w:t xml:space="preserve"> </w:t>
      </w:r>
      <w:r>
        <w:t>all</w:t>
      </w:r>
      <w:r>
        <w:rPr>
          <w:spacing w:val="3"/>
        </w:rPr>
        <w:t xml:space="preserve"> </w:t>
      </w:r>
      <w:r>
        <w:t>departments</w:t>
      </w:r>
      <w:r>
        <w:rPr>
          <w:spacing w:val="2"/>
        </w:rPr>
        <w:t xml:space="preserve"> </w:t>
      </w:r>
      <w:r>
        <w:t>to</w:t>
      </w:r>
      <w:r>
        <w:rPr>
          <w:spacing w:val="3"/>
        </w:rPr>
        <w:t xml:space="preserve"> </w:t>
      </w:r>
      <w:r>
        <w:t>undertake</w:t>
      </w:r>
      <w:r>
        <w:rPr>
          <w:spacing w:val="2"/>
        </w:rPr>
        <w:t xml:space="preserve"> </w:t>
      </w:r>
      <w:r>
        <w:t>risk</w:t>
      </w:r>
      <w:r>
        <w:rPr>
          <w:spacing w:val="3"/>
        </w:rPr>
        <w:t xml:space="preserve"> </w:t>
      </w:r>
      <w:r>
        <w:t>culture</w:t>
      </w:r>
      <w:r>
        <w:rPr>
          <w:spacing w:val="3"/>
        </w:rPr>
        <w:t xml:space="preserve"> </w:t>
      </w:r>
      <w:r>
        <w:t>self-</w:t>
      </w:r>
      <w:r>
        <w:rPr>
          <w:spacing w:val="-2"/>
        </w:rPr>
        <w:t>assessments</w:t>
      </w:r>
    </w:p>
    <w:p w14:paraId="1305D390" w14:textId="77777777" w:rsidR="00006335" w:rsidRDefault="00006335" w:rsidP="0000278A">
      <w:pPr>
        <w:pStyle w:val="Bullet"/>
      </w:pPr>
      <w:r>
        <w:t>developing</w:t>
      </w:r>
      <w:r>
        <w:rPr>
          <w:spacing w:val="5"/>
        </w:rPr>
        <w:t xml:space="preserve"> </w:t>
      </w:r>
      <w:r>
        <w:t>an</w:t>
      </w:r>
      <w:r>
        <w:rPr>
          <w:spacing w:val="5"/>
        </w:rPr>
        <w:t xml:space="preserve"> </w:t>
      </w:r>
      <w:r>
        <w:t>Executive</w:t>
      </w:r>
      <w:r>
        <w:rPr>
          <w:spacing w:val="5"/>
        </w:rPr>
        <w:t xml:space="preserve"> </w:t>
      </w:r>
      <w:r>
        <w:t>Accountability</w:t>
      </w:r>
      <w:r>
        <w:rPr>
          <w:spacing w:val="6"/>
        </w:rPr>
        <w:t xml:space="preserve"> </w:t>
      </w:r>
      <w:r>
        <w:rPr>
          <w:spacing w:val="-2"/>
        </w:rPr>
        <w:t>Framework</w:t>
      </w:r>
    </w:p>
    <w:p w14:paraId="6191E4D2" w14:textId="62FD82DC" w:rsidR="00006335" w:rsidRDefault="00006335" w:rsidP="0000278A">
      <w:pPr>
        <w:pStyle w:val="Bullet"/>
      </w:pPr>
      <w:r>
        <w:lastRenderedPageBreak/>
        <w:t>implementing a network of ‘Risk Champions’ throughout the organisation who raise broader awareness of good risk management practices</w:t>
      </w:r>
      <w:r w:rsidR="0068598E">
        <w:rPr>
          <w:spacing w:val="-11"/>
        </w:rPr>
        <w:t>.</w:t>
      </w:r>
    </w:p>
    <w:p w14:paraId="526D0A94" w14:textId="5E8DA2B5" w:rsidR="00006335" w:rsidRDefault="00006335" w:rsidP="009B5A16">
      <w:r>
        <w:t>Shifting risk culture and embedding sound practices takes time so the RBA should maintain momentum on this important work. In this regard, the Review heard from a range of staff members that concerted effort continues to be needed in several areas. First, promoting a more mature</w:t>
      </w:r>
      <w:r w:rsidR="00C61091">
        <w:t xml:space="preserve"> </w:t>
      </w:r>
      <w:r>
        <w:t>risk appetite in some parts of the RBA</w:t>
      </w:r>
      <w:r w:rsidR="0068598E">
        <w:rPr>
          <w:spacing w:val="-24"/>
        </w:rPr>
        <w:t>.</w:t>
      </w:r>
      <w:r>
        <w:rPr>
          <w:w w:val="85"/>
        </w:rPr>
        <w:t xml:space="preserve"> </w:t>
      </w:r>
      <w:r>
        <w:t>Second, embedding risk management frameworks in areas where they are less developed, such as policy areas</w:t>
      </w:r>
      <w:r w:rsidR="0068598E">
        <w:rPr>
          <w:spacing w:val="-21"/>
        </w:rPr>
        <w:t>.</w:t>
      </w:r>
      <w:r>
        <w:rPr>
          <w:w w:val="85"/>
        </w:rPr>
        <w:t xml:space="preserve"> </w:t>
      </w:r>
      <w:r>
        <w:t>Third, ensuring that risk is a well-established and consistent consideration in the RBA’s decision making and project management processes</w:t>
      </w:r>
      <w:r w:rsidR="0068598E">
        <w:rPr>
          <w:spacing w:val="-18"/>
        </w:rPr>
        <w:t>.</w:t>
      </w:r>
      <w:r w:rsidR="0031735C">
        <w:t xml:space="preserve"> </w:t>
      </w:r>
      <w:r>
        <w:t>These changes need to be supported by making sure that the risk management function is empowered to act with an authoritative voice and as a meaningful line of defence</w:t>
      </w:r>
      <w:r w:rsidR="0068598E">
        <w:rPr>
          <w:spacing w:val="-18"/>
        </w:rPr>
        <w:t>.</w:t>
      </w:r>
    </w:p>
    <w:p w14:paraId="3C3BA39C" w14:textId="77777777" w:rsidR="00006335" w:rsidRDefault="00006335" w:rsidP="009B5A16">
      <w:r>
        <w:t>A range of staff members reported that there was excess risk aversion in some parts of the organisation. This was seen to detract from efficiency and the ability to make improvements and innovate. For example, RBA staff members commented to the Review:</w:t>
      </w:r>
    </w:p>
    <w:p w14:paraId="57007B53" w14:textId="77777777" w:rsidR="00006335" w:rsidRDefault="00006335" w:rsidP="009B5A16">
      <w:pPr>
        <w:pStyle w:val="italicquote"/>
      </w:pPr>
      <w:r>
        <w:t>‘A lot of the time the RBA wants gold plating. Although this attitude has changed a lot in the last 5 years. We spend most of the time in achieving the last 10 per cent of the objective instead of doing more substantial work. Sometimes security controls and business expectations for systems are not realistic</w:t>
      </w:r>
      <w:r>
        <w:rPr>
          <w:spacing w:val="-1"/>
        </w:rPr>
        <w:t xml:space="preserve"> </w:t>
      </w:r>
      <w:r>
        <w:t>relative</w:t>
      </w:r>
      <w:r>
        <w:rPr>
          <w:spacing w:val="-1"/>
        </w:rPr>
        <w:t xml:space="preserve"> </w:t>
      </w:r>
      <w:r>
        <w:t>to</w:t>
      </w:r>
      <w:r>
        <w:rPr>
          <w:spacing w:val="-1"/>
        </w:rPr>
        <w:t xml:space="preserve"> </w:t>
      </w:r>
      <w:r>
        <w:t>the</w:t>
      </w:r>
      <w:r>
        <w:rPr>
          <w:spacing w:val="-1"/>
        </w:rPr>
        <w:t xml:space="preserve"> </w:t>
      </w:r>
      <w:r>
        <w:t>tiering</w:t>
      </w:r>
      <w:r>
        <w:rPr>
          <w:spacing w:val="-1"/>
        </w:rPr>
        <w:t xml:space="preserve"> </w:t>
      </w:r>
      <w:r>
        <w:t>of</w:t>
      </w:r>
      <w:r>
        <w:rPr>
          <w:spacing w:val="-1"/>
        </w:rPr>
        <w:t xml:space="preserve"> </w:t>
      </w:r>
      <w:r>
        <w:t>the</w:t>
      </w:r>
      <w:r>
        <w:rPr>
          <w:spacing w:val="-1"/>
        </w:rPr>
        <w:t xml:space="preserve"> </w:t>
      </w:r>
      <w:r>
        <w:t>systems.</w:t>
      </w:r>
      <w:r>
        <w:rPr>
          <w:spacing w:val="-1"/>
        </w:rPr>
        <w:t xml:space="preserve"> </w:t>
      </w:r>
      <w:r>
        <w:t>There</w:t>
      </w:r>
      <w:r>
        <w:rPr>
          <w:spacing w:val="-1"/>
        </w:rPr>
        <w:t xml:space="preserve"> </w:t>
      </w:r>
      <w:r>
        <w:t>is</w:t>
      </w:r>
      <w:r>
        <w:rPr>
          <w:spacing w:val="-1"/>
        </w:rPr>
        <w:t xml:space="preserve"> </w:t>
      </w:r>
      <w:r>
        <w:t>always</w:t>
      </w:r>
      <w:r>
        <w:rPr>
          <w:spacing w:val="-1"/>
        </w:rPr>
        <w:t xml:space="preserve"> </w:t>
      </w:r>
      <w:r>
        <w:t>a</w:t>
      </w:r>
      <w:r>
        <w:rPr>
          <w:spacing w:val="-1"/>
        </w:rPr>
        <w:t xml:space="preserve"> </w:t>
      </w:r>
      <w:r>
        <w:t>big</w:t>
      </w:r>
      <w:r>
        <w:rPr>
          <w:spacing w:val="-1"/>
        </w:rPr>
        <w:t xml:space="preserve"> </w:t>
      </w:r>
      <w:r>
        <w:t>unknown</w:t>
      </w:r>
      <w:r>
        <w:rPr>
          <w:spacing w:val="-1"/>
        </w:rPr>
        <w:t xml:space="preserve"> </w:t>
      </w:r>
      <w:r>
        <w:t>question</w:t>
      </w:r>
      <w:r>
        <w:rPr>
          <w:spacing w:val="-1"/>
        </w:rPr>
        <w:t xml:space="preserve"> </w:t>
      </w:r>
      <w:r>
        <w:t>to</w:t>
      </w:r>
      <w:r>
        <w:rPr>
          <w:spacing w:val="-1"/>
        </w:rPr>
        <w:t xml:space="preserve"> </w:t>
      </w:r>
      <w:r>
        <w:t>solve</w:t>
      </w:r>
      <w:r>
        <w:rPr>
          <w:spacing w:val="-1"/>
        </w:rPr>
        <w:t xml:space="preserve"> </w:t>
      </w:r>
      <w:r>
        <w:t>‘what if this happens’ leading to over-engineering of solutions and processes.’</w:t>
      </w:r>
    </w:p>
    <w:p w14:paraId="26C09368" w14:textId="64AC36D0" w:rsidR="00006335" w:rsidRDefault="00006335" w:rsidP="009B5A16">
      <w:pPr>
        <w:pStyle w:val="italicquote"/>
      </w:pPr>
      <w:r>
        <w:t>‘Culture can vary significantly by department and section, so making broad generalisations that</w:t>
      </w:r>
      <w:r>
        <w:rPr>
          <w:spacing w:val="-2"/>
        </w:rPr>
        <w:t xml:space="preserve"> </w:t>
      </w:r>
      <w:r>
        <w:t>apply</w:t>
      </w:r>
      <w:r>
        <w:rPr>
          <w:spacing w:val="-2"/>
        </w:rPr>
        <w:t xml:space="preserve"> </w:t>
      </w:r>
      <w:r>
        <w:t>to</w:t>
      </w:r>
      <w:r>
        <w:rPr>
          <w:spacing w:val="-2"/>
        </w:rPr>
        <w:t xml:space="preserve"> </w:t>
      </w:r>
      <w:r>
        <w:t>the</w:t>
      </w:r>
      <w:r>
        <w:rPr>
          <w:spacing w:val="-2"/>
        </w:rPr>
        <w:t xml:space="preserve"> </w:t>
      </w:r>
      <w:r>
        <w:t>Bank</w:t>
      </w:r>
      <w:r>
        <w:rPr>
          <w:spacing w:val="-2"/>
        </w:rPr>
        <w:t xml:space="preserve"> </w:t>
      </w:r>
      <w:r>
        <w:t>as</w:t>
      </w:r>
      <w:r>
        <w:rPr>
          <w:spacing w:val="-2"/>
        </w:rPr>
        <w:t xml:space="preserve"> </w:t>
      </w:r>
      <w:r>
        <w:t>a</w:t>
      </w:r>
      <w:r>
        <w:rPr>
          <w:spacing w:val="-2"/>
        </w:rPr>
        <w:t xml:space="preserve"> </w:t>
      </w:r>
      <w:r>
        <w:t>whole</w:t>
      </w:r>
      <w:r>
        <w:rPr>
          <w:spacing w:val="-2"/>
        </w:rPr>
        <w:t xml:space="preserve"> </w:t>
      </w:r>
      <w:r>
        <w:t>can</w:t>
      </w:r>
      <w:r>
        <w:rPr>
          <w:spacing w:val="-2"/>
        </w:rPr>
        <w:t xml:space="preserve"> </w:t>
      </w:r>
      <w:r>
        <w:t>be</w:t>
      </w:r>
      <w:r>
        <w:rPr>
          <w:spacing w:val="-2"/>
        </w:rPr>
        <w:t xml:space="preserve"> </w:t>
      </w:r>
      <w:r>
        <w:t>difficult.</w:t>
      </w:r>
      <w:r>
        <w:rPr>
          <w:spacing w:val="-2"/>
        </w:rPr>
        <w:t xml:space="preserve"> </w:t>
      </w:r>
      <w:r>
        <w:t>My</w:t>
      </w:r>
      <w:r>
        <w:rPr>
          <w:spacing w:val="-2"/>
        </w:rPr>
        <w:t xml:space="preserve"> </w:t>
      </w:r>
      <w:r>
        <w:t>experience</w:t>
      </w:r>
      <w:r>
        <w:rPr>
          <w:spacing w:val="-2"/>
        </w:rPr>
        <w:t xml:space="preserve"> </w:t>
      </w:r>
      <w:r>
        <w:t>of</w:t>
      </w:r>
      <w:r>
        <w:rPr>
          <w:spacing w:val="-2"/>
        </w:rPr>
        <w:t xml:space="preserve"> </w:t>
      </w:r>
      <w:r>
        <w:t>culture</w:t>
      </w:r>
      <w:r>
        <w:rPr>
          <w:spacing w:val="-2"/>
        </w:rPr>
        <w:t xml:space="preserve"> </w:t>
      </w:r>
      <w:r>
        <w:t>at</w:t>
      </w:r>
      <w:r>
        <w:rPr>
          <w:spacing w:val="-2"/>
        </w:rPr>
        <w:t xml:space="preserve"> </w:t>
      </w:r>
      <w:r>
        <w:t>the</w:t>
      </w:r>
      <w:r>
        <w:rPr>
          <w:spacing w:val="-2"/>
        </w:rPr>
        <w:t xml:space="preserve"> </w:t>
      </w:r>
      <w:r>
        <w:t>Bank</w:t>
      </w:r>
      <w:r>
        <w:rPr>
          <w:spacing w:val="-2"/>
        </w:rPr>
        <w:t xml:space="preserve"> </w:t>
      </w:r>
      <w:r>
        <w:t>varies</w:t>
      </w:r>
      <w:r w:rsidR="009B5A16">
        <w:t xml:space="preserve"> </w:t>
      </w:r>
      <w:r>
        <w:t>significantly</w:t>
      </w:r>
      <w:r>
        <w:rPr>
          <w:spacing w:val="-2"/>
        </w:rPr>
        <w:t xml:space="preserve"> </w:t>
      </w:r>
      <w:r>
        <w:t>as</w:t>
      </w:r>
      <w:r>
        <w:rPr>
          <w:spacing w:val="-2"/>
        </w:rPr>
        <w:t xml:space="preserve"> </w:t>
      </w:r>
      <w:r>
        <w:t>I</w:t>
      </w:r>
      <w:r>
        <w:rPr>
          <w:spacing w:val="-2"/>
        </w:rPr>
        <w:t xml:space="preserve"> </w:t>
      </w:r>
      <w:r>
        <w:t>have</w:t>
      </w:r>
      <w:r>
        <w:rPr>
          <w:spacing w:val="-2"/>
        </w:rPr>
        <w:t xml:space="preserve"> </w:t>
      </w:r>
      <w:r>
        <w:t>moved</w:t>
      </w:r>
      <w:r>
        <w:rPr>
          <w:spacing w:val="-2"/>
        </w:rPr>
        <w:t xml:space="preserve"> </w:t>
      </w:r>
      <w:r>
        <w:t>teams.</w:t>
      </w:r>
      <w:r>
        <w:rPr>
          <w:spacing w:val="-2"/>
        </w:rPr>
        <w:t xml:space="preserve"> </w:t>
      </w:r>
      <w:r>
        <w:t>However,</w:t>
      </w:r>
      <w:r>
        <w:rPr>
          <w:spacing w:val="-2"/>
        </w:rPr>
        <w:t xml:space="preserve"> </w:t>
      </w:r>
      <w:r>
        <w:t>broadly</w:t>
      </w:r>
      <w:r>
        <w:rPr>
          <w:spacing w:val="-2"/>
        </w:rPr>
        <w:t xml:space="preserve"> </w:t>
      </w:r>
      <w:r>
        <w:t>speaking</w:t>
      </w:r>
      <w:r>
        <w:rPr>
          <w:spacing w:val="-2"/>
        </w:rPr>
        <w:t xml:space="preserve"> </w:t>
      </w:r>
      <w:r>
        <w:t>there</w:t>
      </w:r>
      <w:r>
        <w:rPr>
          <w:spacing w:val="-2"/>
        </w:rPr>
        <w:t xml:space="preserve"> </w:t>
      </w:r>
      <w:r>
        <w:t>is</w:t>
      </w:r>
      <w:r>
        <w:rPr>
          <w:spacing w:val="-2"/>
        </w:rPr>
        <w:t xml:space="preserve"> </w:t>
      </w:r>
      <w:r>
        <w:t>a</w:t>
      </w:r>
      <w:r>
        <w:rPr>
          <w:spacing w:val="-2"/>
        </w:rPr>
        <w:t xml:space="preserve"> </w:t>
      </w:r>
      <w:r>
        <w:t>perfectionist</w:t>
      </w:r>
      <w:r>
        <w:rPr>
          <w:spacing w:val="-2"/>
        </w:rPr>
        <w:t xml:space="preserve"> </w:t>
      </w:r>
      <w:r>
        <w:t>culture</w:t>
      </w:r>
      <w:r>
        <w:rPr>
          <w:spacing w:val="-2"/>
        </w:rPr>
        <w:t xml:space="preserve"> </w:t>
      </w:r>
      <w:r>
        <w:t>at</w:t>
      </w:r>
      <w:r>
        <w:rPr>
          <w:spacing w:val="-2"/>
        </w:rPr>
        <w:t xml:space="preserve"> </w:t>
      </w:r>
      <w:r>
        <w:t>the Bank that results in ‘gold-plating’ internal work. This can result in timelines for pieces of work being stretched for little additional benefit.’</w:t>
      </w:r>
    </w:p>
    <w:p w14:paraId="44E3D5B9" w14:textId="77777777" w:rsidR="00006335" w:rsidRDefault="00006335" w:rsidP="009B5A16">
      <w:pPr>
        <w:pStyle w:val="italicquote"/>
      </w:pPr>
      <w:r>
        <w:t>–</w:t>
      </w:r>
      <w:r>
        <w:rPr>
          <w:spacing w:val="1"/>
        </w:rPr>
        <w:t xml:space="preserve"> </w:t>
      </w:r>
      <w:r>
        <w:t>RBA</w:t>
      </w:r>
      <w:r>
        <w:rPr>
          <w:spacing w:val="1"/>
        </w:rPr>
        <w:t xml:space="preserve"> </w:t>
      </w:r>
      <w:r>
        <w:t>staff</w:t>
      </w:r>
      <w:r>
        <w:rPr>
          <w:spacing w:val="1"/>
        </w:rPr>
        <w:t xml:space="preserve"> </w:t>
      </w:r>
      <w:r>
        <w:rPr>
          <w:spacing w:val="-2"/>
        </w:rPr>
        <w:t>members</w:t>
      </w:r>
    </w:p>
    <w:p w14:paraId="738AE4FC" w14:textId="77777777" w:rsidR="00006335" w:rsidRDefault="00006335" w:rsidP="00006335">
      <w:pPr>
        <w:pStyle w:val="BodyText"/>
        <w:spacing w:before="7"/>
        <w:rPr>
          <w:i/>
          <w:sz w:val="20"/>
        </w:rPr>
      </w:pPr>
    </w:p>
    <w:p w14:paraId="327F7C07" w14:textId="1F0796D2" w:rsidR="00006335" w:rsidRDefault="00006335" w:rsidP="009B5A16">
      <w:r>
        <w:t>Results from the RBA Review Staff Survey reinforce these views. A substantial proportion of respondents considered the RBA’s appetite for risk and resistance to trying new things were barriers to them performing at their best (Chart 4</w:t>
      </w:r>
      <w:r w:rsidR="0068598E">
        <w:rPr>
          <w:spacing w:val="-17"/>
        </w:rPr>
        <w:t>.</w:t>
      </w:r>
      <w:r>
        <w:rPr>
          <w:w w:val="117"/>
        </w:rPr>
        <w:t>6)</w:t>
      </w:r>
      <w:r w:rsidR="0068598E">
        <w:rPr>
          <w:spacing w:val="-17"/>
          <w:w w:val="99"/>
        </w:rPr>
        <w:t>.</w:t>
      </w:r>
    </w:p>
    <w:p w14:paraId="3B15DF9A" w14:textId="620E4177" w:rsidR="007D1866" w:rsidRDefault="007D1866" w:rsidP="00030AC7">
      <w:pPr>
        <w:pStyle w:val="BoxHeading"/>
        <w:keepLines/>
      </w:pPr>
      <w:r>
        <w:t>Chart</w:t>
      </w:r>
      <w:r>
        <w:rPr>
          <w:spacing w:val="1"/>
        </w:rPr>
        <w:t xml:space="preserve"> </w:t>
      </w:r>
      <w:r>
        <w:t>4.6:</w:t>
      </w:r>
      <w:r>
        <w:rPr>
          <w:spacing w:val="2"/>
        </w:rPr>
        <w:t xml:space="preserve"> </w:t>
      </w:r>
      <w:r>
        <w:t>Staff</w:t>
      </w:r>
      <w:r>
        <w:rPr>
          <w:spacing w:val="2"/>
        </w:rPr>
        <w:t xml:space="preserve"> </w:t>
      </w:r>
      <w:r>
        <w:t>perceptions</w:t>
      </w:r>
      <w:r>
        <w:rPr>
          <w:spacing w:val="2"/>
        </w:rPr>
        <w:t xml:space="preserve"> </w:t>
      </w:r>
      <w:r>
        <w:t>of</w:t>
      </w:r>
      <w:r>
        <w:rPr>
          <w:spacing w:val="2"/>
        </w:rPr>
        <w:t xml:space="preserve"> </w:t>
      </w:r>
      <w:r>
        <w:t>barriers</w:t>
      </w:r>
      <w:r>
        <w:rPr>
          <w:spacing w:val="1"/>
        </w:rPr>
        <w:t xml:space="preserve"> </w:t>
      </w:r>
      <w:r>
        <w:t>to</w:t>
      </w:r>
      <w:r>
        <w:rPr>
          <w:spacing w:val="2"/>
        </w:rPr>
        <w:t xml:space="preserve"> </w:t>
      </w:r>
      <w:r>
        <w:t>them</w:t>
      </w:r>
      <w:r>
        <w:rPr>
          <w:spacing w:val="2"/>
        </w:rPr>
        <w:t xml:space="preserve"> </w:t>
      </w:r>
      <w:r>
        <w:t>performing</w:t>
      </w:r>
      <w:r>
        <w:rPr>
          <w:spacing w:val="2"/>
        </w:rPr>
        <w:t xml:space="preserve"> </w:t>
      </w:r>
      <w:r>
        <w:t>at</w:t>
      </w:r>
      <w:r>
        <w:rPr>
          <w:spacing w:val="2"/>
        </w:rPr>
        <w:t xml:space="preserve"> </w:t>
      </w:r>
      <w:r>
        <w:t>their</w:t>
      </w:r>
      <w:r>
        <w:rPr>
          <w:spacing w:val="1"/>
        </w:rPr>
        <w:t xml:space="preserve"> </w:t>
      </w:r>
      <w:r>
        <w:t>best</w:t>
      </w:r>
      <w:r>
        <w:rPr>
          <w:spacing w:val="2"/>
        </w:rPr>
        <w:t xml:space="preserve"> </w:t>
      </w:r>
      <w:r>
        <w:rPr>
          <w:spacing w:val="-2"/>
        </w:rPr>
        <w:t>(risk)</w:t>
      </w:r>
    </w:p>
    <w:p w14:paraId="7A8D4740" w14:textId="2034D0EA" w:rsidR="006E3F01" w:rsidRDefault="00030AC7" w:rsidP="00030AC7">
      <w:pPr>
        <w:keepNext/>
        <w:keepLines/>
      </w:pPr>
      <w:r>
        <w:rPr>
          <w:noProof/>
        </w:rPr>
        <w:drawing>
          <wp:inline distT="0" distB="0" distL="0" distR="0" wp14:anchorId="253F51DD" wp14:editId="761969FD">
            <wp:extent cx="4892926" cy="2019404"/>
            <wp:effectExtent l="0" t="0" r="3175" b="0"/>
            <wp:docPr id="33" name="Picture 33" descr="Bar chart showing the proportion of RBA staff members who agreed with a statement.&#10;Resistance to experimentation with new ideas is a barrier to me performing at my best. Somewhat 29 per cent. To a great extent 16 per cent. To a very great extent 9 per cent.  &#10;The appetite for risk within the RBA is a barrier to me performing at my best. Somewhat 34 per cent. To a great extent 16 per cent. To a very great extent 9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Bar chart showing the proportion of RBA staff members who agreed with a statement.&#10;Resistance to experimentation with new ideas is a barrier to me performing at my best. Somewhat 29 per cent. To a great extent 16 per cent. To a very great extent 9 per cent.  &#10;The appetite for risk within the RBA is a barrier to me performing at my best. Somewhat 34 per cent. To a great extent 16 per cent. To a very great extent 9 per cent. &#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92926" cy="2019404"/>
                    </a:xfrm>
                    <a:prstGeom prst="rect">
                      <a:avLst/>
                    </a:prstGeom>
                  </pic:spPr>
                </pic:pic>
              </a:graphicData>
            </a:graphic>
          </wp:inline>
        </w:drawing>
      </w:r>
    </w:p>
    <w:p w14:paraId="04BADAF1" w14:textId="6A364B45" w:rsidR="00953183" w:rsidRDefault="00953183" w:rsidP="00030AC7">
      <w:pPr>
        <w:pStyle w:val="Note"/>
        <w:keepNext/>
        <w:keepLines/>
      </w:pPr>
      <w:r>
        <w:t>Source:</w:t>
      </w:r>
      <w:r>
        <w:rPr>
          <w:spacing w:val="5"/>
        </w:rPr>
        <w:t xml:space="preserve"> </w:t>
      </w:r>
      <w:r>
        <w:t>RBA</w:t>
      </w:r>
      <w:r>
        <w:rPr>
          <w:spacing w:val="6"/>
        </w:rPr>
        <w:t xml:space="preserve"> </w:t>
      </w:r>
      <w:r>
        <w:t>Review</w:t>
      </w:r>
      <w:r>
        <w:rPr>
          <w:spacing w:val="6"/>
        </w:rPr>
        <w:t xml:space="preserve"> </w:t>
      </w:r>
      <w:r>
        <w:t>Staff</w:t>
      </w:r>
      <w:r>
        <w:rPr>
          <w:spacing w:val="6"/>
        </w:rPr>
        <w:t xml:space="preserve"> </w:t>
      </w:r>
      <w:r>
        <w:t>Survey</w:t>
      </w:r>
      <w:r>
        <w:rPr>
          <w:spacing w:val="6"/>
        </w:rPr>
        <w:t xml:space="preserve"> </w:t>
      </w:r>
      <w:r>
        <w:t>(2022)</w:t>
      </w:r>
      <w:r w:rsidR="0068598E">
        <w:rPr>
          <w:spacing w:val="-19"/>
        </w:rPr>
        <w:t>.</w:t>
      </w:r>
    </w:p>
    <w:p w14:paraId="73A70A73" w14:textId="0F6E0EDE" w:rsidR="007D1866" w:rsidRDefault="00953183" w:rsidP="00030AC7">
      <w:pPr>
        <w:pStyle w:val="Note"/>
        <w:keepNext/>
        <w:keepLines/>
        <w:rPr>
          <w:spacing w:val="-2"/>
        </w:rPr>
      </w:pPr>
      <w:r>
        <w:t>Note:</w:t>
      </w:r>
      <w:r>
        <w:rPr>
          <w:spacing w:val="3"/>
        </w:rPr>
        <w:t xml:space="preserve"> </w:t>
      </w:r>
      <w:r>
        <w:t>Response</w:t>
      </w:r>
      <w:r>
        <w:rPr>
          <w:spacing w:val="5"/>
        </w:rPr>
        <w:t xml:space="preserve"> </w:t>
      </w:r>
      <w:r>
        <w:t>scale</w:t>
      </w:r>
      <w:r>
        <w:rPr>
          <w:spacing w:val="5"/>
        </w:rPr>
        <w:t xml:space="preserve"> </w:t>
      </w:r>
      <w:r>
        <w:t>was</w:t>
      </w:r>
      <w:r>
        <w:rPr>
          <w:spacing w:val="5"/>
        </w:rPr>
        <w:t xml:space="preserve"> </w:t>
      </w:r>
      <w:r>
        <w:t>‘to</w:t>
      </w:r>
      <w:r>
        <w:rPr>
          <w:spacing w:val="5"/>
        </w:rPr>
        <w:t xml:space="preserve"> </w:t>
      </w:r>
      <w:r>
        <w:t>a</w:t>
      </w:r>
      <w:r>
        <w:rPr>
          <w:spacing w:val="6"/>
        </w:rPr>
        <w:t xml:space="preserve"> </w:t>
      </w:r>
      <w:r>
        <w:t>very</w:t>
      </w:r>
      <w:r>
        <w:rPr>
          <w:spacing w:val="5"/>
        </w:rPr>
        <w:t xml:space="preserve"> </w:t>
      </w:r>
      <w:r>
        <w:t>great</w:t>
      </w:r>
      <w:r>
        <w:rPr>
          <w:spacing w:val="5"/>
        </w:rPr>
        <w:t xml:space="preserve"> </w:t>
      </w:r>
      <w:r>
        <w:t>extent’,</w:t>
      </w:r>
      <w:r>
        <w:rPr>
          <w:spacing w:val="5"/>
        </w:rPr>
        <w:t xml:space="preserve"> </w:t>
      </w:r>
      <w:r>
        <w:t>‘to</w:t>
      </w:r>
      <w:r>
        <w:rPr>
          <w:spacing w:val="5"/>
        </w:rPr>
        <w:t xml:space="preserve"> </w:t>
      </w:r>
      <w:r>
        <w:t>a</w:t>
      </w:r>
      <w:r>
        <w:rPr>
          <w:spacing w:val="5"/>
        </w:rPr>
        <w:t xml:space="preserve"> </w:t>
      </w:r>
      <w:r>
        <w:t>great</w:t>
      </w:r>
      <w:r>
        <w:rPr>
          <w:spacing w:val="6"/>
        </w:rPr>
        <w:t xml:space="preserve"> </w:t>
      </w:r>
      <w:r>
        <w:t>extent’,</w:t>
      </w:r>
      <w:r>
        <w:rPr>
          <w:spacing w:val="5"/>
        </w:rPr>
        <w:t xml:space="preserve"> </w:t>
      </w:r>
      <w:r>
        <w:t>‘somewhat’,</w:t>
      </w:r>
      <w:r>
        <w:rPr>
          <w:spacing w:val="5"/>
        </w:rPr>
        <w:t xml:space="preserve"> </w:t>
      </w:r>
      <w:r>
        <w:t>‘very</w:t>
      </w:r>
      <w:r>
        <w:rPr>
          <w:spacing w:val="5"/>
        </w:rPr>
        <w:t xml:space="preserve"> </w:t>
      </w:r>
      <w:r>
        <w:t>little’,</w:t>
      </w:r>
      <w:r>
        <w:rPr>
          <w:spacing w:val="5"/>
        </w:rPr>
        <w:t xml:space="preserve"> </w:t>
      </w:r>
      <w:r>
        <w:t>‘not</w:t>
      </w:r>
      <w:r>
        <w:rPr>
          <w:spacing w:val="5"/>
        </w:rPr>
        <w:t xml:space="preserve"> </w:t>
      </w:r>
      <w:r>
        <w:t>at</w:t>
      </w:r>
      <w:r>
        <w:rPr>
          <w:spacing w:val="6"/>
        </w:rPr>
        <w:t xml:space="preserve"> </w:t>
      </w:r>
      <w:r>
        <w:rPr>
          <w:spacing w:val="-2"/>
        </w:rPr>
        <w:t>all’.</w:t>
      </w:r>
    </w:p>
    <w:p w14:paraId="441CC371" w14:textId="679B94F6" w:rsidR="00A12133" w:rsidRDefault="00A12133" w:rsidP="00A12133">
      <w:r>
        <w:t xml:space="preserve">The Review heard that one reason for risk aversion in some parts of the RBA is because of a low tolerance for failure. Survey data showed that only 38 per cent of staff members agreed that the RBA supports the idea that failure is a part of innovation. Staff members told the Review that the RBA has a </w:t>
      </w:r>
      <w:r>
        <w:lastRenderedPageBreak/>
        <w:t>‘long memory’. In focus groups conducted as part of a Psychosocial Risk Audit for the RBA</w:t>
      </w:r>
      <w:r>
        <w:rPr>
          <w:spacing w:val="-4"/>
        </w:rPr>
        <w:t xml:space="preserve"> </w:t>
      </w:r>
      <w:r>
        <w:t>in</w:t>
      </w:r>
      <w:r>
        <w:rPr>
          <w:spacing w:val="-3"/>
        </w:rPr>
        <w:t xml:space="preserve"> </w:t>
      </w:r>
      <w:r>
        <w:t>2021,</w:t>
      </w:r>
      <w:r>
        <w:rPr>
          <w:spacing w:val="-3"/>
        </w:rPr>
        <w:t xml:space="preserve"> </w:t>
      </w:r>
      <w:r>
        <w:t>many</w:t>
      </w:r>
      <w:r>
        <w:rPr>
          <w:spacing w:val="-3"/>
        </w:rPr>
        <w:t xml:space="preserve"> </w:t>
      </w:r>
      <w:r>
        <w:t>accounts</w:t>
      </w:r>
      <w:r>
        <w:rPr>
          <w:spacing w:val="-3"/>
        </w:rPr>
        <w:t xml:space="preserve"> </w:t>
      </w:r>
      <w:r>
        <w:t>were</w:t>
      </w:r>
      <w:r>
        <w:rPr>
          <w:spacing w:val="-3"/>
        </w:rPr>
        <w:t xml:space="preserve"> </w:t>
      </w:r>
      <w:r>
        <w:t>provided</w:t>
      </w:r>
      <w:r>
        <w:rPr>
          <w:spacing w:val="-3"/>
        </w:rPr>
        <w:t xml:space="preserve"> </w:t>
      </w:r>
      <w:r>
        <w:t>of</w:t>
      </w:r>
      <w:r>
        <w:rPr>
          <w:spacing w:val="-3"/>
        </w:rPr>
        <w:t xml:space="preserve"> </w:t>
      </w:r>
      <w:r>
        <w:t>issues</w:t>
      </w:r>
      <w:r>
        <w:rPr>
          <w:spacing w:val="-3"/>
        </w:rPr>
        <w:t xml:space="preserve"> </w:t>
      </w:r>
      <w:r>
        <w:t>that</w:t>
      </w:r>
      <w:r>
        <w:rPr>
          <w:spacing w:val="-3"/>
        </w:rPr>
        <w:t xml:space="preserve"> </w:t>
      </w:r>
      <w:r>
        <w:t>had</w:t>
      </w:r>
      <w:r>
        <w:rPr>
          <w:spacing w:val="-3"/>
        </w:rPr>
        <w:t xml:space="preserve"> </w:t>
      </w:r>
      <w:r>
        <w:t>occurred</w:t>
      </w:r>
      <w:r>
        <w:rPr>
          <w:spacing w:val="-3"/>
        </w:rPr>
        <w:t xml:space="preserve"> </w:t>
      </w:r>
      <w:r>
        <w:t>ten</w:t>
      </w:r>
      <w:r>
        <w:rPr>
          <w:spacing w:val="-3"/>
        </w:rPr>
        <w:t xml:space="preserve"> </w:t>
      </w:r>
      <w:r>
        <w:t>or</w:t>
      </w:r>
      <w:r>
        <w:rPr>
          <w:spacing w:val="-3"/>
        </w:rPr>
        <w:t xml:space="preserve"> </w:t>
      </w:r>
      <w:r>
        <w:t>more</w:t>
      </w:r>
      <w:r>
        <w:rPr>
          <w:spacing w:val="-3"/>
        </w:rPr>
        <w:t xml:space="preserve"> </w:t>
      </w:r>
      <w:r>
        <w:t>years</w:t>
      </w:r>
      <w:r>
        <w:rPr>
          <w:spacing w:val="-3"/>
        </w:rPr>
        <w:t xml:space="preserve"> </w:t>
      </w:r>
      <w:r>
        <w:t>ago</w:t>
      </w:r>
      <w:r w:rsidR="0068598E">
        <w:rPr>
          <w:spacing w:val="-25"/>
        </w:rPr>
        <w:t>.</w:t>
      </w:r>
      <w:r>
        <w:rPr>
          <w:w w:val="85"/>
        </w:rPr>
        <w:t xml:space="preserve"> </w:t>
      </w:r>
      <w:r>
        <w:t>The Review heard that in some cases, mistakes become part of RBA folklore and the s</w:t>
      </w:r>
      <w:r w:rsidR="0068598E">
        <w:t>t</w:t>
      </w:r>
      <w:r>
        <w:t>ories continue</w:t>
      </w:r>
      <w:r>
        <w:rPr>
          <w:spacing w:val="80"/>
        </w:rPr>
        <w:t xml:space="preserve"> </w:t>
      </w:r>
      <w:r>
        <w:t xml:space="preserve">to be shared years later. While this can reflect learning over time, the Review also heard that these </w:t>
      </w:r>
      <w:r>
        <w:rPr>
          <w:color w:val="231F20"/>
        </w:rPr>
        <w:t>examples were</w:t>
      </w:r>
      <w:r>
        <w:rPr>
          <w:color w:val="231F20"/>
          <w:spacing w:val="2"/>
        </w:rPr>
        <w:t xml:space="preserve"> </w:t>
      </w:r>
      <w:r>
        <w:rPr>
          <w:color w:val="231F20"/>
        </w:rPr>
        <w:t>seen</w:t>
      </w:r>
      <w:r>
        <w:rPr>
          <w:color w:val="231F20"/>
          <w:spacing w:val="3"/>
        </w:rPr>
        <w:t xml:space="preserve"> </w:t>
      </w:r>
      <w:r>
        <w:rPr>
          <w:color w:val="231F20"/>
        </w:rPr>
        <w:t>as</w:t>
      </w:r>
      <w:r>
        <w:rPr>
          <w:color w:val="231F20"/>
          <w:spacing w:val="2"/>
        </w:rPr>
        <w:t xml:space="preserve"> </w:t>
      </w:r>
      <w:r>
        <w:rPr>
          <w:color w:val="231F20"/>
        </w:rPr>
        <w:t>signifying</w:t>
      </w:r>
      <w:r>
        <w:rPr>
          <w:color w:val="231F20"/>
          <w:spacing w:val="3"/>
        </w:rPr>
        <w:t xml:space="preserve"> </w:t>
      </w:r>
      <w:r>
        <w:rPr>
          <w:color w:val="231F20"/>
        </w:rPr>
        <w:t>that</w:t>
      </w:r>
      <w:r>
        <w:rPr>
          <w:color w:val="231F20"/>
          <w:spacing w:val="2"/>
        </w:rPr>
        <w:t xml:space="preserve"> </w:t>
      </w:r>
      <w:r>
        <w:rPr>
          <w:color w:val="231F20"/>
        </w:rPr>
        <w:t>making</w:t>
      </w:r>
      <w:r>
        <w:rPr>
          <w:color w:val="231F20"/>
          <w:spacing w:val="3"/>
        </w:rPr>
        <w:t xml:space="preserve"> </w:t>
      </w:r>
      <w:r>
        <w:rPr>
          <w:color w:val="231F20"/>
        </w:rPr>
        <w:t>mistakes</w:t>
      </w:r>
      <w:r>
        <w:rPr>
          <w:color w:val="231F20"/>
          <w:spacing w:val="2"/>
        </w:rPr>
        <w:t xml:space="preserve"> </w:t>
      </w:r>
      <w:r>
        <w:rPr>
          <w:color w:val="231F20"/>
        </w:rPr>
        <w:t>was</w:t>
      </w:r>
      <w:r>
        <w:rPr>
          <w:color w:val="231F20"/>
          <w:spacing w:val="2"/>
        </w:rPr>
        <w:t xml:space="preserve"> </w:t>
      </w:r>
      <w:r>
        <w:rPr>
          <w:color w:val="231F20"/>
        </w:rPr>
        <w:t>a</w:t>
      </w:r>
      <w:r>
        <w:rPr>
          <w:color w:val="231F20"/>
          <w:spacing w:val="3"/>
        </w:rPr>
        <w:t xml:space="preserve"> </w:t>
      </w:r>
      <w:r>
        <w:rPr>
          <w:color w:val="231F20"/>
        </w:rPr>
        <w:t>terrible</w:t>
      </w:r>
      <w:r>
        <w:rPr>
          <w:color w:val="231F20"/>
          <w:spacing w:val="2"/>
        </w:rPr>
        <w:t xml:space="preserve"> </w:t>
      </w:r>
      <w:r>
        <w:rPr>
          <w:color w:val="231F20"/>
        </w:rPr>
        <w:t>thing</w:t>
      </w:r>
      <w:r>
        <w:rPr>
          <w:color w:val="231F20"/>
          <w:spacing w:val="3"/>
        </w:rPr>
        <w:t xml:space="preserve"> </w:t>
      </w:r>
      <w:r>
        <w:rPr>
          <w:color w:val="231F20"/>
        </w:rPr>
        <w:t>and</w:t>
      </w:r>
      <w:r>
        <w:rPr>
          <w:color w:val="231F20"/>
          <w:spacing w:val="2"/>
        </w:rPr>
        <w:t xml:space="preserve"> </w:t>
      </w:r>
      <w:r>
        <w:rPr>
          <w:color w:val="231F20"/>
        </w:rPr>
        <w:t>attached</w:t>
      </w:r>
      <w:r>
        <w:rPr>
          <w:color w:val="231F20"/>
          <w:spacing w:val="3"/>
        </w:rPr>
        <w:t xml:space="preserve"> </w:t>
      </w:r>
      <w:r>
        <w:rPr>
          <w:color w:val="231F20"/>
          <w:spacing w:val="-2"/>
        </w:rPr>
        <w:t xml:space="preserve">negatively </w:t>
      </w:r>
      <w:r>
        <w:rPr>
          <w:color w:val="231F20"/>
        </w:rPr>
        <w:t>to</w:t>
      </w:r>
      <w:r>
        <w:rPr>
          <w:color w:val="231F20"/>
          <w:spacing w:val="3"/>
        </w:rPr>
        <w:t xml:space="preserve"> </w:t>
      </w:r>
      <w:r>
        <w:rPr>
          <w:color w:val="231F20"/>
        </w:rPr>
        <w:t>the</w:t>
      </w:r>
      <w:r>
        <w:rPr>
          <w:color w:val="231F20"/>
          <w:spacing w:val="3"/>
        </w:rPr>
        <w:t xml:space="preserve"> </w:t>
      </w:r>
      <w:r>
        <w:rPr>
          <w:color w:val="231F20"/>
        </w:rPr>
        <w:t>individuals</w:t>
      </w:r>
      <w:r>
        <w:rPr>
          <w:color w:val="231F20"/>
          <w:spacing w:val="3"/>
        </w:rPr>
        <w:t xml:space="preserve"> </w:t>
      </w:r>
      <w:r>
        <w:rPr>
          <w:color w:val="231F20"/>
        </w:rPr>
        <w:t>involved</w:t>
      </w:r>
      <w:r w:rsidR="0068598E">
        <w:rPr>
          <w:color w:val="231F20"/>
          <w:spacing w:val="-22"/>
        </w:rPr>
        <w:t>.</w:t>
      </w:r>
    </w:p>
    <w:p w14:paraId="1E828FC8" w14:textId="77777777" w:rsidR="00A12133" w:rsidRDefault="00A12133" w:rsidP="00A12133">
      <w:r>
        <w:t>A common theme the Review heard was that the RBA does not handle bad news well and that this means people do not want to raise problems or point out mistakes. Staff members remarked that this strengthens risk aversion and fear of failure:</w:t>
      </w:r>
    </w:p>
    <w:p w14:paraId="11D2BB4F" w14:textId="77777777" w:rsidR="00A12133" w:rsidRDefault="00A12133" w:rsidP="00A12133">
      <w:pPr>
        <w:pStyle w:val="italicquote"/>
      </w:pPr>
      <w:r>
        <w:t>‘…Another issue is an unwillingness to hear about problems. Reasonably, senior leadership wants a</w:t>
      </w:r>
      <w:r>
        <w:rPr>
          <w:spacing w:val="-3"/>
        </w:rPr>
        <w:t xml:space="preserve"> </w:t>
      </w:r>
      <w:r>
        <w:t>focus</w:t>
      </w:r>
      <w:r>
        <w:rPr>
          <w:spacing w:val="-3"/>
        </w:rPr>
        <w:t xml:space="preserve"> </w:t>
      </w:r>
      <w:r>
        <w:t>on</w:t>
      </w:r>
      <w:r>
        <w:rPr>
          <w:spacing w:val="-3"/>
        </w:rPr>
        <w:t xml:space="preserve"> </w:t>
      </w:r>
      <w:r>
        <w:t>solutions,</w:t>
      </w:r>
      <w:r>
        <w:rPr>
          <w:spacing w:val="-3"/>
        </w:rPr>
        <w:t xml:space="preserve"> </w:t>
      </w:r>
      <w:r>
        <w:t>but</w:t>
      </w:r>
      <w:r>
        <w:rPr>
          <w:spacing w:val="-3"/>
        </w:rPr>
        <w:t xml:space="preserve"> </w:t>
      </w:r>
      <w:r>
        <w:t>it</w:t>
      </w:r>
      <w:r>
        <w:rPr>
          <w:spacing w:val="-3"/>
        </w:rPr>
        <w:t xml:space="preserve"> </w:t>
      </w:r>
      <w:r>
        <w:t>does</w:t>
      </w:r>
      <w:r>
        <w:rPr>
          <w:spacing w:val="-3"/>
        </w:rPr>
        <w:t xml:space="preserve"> </w:t>
      </w:r>
      <w:r>
        <w:t>mean</w:t>
      </w:r>
      <w:r>
        <w:rPr>
          <w:spacing w:val="-3"/>
        </w:rPr>
        <w:t xml:space="preserve"> </w:t>
      </w:r>
      <w:r>
        <w:t>discussion</w:t>
      </w:r>
      <w:r>
        <w:rPr>
          <w:spacing w:val="-3"/>
        </w:rPr>
        <w:t xml:space="preserve"> </w:t>
      </w:r>
      <w:r>
        <w:t>of</w:t>
      </w:r>
      <w:r>
        <w:rPr>
          <w:spacing w:val="-3"/>
        </w:rPr>
        <w:t xml:space="preserve"> </w:t>
      </w:r>
      <w:r>
        <w:t>problems</w:t>
      </w:r>
      <w:r>
        <w:rPr>
          <w:spacing w:val="-3"/>
        </w:rPr>
        <w:t xml:space="preserve"> </w:t>
      </w:r>
      <w:r>
        <w:t>gets</w:t>
      </w:r>
      <w:r>
        <w:rPr>
          <w:spacing w:val="-3"/>
        </w:rPr>
        <w:t xml:space="preserve"> </w:t>
      </w:r>
      <w:r>
        <w:t>supressed</w:t>
      </w:r>
      <w:r>
        <w:rPr>
          <w:spacing w:val="-3"/>
        </w:rPr>
        <w:t xml:space="preserve"> </w:t>
      </w:r>
      <w:r>
        <w:t>and</w:t>
      </w:r>
      <w:r>
        <w:rPr>
          <w:spacing w:val="-3"/>
        </w:rPr>
        <w:t xml:space="preserve"> </w:t>
      </w:r>
      <w:r>
        <w:t>is</w:t>
      </w:r>
      <w:r>
        <w:rPr>
          <w:spacing w:val="-3"/>
        </w:rPr>
        <w:t xml:space="preserve"> </w:t>
      </w:r>
      <w:r>
        <w:t>seen</w:t>
      </w:r>
      <w:r>
        <w:rPr>
          <w:spacing w:val="-3"/>
        </w:rPr>
        <w:t xml:space="preserve"> </w:t>
      </w:r>
      <w:r>
        <w:t>as</w:t>
      </w:r>
      <w:r>
        <w:rPr>
          <w:spacing w:val="-3"/>
        </w:rPr>
        <w:t xml:space="preserve"> </w:t>
      </w:r>
      <w:r>
        <w:t>career limiting/not taking an ‘all of Bank’ view and various other characterisations.’</w:t>
      </w:r>
    </w:p>
    <w:p w14:paraId="5C687C65" w14:textId="77777777" w:rsidR="00A12133" w:rsidRDefault="00A12133" w:rsidP="00A12133">
      <w:pPr>
        <w:pStyle w:val="italicquote"/>
      </w:pPr>
      <w:r>
        <w:t>–</w:t>
      </w:r>
      <w:r>
        <w:rPr>
          <w:spacing w:val="1"/>
        </w:rPr>
        <w:t xml:space="preserve"> </w:t>
      </w:r>
      <w:r>
        <w:t>RBA</w:t>
      </w:r>
      <w:r>
        <w:rPr>
          <w:spacing w:val="1"/>
        </w:rPr>
        <w:t xml:space="preserve"> </w:t>
      </w:r>
      <w:r>
        <w:t>staff</w:t>
      </w:r>
      <w:r>
        <w:rPr>
          <w:spacing w:val="1"/>
        </w:rPr>
        <w:t xml:space="preserve"> </w:t>
      </w:r>
      <w:r>
        <w:rPr>
          <w:spacing w:val="-2"/>
        </w:rPr>
        <w:t>member</w:t>
      </w:r>
    </w:p>
    <w:p w14:paraId="0F0518A8" w14:textId="77777777" w:rsidR="002D1AE2" w:rsidRDefault="002D1AE2" w:rsidP="002D1AE2">
      <w:r>
        <w:t>These issues can manifest as ‘gold plating’ where minor risks are overmanaged. Staff members reported that this could be the case even for outputs that they considered lower risk in terms of</w:t>
      </w:r>
      <w:r>
        <w:rPr>
          <w:spacing w:val="40"/>
        </w:rPr>
        <w:t xml:space="preserve"> </w:t>
      </w:r>
      <w:r>
        <w:t>the RBA’s reputation (for example, internal analytical notes). Staff members reported that various factors, including the presence of fewer external hires, bred an environment in policy departments that was more insular than other areas of the RBA and that this could result in the loss of broader perspective. An RBA staff member told the Review:</w:t>
      </w:r>
    </w:p>
    <w:p w14:paraId="518F98E2" w14:textId="77777777" w:rsidR="002D1AE2" w:rsidRDefault="002D1AE2" w:rsidP="00E97D25">
      <w:pPr>
        <w:pStyle w:val="italicquote"/>
        <w:keepNext/>
        <w:keepLines/>
        <w:ind w:right="522"/>
      </w:pPr>
      <w:r>
        <w:t>‘The RBA puts too much emphasis on perfecting the minutiae of internal work relative to getting the bigger picture approach correct. In particular, too much time is spent editing and re-editing internal work which impedes the pace and scope of analytical work. Managers therefore spend much of their time editing, when time would better be spent exploring better ways to answer policy-relevant questions.’</w:t>
      </w:r>
    </w:p>
    <w:p w14:paraId="0CE8E441" w14:textId="77777777" w:rsidR="002D1AE2" w:rsidRDefault="002D1AE2" w:rsidP="00E97D25">
      <w:pPr>
        <w:pStyle w:val="italicquote"/>
        <w:keepNext/>
        <w:keepLines/>
        <w:ind w:right="522"/>
      </w:pPr>
      <w:r>
        <w:t>–</w:t>
      </w:r>
      <w:r>
        <w:rPr>
          <w:spacing w:val="1"/>
        </w:rPr>
        <w:t xml:space="preserve"> </w:t>
      </w:r>
      <w:r>
        <w:t>RBA</w:t>
      </w:r>
      <w:r>
        <w:rPr>
          <w:spacing w:val="1"/>
        </w:rPr>
        <w:t xml:space="preserve"> </w:t>
      </w:r>
      <w:r>
        <w:t>staff</w:t>
      </w:r>
      <w:r>
        <w:rPr>
          <w:spacing w:val="1"/>
        </w:rPr>
        <w:t xml:space="preserve"> </w:t>
      </w:r>
      <w:r>
        <w:rPr>
          <w:spacing w:val="-2"/>
        </w:rPr>
        <w:t>member</w:t>
      </w:r>
    </w:p>
    <w:p w14:paraId="1F5053AE" w14:textId="0E67CFDE" w:rsidR="002D1AE2" w:rsidRDefault="002D1AE2" w:rsidP="002D1AE2">
      <w:r>
        <w:t>The Review heard that risk aversion can be particularly problematic for initiating new projects and changing how the RBA operates</w:t>
      </w:r>
      <w:r w:rsidR="0068598E">
        <w:rPr>
          <w:spacing w:val="-24"/>
        </w:rPr>
        <w:t>.</w:t>
      </w:r>
      <w:r>
        <w:rPr>
          <w:w w:val="85"/>
        </w:rPr>
        <w:t xml:space="preserve"> </w:t>
      </w:r>
      <w:r>
        <w:t xml:space="preserve">Several people commented that project initiation involved excessive analysis and information up front relative to the risks involved, creating issues with timely project delivery. Staff members in corporate roles have, at times, been expected to draft </w:t>
      </w:r>
      <w:r>
        <w:rPr>
          <w:color w:val="231F20"/>
        </w:rPr>
        <w:t>long analytical notes in the same style as those in policy roles, hampering quick innovation</w:t>
      </w:r>
      <w:r w:rsidR="0068598E">
        <w:rPr>
          <w:color w:val="231F20"/>
          <w:spacing w:val="-23"/>
        </w:rPr>
        <w:t>.</w:t>
      </w:r>
      <w:r>
        <w:rPr>
          <w:color w:val="231F20"/>
          <w:w w:val="85"/>
        </w:rPr>
        <w:t xml:space="preserve"> </w:t>
      </w:r>
      <w:r>
        <w:rPr>
          <w:color w:val="231F20"/>
        </w:rPr>
        <w:t>Others highlighted the lengthy discussions and approvals involved in attempting to improve processes used to produce and deliver regular pieces of analysis. Some reflected that these are long-running issues at the RBA. A comment from the RBA Review Staff Survey that was reflective of this, was:</w:t>
      </w:r>
    </w:p>
    <w:p w14:paraId="67A6EBE3" w14:textId="77777777" w:rsidR="002D1AE2" w:rsidRDefault="002D1AE2" w:rsidP="002D1AE2">
      <w:pPr>
        <w:pStyle w:val="italicquote"/>
      </w:pPr>
      <w:r>
        <w:t>‘The Bank is too hierarchical and struggles with delegated decision making. It tends to fall into analysis paralysis where staff want all the detail up front rather than being able to embrace progressive</w:t>
      </w:r>
      <w:r>
        <w:rPr>
          <w:spacing w:val="-4"/>
        </w:rPr>
        <w:t xml:space="preserve"> </w:t>
      </w:r>
      <w:r>
        <w:t>elaboration.</w:t>
      </w:r>
      <w:r>
        <w:rPr>
          <w:spacing w:val="-4"/>
        </w:rPr>
        <w:t xml:space="preserve"> </w:t>
      </w:r>
      <w:r>
        <w:t>Providing</w:t>
      </w:r>
      <w:r>
        <w:rPr>
          <w:spacing w:val="-4"/>
        </w:rPr>
        <w:t xml:space="preserve"> </w:t>
      </w:r>
      <w:r>
        <w:t>more</w:t>
      </w:r>
      <w:r>
        <w:rPr>
          <w:spacing w:val="-4"/>
        </w:rPr>
        <w:t xml:space="preserve"> </w:t>
      </w:r>
      <w:r>
        <w:t>delegation</w:t>
      </w:r>
      <w:r>
        <w:rPr>
          <w:spacing w:val="-4"/>
        </w:rPr>
        <w:t xml:space="preserve"> </w:t>
      </w:r>
      <w:r>
        <w:t>and</w:t>
      </w:r>
      <w:r>
        <w:rPr>
          <w:spacing w:val="-4"/>
        </w:rPr>
        <w:t xml:space="preserve"> </w:t>
      </w:r>
      <w:r>
        <w:t>becoming</w:t>
      </w:r>
      <w:r>
        <w:rPr>
          <w:spacing w:val="-4"/>
        </w:rPr>
        <w:t xml:space="preserve"> </w:t>
      </w:r>
      <w:r>
        <w:t>a</w:t>
      </w:r>
      <w:r>
        <w:rPr>
          <w:spacing w:val="-4"/>
        </w:rPr>
        <w:t xml:space="preserve"> </w:t>
      </w:r>
      <w:r>
        <w:t>bit</w:t>
      </w:r>
      <w:r>
        <w:rPr>
          <w:spacing w:val="-4"/>
        </w:rPr>
        <w:t xml:space="preserve"> </w:t>
      </w:r>
      <w:r>
        <w:t>more</w:t>
      </w:r>
      <w:r>
        <w:rPr>
          <w:spacing w:val="-4"/>
        </w:rPr>
        <w:t xml:space="preserve"> </w:t>
      </w:r>
      <w:r>
        <w:t>agile</w:t>
      </w:r>
      <w:r>
        <w:rPr>
          <w:spacing w:val="-4"/>
        </w:rPr>
        <w:t xml:space="preserve"> </w:t>
      </w:r>
      <w:r>
        <w:t>would</w:t>
      </w:r>
      <w:r>
        <w:rPr>
          <w:spacing w:val="-4"/>
        </w:rPr>
        <w:t xml:space="preserve"> </w:t>
      </w:r>
      <w:r>
        <w:t>go</w:t>
      </w:r>
      <w:r>
        <w:rPr>
          <w:spacing w:val="-4"/>
        </w:rPr>
        <w:t xml:space="preserve"> </w:t>
      </w:r>
      <w:r>
        <w:t>a long way.’</w:t>
      </w:r>
    </w:p>
    <w:p w14:paraId="09B44DB8" w14:textId="77777777" w:rsidR="002D1AE2" w:rsidRDefault="002D1AE2" w:rsidP="002D1AE2">
      <w:pPr>
        <w:pStyle w:val="italicquote"/>
      </w:pPr>
      <w:r>
        <w:t>–</w:t>
      </w:r>
      <w:r>
        <w:rPr>
          <w:spacing w:val="1"/>
        </w:rPr>
        <w:t xml:space="preserve"> </w:t>
      </w:r>
      <w:r>
        <w:t>RBA</w:t>
      </w:r>
      <w:r>
        <w:rPr>
          <w:spacing w:val="1"/>
        </w:rPr>
        <w:t xml:space="preserve"> </w:t>
      </w:r>
      <w:r>
        <w:t>staff</w:t>
      </w:r>
      <w:r>
        <w:rPr>
          <w:spacing w:val="1"/>
        </w:rPr>
        <w:t xml:space="preserve"> </w:t>
      </w:r>
      <w:r>
        <w:rPr>
          <w:spacing w:val="-2"/>
        </w:rPr>
        <w:t>member</w:t>
      </w:r>
    </w:p>
    <w:p w14:paraId="5829FA87" w14:textId="34B7DBF7" w:rsidR="002D1AE2" w:rsidRDefault="002D1AE2" w:rsidP="002D1AE2">
      <w:r>
        <w:t xml:space="preserve">In relation to better embedding risk management frameworks, the Review heard more needs to be done to deepen staff members’ knowledge of risk management. This includes better </w:t>
      </w:r>
      <w:r>
        <w:rPr>
          <w:color w:val="231F20"/>
        </w:rPr>
        <w:t>understanding the RBA’s risk appetite, how it translates to their work, what controls might apply, and expectations for good risk management behaviours. The most critical element is helping staff members to understand how risk assessment and risk management practices add value to and support their everyday work. Some staff members relayed to the Review that they would like to better understand these issues to improve their work</w:t>
      </w:r>
      <w:r w:rsidR="0068598E">
        <w:rPr>
          <w:color w:val="231F20"/>
          <w:spacing w:val="-21"/>
        </w:rPr>
        <w:t>.</w:t>
      </w:r>
      <w:r>
        <w:rPr>
          <w:color w:val="231F20"/>
          <w:w w:val="85"/>
        </w:rPr>
        <w:t xml:space="preserve"> </w:t>
      </w:r>
      <w:r>
        <w:rPr>
          <w:color w:val="231F20"/>
        </w:rPr>
        <w:t xml:space="preserve">Successfully improving risk culture requires executive leaders to </w:t>
      </w:r>
      <w:r>
        <w:rPr>
          <w:color w:val="231F20"/>
        </w:rPr>
        <w:lastRenderedPageBreak/>
        <w:t>emphasise the value of risk management and how it enhances the RBA’s work. As one RBA staff member put it:</w:t>
      </w:r>
    </w:p>
    <w:p w14:paraId="5D7CFB30" w14:textId="77777777" w:rsidR="002D1AE2" w:rsidRDefault="002D1AE2" w:rsidP="002D1AE2">
      <w:pPr>
        <w:pStyle w:val="italicquote"/>
      </w:pPr>
      <w:r>
        <w:t>‘It</w:t>
      </w:r>
      <w:r>
        <w:rPr>
          <w:spacing w:val="-2"/>
        </w:rPr>
        <w:t xml:space="preserve"> </w:t>
      </w:r>
      <w:r>
        <w:t>would</w:t>
      </w:r>
      <w:r>
        <w:rPr>
          <w:spacing w:val="-2"/>
        </w:rPr>
        <w:t xml:space="preserve"> </w:t>
      </w:r>
      <w:r>
        <w:t>be</w:t>
      </w:r>
      <w:r>
        <w:rPr>
          <w:spacing w:val="-2"/>
        </w:rPr>
        <w:t xml:space="preserve"> </w:t>
      </w:r>
      <w:r>
        <w:t>wonderful</w:t>
      </w:r>
      <w:r>
        <w:rPr>
          <w:spacing w:val="-2"/>
        </w:rPr>
        <w:t xml:space="preserve"> </w:t>
      </w:r>
      <w:r>
        <w:t>to</w:t>
      </w:r>
      <w:r>
        <w:rPr>
          <w:spacing w:val="-2"/>
        </w:rPr>
        <w:t xml:space="preserve"> </w:t>
      </w:r>
      <w:r>
        <w:t>see</w:t>
      </w:r>
      <w:r>
        <w:rPr>
          <w:spacing w:val="-2"/>
        </w:rPr>
        <w:t xml:space="preserve"> </w:t>
      </w:r>
      <w:r>
        <w:t>the</w:t>
      </w:r>
      <w:r>
        <w:rPr>
          <w:spacing w:val="-2"/>
        </w:rPr>
        <w:t xml:space="preserve"> </w:t>
      </w:r>
      <w:r>
        <w:t>RBA</w:t>
      </w:r>
      <w:r>
        <w:rPr>
          <w:spacing w:val="-2"/>
        </w:rPr>
        <w:t xml:space="preserve"> </w:t>
      </w:r>
      <w:r>
        <w:t>encourage,</w:t>
      </w:r>
      <w:r>
        <w:rPr>
          <w:spacing w:val="-2"/>
        </w:rPr>
        <w:t xml:space="preserve"> </w:t>
      </w:r>
      <w:r>
        <w:t>embrace</w:t>
      </w:r>
      <w:r>
        <w:rPr>
          <w:spacing w:val="-2"/>
        </w:rPr>
        <w:t xml:space="preserve"> </w:t>
      </w:r>
      <w:r>
        <w:t>and</w:t>
      </w:r>
      <w:r>
        <w:rPr>
          <w:spacing w:val="-2"/>
        </w:rPr>
        <w:t xml:space="preserve"> </w:t>
      </w:r>
      <w:r>
        <w:t>reward</w:t>
      </w:r>
      <w:r>
        <w:rPr>
          <w:spacing w:val="-2"/>
        </w:rPr>
        <w:t xml:space="preserve"> </w:t>
      </w:r>
      <w:r>
        <w:t>innovation</w:t>
      </w:r>
      <w:r>
        <w:rPr>
          <w:spacing w:val="-2"/>
        </w:rPr>
        <w:t xml:space="preserve"> </w:t>
      </w:r>
      <w:r>
        <w:t>with</w:t>
      </w:r>
      <w:r>
        <w:rPr>
          <w:spacing w:val="-2"/>
        </w:rPr>
        <w:t xml:space="preserve"> </w:t>
      </w:r>
      <w:r>
        <w:t>an</w:t>
      </w:r>
      <w:r>
        <w:rPr>
          <w:spacing w:val="-2"/>
        </w:rPr>
        <w:t xml:space="preserve"> </w:t>
      </w:r>
      <w:r>
        <w:t>increase in</w:t>
      </w:r>
      <w:r>
        <w:rPr>
          <w:spacing w:val="-1"/>
        </w:rPr>
        <w:t xml:space="preserve"> </w:t>
      </w:r>
      <w:r>
        <w:t>appetite</w:t>
      </w:r>
      <w:r>
        <w:rPr>
          <w:spacing w:val="-1"/>
        </w:rPr>
        <w:t xml:space="preserve"> </w:t>
      </w:r>
      <w:r>
        <w:t>for</w:t>
      </w:r>
      <w:r>
        <w:rPr>
          <w:spacing w:val="-1"/>
        </w:rPr>
        <w:t xml:space="preserve"> </w:t>
      </w:r>
      <w:r>
        <w:t>measured</w:t>
      </w:r>
      <w:r>
        <w:rPr>
          <w:spacing w:val="-1"/>
        </w:rPr>
        <w:t xml:space="preserve"> </w:t>
      </w:r>
      <w:r>
        <w:t>risk</w:t>
      </w:r>
      <w:r>
        <w:rPr>
          <w:spacing w:val="-1"/>
        </w:rPr>
        <w:t xml:space="preserve"> </w:t>
      </w:r>
      <w:r>
        <w:t>taking.</w:t>
      </w:r>
      <w:r>
        <w:rPr>
          <w:spacing w:val="-1"/>
        </w:rPr>
        <w:t xml:space="preserve"> </w:t>
      </w:r>
      <w:r>
        <w:t>I</w:t>
      </w:r>
      <w:r>
        <w:rPr>
          <w:spacing w:val="-1"/>
        </w:rPr>
        <w:t xml:space="preserve"> </w:t>
      </w:r>
      <w:r>
        <w:t>believe</w:t>
      </w:r>
      <w:r>
        <w:rPr>
          <w:spacing w:val="-1"/>
        </w:rPr>
        <w:t xml:space="preserve"> </w:t>
      </w:r>
      <w:r>
        <w:t>this</w:t>
      </w:r>
      <w:r>
        <w:rPr>
          <w:spacing w:val="-1"/>
        </w:rPr>
        <w:t xml:space="preserve"> </w:t>
      </w:r>
      <w:r>
        <w:t>would</w:t>
      </w:r>
      <w:r>
        <w:rPr>
          <w:spacing w:val="-1"/>
        </w:rPr>
        <w:t xml:space="preserve"> </w:t>
      </w:r>
      <w:r>
        <w:t>help</w:t>
      </w:r>
      <w:r>
        <w:rPr>
          <w:spacing w:val="-1"/>
        </w:rPr>
        <w:t xml:space="preserve"> </w:t>
      </w:r>
      <w:r>
        <w:t>break</w:t>
      </w:r>
      <w:r>
        <w:rPr>
          <w:spacing w:val="-1"/>
        </w:rPr>
        <w:t xml:space="preserve"> </w:t>
      </w:r>
      <w:r>
        <w:t>down</w:t>
      </w:r>
      <w:r>
        <w:rPr>
          <w:spacing w:val="-1"/>
        </w:rPr>
        <w:t xml:space="preserve"> </w:t>
      </w:r>
      <w:r>
        <w:t>some</w:t>
      </w:r>
      <w:r>
        <w:rPr>
          <w:spacing w:val="-1"/>
        </w:rPr>
        <w:t xml:space="preserve"> </w:t>
      </w:r>
      <w:r>
        <w:t>barriers</w:t>
      </w:r>
      <w:r>
        <w:rPr>
          <w:spacing w:val="-1"/>
        </w:rPr>
        <w:t xml:space="preserve"> </w:t>
      </w:r>
      <w:r>
        <w:t>(perceived or real) and enable the Bank to evolve into a more innovative, engaging, collaborative and</w:t>
      </w:r>
      <w:r>
        <w:rPr>
          <w:spacing w:val="40"/>
        </w:rPr>
        <w:t xml:space="preserve"> </w:t>
      </w:r>
      <w:r>
        <w:t>inspired organisation.’</w:t>
      </w:r>
    </w:p>
    <w:p w14:paraId="2D83CB90" w14:textId="2DAC5040" w:rsidR="007D56B5" w:rsidRPr="0031735C" w:rsidRDefault="00C549F4" w:rsidP="0031735C">
      <w:pPr>
        <w:pStyle w:val="italicquote"/>
        <w:rPr>
          <w:spacing w:val="-2"/>
        </w:rPr>
      </w:pPr>
      <w:r w:rsidRPr="00C549F4">
        <w:rPr>
          <w:i w:val="0"/>
          <w:iCs w:val="0"/>
        </w:rPr>
        <w:t>-</w:t>
      </w:r>
      <w:r>
        <w:t xml:space="preserve"> </w:t>
      </w:r>
      <w:r w:rsidR="002D1AE2">
        <w:t>RBA</w:t>
      </w:r>
      <w:r w:rsidR="002D1AE2">
        <w:rPr>
          <w:spacing w:val="3"/>
        </w:rPr>
        <w:t xml:space="preserve"> </w:t>
      </w:r>
      <w:r w:rsidR="002D1AE2">
        <w:t>staff</w:t>
      </w:r>
      <w:r w:rsidR="002D1AE2">
        <w:rPr>
          <w:spacing w:val="2"/>
        </w:rPr>
        <w:t xml:space="preserve"> </w:t>
      </w:r>
      <w:r w:rsidR="002D1AE2">
        <w:rPr>
          <w:spacing w:val="-2"/>
        </w:rPr>
        <w:t>member</w:t>
      </w:r>
    </w:p>
    <w:p w14:paraId="5773A364" w14:textId="2AE383CF" w:rsidR="003B0F61" w:rsidRDefault="003B0F61" w:rsidP="003B0F61">
      <w:pPr>
        <w:pStyle w:val="Heading2"/>
      </w:pPr>
      <w:bookmarkStart w:id="54" w:name="_Toc134221024"/>
      <w:r>
        <w:t>Recommendation</w:t>
      </w:r>
      <w:r>
        <w:rPr>
          <w:spacing w:val="-17"/>
        </w:rPr>
        <w:t xml:space="preserve"> </w:t>
      </w:r>
      <w:r>
        <w:t>11.2:</w:t>
      </w:r>
      <w:r>
        <w:rPr>
          <w:spacing w:val="-17"/>
        </w:rPr>
        <w:t xml:space="preserve"> </w:t>
      </w:r>
      <w:r>
        <w:t>Strong</w:t>
      </w:r>
      <w:r>
        <w:rPr>
          <w:spacing w:val="-17"/>
        </w:rPr>
        <w:t xml:space="preserve"> </w:t>
      </w:r>
      <w:r>
        <w:t>leadership</w:t>
      </w:r>
      <w:r>
        <w:rPr>
          <w:spacing w:val="-16"/>
        </w:rPr>
        <w:t xml:space="preserve"> </w:t>
      </w:r>
      <w:r w:rsidRPr="003B0F61">
        <w:t>capability</w:t>
      </w:r>
      <w:r>
        <w:t xml:space="preserve"> to optimise performance</w:t>
      </w:r>
      <w:bookmarkEnd w:id="54"/>
    </w:p>
    <w:tbl>
      <w:tblPr>
        <w:tblW w:w="5000" w:type="pct"/>
        <w:tblCellMar>
          <w:left w:w="0" w:type="dxa"/>
          <w:right w:w="0" w:type="dxa"/>
        </w:tblCellMar>
        <w:tblLook w:val="01E0" w:firstRow="1" w:lastRow="1" w:firstColumn="1" w:lastColumn="1" w:noHBand="0" w:noVBand="0"/>
      </w:tblPr>
      <w:tblGrid>
        <w:gridCol w:w="842"/>
        <w:gridCol w:w="8228"/>
      </w:tblGrid>
      <w:tr w:rsidR="003B0F61" w14:paraId="2F8146A8" w14:textId="77777777" w:rsidTr="00BF3D0B">
        <w:trPr>
          <w:trHeight w:val="369"/>
        </w:trPr>
        <w:tc>
          <w:tcPr>
            <w:tcW w:w="5000" w:type="pct"/>
            <w:gridSpan w:val="2"/>
            <w:tcBorders>
              <w:bottom w:val="single" w:sz="8" w:space="0" w:color="ECEDE9"/>
            </w:tcBorders>
          </w:tcPr>
          <w:p w14:paraId="389E6479" w14:textId="386CDACE" w:rsidR="00CB51F7" w:rsidRPr="00CB51F7" w:rsidRDefault="00CB51F7" w:rsidP="00990EAC">
            <w:pPr>
              <w:pStyle w:val="Heading4"/>
            </w:pPr>
            <w:r>
              <w:t>Recommendation</w:t>
            </w:r>
            <w:r>
              <w:rPr>
                <w:spacing w:val="-1"/>
              </w:rPr>
              <w:t xml:space="preserve"> </w:t>
            </w:r>
            <w:r>
              <w:t>11.2:</w:t>
            </w:r>
            <w:r>
              <w:rPr>
                <w:spacing w:val="1"/>
              </w:rPr>
              <w:t xml:space="preserve"> </w:t>
            </w:r>
            <w:r>
              <w:t>Strong</w:t>
            </w:r>
            <w:r>
              <w:rPr>
                <w:spacing w:val="1"/>
              </w:rPr>
              <w:t xml:space="preserve"> </w:t>
            </w:r>
            <w:r>
              <w:t>leadership</w:t>
            </w:r>
            <w:r>
              <w:rPr>
                <w:spacing w:val="1"/>
              </w:rPr>
              <w:t xml:space="preserve"> </w:t>
            </w:r>
            <w:r>
              <w:t>capability</w:t>
            </w:r>
            <w:r>
              <w:rPr>
                <w:spacing w:val="1"/>
              </w:rPr>
              <w:t xml:space="preserve"> </w:t>
            </w:r>
            <w:r>
              <w:t>to</w:t>
            </w:r>
            <w:r>
              <w:rPr>
                <w:spacing w:val="1"/>
              </w:rPr>
              <w:t xml:space="preserve"> </w:t>
            </w:r>
            <w:r>
              <w:t>optimise</w:t>
            </w:r>
            <w:r>
              <w:rPr>
                <w:spacing w:val="1"/>
              </w:rPr>
              <w:t xml:space="preserve"> </w:t>
            </w:r>
            <w:r>
              <w:rPr>
                <w:spacing w:val="-2"/>
              </w:rPr>
              <w:t>performance</w:t>
            </w:r>
          </w:p>
        </w:tc>
      </w:tr>
      <w:tr w:rsidR="003B0F61" w14:paraId="3F3AC617" w14:textId="77777777" w:rsidTr="00F22AE5">
        <w:trPr>
          <w:trHeight w:val="2634"/>
        </w:trPr>
        <w:tc>
          <w:tcPr>
            <w:tcW w:w="464" w:type="pct"/>
            <w:tcBorders>
              <w:top w:val="single" w:sz="8" w:space="0" w:color="ECEDE9"/>
              <w:bottom w:val="single" w:sz="8" w:space="0" w:color="ECEDE9"/>
            </w:tcBorders>
          </w:tcPr>
          <w:p w14:paraId="3D6670EF" w14:textId="77777777" w:rsidR="003B0F61" w:rsidRDefault="003B0F61" w:rsidP="00F22AE5">
            <w:r>
              <w:t>11.2</w:t>
            </w:r>
          </w:p>
        </w:tc>
        <w:tc>
          <w:tcPr>
            <w:tcW w:w="4536" w:type="pct"/>
            <w:tcBorders>
              <w:top w:val="single" w:sz="8" w:space="0" w:color="ECEDE9"/>
              <w:bottom w:val="single" w:sz="8" w:space="0" w:color="ECEDE9"/>
            </w:tcBorders>
          </w:tcPr>
          <w:p w14:paraId="1E075C3D" w14:textId="77777777" w:rsidR="003B0F61" w:rsidRDefault="003B0F61" w:rsidP="00F22AE5">
            <w:r>
              <w:t>The</w:t>
            </w:r>
            <w:r>
              <w:rPr>
                <w:spacing w:val="5"/>
              </w:rPr>
              <w:t xml:space="preserve"> </w:t>
            </w:r>
            <w:r>
              <w:t>RBA</w:t>
            </w:r>
            <w:r>
              <w:rPr>
                <w:spacing w:val="5"/>
              </w:rPr>
              <w:t xml:space="preserve"> </w:t>
            </w:r>
            <w:r>
              <w:t>should</w:t>
            </w:r>
            <w:r>
              <w:rPr>
                <w:spacing w:val="5"/>
              </w:rPr>
              <w:t xml:space="preserve"> </w:t>
            </w:r>
            <w:r>
              <w:t>strengthen</w:t>
            </w:r>
            <w:r>
              <w:rPr>
                <w:spacing w:val="5"/>
              </w:rPr>
              <w:t xml:space="preserve"> </w:t>
            </w:r>
            <w:r>
              <w:t>and</w:t>
            </w:r>
            <w:r>
              <w:rPr>
                <w:spacing w:val="5"/>
              </w:rPr>
              <w:t xml:space="preserve"> </w:t>
            </w:r>
            <w:r>
              <w:t>extend</w:t>
            </w:r>
            <w:r>
              <w:rPr>
                <w:spacing w:val="5"/>
              </w:rPr>
              <w:t xml:space="preserve"> </w:t>
            </w:r>
            <w:r>
              <w:t>its</w:t>
            </w:r>
            <w:r>
              <w:rPr>
                <w:spacing w:val="5"/>
              </w:rPr>
              <w:t xml:space="preserve"> </w:t>
            </w:r>
            <w:r>
              <w:t>leadership</w:t>
            </w:r>
            <w:r>
              <w:rPr>
                <w:spacing w:val="5"/>
              </w:rPr>
              <w:t xml:space="preserve"> </w:t>
            </w:r>
            <w:r>
              <w:t>capability</w:t>
            </w:r>
            <w:r>
              <w:rPr>
                <w:spacing w:val="5"/>
              </w:rPr>
              <w:t xml:space="preserve"> </w:t>
            </w:r>
            <w:r>
              <w:rPr>
                <w:spacing w:val="-2"/>
              </w:rPr>
              <w:t>through:</w:t>
            </w:r>
          </w:p>
          <w:p w14:paraId="1B6A5AB7" w14:textId="77777777" w:rsidR="003B0F61" w:rsidRDefault="003B0F61" w:rsidP="0000278A">
            <w:pPr>
              <w:pStyle w:val="Bullet"/>
            </w:pPr>
            <w:r>
              <w:t>mandatory</w:t>
            </w:r>
            <w:r>
              <w:rPr>
                <w:spacing w:val="1"/>
              </w:rPr>
              <w:t xml:space="preserve"> </w:t>
            </w:r>
            <w:r>
              <w:t>leadership</w:t>
            </w:r>
            <w:r>
              <w:rPr>
                <w:spacing w:val="1"/>
              </w:rPr>
              <w:t xml:space="preserve"> </w:t>
            </w:r>
            <w:r>
              <w:t>training</w:t>
            </w:r>
            <w:r>
              <w:rPr>
                <w:spacing w:val="1"/>
              </w:rPr>
              <w:t xml:space="preserve"> </w:t>
            </w:r>
            <w:r>
              <w:t>for</w:t>
            </w:r>
            <w:r>
              <w:rPr>
                <w:spacing w:val="1"/>
              </w:rPr>
              <w:t xml:space="preserve"> </w:t>
            </w:r>
            <w:r>
              <w:t>all</w:t>
            </w:r>
            <w:r>
              <w:rPr>
                <w:spacing w:val="2"/>
              </w:rPr>
              <w:t xml:space="preserve"> </w:t>
            </w:r>
            <w:r>
              <w:rPr>
                <w:spacing w:val="-2"/>
              </w:rPr>
              <w:t>managers</w:t>
            </w:r>
          </w:p>
          <w:p w14:paraId="2287652E" w14:textId="06D2B637" w:rsidR="003B0F61" w:rsidRDefault="003B0F61" w:rsidP="0095488C">
            <w:pPr>
              <w:pStyle w:val="Bullet"/>
            </w:pPr>
            <w:r>
              <w:t>annual</w:t>
            </w:r>
            <w:r>
              <w:rPr>
                <w:spacing w:val="4"/>
              </w:rPr>
              <w:t xml:space="preserve"> </w:t>
            </w:r>
            <w:r>
              <w:t>externally</w:t>
            </w:r>
            <w:r>
              <w:rPr>
                <w:spacing w:val="4"/>
              </w:rPr>
              <w:t xml:space="preserve"> </w:t>
            </w:r>
            <w:r>
              <w:t>facilitated</w:t>
            </w:r>
            <w:r>
              <w:rPr>
                <w:spacing w:val="4"/>
              </w:rPr>
              <w:t xml:space="preserve"> </w:t>
            </w:r>
            <w:r>
              <w:t>360-degree</w:t>
            </w:r>
            <w:r>
              <w:rPr>
                <w:spacing w:val="4"/>
              </w:rPr>
              <w:t xml:space="preserve"> </w:t>
            </w:r>
            <w:r>
              <w:t>feedback</w:t>
            </w:r>
            <w:r>
              <w:rPr>
                <w:spacing w:val="4"/>
              </w:rPr>
              <w:t xml:space="preserve"> </w:t>
            </w:r>
            <w:r>
              <w:t>mechanisms</w:t>
            </w:r>
            <w:r>
              <w:rPr>
                <w:spacing w:val="4"/>
              </w:rPr>
              <w:t xml:space="preserve"> </w:t>
            </w:r>
            <w:r>
              <w:t>for</w:t>
            </w:r>
            <w:r>
              <w:rPr>
                <w:spacing w:val="4"/>
              </w:rPr>
              <w:t xml:space="preserve"> </w:t>
            </w:r>
            <w:r>
              <w:t>managers</w:t>
            </w:r>
            <w:r>
              <w:rPr>
                <w:spacing w:val="4"/>
              </w:rPr>
              <w:t xml:space="preserve"> </w:t>
            </w:r>
            <w:r>
              <w:rPr>
                <w:spacing w:val="-4"/>
              </w:rPr>
              <w:t>with</w:t>
            </w:r>
            <w:r w:rsidR="0095488C">
              <w:rPr>
                <w:spacing w:val="-4"/>
              </w:rPr>
              <w:t xml:space="preserve"> </w:t>
            </w:r>
            <w:r>
              <w:t>subsequent</w:t>
            </w:r>
            <w:r w:rsidRPr="0095488C">
              <w:rPr>
                <w:spacing w:val="1"/>
              </w:rPr>
              <w:t xml:space="preserve"> </w:t>
            </w:r>
            <w:r>
              <w:t>leadership</w:t>
            </w:r>
            <w:r w:rsidRPr="0095488C">
              <w:rPr>
                <w:spacing w:val="1"/>
              </w:rPr>
              <w:t xml:space="preserve"> </w:t>
            </w:r>
            <w:r>
              <w:t>coaching</w:t>
            </w:r>
            <w:r w:rsidRPr="0095488C">
              <w:rPr>
                <w:spacing w:val="2"/>
              </w:rPr>
              <w:t xml:space="preserve"> </w:t>
            </w:r>
            <w:r w:rsidRPr="0095488C">
              <w:rPr>
                <w:spacing w:val="-2"/>
              </w:rPr>
              <w:t>services</w:t>
            </w:r>
          </w:p>
          <w:p w14:paraId="3F41643C" w14:textId="77777777" w:rsidR="003B0F61" w:rsidRDefault="003B0F61" w:rsidP="0000278A">
            <w:pPr>
              <w:pStyle w:val="Bullet"/>
            </w:pPr>
            <w:r>
              <w:t>ensuring its leaders are assessed for how effectively they deliver performance management and development processes that capture both the business outcomes and how those outcomes were achieved</w:t>
            </w:r>
          </w:p>
          <w:p w14:paraId="4AAF396C" w14:textId="77777777" w:rsidR="003B0F61" w:rsidRDefault="003B0F61" w:rsidP="0000278A">
            <w:pPr>
              <w:pStyle w:val="Bullet"/>
            </w:pPr>
            <w:r>
              <w:rPr>
                <w:spacing w:val="-2"/>
              </w:rPr>
              <w:t>more</w:t>
            </w:r>
            <w:r>
              <w:rPr>
                <w:spacing w:val="-3"/>
              </w:rPr>
              <w:t xml:space="preserve"> </w:t>
            </w:r>
            <w:r>
              <w:rPr>
                <w:spacing w:val="-2"/>
              </w:rPr>
              <w:t>routine</w:t>
            </w:r>
            <w:r>
              <w:rPr>
                <w:spacing w:val="-1"/>
              </w:rPr>
              <w:t xml:space="preserve"> </w:t>
            </w:r>
            <w:r>
              <w:rPr>
                <w:spacing w:val="-2"/>
              </w:rPr>
              <w:t>and</w:t>
            </w:r>
            <w:r>
              <w:rPr>
                <w:spacing w:val="-1"/>
              </w:rPr>
              <w:t xml:space="preserve"> </w:t>
            </w:r>
            <w:r>
              <w:rPr>
                <w:spacing w:val="-2"/>
              </w:rPr>
              <w:t>transparent</w:t>
            </w:r>
            <w:r>
              <w:rPr>
                <w:spacing w:val="-1"/>
              </w:rPr>
              <w:t xml:space="preserve"> </w:t>
            </w:r>
            <w:r>
              <w:rPr>
                <w:spacing w:val="-2"/>
              </w:rPr>
              <w:t>processes</w:t>
            </w:r>
            <w:r>
              <w:t xml:space="preserve"> </w:t>
            </w:r>
            <w:r>
              <w:rPr>
                <w:spacing w:val="-2"/>
              </w:rPr>
              <w:t>for</w:t>
            </w:r>
            <w:r>
              <w:rPr>
                <w:spacing w:val="-1"/>
              </w:rPr>
              <w:t xml:space="preserve"> </w:t>
            </w:r>
            <w:r>
              <w:rPr>
                <w:spacing w:val="-2"/>
              </w:rPr>
              <w:t>internal</w:t>
            </w:r>
            <w:r>
              <w:rPr>
                <w:spacing w:val="-1"/>
              </w:rPr>
              <w:t xml:space="preserve"> </w:t>
            </w:r>
            <w:r>
              <w:rPr>
                <w:spacing w:val="-2"/>
              </w:rPr>
              <w:t>job</w:t>
            </w:r>
            <w:r>
              <w:rPr>
                <w:spacing w:val="-1"/>
              </w:rPr>
              <w:t xml:space="preserve"> </w:t>
            </w:r>
            <w:r>
              <w:rPr>
                <w:spacing w:val="-2"/>
              </w:rPr>
              <w:t>and</w:t>
            </w:r>
            <w:r>
              <w:rPr>
                <w:spacing w:val="-1"/>
              </w:rPr>
              <w:t xml:space="preserve"> </w:t>
            </w:r>
            <w:r>
              <w:rPr>
                <w:spacing w:val="-2"/>
              </w:rPr>
              <w:t>rotation</w:t>
            </w:r>
            <w:r>
              <w:t xml:space="preserve"> </w:t>
            </w:r>
            <w:r>
              <w:rPr>
                <w:spacing w:val="-2"/>
              </w:rPr>
              <w:t>opportunities.</w:t>
            </w:r>
          </w:p>
        </w:tc>
      </w:tr>
    </w:tbl>
    <w:p w14:paraId="727132E3" w14:textId="339FFF9C" w:rsidR="00953183" w:rsidRDefault="00953183" w:rsidP="00734E07">
      <w:pPr>
        <w:pStyle w:val="italicquote"/>
        <w:ind w:left="0"/>
      </w:pPr>
    </w:p>
    <w:p w14:paraId="5757FEF9" w14:textId="69DB65EA" w:rsidR="00734E07" w:rsidRDefault="00734E07" w:rsidP="00734E07">
      <w:r>
        <w:t>The Review acknowledges the initiatives the RBA has implemented to improve its leadership capability and its people management frameworks. The Review has identified 4 opportunities for further improvement that are intended to be addressed by Recommendation 11</w:t>
      </w:r>
      <w:r w:rsidR="0068598E">
        <w:rPr>
          <w:spacing w:val="-19"/>
        </w:rPr>
        <w:t>.</w:t>
      </w:r>
      <w:r>
        <w:rPr>
          <w:w w:val="117"/>
        </w:rPr>
        <w:t>2:</w:t>
      </w:r>
    </w:p>
    <w:p w14:paraId="65DD843A" w14:textId="0E12B83E" w:rsidR="00734E07" w:rsidRDefault="00734E07" w:rsidP="0000278A">
      <w:pPr>
        <w:pStyle w:val="Bullet"/>
      </w:pPr>
      <w:r>
        <w:t>Further action could be taken to recognise the importance of leadership capability in driving high-performing teams, including that leadership training be made compulsory</w:t>
      </w:r>
      <w:r w:rsidR="0068598E">
        <w:rPr>
          <w:spacing w:val="-15"/>
        </w:rPr>
        <w:t>.</w:t>
      </w:r>
    </w:p>
    <w:p w14:paraId="2677DB77" w14:textId="4F244FAD" w:rsidR="00734E07" w:rsidRDefault="00734E07" w:rsidP="0000278A">
      <w:pPr>
        <w:pStyle w:val="Bullet"/>
      </w:pPr>
      <w:r w:rsidRPr="00734E07">
        <w:t>Consistency of,</w:t>
      </w:r>
      <w:r w:rsidRPr="00734E07">
        <w:rPr>
          <w:spacing w:val="3"/>
        </w:rPr>
        <w:t xml:space="preserve"> </w:t>
      </w:r>
      <w:r w:rsidRPr="00734E07">
        <w:t>and</w:t>
      </w:r>
      <w:r w:rsidRPr="00734E07">
        <w:rPr>
          <w:spacing w:val="2"/>
        </w:rPr>
        <w:t xml:space="preserve"> </w:t>
      </w:r>
      <w:r w:rsidRPr="00734E07">
        <w:t>manager</w:t>
      </w:r>
      <w:r w:rsidRPr="00734E07">
        <w:rPr>
          <w:spacing w:val="3"/>
        </w:rPr>
        <w:t xml:space="preserve"> </w:t>
      </w:r>
      <w:r w:rsidRPr="00734E07">
        <w:t>accountability</w:t>
      </w:r>
      <w:r w:rsidRPr="00734E07">
        <w:rPr>
          <w:spacing w:val="2"/>
        </w:rPr>
        <w:t xml:space="preserve"> </w:t>
      </w:r>
      <w:r w:rsidRPr="00734E07">
        <w:t>for,</w:t>
      </w:r>
      <w:r w:rsidRPr="00734E07">
        <w:rPr>
          <w:spacing w:val="3"/>
        </w:rPr>
        <w:t xml:space="preserve"> </w:t>
      </w:r>
      <w:r w:rsidRPr="00734E07">
        <w:t>delivering</w:t>
      </w:r>
      <w:r w:rsidRPr="00734E07">
        <w:rPr>
          <w:spacing w:val="2"/>
        </w:rPr>
        <w:t xml:space="preserve"> </w:t>
      </w:r>
      <w:r w:rsidRPr="00734E07">
        <w:t>effective</w:t>
      </w:r>
      <w:r w:rsidRPr="00734E07">
        <w:rPr>
          <w:spacing w:val="3"/>
        </w:rPr>
        <w:t xml:space="preserve"> </w:t>
      </w:r>
      <w:r w:rsidRPr="00734E07">
        <w:t>performance</w:t>
      </w:r>
      <w:r w:rsidRPr="00734E07">
        <w:rPr>
          <w:spacing w:val="3"/>
        </w:rPr>
        <w:t xml:space="preserve"> </w:t>
      </w:r>
      <w:r w:rsidRPr="00734E07">
        <w:rPr>
          <w:spacing w:val="-2"/>
        </w:rPr>
        <w:t>management</w:t>
      </w:r>
      <w:r w:rsidR="0068598E">
        <w:rPr>
          <w:spacing w:val="-2"/>
        </w:rPr>
        <w:t xml:space="preserve"> </w:t>
      </w:r>
      <w:r w:rsidRPr="00734E07">
        <w:t>and</w:t>
      </w:r>
      <w:r w:rsidRPr="00734E07">
        <w:rPr>
          <w:spacing w:val="5"/>
        </w:rPr>
        <w:t xml:space="preserve"> </w:t>
      </w:r>
      <w:r w:rsidRPr="00734E07">
        <w:t>two-way</w:t>
      </w:r>
      <w:r w:rsidRPr="00734E07">
        <w:rPr>
          <w:spacing w:val="6"/>
        </w:rPr>
        <w:t xml:space="preserve"> </w:t>
      </w:r>
      <w:r w:rsidRPr="00734E07">
        <w:t>performance</w:t>
      </w:r>
      <w:r w:rsidRPr="00734E07">
        <w:rPr>
          <w:spacing w:val="6"/>
        </w:rPr>
        <w:t xml:space="preserve"> </w:t>
      </w:r>
      <w:r w:rsidRPr="00734E07">
        <w:t>feedback</w:t>
      </w:r>
      <w:r w:rsidRPr="00734E07">
        <w:rPr>
          <w:spacing w:val="5"/>
        </w:rPr>
        <w:t xml:space="preserve"> </w:t>
      </w:r>
      <w:r w:rsidRPr="00734E07">
        <w:t>could</w:t>
      </w:r>
      <w:r w:rsidRPr="00734E07">
        <w:rPr>
          <w:spacing w:val="6"/>
        </w:rPr>
        <w:t xml:space="preserve"> </w:t>
      </w:r>
      <w:r w:rsidRPr="00734E07">
        <w:t>be</w:t>
      </w:r>
      <w:r w:rsidRPr="00734E07">
        <w:rPr>
          <w:spacing w:val="6"/>
        </w:rPr>
        <w:t xml:space="preserve"> </w:t>
      </w:r>
      <w:r w:rsidRPr="00734E07">
        <w:t>strengthened</w:t>
      </w:r>
      <w:r w:rsidR="0068598E">
        <w:rPr>
          <w:spacing w:val="-21"/>
        </w:rPr>
        <w:t>.</w:t>
      </w:r>
    </w:p>
    <w:p w14:paraId="14EE38C5" w14:textId="58CEF3F9" w:rsidR="00734E07" w:rsidRDefault="00734E07" w:rsidP="0000278A">
      <w:pPr>
        <w:pStyle w:val="Bullet"/>
      </w:pPr>
      <w:r>
        <w:t>Managers’ support</w:t>
      </w:r>
      <w:r w:rsidRPr="00734E07">
        <w:rPr>
          <w:spacing w:val="1"/>
        </w:rPr>
        <w:t xml:space="preserve"> </w:t>
      </w:r>
      <w:r>
        <w:t>for</w:t>
      </w:r>
      <w:r w:rsidRPr="00734E07">
        <w:rPr>
          <w:spacing w:val="1"/>
        </w:rPr>
        <w:t xml:space="preserve"> </w:t>
      </w:r>
      <w:r>
        <w:t>career</w:t>
      </w:r>
      <w:r w:rsidRPr="00734E07">
        <w:rPr>
          <w:spacing w:val="1"/>
        </w:rPr>
        <w:t xml:space="preserve"> </w:t>
      </w:r>
      <w:r>
        <w:t>development and</w:t>
      </w:r>
      <w:r w:rsidRPr="00734E07">
        <w:rPr>
          <w:spacing w:val="1"/>
        </w:rPr>
        <w:t xml:space="preserve"> </w:t>
      </w:r>
      <w:r>
        <w:t>planning</w:t>
      </w:r>
      <w:r w:rsidRPr="00734E07">
        <w:rPr>
          <w:spacing w:val="1"/>
        </w:rPr>
        <w:t xml:space="preserve"> </w:t>
      </w:r>
      <w:r>
        <w:t>discussions</w:t>
      </w:r>
      <w:r w:rsidRPr="00734E07">
        <w:rPr>
          <w:spacing w:val="1"/>
        </w:rPr>
        <w:t xml:space="preserve"> </w:t>
      </w:r>
      <w:r>
        <w:t>could be</w:t>
      </w:r>
      <w:r w:rsidRPr="00734E07">
        <w:rPr>
          <w:spacing w:val="1"/>
        </w:rPr>
        <w:t xml:space="preserve"> </w:t>
      </w:r>
      <w:r>
        <w:t>improved</w:t>
      </w:r>
      <w:r w:rsidRPr="00734E07">
        <w:rPr>
          <w:spacing w:val="1"/>
        </w:rPr>
        <w:t xml:space="preserve"> </w:t>
      </w:r>
      <w:r>
        <w:t>to</w:t>
      </w:r>
      <w:r w:rsidRPr="00734E07">
        <w:rPr>
          <w:spacing w:val="1"/>
        </w:rPr>
        <w:t xml:space="preserve"> </w:t>
      </w:r>
      <w:r w:rsidRPr="00734E07">
        <w:rPr>
          <w:spacing w:val="-4"/>
        </w:rPr>
        <w:t>help</w:t>
      </w:r>
      <w:r>
        <w:rPr>
          <w:spacing w:val="-4"/>
        </w:rPr>
        <w:t xml:space="preserve"> </w:t>
      </w:r>
      <w:r w:rsidRPr="00734E07">
        <w:rPr>
          <w:color w:val="231F20"/>
        </w:rPr>
        <w:t>staff</w:t>
      </w:r>
      <w:r w:rsidRPr="00734E07">
        <w:rPr>
          <w:color w:val="231F20"/>
          <w:spacing w:val="-2"/>
        </w:rPr>
        <w:t xml:space="preserve"> </w:t>
      </w:r>
      <w:r w:rsidRPr="00734E07">
        <w:rPr>
          <w:color w:val="231F20"/>
        </w:rPr>
        <w:t>members</w:t>
      </w:r>
      <w:r w:rsidRPr="00734E07">
        <w:rPr>
          <w:color w:val="231F20"/>
          <w:spacing w:val="1"/>
        </w:rPr>
        <w:t xml:space="preserve"> </w:t>
      </w:r>
      <w:r w:rsidRPr="00734E07">
        <w:rPr>
          <w:color w:val="231F20"/>
        </w:rPr>
        <w:t>take</w:t>
      </w:r>
      <w:r w:rsidRPr="00734E07">
        <w:rPr>
          <w:color w:val="231F20"/>
          <w:spacing w:val="1"/>
        </w:rPr>
        <w:t xml:space="preserve"> </w:t>
      </w:r>
      <w:r w:rsidRPr="00734E07">
        <w:rPr>
          <w:color w:val="231F20"/>
        </w:rPr>
        <w:t>greater</w:t>
      </w:r>
      <w:r w:rsidRPr="00734E07">
        <w:rPr>
          <w:color w:val="231F20"/>
          <w:spacing w:val="1"/>
        </w:rPr>
        <w:t xml:space="preserve"> </w:t>
      </w:r>
      <w:r w:rsidRPr="00734E07">
        <w:rPr>
          <w:color w:val="231F20"/>
        </w:rPr>
        <w:t>ownership</w:t>
      </w:r>
      <w:r w:rsidRPr="00734E07">
        <w:rPr>
          <w:color w:val="231F20"/>
          <w:spacing w:val="1"/>
        </w:rPr>
        <w:t xml:space="preserve"> </w:t>
      </w:r>
      <w:r w:rsidRPr="00734E07">
        <w:rPr>
          <w:color w:val="231F20"/>
        </w:rPr>
        <w:t>of</w:t>
      </w:r>
      <w:r w:rsidRPr="00734E07">
        <w:rPr>
          <w:color w:val="231F20"/>
          <w:spacing w:val="1"/>
        </w:rPr>
        <w:t xml:space="preserve"> </w:t>
      </w:r>
      <w:r w:rsidRPr="00734E07">
        <w:rPr>
          <w:color w:val="231F20"/>
        </w:rPr>
        <w:t>their</w:t>
      </w:r>
      <w:r w:rsidRPr="00734E07">
        <w:rPr>
          <w:color w:val="231F20"/>
          <w:spacing w:val="1"/>
        </w:rPr>
        <w:t xml:space="preserve"> </w:t>
      </w:r>
      <w:r w:rsidRPr="00734E07">
        <w:rPr>
          <w:color w:val="231F20"/>
        </w:rPr>
        <w:t>career</w:t>
      </w:r>
      <w:r w:rsidRPr="00734E07">
        <w:rPr>
          <w:color w:val="231F20"/>
          <w:spacing w:val="1"/>
        </w:rPr>
        <w:t xml:space="preserve"> </w:t>
      </w:r>
      <w:r w:rsidRPr="00734E07">
        <w:rPr>
          <w:color w:val="231F20"/>
          <w:spacing w:val="-2"/>
        </w:rPr>
        <w:t>development.</w:t>
      </w:r>
    </w:p>
    <w:p w14:paraId="1204AA5F" w14:textId="7EFFD1E4" w:rsidR="00734E07" w:rsidRDefault="00734E07" w:rsidP="0000278A">
      <w:pPr>
        <w:pStyle w:val="Bullet"/>
      </w:pPr>
      <w:r>
        <w:t>Transparency of internal opportunities for promotion and rotation could be increased to improve the ability of RBA employees to take ownership of their career paths</w:t>
      </w:r>
      <w:r w:rsidR="0068598E">
        <w:rPr>
          <w:spacing w:val="-18"/>
        </w:rPr>
        <w:t>.</w:t>
      </w:r>
    </w:p>
    <w:p w14:paraId="61AC5C8E" w14:textId="163BA1EA" w:rsidR="00734E07" w:rsidRDefault="00734E07" w:rsidP="00734E07">
      <w:r>
        <w:t>The aim of this recommendation is to support consistent, high-quality people leadership, performance and development capability at the RBA</w:t>
      </w:r>
      <w:r w:rsidR="0068598E">
        <w:rPr>
          <w:spacing w:val="-16"/>
        </w:rPr>
        <w:t>.</w:t>
      </w:r>
      <w:r>
        <w:rPr>
          <w:w w:val="85"/>
        </w:rPr>
        <w:t xml:space="preserve"> </w:t>
      </w:r>
      <w:r>
        <w:t>Building and maintaining this capability takes time – for training but also for ongoing feedback, coaching and support. It is important that people leaders be given the time and space to prioritise and develop these skills</w:t>
      </w:r>
      <w:r w:rsidR="0068598E">
        <w:rPr>
          <w:spacing w:val="-19"/>
        </w:rPr>
        <w:t>.</w:t>
      </w:r>
      <w:r>
        <w:rPr>
          <w:w w:val="85"/>
        </w:rPr>
        <w:t xml:space="preserve"> </w:t>
      </w:r>
      <w:r>
        <w:t>The actions outlined in this recommendation are interlinked. Improved mechanisms for 360-degree feedback enable better performance assessments, which in turn support better development planning</w:t>
      </w:r>
      <w:r w:rsidR="0068598E">
        <w:rPr>
          <w:spacing w:val="-15"/>
        </w:rPr>
        <w:t>.</w:t>
      </w:r>
      <w:r>
        <w:rPr>
          <w:w w:val="85"/>
        </w:rPr>
        <w:t xml:space="preserve"> </w:t>
      </w:r>
      <w:r>
        <w:t>Development</w:t>
      </w:r>
      <w:r>
        <w:rPr>
          <w:spacing w:val="2"/>
        </w:rPr>
        <w:t xml:space="preserve"> </w:t>
      </w:r>
      <w:r>
        <w:t>planning</w:t>
      </w:r>
      <w:r>
        <w:rPr>
          <w:spacing w:val="2"/>
        </w:rPr>
        <w:t xml:space="preserve"> </w:t>
      </w:r>
      <w:r>
        <w:t>may,</w:t>
      </w:r>
      <w:r>
        <w:rPr>
          <w:spacing w:val="2"/>
        </w:rPr>
        <w:t xml:space="preserve"> </w:t>
      </w:r>
      <w:r>
        <w:t>in</w:t>
      </w:r>
      <w:r>
        <w:rPr>
          <w:spacing w:val="2"/>
        </w:rPr>
        <w:t xml:space="preserve"> </w:t>
      </w:r>
      <w:r>
        <w:t>turn,</w:t>
      </w:r>
      <w:r>
        <w:rPr>
          <w:spacing w:val="2"/>
        </w:rPr>
        <w:t xml:space="preserve"> </w:t>
      </w:r>
      <w:r>
        <w:t>include</w:t>
      </w:r>
      <w:r>
        <w:rPr>
          <w:spacing w:val="2"/>
        </w:rPr>
        <w:t xml:space="preserve"> </w:t>
      </w:r>
      <w:r>
        <w:t>steps</w:t>
      </w:r>
      <w:r>
        <w:rPr>
          <w:spacing w:val="2"/>
        </w:rPr>
        <w:t xml:space="preserve"> </w:t>
      </w:r>
      <w:r>
        <w:t>for</w:t>
      </w:r>
      <w:r>
        <w:rPr>
          <w:spacing w:val="2"/>
        </w:rPr>
        <w:t xml:space="preserve"> </w:t>
      </w:r>
      <w:r>
        <w:t>further</w:t>
      </w:r>
      <w:r>
        <w:rPr>
          <w:spacing w:val="2"/>
        </w:rPr>
        <w:t xml:space="preserve"> </w:t>
      </w:r>
      <w:r>
        <w:t>improving</w:t>
      </w:r>
      <w:r>
        <w:rPr>
          <w:spacing w:val="2"/>
        </w:rPr>
        <w:t xml:space="preserve"> </w:t>
      </w:r>
      <w:r>
        <w:t>leadership</w:t>
      </w:r>
      <w:r>
        <w:rPr>
          <w:spacing w:val="2"/>
        </w:rPr>
        <w:t xml:space="preserve"> </w:t>
      </w:r>
      <w:r>
        <w:t>capability</w:t>
      </w:r>
      <w:r w:rsidR="0068598E">
        <w:rPr>
          <w:spacing w:val="-23"/>
        </w:rPr>
        <w:t>.</w:t>
      </w:r>
    </w:p>
    <w:p w14:paraId="2C678D5A" w14:textId="2B7C8C84" w:rsidR="00734E07" w:rsidRDefault="00734E07" w:rsidP="00734E07">
      <w:r>
        <w:t>Importantly, while the RBA’s human resources function can facilitate these changes, successful implementation requires strong and active sponsorship from the RBA’s executive leaders, and a willingness to hold managers to account for delivery</w:t>
      </w:r>
      <w:r w:rsidR="0068598E">
        <w:rPr>
          <w:spacing w:val="-15"/>
        </w:rPr>
        <w:t>.</w:t>
      </w:r>
    </w:p>
    <w:p w14:paraId="60A9354E" w14:textId="2DA0DF2A" w:rsidR="00734E07" w:rsidRDefault="00734E07" w:rsidP="00734E07">
      <w:pPr>
        <w:rPr>
          <w:w w:val="85"/>
        </w:rPr>
      </w:pPr>
      <w:r>
        <w:lastRenderedPageBreak/>
        <w:t xml:space="preserve">Mandatory leadership training tailored to different levels of management </w:t>
      </w:r>
      <w:r w:rsidRPr="00734E07">
        <w:t>will</w:t>
      </w:r>
      <w:r>
        <w:t xml:space="preserve"> help to equip people leaders at all levels with the skills necessary to engage and get the most out of their teams</w:t>
      </w:r>
      <w:r w:rsidR="0068598E">
        <w:rPr>
          <w:spacing w:val="-20"/>
        </w:rPr>
        <w:t>.</w:t>
      </w:r>
      <w:r>
        <w:rPr>
          <w:w w:val="85"/>
        </w:rPr>
        <w:t xml:space="preserve"> </w:t>
      </w:r>
      <w:r>
        <w:t>The training should emphasise that leaders need to focus on both the ‘what’ in terms of the business outcomes they deliver, but also on the ‘how’ in terms of the behaviours they adopt in delivering</w:t>
      </w:r>
      <w:r w:rsidR="0068598E">
        <w:rPr>
          <w:spacing w:val="-20"/>
        </w:rPr>
        <w:t>.</w:t>
      </w:r>
    </w:p>
    <w:p w14:paraId="60116689" w14:textId="40ABF8CF" w:rsidR="00C6672B" w:rsidRDefault="00C6672B" w:rsidP="00C6672B">
      <w:r>
        <w:t>Training should include developing the self-awareness of people leaders as well as their ability to have difficult conversations and effectively manage conflict. It should support creativity and innovation to enable different types of thinking and solutions development. It should enable leaders to have high-quality conversations with their staff members about career goals and development needs, and coach them towards their goals</w:t>
      </w:r>
      <w:r w:rsidR="0068598E">
        <w:rPr>
          <w:spacing w:val="-15"/>
        </w:rPr>
        <w:t>.</w:t>
      </w:r>
    </w:p>
    <w:p w14:paraId="16978D95" w14:textId="43C59A54" w:rsidR="00C6672B" w:rsidRDefault="00C6672B" w:rsidP="00C6672B">
      <w:r>
        <w:t>Training</w:t>
      </w:r>
      <w:r>
        <w:rPr>
          <w:spacing w:val="-1"/>
        </w:rPr>
        <w:t xml:space="preserve"> </w:t>
      </w:r>
      <w:r>
        <w:t>should</w:t>
      </w:r>
      <w:r>
        <w:rPr>
          <w:spacing w:val="-1"/>
        </w:rPr>
        <w:t xml:space="preserve"> </w:t>
      </w:r>
      <w:r>
        <w:t>be</w:t>
      </w:r>
      <w:r>
        <w:rPr>
          <w:spacing w:val="-1"/>
        </w:rPr>
        <w:t xml:space="preserve"> </w:t>
      </w:r>
      <w:r>
        <w:t>available</w:t>
      </w:r>
      <w:r>
        <w:rPr>
          <w:spacing w:val="-1"/>
        </w:rPr>
        <w:t xml:space="preserve"> </w:t>
      </w:r>
      <w:r>
        <w:t>to</w:t>
      </w:r>
      <w:r>
        <w:rPr>
          <w:spacing w:val="-1"/>
        </w:rPr>
        <w:t xml:space="preserve"> </w:t>
      </w:r>
      <w:r>
        <w:t>employees</w:t>
      </w:r>
      <w:r>
        <w:rPr>
          <w:spacing w:val="-1"/>
        </w:rPr>
        <w:t xml:space="preserve"> </w:t>
      </w:r>
      <w:r>
        <w:t>who</w:t>
      </w:r>
      <w:r>
        <w:rPr>
          <w:spacing w:val="-1"/>
        </w:rPr>
        <w:t xml:space="preserve"> </w:t>
      </w:r>
      <w:r>
        <w:t>are</w:t>
      </w:r>
      <w:r>
        <w:rPr>
          <w:spacing w:val="-1"/>
        </w:rPr>
        <w:t xml:space="preserve"> </w:t>
      </w:r>
      <w:r>
        <w:t>not</w:t>
      </w:r>
      <w:r>
        <w:rPr>
          <w:spacing w:val="-1"/>
        </w:rPr>
        <w:t xml:space="preserve"> </w:t>
      </w:r>
      <w:r>
        <w:t>yet</w:t>
      </w:r>
      <w:r>
        <w:rPr>
          <w:spacing w:val="-1"/>
        </w:rPr>
        <w:t xml:space="preserve"> </w:t>
      </w:r>
      <w:r>
        <w:t>people</w:t>
      </w:r>
      <w:r>
        <w:rPr>
          <w:spacing w:val="-1"/>
        </w:rPr>
        <w:t xml:space="preserve"> </w:t>
      </w:r>
      <w:r>
        <w:t>leaders</w:t>
      </w:r>
      <w:r>
        <w:rPr>
          <w:spacing w:val="-1"/>
        </w:rPr>
        <w:t xml:space="preserve"> </w:t>
      </w:r>
      <w:r>
        <w:t>but</w:t>
      </w:r>
      <w:r>
        <w:rPr>
          <w:spacing w:val="-1"/>
        </w:rPr>
        <w:t xml:space="preserve"> </w:t>
      </w:r>
      <w:r>
        <w:t>have</w:t>
      </w:r>
      <w:r>
        <w:rPr>
          <w:spacing w:val="-1"/>
        </w:rPr>
        <w:t xml:space="preserve"> </w:t>
      </w:r>
      <w:r>
        <w:t>development plans that indicate an interest in and potential to be future leaders</w:t>
      </w:r>
      <w:r w:rsidR="0068598E">
        <w:rPr>
          <w:spacing w:val="-18"/>
        </w:rPr>
        <w:t>.</w:t>
      </w:r>
    </w:p>
    <w:p w14:paraId="7F8ACE9F" w14:textId="39236AFB" w:rsidR="00C6672B" w:rsidRDefault="00C6672B" w:rsidP="00C6672B">
      <w:r>
        <w:t xml:space="preserve">An executive leadership training program for the RBA’s executive leaders (Assistant Governors and above) should be implemented and include a focus on working as a cohesive leadership team to deliver on organisation-wide priorities. Executive leaders should have the capability to develop, clearly communicate and execute longer-term strategic plans. This will assist the RBA to </w:t>
      </w:r>
      <w:r>
        <w:rPr>
          <w:color w:val="231F20"/>
        </w:rPr>
        <w:t>identify priorities, establish goals and objectives. It will enable strategic consideration of structure, resource allocation and requisite expertise to achieve its priorities. It will also facilitate decisions</w:t>
      </w:r>
      <w:r>
        <w:rPr>
          <w:color w:val="231F20"/>
          <w:spacing w:val="80"/>
        </w:rPr>
        <w:t xml:space="preserve"> </w:t>
      </w:r>
      <w:r>
        <w:rPr>
          <w:color w:val="231F20"/>
        </w:rPr>
        <w:t>on what should be de-prioritised given limited resources</w:t>
      </w:r>
      <w:r w:rsidR="0068598E">
        <w:rPr>
          <w:color w:val="231F20"/>
          <w:spacing w:val="-22"/>
        </w:rPr>
        <w:t>.</w:t>
      </w:r>
      <w:r>
        <w:rPr>
          <w:color w:val="231F20"/>
          <w:w w:val="85"/>
        </w:rPr>
        <w:t xml:space="preserve"> </w:t>
      </w:r>
      <w:r>
        <w:rPr>
          <w:color w:val="231F20"/>
        </w:rPr>
        <w:t>The RBA has begun work on developing an executive leadership training program. As part of this, it should consider how best to make use of existing external leadership training programs in the public and private sector and ensure that executives are exposed to other external influences.</w:t>
      </w:r>
    </w:p>
    <w:p w14:paraId="0B259AC2" w14:textId="11625543" w:rsidR="00C6672B" w:rsidRDefault="00C6672B" w:rsidP="00C6672B">
      <w:r>
        <w:t>It is important that the RBA’s executive leaders can drive organisational change, inspire staff members, and promote greater psychological safety. Immersing executive leaders in these practices is vitally important to maintaining a high performing institution</w:t>
      </w:r>
      <w:r w:rsidR="0068598E">
        <w:rPr>
          <w:spacing w:val="-14"/>
        </w:rPr>
        <w:t>.</w:t>
      </w:r>
    </w:p>
    <w:p w14:paraId="3CAEB4A8" w14:textId="7C476B89" w:rsidR="00C6672B" w:rsidRDefault="00C6672B" w:rsidP="00C6672B">
      <w:r>
        <w:t>Implementing a rigorous process for 360-degree feedback that feeds directly into performance assessment for all managers including the RBA’s executive leaders will ensure they receive a variety of performance feedback from their direct reports, peers, and managers</w:t>
      </w:r>
      <w:r w:rsidR="0068598E">
        <w:rPr>
          <w:spacing w:val="-20"/>
        </w:rPr>
        <w:t>.</w:t>
      </w:r>
      <w:r>
        <w:rPr>
          <w:w w:val="85"/>
        </w:rPr>
        <w:t xml:space="preserve"> </w:t>
      </w:r>
      <w:r>
        <w:t>This is valuable for developing leadership capability, strengthening accountability, and creating a culture of self- reflection among all staff members. It will enable better, more accurate performance discussions.</w:t>
      </w:r>
    </w:p>
    <w:p w14:paraId="15556301" w14:textId="77777777" w:rsidR="00C6672B" w:rsidRDefault="00C6672B" w:rsidP="00C6672B">
      <w:r>
        <w:t>The 360-degree feedback process should be externally administered to remove any anxiety among the staff about delivering genuine feedback and include external benchmarking of leadership performance where possible. It should be followed up with coaching for leaders to ensure that</w:t>
      </w:r>
      <w:r>
        <w:rPr>
          <w:spacing w:val="80"/>
          <w:w w:val="150"/>
        </w:rPr>
        <w:t xml:space="preserve"> </w:t>
      </w:r>
      <w:r>
        <w:t>they are supported to effectively consolidate the learnings from both the feedback and mandatory leadership training. Improving genuine two-way feedback will not only help to lift leadership performance, but also retention and engagement of staff members.</w:t>
      </w:r>
    </w:p>
    <w:p w14:paraId="024BAA73" w14:textId="112EEACB" w:rsidR="00C6672B" w:rsidRDefault="00C6672B" w:rsidP="00C6672B">
      <w:r>
        <w:t xml:space="preserve">Driving more consistent use and understanding of performance management, development and career planning frameworks will support managers to provide constructive feedback to staff members and manage underperformance more effectively. Manager performance in these areas will also be improved by training and the 360-degree feedback they receive. Staff </w:t>
      </w:r>
      <w:r>
        <w:rPr>
          <w:color w:val="231F20"/>
        </w:rPr>
        <w:t>members should receive regular and useful feedback to improve their performance</w:t>
      </w:r>
      <w:r w:rsidR="0068598E">
        <w:rPr>
          <w:color w:val="231F20"/>
          <w:spacing w:val="-24"/>
        </w:rPr>
        <w:t>.</w:t>
      </w:r>
      <w:r>
        <w:rPr>
          <w:color w:val="231F20"/>
          <w:w w:val="85"/>
        </w:rPr>
        <w:t xml:space="preserve"> </w:t>
      </w:r>
      <w:r>
        <w:rPr>
          <w:color w:val="231F20"/>
        </w:rPr>
        <w:t>Performance should be assessed consistently across the organisation with respect to the evaluation of skills</w:t>
      </w:r>
      <w:r>
        <w:rPr>
          <w:color w:val="231F20"/>
          <w:spacing w:val="40"/>
        </w:rPr>
        <w:t xml:space="preserve"> </w:t>
      </w:r>
      <w:r>
        <w:rPr>
          <w:color w:val="231F20"/>
        </w:rPr>
        <w:t>and behaviours.</w:t>
      </w:r>
    </w:p>
    <w:p w14:paraId="2BD6A4AB" w14:textId="191660AE" w:rsidR="00C6672B" w:rsidRDefault="00C6672B" w:rsidP="00C6672B">
      <w:r>
        <w:t>People leaders should have high-quality conversations with staff members about their career goals and professional development needs and be able to coach them effectively to achieve</w:t>
      </w:r>
      <w:r>
        <w:rPr>
          <w:spacing w:val="40"/>
        </w:rPr>
        <w:t xml:space="preserve"> </w:t>
      </w:r>
      <w:r>
        <w:t>these. This will support more self-driven career and development planning. Staff members (including</w:t>
      </w:r>
      <w:r>
        <w:rPr>
          <w:spacing w:val="-1"/>
        </w:rPr>
        <w:t xml:space="preserve"> </w:t>
      </w:r>
      <w:r>
        <w:t>leaders)</w:t>
      </w:r>
      <w:r>
        <w:rPr>
          <w:spacing w:val="-1"/>
        </w:rPr>
        <w:t xml:space="preserve"> </w:t>
      </w:r>
      <w:r>
        <w:t>should</w:t>
      </w:r>
      <w:r>
        <w:rPr>
          <w:spacing w:val="-1"/>
        </w:rPr>
        <w:t xml:space="preserve"> </w:t>
      </w:r>
      <w:r>
        <w:t>have</w:t>
      </w:r>
      <w:r>
        <w:rPr>
          <w:spacing w:val="-1"/>
        </w:rPr>
        <w:t xml:space="preserve"> </w:t>
      </w:r>
      <w:r>
        <w:t>individual</w:t>
      </w:r>
      <w:r>
        <w:rPr>
          <w:spacing w:val="-1"/>
        </w:rPr>
        <w:t xml:space="preserve"> </w:t>
      </w:r>
      <w:r>
        <w:t>career</w:t>
      </w:r>
      <w:r>
        <w:rPr>
          <w:spacing w:val="-1"/>
        </w:rPr>
        <w:t xml:space="preserve"> </w:t>
      </w:r>
      <w:r>
        <w:t>development</w:t>
      </w:r>
      <w:r>
        <w:rPr>
          <w:spacing w:val="-1"/>
        </w:rPr>
        <w:t xml:space="preserve"> </w:t>
      </w:r>
      <w:r>
        <w:t>plans</w:t>
      </w:r>
      <w:r>
        <w:rPr>
          <w:spacing w:val="-1"/>
        </w:rPr>
        <w:t xml:space="preserve"> </w:t>
      </w:r>
      <w:r>
        <w:t>to</w:t>
      </w:r>
      <w:r>
        <w:rPr>
          <w:spacing w:val="-1"/>
        </w:rPr>
        <w:t xml:space="preserve"> </w:t>
      </w:r>
      <w:r>
        <w:t>better</w:t>
      </w:r>
      <w:r>
        <w:rPr>
          <w:spacing w:val="-1"/>
        </w:rPr>
        <w:t xml:space="preserve"> </w:t>
      </w:r>
      <w:r>
        <w:t>track</w:t>
      </w:r>
      <w:r>
        <w:rPr>
          <w:spacing w:val="-1"/>
        </w:rPr>
        <w:t xml:space="preserve"> </w:t>
      </w:r>
      <w:r>
        <w:t>goal</w:t>
      </w:r>
      <w:r>
        <w:rPr>
          <w:spacing w:val="-1"/>
        </w:rPr>
        <w:t xml:space="preserve"> </w:t>
      </w:r>
      <w:r>
        <w:t>progress</w:t>
      </w:r>
      <w:r w:rsidR="0068598E">
        <w:rPr>
          <w:spacing w:val="-24"/>
        </w:rPr>
        <w:t>.</w:t>
      </w:r>
    </w:p>
    <w:p w14:paraId="6477F203" w14:textId="13C74072" w:rsidR="00C6672B" w:rsidRDefault="00C6672B" w:rsidP="00C6672B">
      <w:r>
        <w:t xml:space="preserve">In relation to talent management, the RBA’s senior leaders and executives should ensure that consistent and rigorous approaches to assessing performance and potential are incorporated into the </w:t>
      </w:r>
      <w:r>
        <w:lastRenderedPageBreak/>
        <w:t>RBA’s approach</w:t>
      </w:r>
      <w:r w:rsidR="0068598E">
        <w:rPr>
          <w:spacing w:val="-19"/>
        </w:rPr>
        <w:t>.</w:t>
      </w:r>
      <w:r>
        <w:rPr>
          <w:w w:val="85"/>
        </w:rPr>
        <w:t xml:space="preserve"> </w:t>
      </w:r>
      <w:r>
        <w:t>Leaders across all levels must demonstrate genuine buy-in to ensure that effective and consistent people processes are widely embedded in how the RBA operates.</w:t>
      </w:r>
    </w:p>
    <w:p w14:paraId="7D47228F" w14:textId="4542F450" w:rsidR="00B046C1" w:rsidRDefault="00B046C1" w:rsidP="00B046C1">
      <w:r>
        <w:t>Greater transparency and openness around internal vacancies and movements will support employees to have more agency over their careers and professional development within the RBA</w:t>
      </w:r>
      <w:r w:rsidR="0068598E">
        <w:rPr>
          <w:spacing w:val="-23"/>
        </w:rPr>
        <w:t>.</w:t>
      </w:r>
      <w:r>
        <w:t xml:space="preserve"> It will ensure that competitive processes find the best candidates for jobs and provide a safeguard against the possibility of favouritism, which can embed a lack of diversity. Staff members need to trust that positions are filled transparently and based on merit, so that they are more engaged</w:t>
      </w:r>
      <w:r>
        <w:rPr>
          <w:spacing w:val="80"/>
        </w:rPr>
        <w:t xml:space="preserve"> </w:t>
      </w:r>
      <w:r>
        <w:t>and empowered. This does not mean that all positions must be filled through the same process. The need to quickly mobilise resources or fill very short-term positions can make such processes undesirable</w:t>
      </w:r>
      <w:r w:rsidR="0068598E">
        <w:rPr>
          <w:spacing w:val="-17"/>
        </w:rPr>
        <w:t>.</w:t>
      </w:r>
      <w:r>
        <w:rPr>
          <w:w w:val="85"/>
        </w:rPr>
        <w:t xml:space="preserve"> </w:t>
      </w:r>
      <w:r>
        <w:t>However, openness and transparency should be the default</w:t>
      </w:r>
      <w:r w:rsidR="0068598E">
        <w:rPr>
          <w:spacing w:val="-17"/>
        </w:rPr>
        <w:t>.</w:t>
      </w:r>
    </w:p>
    <w:p w14:paraId="5207700D" w14:textId="77777777" w:rsidR="00B046C1" w:rsidRDefault="00B046C1" w:rsidP="00B046C1">
      <w:pPr>
        <w:pStyle w:val="Heading3"/>
      </w:pPr>
      <w:r>
        <w:t>Supporting</w:t>
      </w:r>
      <w:r>
        <w:rPr>
          <w:spacing w:val="-9"/>
        </w:rPr>
        <w:t xml:space="preserve"> </w:t>
      </w:r>
      <w:r>
        <w:rPr>
          <w:spacing w:val="-2"/>
        </w:rPr>
        <w:t>assessment</w:t>
      </w:r>
    </w:p>
    <w:p w14:paraId="15D32330" w14:textId="77777777" w:rsidR="00B046C1" w:rsidRDefault="00B046C1" w:rsidP="00B046C1">
      <w:pPr>
        <w:pStyle w:val="Heading4"/>
      </w:pPr>
      <w:r>
        <w:t xml:space="preserve">Valuing and improving leadership </w:t>
      </w:r>
      <w:r>
        <w:rPr>
          <w:spacing w:val="-2"/>
        </w:rPr>
        <w:t>capability</w:t>
      </w:r>
    </w:p>
    <w:p w14:paraId="5FF9A67B" w14:textId="77777777" w:rsidR="00B046C1" w:rsidRDefault="00B046C1" w:rsidP="00B046C1">
      <w:r>
        <w:t>The Review acknowledges the work the RBA has already undertaken and continues to pursue to develop leadership capability, including:</w:t>
      </w:r>
    </w:p>
    <w:p w14:paraId="1EBC847C" w14:textId="7CCEB72F" w:rsidR="00B046C1" w:rsidRDefault="00B046C1" w:rsidP="0000278A">
      <w:pPr>
        <w:pStyle w:val="Bullet"/>
      </w:pPr>
      <w:r w:rsidRPr="00B046C1">
        <w:t>In 2015,</w:t>
      </w:r>
      <w:r w:rsidRPr="00B046C1">
        <w:rPr>
          <w:spacing w:val="1"/>
        </w:rPr>
        <w:t xml:space="preserve"> </w:t>
      </w:r>
      <w:r w:rsidRPr="00B046C1">
        <w:t>the introduction</w:t>
      </w:r>
      <w:r w:rsidRPr="00B046C1">
        <w:rPr>
          <w:spacing w:val="1"/>
        </w:rPr>
        <w:t xml:space="preserve"> </w:t>
      </w:r>
      <w:r w:rsidRPr="00B046C1">
        <w:t>of</w:t>
      </w:r>
      <w:r w:rsidRPr="00B046C1">
        <w:rPr>
          <w:spacing w:val="1"/>
        </w:rPr>
        <w:t xml:space="preserve"> </w:t>
      </w:r>
      <w:r w:rsidRPr="00B046C1">
        <w:t>a leadership</w:t>
      </w:r>
      <w:r w:rsidRPr="00B046C1">
        <w:rPr>
          <w:spacing w:val="1"/>
        </w:rPr>
        <w:t xml:space="preserve"> </w:t>
      </w:r>
      <w:r w:rsidRPr="00B046C1">
        <w:t>development</w:t>
      </w:r>
      <w:r w:rsidRPr="00B046C1">
        <w:rPr>
          <w:spacing w:val="1"/>
        </w:rPr>
        <w:t xml:space="preserve"> </w:t>
      </w:r>
      <w:r w:rsidRPr="00B046C1">
        <w:t>strategy including</w:t>
      </w:r>
      <w:r w:rsidRPr="00B046C1">
        <w:rPr>
          <w:spacing w:val="1"/>
        </w:rPr>
        <w:t xml:space="preserve"> </w:t>
      </w:r>
      <w:r w:rsidRPr="00B046C1">
        <w:t>foundational</w:t>
      </w:r>
      <w:r w:rsidRPr="00B046C1">
        <w:rPr>
          <w:spacing w:val="1"/>
        </w:rPr>
        <w:t xml:space="preserve"> </w:t>
      </w:r>
      <w:r w:rsidRPr="00B046C1">
        <w:rPr>
          <w:spacing w:val="-2"/>
        </w:rPr>
        <w:t>leadership</w:t>
      </w:r>
      <w:r>
        <w:rPr>
          <w:spacing w:val="-2"/>
        </w:rPr>
        <w:t xml:space="preserve"> </w:t>
      </w:r>
      <w:r w:rsidRPr="00B046C1">
        <w:t>and</w:t>
      </w:r>
      <w:r w:rsidRPr="00B046C1">
        <w:rPr>
          <w:spacing w:val="-1"/>
        </w:rPr>
        <w:t xml:space="preserve"> </w:t>
      </w:r>
      <w:r w:rsidRPr="00B046C1">
        <w:t>management training</w:t>
      </w:r>
      <w:r w:rsidR="0068598E">
        <w:rPr>
          <w:spacing w:val="-24"/>
        </w:rPr>
        <w:t>.</w:t>
      </w:r>
    </w:p>
    <w:p w14:paraId="41334032" w14:textId="77777777" w:rsidR="00B046C1" w:rsidRDefault="00B046C1" w:rsidP="0000278A">
      <w:pPr>
        <w:pStyle w:val="Bullet"/>
      </w:pPr>
      <w:r>
        <w:t>In 2020, the launch of MyCareer, the RBA’s overhauled career progression and capability frameworks. The framework more clearly outlines both the technical outputs expected from staff members, as well as expected behaviours including people leadership responsibilities.</w:t>
      </w:r>
    </w:p>
    <w:p w14:paraId="66328C03" w14:textId="77777777" w:rsidR="00B046C1" w:rsidRDefault="00B046C1" w:rsidP="0000278A">
      <w:pPr>
        <w:pStyle w:val="Bullet"/>
      </w:pPr>
      <w:r>
        <w:t>In 2021, an external Psychosocial Risk Audit, which built upon an earlier 2017 assessment. Improvements were noted in the RBA’s approach to mental health and wellbeing, but leadership quality was identified as a key risk that remained.</w:t>
      </w:r>
    </w:p>
    <w:p w14:paraId="3C3244BA" w14:textId="78CF8F43" w:rsidR="00B046C1" w:rsidRDefault="00B046C1" w:rsidP="0000278A">
      <w:pPr>
        <w:pStyle w:val="Bullet"/>
      </w:pPr>
      <w:r>
        <w:t>The launch of iLead, a revamped leadership development program that has a deeper focus on self-awareness, as well as empowering and developing others</w:t>
      </w:r>
      <w:r w:rsidR="0068598E">
        <w:rPr>
          <w:spacing w:val="-24"/>
        </w:rPr>
        <w:t>.</w:t>
      </w:r>
      <w:r>
        <w:rPr>
          <w:w w:val="85"/>
        </w:rPr>
        <w:t xml:space="preserve"> </w:t>
      </w:r>
      <w:r>
        <w:t>This program aligns more closely with MyCareer, which has a greater emphasis on leadership capabilities</w:t>
      </w:r>
      <w:r w:rsidR="0068598E">
        <w:rPr>
          <w:spacing w:val="-17"/>
        </w:rPr>
        <w:t>.</w:t>
      </w:r>
    </w:p>
    <w:p w14:paraId="6F837426" w14:textId="26CE6BF0" w:rsidR="00B046C1" w:rsidRDefault="00B046C1" w:rsidP="00B046C1">
      <w:r>
        <w:t>The</w:t>
      </w:r>
      <w:r>
        <w:rPr>
          <w:spacing w:val="-4"/>
        </w:rPr>
        <w:t xml:space="preserve"> </w:t>
      </w:r>
      <w:r>
        <w:t>Review</w:t>
      </w:r>
      <w:r>
        <w:rPr>
          <w:spacing w:val="-4"/>
        </w:rPr>
        <w:t xml:space="preserve"> </w:t>
      </w:r>
      <w:r>
        <w:t>supports</w:t>
      </w:r>
      <w:r>
        <w:rPr>
          <w:spacing w:val="-4"/>
        </w:rPr>
        <w:t xml:space="preserve"> </w:t>
      </w:r>
      <w:r>
        <w:t>these</w:t>
      </w:r>
      <w:r>
        <w:rPr>
          <w:spacing w:val="-4"/>
        </w:rPr>
        <w:t xml:space="preserve"> </w:t>
      </w:r>
      <w:r>
        <w:t>developments</w:t>
      </w:r>
      <w:r>
        <w:rPr>
          <w:spacing w:val="-4"/>
        </w:rPr>
        <w:t xml:space="preserve"> </w:t>
      </w:r>
      <w:r>
        <w:t>and</w:t>
      </w:r>
      <w:r>
        <w:rPr>
          <w:spacing w:val="-4"/>
        </w:rPr>
        <w:t xml:space="preserve"> </w:t>
      </w:r>
      <w:r>
        <w:t>believes</w:t>
      </w:r>
      <w:r>
        <w:rPr>
          <w:spacing w:val="-4"/>
        </w:rPr>
        <w:t xml:space="preserve"> </w:t>
      </w:r>
      <w:r>
        <w:t>the</w:t>
      </w:r>
      <w:r>
        <w:rPr>
          <w:spacing w:val="-4"/>
        </w:rPr>
        <w:t xml:space="preserve"> </w:t>
      </w:r>
      <w:r>
        <w:t>RBA</w:t>
      </w:r>
      <w:r>
        <w:rPr>
          <w:spacing w:val="-4"/>
        </w:rPr>
        <w:t xml:space="preserve"> </w:t>
      </w:r>
      <w:r>
        <w:t>should</w:t>
      </w:r>
      <w:r>
        <w:rPr>
          <w:spacing w:val="-4"/>
        </w:rPr>
        <w:t xml:space="preserve"> </w:t>
      </w:r>
      <w:r>
        <w:t>continue</w:t>
      </w:r>
      <w:r>
        <w:rPr>
          <w:spacing w:val="-4"/>
        </w:rPr>
        <w:t xml:space="preserve"> </w:t>
      </w:r>
      <w:r>
        <w:t>to</w:t>
      </w:r>
      <w:r>
        <w:rPr>
          <w:spacing w:val="-4"/>
        </w:rPr>
        <w:t xml:space="preserve"> </w:t>
      </w:r>
      <w:r>
        <w:t>enhance</w:t>
      </w:r>
      <w:r>
        <w:rPr>
          <w:spacing w:val="-4"/>
        </w:rPr>
        <w:t xml:space="preserve"> </w:t>
      </w:r>
      <w:r>
        <w:t>its leadership</w:t>
      </w:r>
      <w:r>
        <w:rPr>
          <w:spacing w:val="-1"/>
        </w:rPr>
        <w:t xml:space="preserve"> </w:t>
      </w:r>
      <w:r>
        <w:t>capability</w:t>
      </w:r>
      <w:r>
        <w:rPr>
          <w:spacing w:val="-1"/>
        </w:rPr>
        <w:t xml:space="preserve"> </w:t>
      </w:r>
      <w:r>
        <w:t>initiatives</w:t>
      </w:r>
      <w:r>
        <w:rPr>
          <w:spacing w:val="-1"/>
        </w:rPr>
        <w:t xml:space="preserve"> </w:t>
      </w:r>
      <w:r>
        <w:t>as</w:t>
      </w:r>
      <w:r>
        <w:rPr>
          <w:spacing w:val="-1"/>
        </w:rPr>
        <w:t xml:space="preserve"> </w:t>
      </w:r>
      <w:r>
        <w:t>leadership</w:t>
      </w:r>
      <w:r>
        <w:rPr>
          <w:spacing w:val="-1"/>
        </w:rPr>
        <w:t xml:space="preserve"> </w:t>
      </w:r>
      <w:r>
        <w:t>capability</w:t>
      </w:r>
      <w:r>
        <w:rPr>
          <w:spacing w:val="-1"/>
        </w:rPr>
        <w:t xml:space="preserve"> </w:t>
      </w:r>
      <w:r>
        <w:t>remains</w:t>
      </w:r>
      <w:r>
        <w:rPr>
          <w:spacing w:val="-1"/>
        </w:rPr>
        <w:t xml:space="preserve"> </w:t>
      </w:r>
      <w:r>
        <w:t>varied</w:t>
      </w:r>
      <w:r>
        <w:rPr>
          <w:spacing w:val="-1"/>
        </w:rPr>
        <w:t xml:space="preserve"> </w:t>
      </w:r>
      <w:r>
        <w:t>across</w:t>
      </w:r>
      <w:r>
        <w:rPr>
          <w:spacing w:val="-1"/>
        </w:rPr>
        <w:t xml:space="preserve"> </w:t>
      </w:r>
      <w:r>
        <w:t>the</w:t>
      </w:r>
      <w:r>
        <w:rPr>
          <w:spacing w:val="-1"/>
        </w:rPr>
        <w:t xml:space="preserve"> </w:t>
      </w:r>
      <w:r>
        <w:t>organisation</w:t>
      </w:r>
      <w:r w:rsidR="0068598E">
        <w:rPr>
          <w:spacing w:val="-23"/>
        </w:rPr>
        <w:t>.</w:t>
      </w:r>
    </w:p>
    <w:p w14:paraId="210BDB2E" w14:textId="77777777" w:rsidR="00B046C1" w:rsidRDefault="00B046C1" w:rsidP="00B046C1">
      <w:r>
        <w:t>The Review recognises that the RBA needs both effective people leadership skills and technical capability, and these are not mutually exclusive skill sets. The challenge is to get the appropriate balance in expectations for different roles, and across the organisation as a whole.</w:t>
      </w:r>
    </w:p>
    <w:p w14:paraId="5EE43379" w14:textId="68DE9C62" w:rsidR="00B046C1" w:rsidRDefault="00B046C1" w:rsidP="00B046C1">
      <w:r>
        <w:t>Many staff members noted a historical tendency of the RBA to promote people into management positions based on technical abilities or tenure. A strong perception among staff members was that this preference has sometimes come at the cost of having good people managers</w:t>
      </w:r>
      <w:r w:rsidR="0068598E">
        <w:rPr>
          <w:spacing w:val="-24"/>
        </w:rPr>
        <w:t>.</w:t>
      </w:r>
      <w:r>
        <w:rPr>
          <w:w w:val="85"/>
        </w:rPr>
        <w:t xml:space="preserve"> </w:t>
      </w:r>
      <w:r>
        <w:t>Comments from RBA staff members included:</w:t>
      </w:r>
    </w:p>
    <w:p w14:paraId="739798E6" w14:textId="77777777" w:rsidR="00B046C1" w:rsidRDefault="00B046C1" w:rsidP="00B046C1">
      <w:pPr>
        <w:pStyle w:val="italicquote"/>
      </w:pPr>
      <w:r>
        <w:t>‘… Leadership in the Bank is poor – most leaders feel that their role is only about producing analytical</w:t>
      </w:r>
      <w:r>
        <w:rPr>
          <w:spacing w:val="-3"/>
        </w:rPr>
        <w:t xml:space="preserve"> </w:t>
      </w:r>
      <w:r>
        <w:t>pieces</w:t>
      </w:r>
      <w:r>
        <w:rPr>
          <w:spacing w:val="-3"/>
        </w:rPr>
        <w:t xml:space="preserve"> </w:t>
      </w:r>
      <w:r>
        <w:t>rather</w:t>
      </w:r>
      <w:r>
        <w:rPr>
          <w:spacing w:val="-3"/>
        </w:rPr>
        <w:t xml:space="preserve"> </w:t>
      </w:r>
      <w:r>
        <w:t>than</w:t>
      </w:r>
      <w:r>
        <w:rPr>
          <w:spacing w:val="-3"/>
        </w:rPr>
        <w:t xml:space="preserve"> </w:t>
      </w:r>
      <w:r>
        <w:t>inspiring</w:t>
      </w:r>
      <w:r>
        <w:rPr>
          <w:spacing w:val="-3"/>
        </w:rPr>
        <w:t xml:space="preserve"> </w:t>
      </w:r>
      <w:r>
        <w:t>innovation</w:t>
      </w:r>
      <w:r>
        <w:rPr>
          <w:spacing w:val="-3"/>
        </w:rPr>
        <w:t xml:space="preserve"> </w:t>
      </w:r>
      <w:r>
        <w:t>and</w:t>
      </w:r>
      <w:r>
        <w:rPr>
          <w:spacing w:val="-3"/>
        </w:rPr>
        <w:t xml:space="preserve"> </w:t>
      </w:r>
      <w:r>
        <w:t>excellence</w:t>
      </w:r>
      <w:r>
        <w:rPr>
          <w:spacing w:val="-3"/>
        </w:rPr>
        <w:t xml:space="preserve"> </w:t>
      </w:r>
      <w:r>
        <w:t>and,</w:t>
      </w:r>
      <w:r>
        <w:rPr>
          <w:spacing w:val="-3"/>
        </w:rPr>
        <w:t xml:space="preserve"> </w:t>
      </w:r>
      <w:r>
        <w:t>as</w:t>
      </w:r>
      <w:r>
        <w:rPr>
          <w:spacing w:val="-3"/>
        </w:rPr>
        <w:t xml:space="preserve"> </w:t>
      </w:r>
      <w:r>
        <w:t>a</w:t>
      </w:r>
      <w:r>
        <w:rPr>
          <w:spacing w:val="-3"/>
        </w:rPr>
        <w:t xml:space="preserve"> </w:t>
      </w:r>
      <w:r>
        <w:t>result,</w:t>
      </w:r>
      <w:r>
        <w:rPr>
          <w:spacing w:val="-3"/>
        </w:rPr>
        <w:t xml:space="preserve"> </w:t>
      </w:r>
      <w:r>
        <w:t>the</w:t>
      </w:r>
      <w:r>
        <w:rPr>
          <w:spacing w:val="-3"/>
        </w:rPr>
        <w:t xml:space="preserve"> </w:t>
      </w:r>
      <w:r>
        <w:t>culture</w:t>
      </w:r>
      <w:r>
        <w:rPr>
          <w:spacing w:val="-3"/>
        </w:rPr>
        <w:t xml:space="preserve"> </w:t>
      </w:r>
      <w:r>
        <w:t>of</w:t>
      </w:r>
      <w:r>
        <w:rPr>
          <w:spacing w:val="-3"/>
        </w:rPr>
        <w:t xml:space="preserve"> </w:t>
      </w:r>
      <w:r>
        <w:t>fear is pervasive.’</w:t>
      </w:r>
    </w:p>
    <w:p w14:paraId="19D197A2" w14:textId="77777777" w:rsidR="00B046C1" w:rsidRDefault="00B046C1" w:rsidP="00B046C1">
      <w:pPr>
        <w:pStyle w:val="italicquote"/>
      </w:pPr>
      <w:r>
        <w:t>‘Much</w:t>
      </w:r>
      <w:r>
        <w:rPr>
          <w:spacing w:val="-4"/>
        </w:rPr>
        <w:t xml:space="preserve"> </w:t>
      </w:r>
      <w:r>
        <w:t>more</w:t>
      </w:r>
      <w:r>
        <w:rPr>
          <w:spacing w:val="-4"/>
        </w:rPr>
        <w:t xml:space="preserve"> </w:t>
      </w:r>
      <w:r>
        <w:t>consideration</w:t>
      </w:r>
      <w:r>
        <w:rPr>
          <w:spacing w:val="-4"/>
        </w:rPr>
        <w:t xml:space="preserve"> </w:t>
      </w:r>
      <w:r>
        <w:t>needs</w:t>
      </w:r>
      <w:r>
        <w:rPr>
          <w:spacing w:val="-4"/>
        </w:rPr>
        <w:t xml:space="preserve"> </w:t>
      </w:r>
      <w:r>
        <w:t>to</w:t>
      </w:r>
      <w:r>
        <w:rPr>
          <w:spacing w:val="-4"/>
        </w:rPr>
        <w:t xml:space="preserve"> </w:t>
      </w:r>
      <w:r>
        <w:t>be</w:t>
      </w:r>
      <w:r>
        <w:rPr>
          <w:spacing w:val="-4"/>
        </w:rPr>
        <w:t xml:space="preserve"> </w:t>
      </w:r>
      <w:r>
        <w:t>given</w:t>
      </w:r>
      <w:r>
        <w:rPr>
          <w:spacing w:val="-4"/>
        </w:rPr>
        <w:t xml:space="preserve"> </w:t>
      </w:r>
      <w:r>
        <w:t>to</w:t>
      </w:r>
      <w:r>
        <w:rPr>
          <w:spacing w:val="-4"/>
        </w:rPr>
        <w:t xml:space="preserve"> </w:t>
      </w:r>
      <w:r>
        <w:t>candidates’</w:t>
      </w:r>
      <w:r>
        <w:rPr>
          <w:spacing w:val="-4"/>
        </w:rPr>
        <w:t xml:space="preserve"> </w:t>
      </w:r>
      <w:r>
        <w:t>leadership</w:t>
      </w:r>
      <w:r>
        <w:rPr>
          <w:spacing w:val="-4"/>
        </w:rPr>
        <w:t xml:space="preserve"> </w:t>
      </w:r>
      <w:r>
        <w:t>skills.</w:t>
      </w:r>
      <w:r>
        <w:rPr>
          <w:spacing w:val="-4"/>
        </w:rPr>
        <w:t xml:space="preserve"> </w:t>
      </w:r>
      <w:r>
        <w:t>Too</w:t>
      </w:r>
      <w:r>
        <w:rPr>
          <w:spacing w:val="-4"/>
        </w:rPr>
        <w:t xml:space="preserve"> </w:t>
      </w:r>
      <w:r>
        <w:t>much</w:t>
      </w:r>
      <w:r>
        <w:rPr>
          <w:spacing w:val="-4"/>
        </w:rPr>
        <w:t xml:space="preserve"> </w:t>
      </w:r>
      <w:r>
        <w:t>focus is placed on technical skills, which are clearly important, but aren’t a good indicator of emotional intelligence.’</w:t>
      </w:r>
    </w:p>
    <w:p w14:paraId="7EDDFC95" w14:textId="18B2E0DE" w:rsidR="00C6672B" w:rsidRDefault="00B046C1" w:rsidP="00B046C1">
      <w:pPr>
        <w:pStyle w:val="italicquote"/>
        <w:rPr>
          <w:spacing w:val="-2"/>
        </w:rPr>
      </w:pPr>
      <w:r>
        <w:t>̶</w:t>
      </w:r>
      <w:r>
        <w:rPr>
          <w:spacing w:val="-1"/>
        </w:rPr>
        <w:t xml:space="preserve"> </w:t>
      </w:r>
      <w:r>
        <w:t>̶</w:t>
      </w:r>
      <w:r>
        <w:rPr>
          <w:spacing w:val="53"/>
        </w:rPr>
        <w:t xml:space="preserve"> </w:t>
      </w:r>
      <w:r>
        <w:t xml:space="preserve">RBA staff </w:t>
      </w:r>
      <w:r>
        <w:rPr>
          <w:spacing w:val="-2"/>
        </w:rPr>
        <w:t>members</w:t>
      </w:r>
    </w:p>
    <w:p w14:paraId="6586171E" w14:textId="38B5113C" w:rsidR="00222CD4" w:rsidRDefault="00222CD4" w:rsidP="00222CD4">
      <w:r>
        <w:lastRenderedPageBreak/>
        <w:t xml:space="preserve">In the RBA Review Staff Survey, more staff members agreed that technical ability was given enough emphasis in promotion decisions than agreed that effective people management skills were </w:t>
      </w:r>
      <w:r>
        <w:rPr>
          <w:color w:val="231F20"/>
        </w:rPr>
        <w:t>(Chart</w:t>
      </w:r>
      <w:r>
        <w:rPr>
          <w:color w:val="231F20"/>
          <w:spacing w:val="1"/>
        </w:rPr>
        <w:t> </w:t>
      </w:r>
      <w:r>
        <w:rPr>
          <w:color w:val="231F20"/>
          <w:spacing w:val="-2"/>
        </w:rPr>
        <w:t>4.7).</w:t>
      </w:r>
    </w:p>
    <w:p w14:paraId="286595C3" w14:textId="77777777" w:rsidR="00EC1DEA" w:rsidRDefault="00EC1DEA" w:rsidP="00030AC7">
      <w:pPr>
        <w:pStyle w:val="BoxHeading"/>
        <w:keepLines/>
      </w:pPr>
      <w:r>
        <w:t>Chart 4.7: Staff perceptions of the importance of technical and leadership capabilities in promotions</w:t>
      </w:r>
    </w:p>
    <w:p w14:paraId="3EE15E30" w14:textId="58F81DD5" w:rsidR="00222CD4" w:rsidRDefault="00030AC7" w:rsidP="00030AC7">
      <w:pPr>
        <w:pStyle w:val="italicquote"/>
        <w:keepNext/>
        <w:keepLines/>
        <w:ind w:left="0"/>
        <w:jc w:val="center"/>
      </w:pPr>
      <w:r>
        <w:rPr>
          <w:noProof/>
        </w:rPr>
        <w:drawing>
          <wp:inline distT="0" distB="0" distL="0" distR="0" wp14:anchorId="419D48AC" wp14:editId="3EDB174B">
            <wp:extent cx="4892926" cy="2365497"/>
            <wp:effectExtent l="0" t="0" r="3175" b="0"/>
            <wp:docPr id="34" name="Picture 34" descr="Bar chart showing the proportion of RBA staff members who agreed, disagreed or were neutral about a statement.&#10;In considering people for promotion, the RBA places enough emphasis on effective management and leadership skills. Agree 36 per cent. Neutral 33 per cent. Disagree 31 per cent. &#10;In considering people for promotion, the RBA places enough emphasis on technical ability. Agree 53 per cent. Neutral 31 per cent. Disagree 17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ar chart showing the proportion of RBA staff members who agreed, disagreed or were neutral about a statement.&#10;In considering people for promotion, the RBA places enough emphasis on effective management and leadership skills. Agree 36 per cent. Neutral 33 per cent. Disagree 31 per cent. &#10;In considering people for promotion, the RBA places enough emphasis on technical ability. Agree 53 per cent. Neutral 31 per cent. Disagree 17 per cent. &#1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92926" cy="2365497"/>
                    </a:xfrm>
                    <a:prstGeom prst="rect">
                      <a:avLst/>
                    </a:prstGeom>
                  </pic:spPr>
                </pic:pic>
              </a:graphicData>
            </a:graphic>
          </wp:inline>
        </w:drawing>
      </w:r>
    </w:p>
    <w:p w14:paraId="545E1B00" w14:textId="205A4B5A" w:rsidR="00891BB3" w:rsidRDefault="00891BB3" w:rsidP="00030AC7">
      <w:pPr>
        <w:pStyle w:val="Note"/>
        <w:keepNext/>
        <w:keepLines/>
      </w:pPr>
      <w:r>
        <w:t>Source:</w:t>
      </w:r>
      <w:r>
        <w:rPr>
          <w:spacing w:val="5"/>
        </w:rPr>
        <w:t xml:space="preserve"> </w:t>
      </w:r>
      <w:r>
        <w:t>RBA</w:t>
      </w:r>
      <w:r>
        <w:rPr>
          <w:spacing w:val="6"/>
        </w:rPr>
        <w:t xml:space="preserve"> </w:t>
      </w:r>
      <w:r>
        <w:t>Review</w:t>
      </w:r>
      <w:r>
        <w:rPr>
          <w:spacing w:val="6"/>
        </w:rPr>
        <w:t xml:space="preserve"> </w:t>
      </w:r>
      <w:r>
        <w:t>Staff</w:t>
      </w:r>
      <w:r>
        <w:rPr>
          <w:spacing w:val="6"/>
        </w:rPr>
        <w:t xml:space="preserve"> </w:t>
      </w:r>
      <w:r>
        <w:t>Survey</w:t>
      </w:r>
      <w:r>
        <w:rPr>
          <w:spacing w:val="6"/>
        </w:rPr>
        <w:t xml:space="preserve"> </w:t>
      </w:r>
      <w:r>
        <w:t>(2022)</w:t>
      </w:r>
      <w:r w:rsidR="0068598E">
        <w:rPr>
          <w:spacing w:val="-19"/>
        </w:rPr>
        <w:t>.</w:t>
      </w:r>
    </w:p>
    <w:p w14:paraId="393EB055" w14:textId="16B1B31A" w:rsidR="00891BB3" w:rsidRDefault="00891BB3" w:rsidP="00030AC7">
      <w:pPr>
        <w:pStyle w:val="Note"/>
        <w:keepNext/>
        <w:keepLines/>
      </w:pPr>
      <w:r>
        <w:t>Note: Bars may not sum to 100 due to rounding</w:t>
      </w:r>
      <w:r w:rsidR="0068598E">
        <w:rPr>
          <w:spacing w:val="-18"/>
        </w:rPr>
        <w:t>.</w:t>
      </w:r>
      <w:r>
        <w:rPr>
          <w:w w:val="85"/>
        </w:rPr>
        <w:t xml:space="preserve"> </w:t>
      </w:r>
      <w:r>
        <w:t>Response scale was ‘strongly agree’, ‘agree’, ‘neither agree nor disagree’, ‘disagree’, ‘strongly disagree’</w:t>
      </w:r>
      <w:r w:rsidR="0068598E">
        <w:rPr>
          <w:spacing w:val="-19"/>
        </w:rPr>
        <w:t>.</w:t>
      </w:r>
      <w:r>
        <w:rPr>
          <w:w w:val="85"/>
        </w:rPr>
        <w:t xml:space="preserve"> </w:t>
      </w:r>
      <w:r>
        <w:t>Agree includes ‘strongly agree’ and ‘agree’</w:t>
      </w:r>
      <w:r w:rsidR="0068598E">
        <w:rPr>
          <w:spacing w:val="-19"/>
        </w:rPr>
        <w:t>.</w:t>
      </w:r>
      <w:r>
        <w:rPr>
          <w:w w:val="85"/>
        </w:rPr>
        <w:t xml:space="preserve"> </w:t>
      </w:r>
      <w:r>
        <w:t>Disagree includes ‘disagree’ and ‘strongly disagree’</w:t>
      </w:r>
      <w:r w:rsidR="0068598E">
        <w:rPr>
          <w:spacing w:val="-7"/>
        </w:rPr>
        <w:t>.</w:t>
      </w:r>
    </w:p>
    <w:p w14:paraId="4395252E" w14:textId="77777777" w:rsidR="0082554B" w:rsidRDefault="0082554B" w:rsidP="0082554B">
      <w:r>
        <w:t>The Review heard that the RBA’s leadership development should be strengthened. Staff members described a relatively passive approach to leadership development, with some senior leaders described as ‘passengers’. Views from staff members included:</w:t>
      </w:r>
    </w:p>
    <w:p w14:paraId="271823F5" w14:textId="1AE0F3A8" w:rsidR="0082554B" w:rsidRDefault="0082554B" w:rsidP="0082554B">
      <w:pPr>
        <w:pStyle w:val="italicquote"/>
      </w:pPr>
      <w:r>
        <w:t>‘We have very smart people at the top but all of the change training is focused on senior managers and below when the real leadership and culture change is needed in Heads of Departments and</w:t>
      </w:r>
      <w:r>
        <w:rPr>
          <w:spacing w:val="-5"/>
        </w:rPr>
        <w:t xml:space="preserve"> </w:t>
      </w:r>
      <w:r>
        <w:t>above.’</w:t>
      </w:r>
    </w:p>
    <w:p w14:paraId="64282FF0" w14:textId="77777777" w:rsidR="0082554B" w:rsidRDefault="0082554B" w:rsidP="0082554B">
      <w:pPr>
        <w:pStyle w:val="italicquote"/>
      </w:pPr>
      <w:r>
        <w:t>̶</w:t>
      </w:r>
      <w:r>
        <w:rPr>
          <w:spacing w:val="-1"/>
        </w:rPr>
        <w:t xml:space="preserve"> </w:t>
      </w:r>
      <w:r>
        <w:t>̶</w:t>
      </w:r>
      <w:r>
        <w:rPr>
          <w:spacing w:val="41"/>
        </w:rPr>
        <w:t xml:space="preserve"> </w:t>
      </w:r>
      <w:r>
        <w:t>RBA staff member</w:t>
      </w:r>
    </w:p>
    <w:p w14:paraId="38381CCD" w14:textId="765A1391" w:rsidR="00891BB3" w:rsidRDefault="0082554B" w:rsidP="0082554B">
      <w:pPr>
        <w:rPr>
          <w:color w:val="231F20"/>
          <w:w w:val="85"/>
        </w:rPr>
      </w:pPr>
      <w:r>
        <w:t xml:space="preserve">However, not all of these perspectives were universal. Some staff members thought that technical expertise was undervalued. This was reflected in some RBA Review Staff Survey responses and </w:t>
      </w:r>
      <w:r>
        <w:rPr>
          <w:color w:val="231F20"/>
        </w:rPr>
        <w:t>in some focus groups and interviews. Some staff members also spoke very highly of their current managers and noted that over recent years there has been a marked improvement in the RBA’s approach in these areas</w:t>
      </w:r>
      <w:r w:rsidR="0068598E">
        <w:rPr>
          <w:color w:val="231F20"/>
          <w:spacing w:val="-9"/>
        </w:rPr>
        <w:t>.</w:t>
      </w:r>
    </w:p>
    <w:p w14:paraId="1CFC32D8" w14:textId="77777777" w:rsidR="00FA6275" w:rsidRDefault="00FA6275" w:rsidP="00FA6275">
      <w:r>
        <w:t>The</w:t>
      </w:r>
      <w:r>
        <w:rPr>
          <w:spacing w:val="1"/>
        </w:rPr>
        <w:t xml:space="preserve"> </w:t>
      </w:r>
      <w:r>
        <w:t>Review</w:t>
      </w:r>
      <w:r>
        <w:rPr>
          <w:spacing w:val="3"/>
        </w:rPr>
        <w:t xml:space="preserve"> </w:t>
      </w:r>
      <w:r>
        <w:t>draws</w:t>
      </w:r>
      <w:r>
        <w:rPr>
          <w:spacing w:val="3"/>
        </w:rPr>
        <w:t xml:space="preserve"> </w:t>
      </w:r>
      <w:r>
        <w:t>two</w:t>
      </w:r>
      <w:r>
        <w:rPr>
          <w:spacing w:val="3"/>
        </w:rPr>
        <w:t xml:space="preserve"> </w:t>
      </w:r>
      <w:r>
        <w:t>points</w:t>
      </w:r>
      <w:r>
        <w:rPr>
          <w:spacing w:val="3"/>
        </w:rPr>
        <w:t xml:space="preserve"> </w:t>
      </w:r>
      <w:r>
        <w:t>from</w:t>
      </w:r>
      <w:r>
        <w:rPr>
          <w:spacing w:val="4"/>
        </w:rPr>
        <w:t xml:space="preserve"> </w:t>
      </w:r>
      <w:r>
        <w:t>the</w:t>
      </w:r>
      <w:r>
        <w:rPr>
          <w:spacing w:val="3"/>
        </w:rPr>
        <w:t xml:space="preserve"> </w:t>
      </w:r>
      <w:r>
        <w:t>survey</w:t>
      </w:r>
      <w:r>
        <w:rPr>
          <w:spacing w:val="3"/>
        </w:rPr>
        <w:t xml:space="preserve"> </w:t>
      </w:r>
      <w:r>
        <w:t>results</w:t>
      </w:r>
      <w:r>
        <w:rPr>
          <w:spacing w:val="3"/>
        </w:rPr>
        <w:t xml:space="preserve"> </w:t>
      </w:r>
      <w:r>
        <w:t>and</w:t>
      </w:r>
      <w:r>
        <w:rPr>
          <w:spacing w:val="3"/>
        </w:rPr>
        <w:t xml:space="preserve"> </w:t>
      </w:r>
      <w:r>
        <w:t>feedback</w:t>
      </w:r>
      <w:r>
        <w:rPr>
          <w:spacing w:val="4"/>
        </w:rPr>
        <w:t xml:space="preserve"> </w:t>
      </w:r>
      <w:r>
        <w:rPr>
          <w:spacing w:val="-2"/>
        </w:rPr>
        <w:t>received:</w:t>
      </w:r>
    </w:p>
    <w:p w14:paraId="12374F2F" w14:textId="04A3D835" w:rsidR="00FA6275" w:rsidRDefault="00FA6275" w:rsidP="0000278A">
      <w:pPr>
        <w:pStyle w:val="Bullet"/>
      </w:pPr>
      <w:r>
        <w:t>For many roles, staff members think that a higher weight should be placed on effective leadership skills than is currently the case</w:t>
      </w:r>
      <w:r w:rsidR="0068598E">
        <w:rPr>
          <w:spacing w:val="-24"/>
        </w:rPr>
        <w:t>.</w:t>
      </w:r>
      <w:r>
        <w:rPr>
          <w:w w:val="85"/>
        </w:rPr>
        <w:t xml:space="preserve"> </w:t>
      </w:r>
      <w:r>
        <w:t>Adjusting leadership development and selection approaches is a way to address this</w:t>
      </w:r>
      <w:r w:rsidR="0068598E">
        <w:rPr>
          <w:spacing w:val="-14"/>
        </w:rPr>
        <w:t>.</w:t>
      </w:r>
    </w:p>
    <w:p w14:paraId="6EE58B66" w14:textId="58A09D89" w:rsidR="00FA6275" w:rsidRDefault="00FA6275" w:rsidP="0000278A">
      <w:pPr>
        <w:pStyle w:val="Bullet"/>
      </w:pPr>
      <w:r>
        <w:t>Some people have very strong technical capabilities but are not suited to people leadership positions</w:t>
      </w:r>
      <w:r w:rsidR="0068598E">
        <w:rPr>
          <w:spacing w:val="-25"/>
        </w:rPr>
        <w:t>.</w:t>
      </w:r>
      <w:r>
        <w:rPr>
          <w:w w:val="85"/>
        </w:rPr>
        <w:t xml:space="preserve"> </w:t>
      </w:r>
      <w:r>
        <w:t>For</w:t>
      </w:r>
      <w:r>
        <w:rPr>
          <w:spacing w:val="-5"/>
        </w:rPr>
        <w:t xml:space="preserve"> </w:t>
      </w:r>
      <w:r>
        <w:t>those</w:t>
      </w:r>
      <w:r>
        <w:rPr>
          <w:spacing w:val="-5"/>
        </w:rPr>
        <w:t xml:space="preserve"> </w:t>
      </w:r>
      <w:r>
        <w:t>people,</w:t>
      </w:r>
      <w:r>
        <w:rPr>
          <w:spacing w:val="-5"/>
        </w:rPr>
        <w:t xml:space="preserve"> </w:t>
      </w:r>
      <w:r>
        <w:t>a</w:t>
      </w:r>
      <w:r>
        <w:rPr>
          <w:spacing w:val="-5"/>
        </w:rPr>
        <w:t xml:space="preserve"> </w:t>
      </w:r>
      <w:r>
        <w:t>technical</w:t>
      </w:r>
      <w:r>
        <w:rPr>
          <w:spacing w:val="-5"/>
        </w:rPr>
        <w:t xml:space="preserve"> </w:t>
      </w:r>
      <w:r>
        <w:t>career</w:t>
      </w:r>
      <w:r>
        <w:rPr>
          <w:spacing w:val="-5"/>
        </w:rPr>
        <w:t xml:space="preserve"> </w:t>
      </w:r>
      <w:r>
        <w:t>pathway</w:t>
      </w:r>
      <w:r>
        <w:rPr>
          <w:spacing w:val="-5"/>
        </w:rPr>
        <w:t xml:space="preserve"> </w:t>
      </w:r>
      <w:r>
        <w:t>(see</w:t>
      </w:r>
      <w:r>
        <w:rPr>
          <w:spacing w:val="-5"/>
        </w:rPr>
        <w:t xml:space="preserve"> </w:t>
      </w:r>
      <w:r>
        <w:t>Recommendation</w:t>
      </w:r>
      <w:r>
        <w:rPr>
          <w:spacing w:val="-5"/>
        </w:rPr>
        <w:t xml:space="preserve"> </w:t>
      </w:r>
      <w:r>
        <w:t>11</w:t>
      </w:r>
      <w:r w:rsidR="0068598E">
        <w:rPr>
          <w:spacing w:val="-25"/>
        </w:rPr>
        <w:t>.</w:t>
      </w:r>
      <w:r>
        <w:rPr>
          <w:w w:val="117"/>
        </w:rPr>
        <w:t>4)</w:t>
      </w:r>
      <w:r>
        <w:rPr>
          <w:spacing w:val="-4"/>
          <w:w w:val="99"/>
        </w:rPr>
        <w:t xml:space="preserve"> </w:t>
      </w:r>
      <w:r>
        <w:t>may</w:t>
      </w:r>
      <w:r>
        <w:rPr>
          <w:spacing w:val="-5"/>
        </w:rPr>
        <w:t xml:space="preserve"> </w:t>
      </w:r>
      <w:r>
        <w:t>better support their contribution, than trying to fit them into a people leadership position.</w:t>
      </w:r>
    </w:p>
    <w:p w14:paraId="7721B346" w14:textId="77777777" w:rsidR="00FA6275" w:rsidRDefault="00FA6275" w:rsidP="00FA6275">
      <w:r>
        <w:t>Opportunities exist to continue to strengthen the RBA’s leadership capability, through the approaches to both promotion and staff development. At present, leadership training is offered on an opt-in basis and there is little differentiation for different levels of management. The RBA does not currently have an executive leadership program but has begun work on developing one.</w:t>
      </w:r>
    </w:p>
    <w:p w14:paraId="62E781EF" w14:textId="3BBF4587" w:rsidR="00FA6275" w:rsidRDefault="00FA6275" w:rsidP="00FA6275">
      <w:r>
        <w:lastRenderedPageBreak/>
        <w:t>The RBA’s approach to performance assessment (discussion to follow) presents a further opportunity to strengthen leadership capability</w:t>
      </w:r>
      <w:r w:rsidR="0068598E">
        <w:rPr>
          <w:spacing w:val="-8"/>
        </w:rPr>
        <w:t>.</w:t>
      </w:r>
    </w:p>
    <w:p w14:paraId="078145E1" w14:textId="77777777" w:rsidR="00FA6275" w:rsidRDefault="00FA6275" w:rsidP="00FA6275">
      <w:pPr>
        <w:pStyle w:val="Heading4"/>
      </w:pPr>
      <w:r>
        <w:t>Stronger</w:t>
      </w:r>
      <w:r>
        <w:rPr>
          <w:spacing w:val="4"/>
        </w:rPr>
        <w:t xml:space="preserve"> </w:t>
      </w:r>
      <w:r>
        <w:t>performance</w:t>
      </w:r>
      <w:r>
        <w:rPr>
          <w:spacing w:val="5"/>
        </w:rPr>
        <w:t xml:space="preserve"> </w:t>
      </w:r>
      <w:r>
        <w:rPr>
          <w:spacing w:val="-2"/>
        </w:rPr>
        <w:t>management</w:t>
      </w:r>
    </w:p>
    <w:p w14:paraId="2FA2CBE0" w14:textId="13BAE021" w:rsidR="00FA6275" w:rsidRDefault="00FA6275" w:rsidP="00FA6275">
      <w:r>
        <w:t>The Review heard that the RBA could strengthen performance management – the processes by which managers assess, measure and develop the performance of staff members. Some managers felt there could be better support within the RBA to undertake performance management in a more meaningful way. Many staff members across a wide range of levels considered that performance management was not particularly helpful to them</w:t>
      </w:r>
      <w:r w:rsidR="0068598E">
        <w:rPr>
          <w:spacing w:val="-18"/>
        </w:rPr>
        <w:t>.</w:t>
      </w:r>
      <w:r>
        <w:rPr>
          <w:w w:val="85"/>
        </w:rPr>
        <w:t xml:space="preserve"> </w:t>
      </w:r>
      <w:r>
        <w:t>Some considered that this was because</w:t>
      </w:r>
      <w:r>
        <w:rPr>
          <w:spacing w:val="13"/>
        </w:rPr>
        <w:t xml:space="preserve"> </w:t>
      </w:r>
      <w:r>
        <w:t>there</w:t>
      </w:r>
      <w:r>
        <w:rPr>
          <w:spacing w:val="13"/>
        </w:rPr>
        <w:t xml:space="preserve"> </w:t>
      </w:r>
      <w:r>
        <w:t>was</w:t>
      </w:r>
      <w:r>
        <w:rPr>
          <w:spacing w:val="13"/>
        </w:rPr>
        <w:t xml:space="preserve"> </w:t>
      </w:r>
      <w:r>
        <w:t>not</w:t>
      </w:r>
      <w:r>
        <w:rPr>
          <w:spacing w:val="13"/>
        </w:rPr>
        <w:t xml:space="preserve"> </w:t>
      </w:r>
      <w:r>
        <w:t>strong</w:t>
      </w:r>
      <w:r>
        <w:rPr>
          <w:spacing w:val="13"/>
        </w:rPr>
        <w:t xml:space="preserve"> </w:t>
      </w:r>
      <w:r>
        <w:t>accountability</w:t>
      </w:r>
      <w:r>
        <w:rPr>
          <w:spacing w:val="13"/>
        </w:rPr>
        <w:t xml:space="preserve"> </w:t>
      </w:r>
      <w:r>
        <w:t>for</w:t>
      </w:r>
      <w:r>
        <w:rPr>
          <w:spacing w:val="13"/>
        </w:rPr>
        <w:t xml:space="preserve"> </w:t>
      </w:r>
      <w:r>
        <w:t>managers</w:t>
      </w:r>
      <w:r>
        <w:rPr>
          <w:spacing w:val="13"/>
        </w:rPr>
        <w:t xml:space="preserve"> </w:t>
      </w:r>
      <w:r>
        <w:t>to</w:t>
      </w:r>
      <w:r>
        <w:rPr>
          <w:spacing w:val="13"/>
        </w:rPr>
        <w:t xml:space="preserve"> </w:t>
      </w:r>
      <w:r>
        <w:t>deliver</w:t>
      </w:r>
      <w:r>
        <w:rPr>
          <w:spacing w:val="13"/>
        </w:rPr>
        <w:t xml:space="preserve"> </w:t>
      </w:r>
      <w:r>
        <w:t>it.</w:t>
      </w:r>
      <w:r>
        <w:rPr>
          <w:spacing w:val="13"/>
        </w:rPr>
        <w:t xml:space="preserve"> </w:t>
      </w:r>
      <w:r>
        <w:t>The</w:t>
      </w:r>
      <w:r>
        <w:rPr>
          <w:spacing w:val="13"/>
        </w:rPr>
        <w:t xml:space="preserve"> </w:t>
      </w:r>
      <w:r>
        <w:t>RBA</w:t>
      </w:r>
      <w:r>
        <w:rPr>
          <w:spacing w:val="13"/>
        </w:rPr>
        <w:t xml:space="preserve"> </w:t>
      </w:r>
      <w:r>
        <w:t>Review</w:t>
      </w:r>
      <w:r>
        <w:rPr>
          <w:spacing w:val="13"/>
        </w:rPr>
        <w:t xml:space="preserve"> </w:t>
      </w:r>
      <w:r>
        <w:t>Staff Survey highlighted that the RBA ranked more poorly than the APS on staff members’ perceptions of performance management (Chart 4</w:t>
      </w:r>
      <w:r w:rsidR="0068598E">
        <w:rPr>
          <w:spacing w:val="-10"/>
        </w:rPr>
        <w:t>.</w:t>
      </w:r>
      <w:r>
        <w:rPr>
          <w:w w:val="117"/>
        </w:rPr>
        <w:t>8)</w:t>
      </w:r>
      <w:r w:rsidR="0068598E">
        <w:rPr>
          <w:spacing w:val="-9"/>
          <w:w w:val="99"/>
        </w:rPr>
        <w:t>.</w:t>
      </w:r>
    </w:p>
    <w:p w14:paraId="7BF060ED" w14:textId="57F2549C" w:rsidR="00D07016" w:rsidRDefault="00D07016" w:rsidP="00030AC7">
      <w:pPr>
        <w:pStyle w:val="BoxHeading"/>
        <w:keepLines/>
      </w:pPr>
      <w:r>
        <w:t>Chart</w:t>
      </w:r>
      <w:r>
        <w:rPr>
          <w:spacing w:val="3"/>
        </w:rPr>
        <w:t xml:space="preserve"> </w:t>
      </w:r>
      <w:r>
        <w:t>4.8:</w:t>
      </w:r>
      <w:r>
        <w:rPr>
          <w:spacing w:val="4"/>
        </w:rPr>
        <w:t xml:space="preserve"> </w:t>
      </w:r>
      <w:r>
        <w:t>Staff</w:t>
      </w:r>
      <w:r>
        <w:rPr>
          <w:spacing w:val="3"/>
        </w:rPr>
        <w:t xml:space="preserve"> </w:t>
      </w:r>
      <w:r>
        <w:t>perceptions</w:t>
      </w:r>
      <w:r>
        <w:rPr>
          <w:spacing w:val="4"/>
        </w:rPr>
        <w:t xml:space="preserve"> </w:t>
      </w:r>
      <w:r>
        <w:t>of</w:t>
      </w:r>
      <w:r>
        <w:rPr>
          <w:spacing w:val="4"/>
        </w:rPr>
        <w:t xml:space="preserve"> </w:t>
      </w:r>
      <w:r>
        <w:t>performance</w:t>
      </w:r>
      <w:r>
        <w:rPr>
          <w:spacing w:val="3"/>
        </w:rPr>
        <w:t xml:space="preserve"> </w:t>
      </w:r>
      <w:r>
        <w:rPr>
          <w:spacing w:val="-2"/>
        </w:rPr>
        <w:t>management</w:t>
      </w:r>
    </w:p>
    <w:p w14:paraId="708C920A" w14:textId="7C13F8C4" w:rsidR="00FA6275" w:rsidRDefault="00926FB6" w:rsidP="007D65FE">
      <w:pPr>
        <w:keepNext/>
        <w:keepLines/>
        <w:jc w:val="center"/>
      </w:pPr>
      <w:r>
        <w:rPr>
          <w:noProof/>
        </w:rPr>
        <w:drawing>
          <wp:inline distT="0" distB="0" distL="0" distR="0" wp14:anchorId="253B620E" wp14:editId="118BE4F4">
            <wp:extent cx="4892926" cy="2482978"/>
            <wp:effectExtent l="0" t="0" r="3175" b="0"/>
            <wp:docPr id="36" name="Picture 36" descr="Bar chart showing the proportion of RBA staff members who agreed with a statement, compared with APS staff members. &#10;My supervisor can deliver difficult advice whilst maintaining relationships. 74 per cent agreed and the APS equivalent is 79 per cent.&#10;My supervisor provides me with helpful feedback to improve my performance. 69 per cent agreed and the APS equivalent is 77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ar chart showing the proportion of RBA staff members who agreed with a statement, compared with APS staff members. &#10;My supervisor can deliver difficult advice whilst maintaining relationships. 74 per cent agreed and the APS equivalent is 79 per cent.&#10;My supervisor provides me with helpful feedback to improve my performance. 69 per cent agreed and the APS equivalent is 77 per cent. &#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92926" cy="2482978"/>
                    </a:xfrm>
                    <a:prstGeom prst="rect">
                      <a:avLst/>
                    </a:prstGeom>
                  </pic:spPr>
                </pic:pic>
              </a:graphicData>
            </a:graphic>
          </wp:inline>
        </w:drawing>
      </w:r>
    </w:p>
    <w:p w14:paraId="306AF4D9" w14:textId="27B74E85" w:rsidR="00344657" w:rsidRDefault="00344657" w:rsidP="00030AC7">
      <w:pPr>
        <w:pStyle w:val="Note"/>
        <w:keepNext/>
        <w:keepLines/>
      </w:pPr>
      <w:r>
        <w:t>Source:</w:t>
      </w:r>
      <w:r>
        <w:rPr>
          <w:spacing w:val="5"/>
        </w:rPr>
        <w:t xml:space="preserve"> </w:t>
      </w:r>
      <w:r>
        <w:t>RBA</w:t>
      </w:r>
      <w:r>
        <w:rPr>
          <w:spacing w:val="6"/>
        </w:rPr>
        <w:t xml:space="preserve"> </w:t>
      </w:r>
      <w:r>
        <w:t>Review</w:t>
      </w:r>
      <w:r>
        <w:rPr>
          <w:spacing w:val="6"/>
        </w:rPr>
        <w:t xml:space="preserve"> </w:t>
      </w:r>
      <w:r>
        <w:t>Staff</w:t>
      </w:r>
      <w:r>
        <w:rPr>
          <w:spacing w:val="6"/>
        </w:rPr>
        <w:t xml:space="preserve"> </w:t>
      </w:r>
      <w:r>
        <w:t>Survey</w:t>
      </w:r>
      <w:r>
        <w:rPr>
          <w:spacing w:val="6"/>
        </w:rPr>
        <w:t xml:space="preserve"> </w:t>
      </w:r>
      <w:r>
        <w:t>(2022)</w:t>
      </w:r>
      <w:r w:rsidR="0068598E">
        <w:rPr>
          <w:spacing w:val="-19"/>
        </w:rPr>
        <w:t>.</w:t>
      </w:r>
    </w:p>
    <w:p w14:paraId="267BA934" w14:textId="06F4A6D1" w:rsidR="001D3A49" w:rsidRDefault="00344657" w:rsidP="00030AC7">
      <w:pPr>
        <w:pStyle w:val="Note"/>
        <w:keepNext/>
        <w:keepLines/>
      </w:pPr>
      <w:r>
        <w:t>Note: Response scale was ‘strongly agree’, ‘agree’, ‘neither agree nor disagree’, ‘disagree’, ‘strongly disagree’</w:t>
      </w:r>
      <w:r w:rsidR="0068598E">
        <w:rPr>
          <w:spacing w:val="-19"/>
        </w:rPr>
        <w:t>.</w:t>
      </w:r>
      <w:r>
        <w:t xml:space="preserve"> Bars indicate proportion of respondents who selected ‘strongly agree’ and ‘agree’.</w:t>
      </w:r>
    </w:p>
    <w:p w14:paraId="4B2F9EF4" w14:textId="719C06AA" w:rsidR="00C51F06" w:rsidRDefault="00C51F06" w:rsidP="00C51F06">
      <w:r>
        <w:t>A recurring observation from staff members was that the RBA’s leaders were not consistently good at delivering constructive feedback and managing underperformance</w:t>
      </w:r>
      <w:r w:rsidR="0068598E">
        <w:rPr>
          <w:spacing w:val="-23"/>
        </w:rPr>
        <w:t>.</w:t>
      </w:r>
      <w:r>
        <w:rPr>
          <w:w w:val="85"/>
        </w:rPr>
        <w:t xml:space="preserve"> </w:t>
      </w:r>
      <w:r>
        <w:t>The Review often heard that managers could be ‘conflict avoidant’, prioritising a collegial atmosphere and friendly long-term working relationships. As one staff member noted:</w:t>
      </w:r>
    </w:p>
    <w:p w14:paraId="669530CC" w14:textId="2511DFEA" w:rsidR="00C51F06" w:rsidRDefault="00C51F06" w:rsidP="00C51F06">
      <w:pPr>
        <w:pStyle w:val="italicquote"/>
      </w:pPr>
      <w:r>
        <w:t>‘Performance</w:t>
      </w:r>
      <w:r>
        <w:rPr>
          <w:spacing w:val="-2"/>
        </w:rPr>
        <w:t xml:space="preserve"> </w:t>
      </w:r>
      <w:r>
        <w:t>management</w:t>
      </w:r>
      <w:r>
        <w:rPr>
          <w:spacing w:val="-2"/>
        </w:rPr>
        <w:t xml:space="preserve"> </w:t>
      </w:r>
      <w:r>
        <w:t>of</w:t>
      </w:r>
      <w:r>
        <w:rPr>
          <w:spacing w:val="-2"/>
        </w:rPr>
        <w:t xml:space="preserve"> </w:t>
      </w:r>
      <w:r>
        <w:t>underperforming</w:t>
      </w:r>
      <w:r>
        <w:rPr>
          <w:spacing w:val="-2"/>
        </w:rPr>
        <w:t xml:space="preserve"> </w:t>
      </w:r>
      <w:r>
        <w:t>staff</w:t>
      </w:r>
      <w:r>
        <w:rPr>
          <w:spacing w:val="-2"/>
        </w:rPr>
        <w:t xml:space="preserve"> </w:t>
      </w:r>
      <w:r>
        <w:t>is</w:t>
      </w:r>
      <w:r>
        <w:rPr>
          <w:spacing w:val="-1"/>
        </w:rPr>
        <w:t xml:space="preserve"> </w:t>
      </w:r>
      <w:r>
        <w:t>non-existent.</w:t>
      </w:r>
      <w:r>
        <w:rPr>
          <w:spacing w:val="-2"/>
        </w:rPr>
        <w:t xml:space="preserve"> </w:t>
      </w:r>
      <w:r>
        <w:t>Trouble</w:t>
      </w:r>
      <w:r>
        <w:rPr>
          <w:spacing w:val="-2"/>
        </w:rPr>
        <w:t xml:space="preserve"> </w:t>
      </w:r>
      <w:r>
        <w:t>staff</w:t>
      </w:r>
      <w:r>
        <w:rPr>
          <w:spacing w:val="-2"/>
        </w:rPr>
        <w:t xml:space="preserve"> </w:t>
      </w:r>
      <w:r>
        <w:t>are</w:t>
      </w:r>
      <w:r>
        <w:rPr>
          <w:spacing w:val="-2"/>
        </w:rPr>
        <w:t xml:space="preserve"> </w:t>
      </w:r>
      <w:r>
        <w:t>simply</w:t>
      </w:r>
      <w:r>
        <w:rPr>
          <w:spacing w:val="-2"/>
        </w:rPr>
        <w:t xml:space="preserve"> rotated </w:t>
      </w:r>
      <w:r>
        <w:t>until</w:t>
      </w:r>
      <w:r>
        <w:rPr>
          <w:spacing w:val="-4"/>
        </w:rPr>
        <w:t xml:space="preserve"> </w:t>
      </w:r>
      <w:r>
        <w:t>if</w:t>
      </w:r>
      <w:r>
        <w:rPr>
          <w:spacing w:val="-4"/>
        </w:rPr>
        <w:t xml:space="preserve"> </w:t>
      </w:r>
      <w:r>
        <w:t>ever,</w:t>
      </w:r>
      <w:r>
        <w:rPr>
          <w:spacing w:val="-4"/>
        </w:rPr>
        <w:t xml:space="preserve"> </w:t>
      </w:r>
      <w:r>
        <w:t>they</w:t>
      </w:r>
      <w:r>
        <w:rPr>
          <w:spacing w:val="-4"/>
        </w:rPr>
        <w:t xml:space="preserve"> </w:t>
      </w:r>
      <w:r>
        <w:t>decide</w:t>
      </w:r>
      <w:r>
        <w:rPr>
          <w:spacing w:val="-4"/>
        </w:rPr>
        <w:t xml:space="preserve"> </w:t>
      </w:r>
      <w:r>
        <w:t>to</w:t>
      </w:r>
      <w:r>
        <w:rPr>
          <w:spacing w:val="-4"/>
        </w:rPr>
        <w:t xml:space="preserve"> </w:t>
      </w:r>
      <w:r>
        <w:rPr>
          <w:spacing w:val="-2"/>
        </w:rPr>
        <w:t>leave.’</w:t>
      </w:r>
    </w:p>
    <w:p w14:paraId="047DF9EC" w14:textId="77777777" w:rsidR="00C51F06" w:rsidRDefault="00C51F06" w:rsidP="00C51F06">
      <w:pPr>
        <w:pStyle w:val="italicquote"/>
      </w:pPr>
      <w:r>
        <w:t>̶</w:t>
      </w:r>
      <w:r>
        <w:rPr>
          <w:spacing w:val="-1"/>
        </w:rPr>
        <w:t xml:space="preserve"> </w:t>
      </w:r>
      <w:r>
        <w:t>̶</w:t>
      </w:r>
      <w:r>
        <w:rPr>
          <w:spacing w:val="41"/>
        </w:rPr>
        <w:t xml:space="preserve"> </w:t>
      </w:r>
      <w:r>
        <w:t xml:space="preserve">RBA staff </w:t>
      </w:r>
      <w:r>
        <w:rPr>
          <w:spacing w:val="-2"/>
        </w:rPr>
        <w:t>member</w:t>
      </w:r>
    </w:p>
    <w:p w14:paraId="6FE99737" w14:textId="77777777" w:rsidR="00C51F06" w:rsidRDefault="00C51F06" w:rsidP="00C51F06">
      <w:pPr>
        <w:pStyle w:val="BodyText"/>
        <w:spacing w:before="7"/>
        <w:rPr>
          <w:i/>
          <w:sz w:val="20"/>
        </w:rPr>
      </w:pPr>
    </w:p>
    <w:p w14:paraId="6F5B19EE" w14:textId="77777777" w:rsidR="00C51F06" w:rsidRDefault="00C51F06" w:rsidP="00C51F06">
      <w:r>
        <w:t xml:space="preserve">The Review heard that there was inconsistency in the extent of two-way feedback in performance management processes. Only 59 per cent of respondents to the RBA Review Staff Survey thought they had sufficient opportunity to provide feedback on their manager. One commented to the </w:t>
      </w:r>
      <w:r>
        <w:rPr>
          <w:spacing w:val="-2"/>
        </w:rPr>
        <w:t>Review:</w:t>
      </w:r>
    </w:p>
    <w:p w14:paraId="14FEB088" w14:textId="77777777" w:rsidR="00C51F06" w:rsidRDefault="00C51F06" w:rsidP="00C51F06">
      <w:pPr>
        <w:pStyle w:val="italicquote"/>
      </w:pPr>
      <w:r>
        <w:t>‘I’ve</w:t>
      </w:r>
      <w:r>
        <w:rPr>
          <w:spacing w:val="-2"/>
        </w:rPr>
        <w:t xml:space="preserve"> </w:t>
      </w:r>
      <w:r>
        <w:t>never</w:t>
      </w:r>
      <w:r>
        <w:rPr>
          <w:spacing w:val="-2"/>
        </w:rPr>
        <w:t xml:space="preserve"> </w:t>
      </w:r>
      <w:r>
        <w:t>been</w:t>
      </w:r>
      <w:r>
        <w:rPr>
          <w:spacing w:val="-2"/>
        </w:rPr>
        <w:t xml:space="preserve"> </w:t>
      </w:r>
      <w:r>
        <w:t>asked</w:t>
      </w:r>
      <w:r>
        <w:rPr>
          <w:spacing w:val="-2"/>
        </w:rPr>
        <w:t xml:space="preserve"> </w:t>
      </w:r>
      <w:r>
        <w:t>in</w:t>
      </w:r>
      <w:r>
        <w:rPr>
          <w:spacing w:val="-2"/>
        </w:rPr>
        <w:t xml:space="preserve"> </w:t>
      </w:r>
      <w:r>
        <w:t>3</w:t>
      </w:r>
      <w:r>
        <w:rPr>
          <w:spacing w:val="-2"/>
        </w:rPr>
        <w:t xml:space="preserve"> </w:t>
      </w:r>
      <w:r>
        <w:t>years</w:t>
      </w:r>
      <w:r>
        <w:rPr>
          <w:spacing w:val="-2"/>
        </w:rPr>
        <w:t xml:space="preserve"> </w:t>
      </w:r>
      <w:r>
        <w:t>of</w:t>
      </w:r>
      <w:r>
        <w:rPr>
          <w:spacing w:val="-2"/>
        </w:rPr>
        <w:t xml:space="preserve"> </w:t>
      </w:r>
      <w:r>
        <w:t>work</w:t>
      </w:r>
      <w:r>
        <w:rPr>
          <w:spacing w:val="-2"/>
        </w:rPr>
        <w:t xml:space="preserve"> </w:t>
      </w:r>
      <w:r>
        <w:t>to</w:t>
      </w:r>
      <w:r>
        <w:rPr>
          <w:spacing w:val="-2"/>
        </w:rPr>
        <w:t xml:space="preserve"> </w:t>
      </w:r>
      <w:r>
        <w:t>provide</w:t>
      </w:r>
      <w:r>
        <w:rPr>
          <w:spacing w:val="-2"/>
        </w:rPr>
        <w:t xml:space="preserve"> </w:t>
      </w:r>
      <w:r>
        <w:t>feedback</w:t>
      </w:r>
      <w:r>
        <w:rPr>
          <w:spacing w:val="-2"/>
        </w:rPr>
        <w:t xml:space="preserve"> </w:t>
      </w:r>
      <w:r>
        <w:t>on</w:t>
      </w:r>
      <w:r>
        <w:rPr>
          <w:spacing w:val="-2"/>
        </w:rPr>
        <w:t xml:space="preserve"> </w:t>
      </w:r>
      <w:r>
        <w:t>my</w:t>
      </w:r>
      <w:r>
        <w:rPr>
          <w:spacing w:val="-2"/>
        </w:rPr>
        <w:t xml:space="preserve"> </w:t>
      </w:r>
      <w:r>
        <w:t>managers’</w:t>
      </w:r>
      <w:r>
        <w:rPr>
          <w:spacing w:val="-2"/>
        </w:rPr>
        <w:t xml:space="preserve"> </w:t>
      </w:r>
      <w:r>
        <w:t>leadership</w:t>
      </w:r>
      <w:r>
        <w:rPr>
          <w:spacing w:val="-2"/>
        </w:rPr>
        <w:t xml:space="preserve"> </w:t>
      </w:r>
      <w:r>
        <w:t>of</w:t>
      </w:r>
      <w:r>
        <w:rPr>
          <w:spacing w:val="-2"/>
        </w:rPr>
        <w:t xml:space="preserve"> </w:t>
      </w:r>
      <w:r>
        <w:t>the team, so it’s unclear to me what managers’ performance reviews are based on.’</w:t>
      </w:r>
    </w:p>
    <w:p w14:paraId="09C708A2" w14:textId="77777777" w:rsidR="00C51F06" w:rsidRDefault="00C51F06" w:rsidP="00C51F06">
      <w:pPr>
        <w:pStyle w:val="italicquote"/>
      </w:pPr>
      <w:r>
        <w:t>̶</w:t>
      </w:r>
      <w:r>
        <w:rPr>
          <w:spacing w:val="-1"/>
        </w:rPr>
        <w:t xml:space="preserve"> </w:t>
      </w:r>
      <w:r>
        <w:t>̶</w:t>
      </w:r>
      <w:r>
        <w:rPr>
          <w:spacing w:val="41"/>
        </w:rPr>
        <w:t xml:space="preserve"> </w:t>
      </w:r>
      <w:r>
        <w:t xml:space="preserve">RBA staff </w:t>
      </w:r>
      <w:r>
        <w:rPr>
          <w:spacing w:val="-2"/>
        </w:rPr>
        <w:t>member</w:t>
      </w:r>
    </w:p>
    <w:p w14:paraId="33A2DD4F" w14:textId="77777777" w:rsidR="00C51F06" w:rsidRDefault="00C51F06" w:rsidP="00C51F06">
      <w:pPr>
        <w:pStyle w:val="BodyText"/>
        <w:spacing w:before="7"/>
        <w:rPr>
          <w:i/>
          <w:sz w:val="20"/>
        </w:rPr>
      </w:pPr>
    </w:p>
    <w:p w14:paraId="0A10EADB" w14:textId="0AF6A6CB" w:rsidR="00C51F06" w:rsidRDefault="00C51F06" w:rsidP="00C51F06">
      <w:r>
        <w:lastRenderedPageBreak/>
        <w:t>Some staff members reflected to the Review that at times there was still too much focus within the RBA’s culture on individual achievements, and not enough on how staff members (and particularly managers) work with and develop others and improve their teams</w:t>
      </w:r>
      <w:r w:rsidR="0068598E">
        <w:rPr>
          <w:spacing w:val="-19"/>
        </w:rPr>
        <w:t>.</w:t>
      </w:r>
      <w:r>
        <w:rPr>
          <w:w w:val="85"/>
        </w:rPr>
        <w:t xml:space="preserve"> </w:t>
      </w:r>
      <w:r>
        <w:t>One comment to the Review that reflected this was:</w:t>
      </w:r>
    </w:p>
    <w:p w14:paraId="460E8E27" w14:textId="77777777" w:rsidR="00C51F06" w:rsidRDefault="00C51F06" w:rsidP="00C51F06">
      <w:pPr>
        <w:pStyle w:val="italicquote"/>
      </w:pPr>
      <w:r>
        <w:t>‘In</w:t>
      </w:r>
      <w:r>
        <w:rPr>
          <w:spacing w:val="-3"/>
        </w:rPr>
        <w:t xml:space="preserve"> </w:t>
      </w:r>
      <w:r>
        <w:t>the</w:t>
      </w:r>
      <w:r>
        <w:rPr>
          <w:spacing w:val="-3"/>
        </w:rPr>
        <w:t xml:space="preserve"> </w:t>
      </w:r>
      <w:r>
        <w:t>past,</w:t>
      </w:r>
      <w:r>
        <w:rPr>
          <w:spacing w:val="-3"/>
        </w:rPr>
        <w:t xml:space="preserve"> </w:t>
      </w:r>
      <w:r>
        <w:t>technical</w:t>
      </w:r>
      <w:r>
        <w:rPr>
          <w:spacing w:val="-3"/>
        </w:rPr>
        <w:t xml:space="preserve"> </w:t>
      </w:r>
      <w:r>
        <w:t>skills</w:t>
      </w:r>
      <w:r>
        <w:rPr>
          <w:spacing w:val="-3"/>
        </w:rPr>
        <w:t xml:space="preserve"> </w:t>
      </w:r>
      <w:r>
        <w:t>have</w:t>
      </w:r>
      <w:r>
        <w:rPr>
          <w:spacing w:val="-3"/>
        </w:rPr>
        <w:t xml:space="preserve"> </w:t>
      </w:r>
      <w:r>
        <w:t>been</w:t>
      </w:r>
      <w:r>
        <w:rPr>
          <w:spacing w:val="-3"/>
        </w:rPr>
        <w:t xml:space="preserve"> </w:t>
      </w:r>
      <w:r>
        <w:t>far</w:t>
      </w:r>
      <w:r>
        <w:rPr>
          <w:spacing w:val="-3"/>
        </w:rPr>
        <w:t xml:space="preserve"> </w:t>
      </w:r>
      <w:r>
        <w:t>more</w:t>
      </w:r>
      <w:r>
        <w:rPr>
          <w:spacing w:val="-3"/>
        </w:rPr>
        <w:t xml:space="preserve"> </w:t>
      </w:r>
      <w:r>
        <w:t>valued</w:t>
      </w:r>
      <w:r>
        <w:rPr>
          <w:spacing w:val="-3"/>
        </w:rPr>
        <w:t xml:space="preserve"> </w:t>
      </w:r>
      <w:r>
        <w:t>than</w:t>
      </w:r>
      <w:r>
        <w:rPr>
          <w:spacing w:val="-3"/>
        </w:rPr>
        <w:t xml:space="preserve"> </w:t>
      </w:r>
      <w:r>
        <w:t>management</w:t>
      </w:r>
      <w:r>
        <w:rPr>
          <w:spacing w:val="-3"/>
        </w:rPr>
        <w:t xml:space="preserve"> </w:t>
      </w:r>
      <w:r>
        <w:t>skills</w:t>
      </w:r>
      <w:r>
        <w:rPr>
          <w:spacing w:val="-3"/>
        </w:rPr>
        <w:t xml:space="preserve"> </w:t>
      </w:r>
      <w:r>
        <w:t>in</w:t>
      </w:r>
      <w:r>
        <w:rPr>
          <w:spacing w:val="-3"/>
        </w:rPr>
        <w:t xml:space="preserve"> </w:t>
      </w:r>
      <w:r>
        <w:t>promotion.</w:t>
      </w:r>
      <w:r>
        <w:rPr>
          <w:spacing w:val="-3"/>
        </w:rPr>
        <w:t xml:space="preserve"> </w:t>
      </w:r>
      <w:r>
        <w:t>I</w:t>
      </w:r>
      <w:r>
        <w:rPr>
          <w:spacing w:val="-3"/>
        </w:rPr>
        <w:t xml:space="preserve"> </w:t>
      </w:r>
      <w:r>
        <w:t>think this has been somewhat improved by the work HR did on the core capability framework…I think</w:t>
      </w:r>
      <w:r>
        <w:rPr>
          <w:spacing w:val="40"/>
        </w:rPr>
        <w:t xml:space="preserve"> </w:t>
      </w:r>
      <w:r>
        <w:t>this could be taken further…mid-level managers should be better rewarded and recognised by the progression and success of those they manage rather than on their individualistic work.’</w:t>
      </w:r>
    </w:p>
    <w:p w14:paraId="377049A8" w14:textId="77777777" w:rsidR="00C51F06" w:rsidRDefault="00C51F06" w:rsidP="00C51F06">
      <w:pPr>
        <w:pStyle w:val="italicquote"/>
      </w:pPr>
      <w:r>
        <w:t>̶ ̶ RBA</w:t>
      </w:r>
      <w:r>
        <w:rPr>
          <w:spacing w:val="1"/>
        </w:rPr>
        <w:t xml:space="preserve"> </w:t>
      </w:r>
      <w:r>
        <w:t xml:space="preserve">staff </w:t>
      </w:r>
      <w:r>
        <w:rPr>
          <w:spacing w:val="-2"/>
        </w:rPr>
        <w:t>member</w:t>
      </w:r>
    </w:p>
    <w:p w14:paraId="69C6838D" w14:textId="77777777" w:rsidR="00C51F06" w:rsidRDefault="00C51F06" w:rsidP="00C51F06">
      <w:pPr>
        <w:pStyle w:val="BodyText"/>
        <w:spacing w:before="7"/>
        <w:rPr>
          <w:i/>
          <w:sz w:val="20"/>
        </w:rPr>
      </w:pPr>
    </w:p>
    <w:p w14:paraId="5DD51819" w14:textId="2A88BDE9" w:rsidR="00C51F06" w:rsidRPr="00B06E5A" w:rsidRDefault="00C51F06" w:rsidP="00B06E5A">
      <w:r>
        <w:t>Many staff members commented to the Review that the RBA’s new capability framework is a welcome change, with its split in technical outputs and expected behaviours. The Review supports this work and acknowledges that changing behaviours will take time</w:t>
      </w:r>
      <w:r w:rsidR="0068598E">
        <w:rPr>
          <w:spacing w:val="-18"/>
        </w:rPr>
        <w:t>.</w:t>
      </w:r>
      <w:r>
        <w:t xml:space="preserve"> On talent management, it</w:t>
      </w:r>
      <w:r>
        <w:rPr>
          <w:spacing w:val="80"/>
        </w:rPr>
        <w:t xml:space="preserve"> </w:t>
      </w:r>
      <w:r>
        <w:t>was noted that the RBA’s approach has not always been based on a consistent way of assessing potential</w:t>
      </w:r>
      <w:r>
        <w:rPr>
          <w:spacing w:val="-2"/>
        </w:rPr>
        <w:t xml:space="preserve"> </w:t>
      </w:r>
      <w:r>
        <w:t>and</w:t>
      </w:r>
      <w:r>
        <w:rPr>
          <w:spacing w:val="-2"/>
        </w:rPr>
        <w:t xml:space="preserve"> </w:t>
      </w:r>
      <w:r>
        <w:t>could</w:t>
      </w:r>
      <w:r>
        <w:rPr>
          <w:spacing w:val="-2"/>
        </w:rPr>
        <w:t xml:space="preserve"> </w:t>
      </w:r>
      <w:r>
        <w:t>be</w:t>
      </w:r>
      <w:r>
        <w:rPr>
          <w:spacing w:val="-2"/>
        </w:rPr>
        <w:t xml:space="preserve"> </w:t>
      </w:r>
      <w:r>
        <w:t>more</w:t>
      </w:r>
      <w:r>
        <w:rPr>
          <w:spacing w:val="-2"/>
        </w:rPr>
        <w:t xml:space="preserve"> </w:t>
      </w:r>
      <w:r>
        <w:t>rigorous</w:t>
      </w:r>
      <w:r>
        <w:rPr>
          <w:spacing w:val="-2"/>
        </w:rPr>
        <w:t xml:space="preserve"> </w:t>
      </w:r>
      <w:r>
        <w:t>in</w:t>
      </w:r>
      <w:r>
        <w:rPr>
          <w:spacing w:val="-2"/>
        </w:rPr>
        <w:t xml:space="preserve"> </w:t>
      </w:r>
      <w:r>
        <w:t>this</w:t>
      </w:r>
      <w:r>
        <w:rPr>
          <w:spacing w:val="-2"/>
        </w:rPr>
        <w:t xml:space="preserve"> </w:t>
      </w:r>
      <w:r>
        <w:t>regard</w:t>
      </w:r>
      <w:r w:rsidR="0068598E">
        <w:rPr>
          <w:spacing w:val="-25"/>
        </w:rPr>
        <w:t>.</w:t>
      </w:r>
      <w:r>
        <w:rPr>
          <w:w w:val="85"/>
        </w:rPr>
        <w:t xml:space="preserve"> </w:t>
      </w:r>
      <w:r>
        <w:t>The</w:t>
      </w:r>
      <w:r>
        <w:rPr>
          <w:spacing w:val="-2"/>
        </w:rPr>
        <w:t xml:space="preserve"> </w:t>
      </w:r>
      <w:r>
        <w:t>RBA</w:t>
      </w:r>
      <w:r>
        <w:rPr>
          <w:spacing w:val="-2"/>
        </w:rPr>
        <w:t xml:space="preserve"> </w:t>
      </w:r>
      <w:r>
        <w:t>has</w:t>
      </w:r>
      <w:r>
        <w:rPr>
          <w:spacing w:val="-2"/>
        </w:rPr>
        <w:t xml:space="preserve"> </w:t>
      </w:r>
      <w:r>
        <w:t>further</w:t>
      </w:r>
      <w:r>
        <w:rPr>
          <w:spacing w:val="-2"/>
        </w:rPr>
        <w:t xml:space="preserve"> </w:t>
      </w:r>
      <w:r>
        <w:t>to</w:t>
      </w:r>
      <w:r>
        <w:rPr>
          <w:spacing w:val="-2"/>
        </w:rPr>
        <w:t xml:space="preserve"> </w:t>
      </w:r>
      <w:r>
        <w:t>go</w:t>
      </w:r>
      <w:r>
        <w:rPr>
          <w:spacing w:val="-2"/>
        </w:rPr>
        <w:t xml:space="preserve"> </w:t>
      </w:r>
      <w:r>
        <w:t>to</w:t>
      </w:r>
      <w:r>
        <w:rPr>
          <w:spacing w:val="-2"/>
        </w:rPr>
        <w:t xml:space="preserve"> </w:t>
      </w:r>
      <w:r>
        <w:t>ensure</w:t>
      </w:r>
      <w:r>
        <w:rPr>
          <w:spacing w:val="-2"/>
        </w:rPr>
        <w:t xml:space="preserve"> </w:t>
      </w:r>
      <w:r>
        <w:t>its</w:t>
      </w:r>
      <w:r>
        <w:rPr>
          <w:spacing w:val="-2"/>
        </w:rPr>
        <w:t xml:space="preserve"> </w:t>
      </w:r>
      <w:r>
        <w:t>people management frameworks are well understood, appreciated, and implemented so that the benefits can be fully realised</w:t>
      </w:r>
      <w:r w:rsidR="0068598E">
        <w:rPr>
          <w:spacing w:val="-9"/>
        </w:rPr>
        <w:t>.</w:t>
      </w:r>
    </w:p>
    <w:p w14:paraId="530A6899" w14:textId="77777777" w:rsidR="00C51F06" w:rsidRDefault="00C51F06" w:rsidP="00C51F06">
      <w:pPr>
        <w:pStyle w:val="Heading4"/>
      </w:pPr>
      <w:r>
        <w:t>Greater staff</w:t>
      </w:r>
      <w:r>
        <w:rPr>
          <w:spacing w:val="1"/>
        </w:rPr>
        <w:t xml:space="preserve"> </w:t>
      </w:r>
      <w:r>
        <w:t>ownership</w:t>
      </w:r>
      <w:r>
        <w:rPr>
          <w:spacing w:val="1"/>
        </w:rPr>
        <w:t xml:space="preserve"> </w:t>
      </w:r>
      <w:r>
        <w:t>of</w:t>
      </w:r>
      <w:r>
        <w:rPr>
          <w:spacing w:val="1"/>
        </w:rPr>
        <w:t xml:space="preserve"> </w:t>
      </w:r>
      <w:r>
        <w:t>career</w:t>
      </w:r>
      <w:r>
        <w:rPr>
          <w:spacing w:val="1"/>
        </w:rPr>
        <w:t xml:space="preserve"> </w:t>
      </w:r>
      <w:r>
        <w:rPr>
          <w:spacing w:val="-2"/>
        </w:rPr>
        <w:t>development</w:t>
      </w:r>
    </w:p>
    <w:p w14:paraId="26AF33D4" w14:textId="6EBA3447" w:rsidR="00C51F06" w:rsidRDefault="00C51F06" w:rsidP="0009241D">
      <w:pPr>
        <w:rPr>
          <w:color w:val="231F20"/>
          <w:spacing w:val="-10"/>
          <w:w w:val="85"/>
        </w:rPr>
      </w:pPr>
      <w:r>
        <w:t>A common criticism the Review heard from RBA staff members was that, despite some improvements, they felt they had limited opportunities for career advancement</w:t>
      </w:r>
      <w:r w:rsidR="0068598E">
        <w:rPr>
          <w:spacing w:val="-20"/>
        </w:rPr>
        <w:t>.</w:t>
      </w:r>
      <w:r>
        <w:rPr>
          <w:w w:val="85"/>
        </w:rPr>
        <w:t xml:space="preserve"> </w:t>
      </w:r>
      <w:r>
        <w:t>Senior leaders at</w:t>
      </w:r>
      <w:r>
        <w:rPr>
          <w:spacing w:val="-1"/>
        </w:rPr>
        <w:t xml:space="preserve"> </w:t>
      </w:r>
      <w:r>
        <w:t>the</w:t>
      </w:r>
      <w:r>
        <w:rPr>
          <w:spacing w:val="-1"/>
        </w:rPr>
        <w:t xml:space="preserve"> </w:t>
      </w:r>
      <w:r>
        <w:t>RBA</w:t>
      </w:r>
      <w:r>
        <w:rPr>
          <w:spacing w:val="-1"/>
        </w:rPr>
        <w:t xml:space="preserve"> </w:t>
      </w:r>
      <w:r>
        <w:t>are</w:t>
      </w:r>
      <w:r>
        <w:rPr>
          <w:spacing w:val="-1"/>
        </w:rPr>
        <w:t xml:space="preserve"> </w:t>
      </w:r>
      <w:r>
        <w:t>acutely</w:t>
      </w:r>
      <w:r>
        <w:rPr>
          <w:spacing w:val="-1"/>
        </w:rPr>
        <w:t xml:space="preserve"> </w:t>
      </w:r>
      <w:r>
        <w:t>aware</w:t>
      </w:r>
      <w:r>
        <w:rPr>
          <w:spacing w:val="-1"/>
        </w:rPr>
        <w:t xml:space="preserve"> </w:t>
      </w:r>
      <w:r>
        <w:t>of</w:t>
      </w:r>
      <w:r>
        <w:rPr>
          <w:spacing w:val="-1"/>
        </w:rPr>
        <w:t xml:space="preserve"> </w:t>
      </w:r>
      <w:r>
        <w:t>this</w:t>
      </w:r>
      <w:r>
        <w:rPr>
          <w:spacing w:val="-1"/>
        </w:rPr>
        <w:t xml:space="preserve"> </w:t>
      </w:r>
      <w:r>
        <w:t>–</w:t>
      </w:r>
      <w:r>
        <w:rPr>
          <w:spacing w:val="-1"/>
        </w:rPr>
        <w:t xml:space="preserve"> </w:t>
      </w:r>
      <w:r>
        <w:t>it</w:t>
      </w:r>
      <w:r>
        <w:rPr>
          <w:spacing w:val="-1"/>
        </w:rPr>
        <w:t xml:space="preserve"> </w:t>
      </w:r>
      <w:r>
        <w:t>has</w:t>
      </w:r>
      <w:r>
        <w:rPr>
          <w:spacing w:val="-1"/>
        </w:rPr>
        <w:t xml:space="preserve"> </w:t>
      </w:r>
      <w:r>
        <w:t>been</w:t>
      </w:r>
      <w:r>
        <w:rPr>
          <w:spacing w:val="-1"/>
        </w:rPr>
        <w:t xml:space="preserve"> </w:t>
      </w:r>
      <w:r>
        <w:t>a</w:t>
      </w:r>
      <w:r>
        <w:rPr>
          <w:spacing w:val="-1"/>
        </w:rPr>
        <w:t xml:space="preserve"> </w:t>
      </w:r>
      <w:r>
        <w:t>key</w:t>
      </w:r>
      <w:r>
        <w:rPr>
          <w:spacing w:val="-1"/>
        </w:rPr>
        <w:t xml:space="preserve"> </w:t>
      </w:r>
      <w:r>
        <w:t>feature</w:t>
      </w:r>
      <w:r>
        <w:rPr>
          <w:spacing w:val="-1"/>
        </w:rPr>
        <w:t xml:space="preserve"> </w:t>
      </w:r>
      <w:r>
        <w:t>of</w:t>
      </w:r>
      <w:r>
        <w:rPr>
          <w:spacing w:val="-1"/>
        </w:rPr>
        <w:t xml:space="preserve"> </w:t>
      </w:r>
      <w:r>
        <w:t>their</w:t>
      </w:r>
      <w:r>
        <w:rPr>
          <w:spacing w:val="-1"/>
        </w:rPr>
        <w:t xml:space="preserve"> </w:t>
      </w:r>
      <w:r>
        <w:t>own</w:t>
      </w:r>
      <w:r>
        <w:rPr>
          <w:spacing w:val="-1"/>
        </w:rPr>
        <w:t xml:space="preserve"> </w:t>
      </w:r>
      <w:r>
        <w:t>internal</w:t>
      </w:r>
      <w:r>
        <w:rPr>
          <w:spacing w:val="-1"/>
        </w:rPr>
        <w:t xml:space="preserve"> </w:t>
      </w:r>
      <w:r>
        <w:t>engagement surveys and exit surveys of staff members. In part, limited career opportunities are related to relatively low levels of turnover among managers and executive leaders. However, the Review</w:t>
      </w:r>
      <w:r w:rsidR="0009241D">
        <w:t xml:space="preserve"> </w:t>
      </w:r>
      <w:r>
        <w:rPr>
          <w:color w:val="231F20"/>
        </w:rPr>
        <w:t>considers</w:t>
      </w:r>
      <w:r>
        <w:rPr>
          <w:color w:val="231F20"/>
          <w:spacing w:val="2"/>
        </w:rPr>
        <w:t xml:space="preserve"> </w:t>
      </w:r>
      <w:r>
        <w:rPr>
          <w:color w:val="231F20"/>
        </w:rPr>
        <w:t>that</w:t>
      </w:r>
      <w:r>
        <w:rPr>
          <w:color w:val="231F20"/>
          <w:spacing w:val="2"/>
        </w:rPr>
        <w:t xml:space="preserve"> </w:t>
      </w:r>
      <w:r>
        <w:rPr>
          <w:color w:val="231F20"/>
        </w:rPr>
        <w:t>there</w:t>
      </w:r>
      <w:r>
        <w:rPr>
          <w:color w:val="231F20"/>
          <w:spacing w:val="3"/>
        </w:rPr>
        <w:t xml:space="preserve"> </w:t>
      </w:r>
      <w:r>
        <w:rPr>
          <w:color w:val="231F20"/>
        </w:rPr>
        <w:t>are</w:t>
      </w:r>
      <w:r>
        <w:rPr>
          <w:color w:val="231F20"/>
          <w:spacing w:val="2"/>
        </w:rPr>
        <w:t xml:space="preserve"> </w:t>
      </w:r>
      <w:r>
        <w:rPr>
          <w:color w:val="231F20"/>
        </w:rPr>
        <w:t>broader</w:t>
      </w:r>
      <w:r>
        <w:rPr>
          <w:color w:val="231F20"/>
          <w:spacing w:val="2"/>
        </w:rPr>
        <w:t xml:space="preserve"> </w:t>
      </w:r>
      <w:r>
        <w:rPr>
          <w:color w:val="231F20"/>
        </w:rPr>
        <w:t>factors</w:t>
      </w:r>
      <w:r>
        <w:rPr>
          <w:color w:val="231F20"/>
          <w:spacing w:val="3"/>
        </w:rPr>
        <w:t xml:space="preserve"> </w:t>
      </w:r>
      <w:r>
        <w:rPr>
          <w:color w:val="231F20"/>
        </w:rPr>
        <w:t>that</w:t>
      </w:r>
      <w:r>
        <w:rPr>
          <w:color w:val="231F20"/>
          <w:spacing w:val="2"/>
        </w:rPr>
        <w:t xml:space="preserve"> </w:t>
      </w:r>
      <w:r>
        <w:rPr>
          <w:color w:val="231F20"/>
        </w:rPr>
        <w:t>negatively</w:t>
      </w:r>
      <w:r>
        <w:rPr>
          <w:color w:val="231F20"/>
          <w:spacing w:val="3"/>
        </w:rPr>
        <w:t xml:space="preserve"> </w:t>
      </w:r>
      <w:r>
        <w:rPr>
          <w:color w:val="231F20"/>
        </w:rPr>
        <w:t>affect</w:t>
      </w:r>
      <w:r>
        <w:rPr>
          <w:color w:val="231F20"/>
          <w:spacing w:val="2"/>
        </w:rPr>
        <w:t xml:space="preserve"> </w:t>
      </w:r>
      <w:r>
        <w:rPr>
          <w:color w:val="231F20"/>
        </w:rPr>
        <w:t>staff</w:t>
      </w:r>
      <w:r>
        <w:rPr>
          <w:color w:val="231F20"/>
          <w:spacing w:val="2"/>
        </w:rPr>
        <w:t xml:space="preserve"> </w:t>
      </w:r>
      <w:r>
        <w:rPr>
          <w:color w:val="231F20"/>
        </w:rPr>
        <w:t>members’</w:t>
      </w:r>
      <w:r>
        <w:rPr>
          <w:color w:val="231F20"/>
          <w:spacing w:val="3"/>
        </w:rPr>
        <w:t xml:space="preserve"> </w:t>
      </w:r>
      <w:r>
        <w:rPr>
          <w:color w:val="231F20"/>
        </w:rPr>
        <w:t>perceptions</w:t>
      </w:r>
      <w:r>
        <w:rPr>
          <w:color w:val="231F20"/>
          <w:spacing w:val="2"/>
        </w:rPr>
        <w:t xml:space="preserve"> </w:t>
      </w:r>
      <w:r>
        <w:rPr>
          <w:color w:val="231F20"/>
        </w:rPr>
        <w:t>of</w:t>
      </w:r>
      <w:r>
        <w:rPr>
          <w:color w:val="231F20"/>
          <w:spacing w:val="3"/>
        </w:rPr>
        <w:t xml:space="preserve"> </w:t>
      </w:r>
      <w:r>
        <w:rPr>
          <w:color w:val="231F20"/>
          <w:spacing w:val="-2"/>
        </w:rPr>
        <w:t>their</w:t>
      </w:r>
      <w:r w:rsidR="0009241D">
        <w:rPr>
          <w:color w:val="231F20"/>
          <w:spacing w:val="-2"/>
        </w:rPr>
        <w:t xml:space="preserve"> </w:t>
      </w:r>
      <w:r>
        <w:rPr>
          <w:color w:val="231F20"/>
        </w:rPr>
        <w:t>opportunities</w:t>
      </w:r>
      <w:r>
        <w:rPr>
          <w:color w:val="231F20"/>
          <w:spacing w:val="5"/>
        </w:rPr>
        <w:t xml:space="preserve"> </w:t>
      </w:r>
      <w:r>
        <w:rPr>
          <w:color w:val="231F20"/>
        </w:rPr>
        <w:t>for</w:t>
      </w:r>
      <w:r>
        <w:rPr>
          <w:color w:val="231F20"/>
          <w:spacing w:val="5"/>
        </w:rPr>
        <w:t xml:space="preserve"> </w:t>
      </w:r>
      <w:r>
        <w:rPr>
          <w:color w:val="231F20"/>
        </w:rPr>
        <w:t>career</w:t>
      </w:r>
      <w:r>
        <w:rPr>
          <w:color w:val="231F20"/>
          <w:spacing w:val="5"/>
        </w:rPr>
        <w:t xml:space="preserve"> </w:t>
      </w:r>
      <w:r>
        <w:rPr>
          <w:color w:val="231F20"/>
        </w:rPr>
        <w:t>advancement</w:t>
      </w:r>
      <w:r>
        <w:rPr>
          <w:color w:val="231F20"/>
          <w:spacing w:val="5"/>
        </w:rPr>
        <w:t xml:space="preserve"> </w:t>
      </w:r>
      <w:r>
        <w:rPr>
          <w:color w:val="231F20"/>
        </w:rPr>
        <w:t>within</w:t>
      </w:r>
      <w:r>
        <w:rPr>
          <w:color w:val="231F20"/>
          <w:spacing w:val="5"/>
        </w:rPr>
        <w:t xml:space="preserve"> </w:t>
      </w:r>
      <w:r>
        <w:rPr>
          <w:color w:val="231F20"/>
        </w:rPr>
        <w:t>the</w:t>
      </w:r>
      <w:r>
        <w:rPr>
          <w:color w:val="231F20"/>
          <w:spacing w:val="5"/>
        </w:rPr>
        <w:t xml:space="preserve"> </w:t>
      </w:r>
      <w:r>
        <w:rPr>
          <w:color w:val="231F20"/>
        </w:rPr>
        <w:t>RBA</w:t>
      </w:r>
      <w:r w:rsidR="0068598E">
        <w:rPr>
          <w:color w:val="231F20"/>
          <w:spacing w:val="-21"/>
        </w:rPr>
        <w:t>.</w:t>
      </w:r>
    </w:p>
    <w:p w14:paraId="3870628F" w14:textId="7D420186" w:rsidR="00657E71" w:rsidRDefault="00657E71" w:rsidP="00657E71">
      <w:r>
        <w:t>Staff members reported to the Review that their managers cared about their development. In the RBA Review Staff Survey, 70 per cent of respondents agreed that their manager is highly invested in their development (Chart 4</w:t>
      </w:r>
      <w:r w:rsidR="0068598E">
        <w:rPr>
          <w:spacing w:val="-21"/>
        </w:rPr>
        <w:t>.</w:t>
      </w:r>
      <w:r>
        <w:rPr>
          <w:w w:val="117"/>
        </w:rPr>
        <w:t>9)</w:t>
      </w:r>
      <w:r w:rsidR="0068598E">
        <w:rPr>
          <w:spacing w:val="-20"/>
          <w:w w:val="99"/>
        </w:rPr>
        <w:t>.</w:t>
      </w:r>
      <w:r>
        <w:rPr>
          <w:w w:val="85"/>
        </w:rPr>
        <w:t xml:space="preserve"> </w:t>
      </w:r>
      <w:r>
        <w:t>However, only 40 per cent of respondents considered career development discussions at the RBA had helped them to pursue their career goals</w:t>
      </w:r>
      <w:r w:rsidR="0068598E">
        <w:rPr>
          <w:spacing w:val="-19"/>
        </w:rPr>
        <w:t>.</w:t>
      </w:r>
      <w:r>
        <w:rPr>
          <w:w w:val="85"/>
        </w:rPr>
        <w:t xml:space="preserve"> </w:t>
      </w:r>
      <w:r>
        <w:t>The Review heard that career development practices are inconsistent across the RBA. Staff suggested that while some managers make considerable efforts, in other cases they feel they do not receive adequate support or guidance. Similarly, staff members spoke to the Review about not always having the knowledge about their performance or potential pathways within the RBA (or elsewhere) to take ownership of their career development</w:t>
      </w:r>
      <w:r w:rsidR="0068598E">
        <w:rPr>
          <w:spacing w:val="-13"/>
        </w:rPr>
        <w:t>.</w:t>
      </w:r>
    </w:p>
    <w:p w14:paraId="556A2ED3" w14:textId="06A4D179" w:rsidR="004F03CB" w:rsidRDefault="004F03CB" w:rsidP="007D65FE">
      <w:pPr>
        <w:pStyle w:val="BoxHeading"/>
        <w:keepLines/>
      </w:pPr>
      <w:r>
        <w:lastRenderedPageBreak/>
        <w:t>Chart</w:t>
      </w:r>
      <w:r>
        <w:rPr>
          <w:spacing w:val="2"/>
        </w:rPr>
        <w:t xml:space="preserve"> </w:t>
      </w:r>
      <w:r>
        <w:t>4.9:</w:t>
      </w:r>
      <w:r>
        <w:rPr>
          <w:spacing w:val="2"/>
        </w:rPr>
        <w:t xml:space="preserve"> </w:t>
      </w:r>
      <w:r>
        <w:t>Staff</w:t>
      </w:r>
      <w:r>
        <w:rPr>
          <w:spacing w:val="2"/>
        </w:rPr>
        <w:t xml:space="preserve"> </w:t>
      </w:r>
      <w:r>
        <w:t>perceptions</w:t>
      </w:r>
      <w:r>
        <w:rPr>
          <w:spacing w:val="3"/>
        </w:rPr>
        <w:t xml:space="preserve"> </w:t>
      </w:r>
      <w:r>
        <w:t>of</w:t>
      </w:r>
      <w:r>
        <w:rPr>
          <w:spacing w:val="2"/>
        </w:rPr>
        <w:t xml:space="preserve"> </w:t>
      </w:r>
      <w:r>
        <w:t>career</w:t>
      </w:r>
      <w:r>
        <w:rPr>
          <w:spacing w:val="2"/>
        </w:rPr>
        <w:t xml:space="preserve"> </w:t>
      </w:r>
      <w:r>
        <w:rPr>
          <w:spacing w:val="-2"/>
        </w:rPr>
        <w:t>development</w:t>
      </w:r>
    </w:p>
    <w:p w14:paraId="381D0373" w14:textId="34CFEAC3" w:rsidR="00657E71" w:rsidRDefault="007D65FE" w:rsidP="007D65FE">
      <w:pPr>
        <w:keepNext/>
        <w:keepLines/>
        <w:tabs>
          <w:tab w:val="left" w:pos="1187"/>
        </w:tabs>
        <w:jc w:val="center"/>
      </w:pPr>
      <w:r>
        <w:rPr>
          <w:noProof/>
        </w:rPr>
        <w:drawing>
          <wp:inline distT="0" distB="0" distL="0" distR="0" wp14:anchorId="276E0492" wp14:editId="61D70947">
            <wp:extent cx="4892926" cy="2365497"/>
            <wp:effectExtent l="0" t="0" r="3175" b="0"/>
            <wp:docPr id="37" name="Picture 37" descr="Bar chart showing the proportion of RBA staff members who agreed, disagreed or were neutral about a statement.&#10;Career development discussions at the RBA have helped me to pursue my desired career pathway and goals. Agree 40 per cent. Neutral 32 per cent. Disagree 28 per cent. &#10;My supervisor is invested in my development. Agree 70 per cent. Neutral 17 per cent. Disagree 13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ar chart showing the proportion of RBA staff members who agreed, disagreed or were neutral about a statement.&#10;Career development discussions at the RBA have helped me to pursue my desired career pathway and goals. Agree 40 per cent. Neutral 32 per cent. Disagree 28 per cent. &#10;My supervisor is invested in my development. Agree 70 per cent. Neutral 17 per cent. Disagree 13 per cent. &#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92926" cy="2365497"/>
                    </a:xfrm>
                    <a:prstGeom prst="rect">
                      <a:avLst/>
                    </a:prstGeom>
                  </pic:spPr>
                </pic:pic>
              </a:graphicData>
            </a:graphic>
          </wp:inline>
        </w:drawing>
      </w:r>
    </w:p>
    <w:p w14:paraId="5E41EFA6" w14:textId="326CF4D5" w:rsidR="0019504E" w:rsidRDefault="0019504E" w:rsidP="007D65FE">
      <w:pPr>
        <w:pStyle w:val="Note"/>
        <w:keepNext/>
        <w:keepLines/>
      </w:pPr>
      <w:r>
        <w:t>Source:</w:t>
      </w:r>
      <w:r>
        <w:rPr>
          <w:spacing w:val="5"/>
        </w:rPr>
        <w:t xml:space="preserve"> </w:t>
      </w:r>
      <w:r>
        <w:t>RBA</w:t>
      </w:r>
      <w:r>
        <w:rPr>
          <w:spacing w:val="6"/>
        </w:rPr>
        <w:t xml:space="preserve"> </w:t>
      </w:r>
      <w:r>
        <w:t>Review</w:t>
      </w:r>
      <w:r>
        <w:rPr>
          <w:spacing w:val="6"/>
        </w:rPr>
        <w:t xml:space="preserve"> </w:t>
      </w:r>
      <w:r>
        <w:t>Staff</w:t>
      </w:r>
      <w:r>
        <w:rPr>
          <w:spacing w:val="6"/>
        </w:rPr>
        <w:t xml:space="preserve"> </w:t>
      </w:r>
      <w:r>
        <w:t>Survey</w:t>
      </w:r>
      <w:r>
        <w:rPr>
          <w:spacing w:val="6"/>
        </w:rPr>
        <w:t xml:space="preserve"> </w:t>
      </w:r>
      <w:r>
        <w:t>(2022)</w:t>
      </w:r>
      <w:r w:rsidR="0068598E">
        <w:rPr>
          <w:spacing w:val="-19"/>
        </w:rPr>
        <w:t>.</w:t>
      </w:r>
    </w:p>
    <w:p w14:paraId="2293A8CB" w14:textId="6553E454" w:rsidR="0019504E" w:rsidRDefault="0019504E" w:rsidP="007D65FE">
      <w:pPr>
        <w:pStyle w:val="Note"/>
        <w:keepNext/>
        <w:keepLines/>
      </w:pPr>
      <w:r>
        <w:t>Note: Response scale was ‘strongly agree’, ‘agree’, ‘neither agree nor disagree’, ‘disagree’, ‘strongly disagree’</w:t>
      </w:r>
      <w:r w:rsidR="0068598E">
        <w:rPr>
          <w:spacing w:val="-19"/>
        </w:rPr>
        <w:t>.</w:t>
      </w:r>
      <w:r>
        <w:t xml:space="preserve"> Agree includes ‘strongly agree’ and ‘agree’</w:t>
      </w:r>
      <w:r w:rsidR="0068598E">
        <w:rPr>
          <w:spacing w:val="-13"/>
        </w:rPr>
        <w:t>.</w:t>
      </w:r>
      <w:r>
        <w:rPr>
          <w:w w:val="85"/>
        </w:rPr>
        <w:t xml:space="preserve"> </w:t>
      </w:r>
      <w:r>
        <w:t>Disagree includes ‘disagree’ and ‘strongly disagree’</w:t>
      </w:r>
      <w:r w:rsidR="0068598E">
        <w:rPr>
          <w:spacing w:val="-13"/>
        </w:rPr>
        <w:t>.</w:t>
      </w:r>
    </w:p>
    <w:p w14:paraId="50A16FA6" w14:textId="77777777" w:rsidR="002D17C0" w:rsidRDefault="002D17C0" w:rsidP="002D17C0">
      <w:r>
        <w:t>While staff members were generally positive about the recent improvements in the RBA’s people frameworks, some thought that the introduction of the new Lead Analyst position had not achieved the intended outcomes. The design of the role had not addressed key concerns of staff members.</w:t>
      </w:r>
      <w:r>
        <w:rPr>
          <w:spacing w:val="40"/>
        </w:rPr>
        <w:t xml:space="preserve"> </w:t>
      </w:r>
      <w:r>
        <w:t>In addition, a hierarchical culture and lack of delegation in some parts of the organisation has</w:t>
      </w:r>
      <w:r>
        <w:rPr>
          <w:spacing w:val="80"/>
        </w:rPr>
        <w:t xml:space="preserve"> </w:t>
      </w:r>
      <w:r>
        <w:t>meant that some in the role are not always afforded the intended development opportunities.</w:t>
      </w:r>
    </w:p>
    <w:p w14:paraId="5C450BA5" w14:textId="597F8B4D" w:rsidR="002D17C0" w:rsidRDefault="002D17C0" w:rsidP="002D17C0">
      <w:r>
        <w:t>The most critical factor for improving career development at the RBA is to better train and support leaders to be effective at using these frameworks, and ensure they are embedded in regular</w:t>
      </w:r>
      <w:r>
        <w:rPr>
          <w:spacing w:val="80"/>
        </w:rPr>
        <w:t xml:space="preserve"> </w:t>
      </w:r>
      <w:r>
        <w:t>people processes. The quality of the conversation is crucial to staff members feeling empowered in their career choices</w:t>
      </w:r>
      <w:r w:rsidR="0068598E">
        <w:rPr>
          <w:spacing w:val="-11"/>
        </w:rPr>
        <w:t>.</w:t>
      </w:r>
    </w:p>
    <w:p w14:paraId="2DB07995" w14:textId="77777777" w:rsidR="00C75B4F" w:rsidRDefault="00C75B4F" w:rsidP="00C75B4F">
      <w:pPr>
        <w:pStyle w:val="Heading4"/>
      </w:pPr>
      <w:r>
        <w:t>Increasing</w:t>
      </w:r>
      <w:r>
        <w:rPr>
          <w:spacing w:val="2"/>
        </w:rPr>
        <w:t xml:space="preserve"> </w:t>
      </w:r>
      <w:r>
        <w:t>the</w:t>
      </w:r>
      <w:r>
        <w:rPr>
          <w:spacing w:val="2"/>
        </w:rPr>
        <w:t xml:space="preserve"> </w:t>
      </w:r>
      <w:r>
        <w:t>transparency</w:t>
      </w:r>
      <w:r>
        <w:rPr>
          <w:spacing w:val="2"/>
        </w:rPr>
        <w:t xml:space="preserve"> </w:t>
      </w:r>
      <w:r>
        <w:t>of</w:t>
      </w:r>
      <w:r>
        <w:rPr>
          <w:spacing w:val="2"/>
        </w:rPr>
        <w:t xml:space="preserve"> </w:t>
      </w:r>
      <w:r>
        <w:rPr>
          <w:spacing w:val="-2"/>
        </w:rPr>
        <w:t>opportunities</w:t>
      </w:r>
    </w:p>
    <w:p w14:paraId="66351D59" w14:textId="77777777" w:rsidR="00C75B4F" w:rsidRDefault="00C75B4F" w:rsidP="00C75B4F">
      <w:r>
        <w:t>The Review heard from staff members that vacancies and opportunities at the RBA are not always transparent. This affects the ability of employees to plan their careers, creates the potential for favouritism with staffing choices, and potentially means good candidates are overlooked. The</w:t>
      </w:r>
      <w:r>
        <w:rPr>
          <w:spacing w:val="40"/>
        </w:rPr>
        <w:t xml:space="preserve"> </w:t>
      </w:r>
      <w:r>
        <w:t>Review is aware that processes exist to increase transparency of certain opportunities internally</w:t>
      </w:r>
      <w:r>
        <w:rPr>
          <w:spacing w:val="40"/>
        </w:rPr>
        <w:t xml:space="preserve"> </w:t>
      </w:r>
      <w:r>
        <w:t>and externally. The Review also acknowledges that an open and transparent recruitment process is not always suitable to fill vacancies.</w:t>
      </w:r>
    </w:p>
    <w:p w14:paraId="1EB3BF78" w14:textId="77777777" w:rsidR="00C75B4F" w:rsidRDefault="00C75B4F" w:rsidP="00C75B4F">
      <w:r>
        <w:t>However, at present there is ambiguity and a lack of consistency about whether internal positions should be visible. Many staff members spoke to the Review about the opacity of the process for internal rotations in which Department Heads and/or their Deputies come together to discuss vacancies they have and staff members they would like to rotate. As one RBA staff member explained:</w:t>
      </w:r>
    </w:p>
    <w:p w14:paraId="70C513CA" w14:textId="77777777" w:rsidR="00C75B4F" w:rsidRDefault="00C75B4F" w:rsidP="00C75B4F">
      <w:pPr>
        <w:pStyle w:val="italicquote"/>
      </w:pPr>
      <w:r>
        <w:t>‘At-level staff rotation seems problematic. I don’t know how it is actually executed but little attention seems</w:t>
      </w:r>
      <w:r>
        <w:rPr>
          <w:spacing w:val="-3"/>
        </w:rPr>
        <w:t xml:space="preserve"> </w:t>
      </w:r>
      <w:r>
        <w:t>to</w:t>
      </w:r>
      <w:r>
        <w:rPr>
          <w:spacing w:val="-3"/>
        </w:rPr>
        <w:t xml:space="preserve"> </w:t>
      </w:r>
      <w:r>
        <w:t>be</w:t>
      </w:r>
      <w:r>
        <w:rPr>
          <w:spacing w:val="-3"/>
        </w:rPr>
        <w:t xml:space="preserve"> </w:t>
      </w:r>
      <w:r>
        <w:t>paid</w:t>
      </w:r>
      <w:r>
        <w:rPr>
          <w:spacing w:val="-3"/>
        </w:rPr>
        <w:t xml:space="preserve"> </w:t>
      </w:r>
      <w:r>
        <w:t>to</w:t>
      </w:r>
      <w:r>
        <w:rPr>
          <w:spacing w:val="-3"/>
        </w:rPr>
        <w:t xml:space="preserve"> </w:t>
      </w:r>
      <w:r>
        <w:t>preferences</w:t>
      </w:r>
      <w:r>
        <w:rPr>
          <w:spacing w:val="-3"/>
        </w:rPr>
        <w:t xml:space="preserve"> </w:t>
      </w:r>
      <w:r>
        <w:t>of</w:t>
      </w:r>
      <w:r>
        <w:rPr>
          <w:spacing w:val="-3"/>
        </w:rPr>
        <w:t xml:space="preserve"> </w:t>
      </w:r>
      <w:r>
        <w:t>staff</w:t>
      </w:r>
      <w:r>
        <w:rPr>
          <w:spacing w:val="-3"/>
        </w:rPr>
        <w:t xml:space="preserve"> </w:t>
      </w:r>
      <w:r>
        <w:t>or</w:t>
      </w:r>
      <w:r>
        <w:rPr>
          <w:spacing w:val="-3"/>
        </w:rPr>
        <w:t xml:space="preserve"> </w:t>
      </w:r>
      <w:r>
        <w:t>to</w:t>
      </w:r>
      <w:r>
        <w:rPr>
          <w:spacing w:val="-3"/>
        </w:rPr>
        <w:t xml:space="preserve"> </w:t>
      </w:r>
      <w:r>
        <w:t>the</w:t>
      </w:r>
      <w:r>
        <w:rPr>
          <w:spacing w:val="-3"/>
        </w:rPr>
        <w:t xml:space="preserve"> </w:t>
      </w:r>
      <w:r>
        <w:t>degree</w:t>
      </w:r>
      <w:r>
        <w:rPr>
          <w:spacing w:val="-3"/>
        </w:rPr>
        <w:t xml:space="preserve"> </w:t>
      </w:r>
      <w:r>
        <w:t>of</w:t>
      </w:r>
      <w:r>
        <w:rPr>
          <w:spacing w:val="-3"/>
        </w:rPr>
        <w:t xml:space="preserve"> </w:t>
      </w:r>
      <w:r>
        <w:t>specialisation</w:t>
      </w:r>
      <w:r>
        <w:rPr>
          <w:spacing w:val="-3"/>
        </w:rPr>
        <w:t xml:space="preserve"> </w:t>
      </w:r>
      <w:r>
        <w:t>required</w:t>
      </w:r>
      <w:r>
        <w:rPr>
          <w:spacing w:val="-3"/>
        </w:rPr>
        <w:t xml:space="preserve"> </w:t>
      </w:r>
      <w:r>
        <w:t>in</w:t>
      </w:r>
      <w:r>
        <w:rPr>
          <w:spacing w:val="-3"/>
        </w:rPr>
        <w:t xml:space="preserve"> </w:t>
      </w:r>
      <w:r>
        <w:t>different</w:t>
      </w:r>
      <w:r>
        <w:rPr>
          <w:spacing w:val="-3"/>
        </w:rPr>
        <w:t xml:space="preserve"> </w:t>
      </w:r>
      <w:r>
        <w:t>roles.</w:t>
      </w:r>
      <w:r>
        <w:rPr>
          <w:spacing w:val="-3"/>
        </w:rPr>
        <w:t xml:space="preserve"> </w:t>
      </w:r>
      <w:r>
        <w:t>I would</w:t>
      </w:r>
      <w:r>
        <w:rPr>
          <w:spacing w:val="-3"/>
        </w:rPr>
        <w:t xml:space="preserve"> </w:t>
      </w:r>
      <w:r>
        <w:t>like</w:t>
      </w:r>
      <w:r>
        <w:rPr>
          <w:spacing w:val="-3"/>
        </w:rPr>
        <w:t xml:space="preserve"> </w:t>
      </w:r>
      <w:r>
        <w:t>to</w:t>
      </w:r>
      <w:r>
        <w:rPr>
          <w:spacing w:val="-3"/>
        </w:rPr>
        <w:t xml:space="preserve"> </w:t>
      </w:r>
      <w:r>
        <w:t>see</w:t>
      </w:r>
      <w:r>
        <w:rPr>
          <w:spacing w:val="-3"/>
        </w:rPr>
        <w:t xml:space="preserve"> </w:t>
      </w:r>
      <w:r>
        <w:t>more</w:t>
      </w:r>
      <w:r>
        <w:rPr>
          <w:spacing w:val="-3"/>
        </w:rPr>
        <w:t xml:space="preserve"> </w:t>
      </w:r>
      <w:r>
        <w:t>consultation</w:t>
      </w:r>
      <w:r>
        <w:rPr>
          <w:spacing w:val="-3"/>
        </w:rPr>
        <w:t xml:space="preserve"> </w:t>
      </w:r>
      <w:r>
        <w:t>and</w:t>
      </w:r>
      <w:r>
        <w:rPr>
          <w:spacing w:val="-3"/>
        </w:rPr>
        <w:t xml:space="preserve"> </w:t>
      </w:r>
      <w:r>
        <w:t>agency</w:t>
      </w:r>
      <w:r>
        <w:rPr>
          <w:spacing w:val="-3"/>
        </w:rPr>
        <w:t xml:space="preserve"> </w:t>
      </w:r>
      <w:r>
        <w:t>in</w:t>
      </w:r>
      <w:r>
        <w:rPr>
          <w:spacing w:val="-3"/>
        </w:rPr>
        <w:t xml:space="preserve"> </w:t>
      </w:r>
      <w:r>
        <w:t>rotation</w:t>
      </w:r>
      <w:r>
        <w:rPr>
          <w:spacing w:val="-3"/>
        </w:rPr>
        <w:t xml:space="preserve"> </w:t>
      </w:r>
      <w:r>
        <w:t>decisions</w:t>
      </w:r>
      <w:r>
        <w:rPr>
          <w:spacing w:val="-3"/>
        </w:rPr>
        <w:t xml:space="preserve"> </w:t>
      </w:r>
      <w:r>
        <w:t>because</w:t>
      </w:r>
      <w:r>
        <w:rPr>
          <w:spacing w:val="-3"/>
        </w:rPr>
        <w:t xml:space="preserve"> </w:t>
      </w:r>
      <w:r>
        <w:t>it</w:t>
      </w:r>
      <w:r>
        <w:rPr>
          <w:spacing w:val="-3"/>
        </w:rPr>
        <w:t xml:space="preserve"> </w:t>
      </w:r>
      <w:r>
        <w:t>has</w:t>
      </w:r>
      <w:r>
        <w:rPr>
          <w:spacing w:val="-3"/>
        </w:rPr>
        <w:t xml:space="preserve"> </w:t>
      </w:r>
      <w:r>
        <w:t>a</w:t>
      </w:r>
      <w:r>
        <w:rPr>
          <w:spacing w:val="-3"/>
        </w:rPr>
        <w:t xml:space="preserve"> </w:t>
      </w:r>
      <w:r>
        <w:t>big</w:t>
      </w:r>
      <w:r>
        <w:rPr>
          <w:spacing w:val="-3"/>
        </w:rPr>
        <w:t xml:space="preserve"> </w:t>
      </w:r>
      <w:r>
        <w:t>impact</w:t>
      </w:r>
      <w:r>
        <w:rPr>
          <w:spacing w:val="-3"/>
        </w:rPr>
        <w:t xml:space="preserve"> </w:t>
      </w:r>
      <w:r>
        <w:t>on the workflow of the areas people are rotated through (and obviously on the people themselves).’</w:t>
      </w:r>
    </w:p>
    <w:p w14:paraId="53952B3C" w14:textId="77777777" w:rsidR="00C75B4F" w:rsidRDefault="00C75B4F" w:rsidP="00C75B4F">
      <w:pPr>
        <w:pStyle w:val="italicquote"/>
      </w:pPr>
      <w:r>
        <w:t>̶</w:t>
      </w:r>
      <w:r>
        <w:rPr>
          <w:spacing w:val="-1"/>
        </w:rPr>
        <w:t xml:space="preserve"> </w:t>
      </w:r>
      <w:r>
        <w:t>̶</w:t>
      </w:r>
      <w:r>
        <w:rPr>
          <w:spacing w:val="53"/>
        </w:rPr>
        <w:t xml:space="preserve"> </w:t>
      </w:r>
      <w:r>
        <w:t xml:space="preserve">RBA staff </w:t>
      </w:r>
      <w:r>
        <w:rPr>
          <w:spacing w:val="-2"/>
        </w:rPr>
        <w:t>member</w:t>
      </w:r>
    </w:p>
    <w:p w14:paraId="08D8BA7D" w14:textId="737535CF" w:rsidR="00C75B4F" w:rsidRDefault="00C75B4F" w:rsidP="00C75B4F">
      <w:r>
        <w:t>In</w:t>
      </w:r>
      <w:r>
        <w:rPr>
          <w:spacing w:val="-2"/>
        </w:rPr>
        <w:t xml:space="preserve"> </w:t>
      </w:r>
      <w:r>
        <w:t>the RBA Review Staff Survey, confidence in recruitment decisions and the perceived</w:t>
      </w:r>
      <w:r>
        <w:rPr>
          <w:spacing w:val="1"/>
        </w:rPr>
        <w:t xml:space="preserve"> </w:t>
      </w:r>
      <w:r>
        <w:rPr>
          <w:spacing w:val="-2"/>
        </w:rPr>
        <w:t xml:space="preserve">transparency </w:t>
      </w:r>
      <w:r>
        <w:t>of</w:t>
      </w:r>
      <w:r>
        <w:rPr>
          <w:spacing w:val="-12"/>
        </w:rPr>
        <w:t xml:space="preserve"> </w:t>
      </w:r>
      <w:r>
        <w:t>these</w:t>
      </w:r>
      <w:r>
        <w:rPr>
          <w:spacing w:val="-10"/>
        </w:rPr>
        <w:t xml:space="preserve"> </w:t>
      </w:r>
      <w:r>
        <w:t>processes</w:t>
      </w:r>
      <w:r>
        <w:rPr>
          <w:spacing w:val="-7"/>
        </w:rPr>
        <w:t xml:space="preserve"> </w:t>
      </w:r>
      <w:r>
        <w:t>was</w:t>
      </w:r>
      <w:r>
        <w:rPr>
          <w:spacing w:val="-8"/>
        </w:rPr>
        <w:t xml:space="preserve"> </w:t>
      </w:r>
      <w:r>
        <w:t>quite</w:t>
      </w:r>
      <w:r>
        <w:rPr>
          <w:spacing w:val="-8"/>
        </w:rPr>
        <w:t xml:space="preserve"> </w:t>
      </w:r>
      <w:r>
        <w:t>poor</w:t>
      </w:r>
      <w:r>
        <w:rPr>
          <w:spacing w:val="-7"/>
        </w:rPr>
        <w:t xml:space="preserve"> </w:t>
      </w:r>
      <w:r>
        <w:t>(Chart</w:t>
      </w:r>
      <w:r>
        <w:rPr>
          <w:spacing w:val="-8"/>
        </w:rPr>
        <w:t xml:space="preserve"> </w:t>
      </w:r>
      <w:r>
        <w:t>4</w:t>
      </w:r>
      <w:r w:rsidR="0068598E">
        <w:rPr>
          <w:spacing w:val="-25"/>
        </w:rPr>
        <w:t>.</w:t>
      </w:r>
      <w:r>
        <w:rPr>
          <w:w w:val="113"/>
        </w:rPr>
        <w:t>10)</w:t>
      </w:r>
      <w:r w:rsidR="0068598E">
        <w:rPr>
          <w:spacing w:val="-24"/>
          <w:w w:val="99"/>
        </w:rPr>
        <w:t>.</w:t>
      </w:r>
    </w:p>
    <w:p w14:paraId="30D8D1B8" w14:textId="7C04B88A" w:rsidR="00774D19" w:rsidRDefault="00774D19" w:rsidP="007D65FE">
      <w:pPr>
        <w:pStyle w:val="BoxHeading"/>
        <w:keepLines/>
      </w:pPr>
      <w:r>
        <w:lastRenderedPageBreak/>
        <w:t>Chart 4.10: Staff perceptions of the</w:t>
      </w:r>
      <w:r>
        <w:rPr>
          <w:spacing w:val="1"/>
        </w:rPr>
        <w:t xml:space="preserve"> </w:t>
      </w:r>
      <w:r>
        <w:t xml:space="preserve">transparency of recruitment </w:t>
      </w:r>
      <w:r>
        <w:rPr>
          <w:spacing w:val="-2"/>
        </w:rPr>
        <w:t>processes</w:t>
      </w:r>
    </w:p>
    <w:p w14:paraId="79F5D8A3" w14:textId="1A326172" w:rsidR="0019504E" w:rsidRDefault="007D65FE" w:rsidP="007D65FE">
      <w:pPr>
        <w:keepNext/>
        <w:keepLines/>
        <w:tabs>
          <w:tab w:val="left" w:pos="1187"/>
        </w:tabs>
      </w:pPr>
      <w:r>
        <w:rPr>
          <w:noProof/>
        </w:rPr>
        <w:drawing>
          <wp:inline distT="0" distB="0" distL="0" distR="0" wp14:anchorId="19D119C0" wp14:editId="2DC7B77D">
            <wp:extent cx="4892926" cy="2365497"/>
            <wp:effectExtent l="0" t="0" r="3175" b="0"/>
            <wp:docPr id="39" name="Picture 39" descr="Bar chart showing the proportion of RBA staff members who agreed, disagreed or were neutral about a statement.&#10;Processes for awarding opportunities at the RBA are transparent. Agree 31 per cent. Neutral 35 per cent. Disagree 34 per cent. &#10;I have confidence in the way recruitment decisions are made. Agree 47 per cent. Neutral 32 per cent. Disagree 21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Bar chart showing the proportion of RBA staff members who agreed, disagreed or were neutral about a statement.&#10;Processes for awarding opportunities at the RBA are transparent. Agree 31 per cent. Neutral 35 per cent. Disagree 34 per cent. &#10;I have confidence in the way recruitment decisions are made. Agree 47 per cent. Neutral 32 per cent. Disagree 21 per cent. &#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92926" cy="2365497"/>
                    </a:xfrm>
                    <a:prstGeom prst="rect">
                      <a:avLst/>
                    </a:prstGeom>
                  </pic:spPr>
                </pic:pic>
              </a:graphicData>
            </a:graphic>
          </wp:inline>
        </w:drawing>
      </w:r>
    </w:p>
    <w:p w14:paraId="21810B16" w14:textId="396D984B" w:rsidR="00B25AFF" w:rsidRDefault="00B25AFF" w:rsidP="007D65FE">
      <w:pPr>
        <w:pStyle w:val="Note"/>
        <w:keepNext/>
        <w:keepLines/>
      </w:pPr>
      <w:r>
        <w:t>Source:</w:t>
      </w:r>
      <w:r>
        <w:rPr>
          <w:spacing w:val="5"/>
        </w:rPr>
        <w:t xml:space="preserve"> </w:t>
      </w:r>
      <w:r>
        <w:t>RBA</w:t>
      </w:r>
      <w:r>
        <w:rPr>
          <w:spacing w:val="6"/>
        </w:rPr>
        <w:t xml:space="preserve"> </w:t>
      </w:r>
      <w:r>
        <w:t>Review</w:t>
      </w:r>
      <w:r>
        <w:rPr>
          <w:spacing w:val="6"/>
        </w:rPr>
        <w:t xml:space="preserve"> </w:t>
      </w:r>
      <w:r>
        <w:t>Staff</w:t>
      </w:r>
      <w:r>
        <w:rPr>
          <w:spacing w:val="6"/>
        </w:rPr>
        <w:t xml:space="preserve"> </w:t>
      </w:r>
      <w:r>
        <w:t>Survey</w:t>
      </w:r>
      <w:r>
        <w:rPr>
          <w:spacing w:val="6"/>
        </w:rPr>
        <w:t xml:space="preserve"> </w:t>
      </w:r>
      <w:r>
        <w:t>(2022)</w:t>
      </w:r>
      <w:r w:rsidR="0068598E">
        <w:rPr>
          <w:spacing w:val="-19"/>
        </w:rPr>
        <w:t>.</w:t>
      </w:r>
    </w:p>
    <w:p w14:paraId="6E9313BF" w14:textId="5127F25E" w:rsidR="00B25AFF" w:rsidRDefault="00B25AFF" w:rsidP="007D65FE">
      <w:pPr>
        <w:pStyle w:val="Note"/>
        <w:keepNext/>
        <w:keepLines/>
      </w:pPr>
      <w:r>
        <w:t>Note: Response scale was ‘strongly agree’, ‘agree’, ‘neither agree nor disagree’, ‘disagree’, ‘strongly disagree’</w:t>
      </w:r>
      <w:r w:rsidR="0068598E">
        <w:rPr>
          <w:spacing w:val="-19"/>
        </w:rPr>
        <w:t>.</w:t>
      </w:r>
      <w:r>
        <w:t xml:space="preserve"> Agree includes ‘strongly agree’ and ‘agree’</w:t>
      </w:r>
      <w:r w:rsidR="0068598E">
        <w:rPr>
          <w:spacing w:val="-13"/>
        </w:rPr>
        <w:t>.</w:t>
      </w:r>
      <w:r>
        <w:rPr>
          <w:w w:val="85"/>
        </w:rPr>
        <w:t xml:space="preserve"> </w:t>
      </w:r>
      <w:r>
        <w:t>Disagree includes ‘disagree’ and ‘strongly disagree’</w:t>
      </w:r>
      <w:r w:rsidR="0068598E">
        <w:rPr>
          <w:spacing w:val="-13"/>
        </w:rPr>
        <w:t>.</w:t>
      </w:r>
    </w:p>
    <w:p w14:paraId="2496E350" w14:textId="77777777" w:rsidR="00A722C6" w:rsidRDefault="00A722C6" w:rsidP="00A722C6">
      <w:r>
        <w:t>Additionally, only 40 per cent of respondents agreed that opportunities are awarded on merit at the RBA, and 45 per cent thought they have an equal chance at promotion within the RBA (Chart 4.11).</w:t>
      </w:r>
    </w:p>
    <w:p w14:paraId="51B88429" w14:textId="5C287F11" w:rsidR="00A416B8" w:rsidRDefault="00A416B8" w:rsidP="007D65FE">
      <w:pPr>
        <w:pStyle w:val="BoxHeading"/>
        <w:keepLines/>
      </w:pPr>
      <w:r>
        <w:t>Chart</w:t>
      </w:r>
      <w:r>
        <w:rPr>
          <w:spacing w:val="-3"/>
        </w:rPr>
        <w:t xml:space="preserve"> </w:t>
      </w:r>
      <w:r>
        <w:t>4.11:</w:t>
      </w:r>
      <w:r>
        <w:rPr>
          <w:spacing w:val="-2"/>
        </w:rPr>
        <w:t xml:space="preserve"> </w:t>
      </w:r>
      <w:r>
        <w:t>Staff</w:t>
      </w:r>
      <w:r>
        <w:rPr>
          <w:spacing w:val="-3"/>
        </w:rPr>
        <w:t xml:space="preserve"> </w:t>
      </w:r>
      <w:r>
        <w:t>perceptions</w:t>
      </w:r>
      <w:r>
        <w:rPr>
          <w:spacing w:val="-2"/>
        </w:rPr>
        <w:t xml:space="preserve"> </w:t>
      </w:r>
      <w:r>
        <w:t>of</w:t>
      </w:r>
      <w:r>
        <w:rPr>
          <w:spacing w:val="-3"/>
        </w:rPr>
        <w:t xml:space="preserve"> </w:t>
      </w:r>
      <w:r>
        <w:t>the</w:t>
      </w:r>
      <w:r>
        <w:rPr>
          <w:spacing w:val="-2"/>
        </w:rPr>
        <w:t xml:space="preserve"> </w:t>
      </w:r>
      <w:r>
        <w:t>merit</w:t>
      </w:r>
      <w:r>
        <w:rPr>
          <w:spacing w:val="-3"/>
        </w:rPr>
        <w:t xml:space="preserve"> </w:t>
      </w:r>
      <w:r>
        <w:t>of</w:t>
      </w:r>
      <w:r>
        <w:rPr>
          <w:spacing w:val="-2"/>
        </w:rPr>
        <w:t xml:space="preserve"> </w:t>
      </w:r>
      <w:r>
        <w:t>promotion</w:t>
      </w:r>
      <w:r>
        <w:rPr>
          <w:spacing w:val="-3"/>
        </w:rPr>
        <w:t xml:space="preserve"> </w:t>
      </w:r>
      <w:r>
        <w:rPr>
          <w:spacing w:val="-2"/>
        </w:rPr>
        <w:t>decisions</w:t>
      </w:r>
    </w:p>
    <w:p w14:paraId="7D2251C2" w14:textId="3967BA03" w:rsidR="00F913A5" w:rsidRDefault="007D65FE" w:rsidP="007D65FE">
      <w:pPr>
        <w:keepNext/>
        <w:keepLines/>
      </w:pPr>
      <w:r>
        <w:rPr>
          <w:noProof/>
        </w:rPr>
        <w:drawing>
          <wp:inline distT="0" distB="0" distL="0" distR="0" wp14:anchorId="5B57E79F" wp14:editId="11B37CCE">
            <wp:extent cx="4892926" cy="2133710"/>
            <wp:effectExtent l="0" t="0" r="3175" b="0"/>
            <wp:docPr id="40" name="Picture 40" descr="Bar chart showing the proportion of RBA staff members who agreed, disagreed or were neutral about a statement.&#10;I feel I have an equal chance at promotion at the RBA. Agree 40 per cent. Neutral 34 per cent. Disagree 26 per cent. &#10;Opportunities at the RBA are awarded on merit. Agree 45 per cent. Neutral 34 per cent. Disagree 21 per c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ar chart showing the proportion of RBA staff members who agreed, disagreed or were neutral about a statement.&#10;I feel I have an equal chance at promotion at the RBA. Agree 40 per cent. Neutral 34 per cent. Disagree 26 per cent. &#10;Opportunities at the RBA are awarded on merit. Agree 45 per cent. Neutral 34 per cent. Disagree 21 per cent. &#1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92926" cy="2133710"/>
                    </a:xfrm>
                    <a:prstGeom prst="rect">
                      <a:avLst/>
                    </a:prstGeom>
                  </pic:spPr>
                </pic:pic>
              </a:graphicData>
            </a:graphic>
          </wp:inline>
        </w:drawing>
      </w:r>
    </w:p>
    <w:p w14:paraId="01647F7C" w14:textId="3A457083" w:rsidR="006E19D5" w:rsidRDefault="006E19D5" w:rsidP="007D65FE">
      <w:pPr>
        <w:pStyle w:val="Note"/>
        <w:keepNext/>
        <w:keepLines/>
      </w:pPr>
      <w:r>
        <w:t>Source:</w:t>
      </w:r>
      <w:r>
        <w:rPr>
          <w:spacing w:val="5"/>
        </w:rPr>
        <w:t xml:space="preserve"> </w:t>
      </w:r>
      <w:r>
        <w:t>RBA</w:t>
      </w:r>
      <w:r>
        <w:rPr>
          <w:spacing w:val="6"/>
        </w:rPr>
        <w:t xml:space="preserve"> </w:t>
      </w:r>
      <w:r>
        <w:t>Review</w:t>
      </w:r>
      <w:r>
        <w:rPr>
          <w:spacing w:val="6"/>
        </w:rPr>
        <w:t xml:space="preserve"> </w:t>
      </w:r>
      <w:r>
        <w:t>Staff</w:t>
      </w:r>
      <w:r>
        <w:rPr>
          <w:spacing w:val="6"/>
        </w:rPr>
        <w:t xml:space="preserve"> </w:t>
      </w:r>
      <w:r>
        <w:t>Survey</w:t>
      </w:r>
      <w:r>
        <w:rPr>
          <w:spacing w:val="6"/>
        </w:rPr>
        <w:t xml:space="preserve"> </w:t>
      </w:r>
      <w:r>
        <w:t>(2022)</w:t>
      </w:r>
      <w:r w:rsidR="0068598E">
        <w:rPr>
          <w:spacing w:val="-19"/>
        </w:rPr>
        <w:t>.</w:t>
      </w:r>
    </w:p>
    <w:p w14:paraId="077B5D11" w14:textId="7E33A716" w:rsidR="006E19D5" w:rsidRDefault="006E19D5" w:rsidP="007D65FE">
      <w:pPr>
        <w:pStyle w:val="Note"/>
        <w:keepNext/>
        <w:keepLines/>
      </w:pPr>
      <w:r>
        <w:t>Note: Response scale was ‘strongly agree’, ‘agree’, ‘neither agree nor disagree’, ‘disagree’, ‘strongly disagree’</w:t>
      </w:r>
      <w:r w:rsidR="0068598E">
        <w:rPr>
          <w:spacing w:val="-19"/>
        </w:rPr>
        <w:t>.</w:t>
      </w:r>
      <w:r>
        <w:rPr>
          <w:w w:val="85"/>
        </w:rPr>
        <w:t xml:space="preserve"> </w:t>
      </w:r>
      <w:r>
        <w:t>Agree includes ‘strongly agree’ and ‘agree’</w:t>
      </w:r>
      <w:r w:rsidR="0068598E">
        <w:rPr>
          <w:spacing w:val="-19"/>
        </w:rPr>
        <w:t>.</w:t>
      </w:r>
      <w:r>
        <w:rPr>
          <w:w w:val="85"/>
        </w:rPr>
        <w:t xml:space="preserve"> </w:t>
      </w:r>
      <w:r>
        <w:t>Disagree includes ‘disagree’ and ‘strongly disagree’</w:t>
      </w:r>
      <w:r w:rsidR="0068598E">
        <w:rPr>
          <w:spacing w:val="-19"/>
        </w:rPr>
        <w:t>.</w:t>
      </w:r>
    </w:p>
    <w:p w14:paraId="22CEAF51" w14:textId="09CA7C7E" w:rsidR="00CF7315" w:rsidRDefault="00CF7315" w:rsidP="00CF7315">
      <w:r>
        <w:t>The reasons staff members gave in the RBA Review Staff Survey for not feeling they have an equal chance at promotion were varied</w:t>
      </w:r>
      <w:r w:rsidR="0068598E">
        <w:rPr>
          <w:spacing w:val="-20"/>
        </w:rPr>
        <w:t>.</w:t>
      </w:r>
      <w:r>
        <w:rPr>
          <w:w w:val="85"/>
        </w:rPr>
        <w:t xml:space="preserve"> </w:t>
      </w:r>
      <w:r>
        <w:t>But the most common reason that stood out was a feeling among some staff members in non-policy roles that policy graduates and those with economic expertise were regarded more highly within the RBA and were more likely to progress than they were. More broadly, staff members spoke about favouritism, and needing to have personal relationships and/or a long tenure to progress</w:t>
      </w:r>
      <w:r w:rsidR="0068598E">
        <w:rPr>
          <w:spacing w:val="-14"/>
        </w:rPr>
        <w:t>.</w:t>
      </w:r>
    </w:p>
    <w:p w14:paraId="218BB74E" w14:textId="3F4E6F95" w:rsidR="00CF7315" w:rsidRDefault="00CF7315">
      <w:pPr>
        <w:spacing w:before="0" w:after="160" w:line="259" w:lineRule="auto"/>
      </w:pPr>
      <w:r>
        <w:br w:type="page"/>
      </w:r>
    </w:p>
    <w:p w14:paraId="07B09DF3" w14:textId="7FD987CF" w:rsidR="006F5896" w:rsidRPr="006F5896" w:rsidRDefault="006F5896" w:rsidP="006F5896">
      <w:pPr>
        <w:pStyle w:val="Heading2"/>
      </w:pPr>
      <w:bookmarkStart w:id="55" w:name="_Toc134221025"/>
      <w:r w:rsidRPr="006F5896">
        <w:lastRenderedPageBreak/>
        <w:t>Recommendation 11.3: Constructive challenge and openness to diverse viewpoints</w:t>
      </w:r>
      <w:bookmarkEnd w:id="55"/>
    </w:p>
    <w:tbl>
      <w:tblPr>
        <w:tblW w:w="5000" w:type="pct"/>
        <w:tblCellMar>
          <w:left w:w="0" w:type="dxa"/>
          <w:right w:w="0" w:type="dxa"/>
        </w:tblCellMar>
        <w:tblLook w:val="01E0" w:firstRow="1" w:lastRow="1" w:firstColumn="1" w:lastColumn="1" w:noHBand="0" w:noVBand="0"/>
      </w:tblPr>
      <w:tblGrid>
        <w:gridCol w:w="842"/>
        <w:gridCol w:w="8228"/>
      </w:tblGrid>
      <w:tr w:rsidR="008A3A3F" w14:paraId="32B30F0A" w14:textId="77777777" w:rsidTr="008A3A3F">
        <w:trPr>
          <w:trHeight w:val="207"/>
        </w:trPr>
        <w:tc>
          <w:tcPr>
            <w:tcW w:w="5000" w:type="pct"/>
            <w:gridSpan w:val="2"/>
            <w:tcBorders>
              <w:bottom w:val="single" w:sz="8" w:space="0" w:color="ECEDE9"/>
            </w:tcBorders>
          </w:tcPr>
          <w:p w14:paraId="4FC77A7E" w14:textId="3EB8A92A" w:rsidR="008A3A3F" w:rsidRDefault="008A3A3F" w:rsidP="008A3A3F">
            <w:pPr>
              <w:pStyle w:val="Heading4"/>
            </w:pPr>
            <w:r>
              <w:t>Recommendation</w:t>
            </w:r>
            <w:r>
              <w:rPr>
                <w:spacing w:val="-1"/>
              </w:rPr>
              <w:t xml:space="preserve"> </w:t>
            </w:r>
            <w:r>
              <w:t>11.3:</w:t>
            </w:r>
            <w:r>
              <w:rPr>
                <w:spacing w:val="2"/>
              </w:rPr>
              <w:t xml:space="preserve"> </w:t>
            </w:r>
            <w:r>
              <w:t>Constructive</w:t>
            </w:r>
            <w:r>
              <w:rPr>
                <w:spacing w:val="1"/>
              </w:rPr>
              <w:t xml:space="preserve"> </w:t>
            </w:r>
            <w:r>
              <w:t>challenge</w:t>
            </w:r>
            <w:r>
              <w:rPr>
                <w:spacing w:val="2"/>
              </w:rPr>
              <w:t xml:space="preserve"> </w:t>
            </w:r>
            <w:r>
              <w:t>and</w:t>
            </w:r>
            <w:r>
              <w:rPr>
                <w:spacing w:val="1"/>
              </w:rPr>
              <w:t xml:space="preserve"> </w:t>
            </w:r>
            <w:r>
              <w:t>openness</w:t>
            </w:r>
            <w:r>
              <w:rPr>
                <w:spacing w:val="2"/>
              </w:rPr>
              <w:t xml:space="preserve"> </w:t>
            </w:r>
            <w:r>
              <w:t>to</w:t>
            </w:r>
            <w:r>
              <w:rPr>
                <w:spacing w:val="1"/>
              </w:rPr>
              <w:t xml:space="preserve"> </w:t>
            </w:r>
            <w:r>
              <w:t>diverse</w:t>
            </w:r>
            <w:r>
              <w:rPr>
                <w:spacing w:val="2"/>
              </w:rPr>
              <w:t xml:space="preserve"> </w:t>
            </w:r>
            <w:r>
              <w:rPr>
                <w:spacing w:val="-2"/>
              </w:rPr>
              <w:t>viewpoints</w:t>
            </w:r>
          </w:p>
        </w:tc>
      </w:tr>
      <w:tr w:rsidR="008A3A3F" w14:paraId="3F9D40FA" w14:textId="77777777" w:rsidTr="00F22AE5">
        <w:trPr>
          <w:trHeight w:val="2521"/>
        </w:trPr>
        <w:tc>
          <w:tcPr>
            <w:tcW w:w="464" w:type="pct"/>
            <w:tcBorders>
              <w:top w:val="single" w:sz="8" w:space="0" w:color="ECEDE9"/>
              <w:bottom w:val="single" w:sz="8" w:space="0" w:color="ECEDE9"/>
            </w:tcBorders>
          </w:tcPr>
          <w:p w14:paraId="2BFDEDD3" w14:textId="77777777" w:rsidR="008A3A3F" w:rsidRDefault="008A3A3F" w:rsidP="008A3A3F">
            <w:r>
              <w:t>11.3</w:t>
            </w:r>
          </w:p>
        </w:tc>
        <w:tc>
          <w:tcPr>
            <w:tcW w:w="4536" w:type="pct"/>
            <w:tcBorders>
              <w:top w:val="single" w:sz="8" w:space="0" w:color="ECEDE9"/>
              <w:bottom w:val="single" w:sz="8" w:space="0" w:color="ECEDE9"/>
            </w:tcBorders>
          </w:tcPr>
          <w:p w14:paraId="479974F2" w14:textId="77777777" w:rsidR="008A3A3F" w:rsidRDefault="008A3A3F" w:rsidP="008A3A3F">
            <w:r>
              <w:t>The RBA should further encourage diverse viewpoints and constructive challenge, including by:</w:t>
            </w:r>
          </w:p>
          <w:p w14:paraId="652831B7" w14:textId="77777777" w:rsidR="008A3A3F" w:rsidRPr="00EB5EBA" w:rsidRDefault="008A3A3F" w:rsidP="0000278A">
            <w:pPr>
              <w:pStyle w:val="Bullet"/>
            </w:pPr>
            <w:r w:rsidRPr="00EB5EBA">
              <w:t>ensuring</w:t>
            </w:r>
            <w:r w:rsidRPr="00EB5EBA">
              <w:rPr>
                <w:spacing w:val="-2"/>
              </w:rPr>
              <w:t xml:space="preserve"> </w:t>
            </w:r>
            <w:r w:rsidRPr="00EB5EBA">
              <w:t>its</w:t>
            </w:r>
            <w:r w:rsidRPr="00EB5EBA">
              <w:rPr>
                <w:spacing w:val="1"/>
              </w:rPr>
              <w:t xml:space="preserve"> </w:t>
            </w:r>
            <w:r w:rsidRPr="00EB5EBA">
              <w:t>leaders</w:t>
            </w:r>
            <w:r w:rsidRPr="00EB5EBA">
              <w:rPr>
                <w:spacing w:val="1"/>
              </w:rPr>
              <w:t xml:space="preserve"> </w:t>
            </w:r>
            <w:r w:rsidRPr="00EB5EBA">
              <w:t>are assessed</w:t>
            </w:r>
            <w:r w:rsidRPr="00EB5EBA">
              <w:rPr>
                <w:spacing w:val="1"/>
              </w:rPr>
              <w:t xml:space="preserve"> </w:t>
            </w:r>
            <w:r w:rsidRPr="00EB5EBA">
              <w:t>for</w:t>
            </w:r>
            <w:r w:rsidRPr="00EB5EBA">
              <w:rPr>
                <w:spacing w:val="1"/>
              </w:rPr>
              <w:t xml:space="preserve"> </w:t>
            </w:r>
            <w:r w:rsidRPr="00EB5EBA">
              <w:t>how</w:t>
            </w:r>
            <w:r w:rsidRPr="00EB5EBA">
              <w:rPr>
                <w:spacing w:val="1"/>
              </w:rPr>
              <w:t xml:space="preserve"> </w:t>
            </w:r>
            <w:r w:rsidRPr="00EB5EBA">
              <w:t>well they</w:t>
            </w:r>
            <w:r w:rsidRPr="00EB5EBA">
              <w:rPr>
                <w:spacing w:val="1"/>
              </w:rPr>
              <w:t xml:space="preserve"> </w:t>
            </w:r>
            <w:r w:rsidRPr="00EB5EBA">
              <w:t>listen</w:t>
            </w:r>
            <w:r w:rsidRPr="00EB5EBA">
              <w:rPr>
                <w:spacing w:val="1"/>
              </w:rPr>
              <w:t xml:space="preserve"> </w:t>
            </w:r>
            <w:r w:rsidRPr="00EB5EBA">
              <w:t>to and</w:t>
            </w:r>
            <w:r w:rsidRPr="00EB5EBA">
              <w:rPr>
                <w:spacing w:val="1"/>
              </w:rPr>
              <w:t xml:space="preserve"> </w:t>
            </w:r>
            <w:r w:rsidRPr="00EB5EBA">
              <w:t>engage</w:t>
            </w:r>
            <w:r w:rsidRPr="00EB5EBA">
              <w:rPr>
                <w:spacing w:val="1"/>
              </w:rPr>
              <w:t xml:space="preserve"> </w:t>
            </w:r>
            <w:r w:rsidRPr="00EB5EBA">
              <w:t>with</w:t>
            </w:r>
            <w:r w:rsidRPr="00EB5EBA">
              <w:rPr>
                <w:spacing w:val="1"/>
              </w:rPr>
              <w:t xml:space="preserve"> </w:t>
            </w:r>
            <w:r w:rsidRPr="00EB5EBA">
              <w:rPr>
                <w:spacing w:val="-2"/>
              </w:rPr>
              <w:t xml:space="preserve">staff </w:t>
            </w:r>
            <w:r w:rsidRPr="00EB5EBA">
              <w:t>members,</w:t>
            </w:r>
            <w:r w:rsidRPr="00EB5EBA">
              <w:rPr>
                <w:spacing w:val="3"/>
              </w:rPr>
              <w:t xml:space="preserve"> </w:t>
            </w:r>
            <w:r w:rsidRPr="00EB5EBA">
              <w:t>and</w:t>
            </w:r>
            <w:r w:rsidRPr="00EB5EBA">
              <w:rPr>
                <w:spacing w:val="3"/>
              </w:rPr>
              <w:t xml:space="preserve"> </w:t>
            </w:r>
            <w:r w:rsidRPr="00EB5EBA">
              <w:t>welcome</w:t>
            </w:r>
            <w:r w:rsidRPr="00EB5EBA">
              <w:rPr>
                <w:spacing w:val="3"/>
              </w:rPr>
              <w:t xml:space="preserve"> </w:t>
            </w:r>
            <w:r w:rsidRPr="00EB5EBA">
              <w:t>alternative</w:t>
            </w:r>
            <w:r w:rsidRPr="00EB5EBA">
              <w:rPr>
                <w:spacing w:val="3"/>
              </w:rPr>
              <w:t xml:space="preserve"> </w:t>
            </w:r>
            <w:r w:rsidRPr="00EB5EBA">
              <w:rPr>
                <w:spacing w:val="-4"/>
              </w:rPr>
              <w:t>views</w:t>
            </w:r>
          </w:p>
          <w:p w14:paraId="52083676" w14:textId="77777777" w:rsidR="008A3A3F" w:rsidRDefault="008A3A3F" w:rsidP="0000278A">
            <w:pPr>
              <w:pStyle w:val="Bullet"/>
            </w:pPr>
            <w:r>
              <w:t>advertising management role vacancies externally as a default and better enabling</w:t>
            </w:r>
            <w:r>
              <w:rPr>
                <w:spacing w:val="-2"/>
              </w:rPr>
              <w:t xml:space="preserve"> </w:t>
            </w:r>
            <w:r>
              <w:t>external</w:t>
            </w:r>
            <w:r>
              <w:rPr>
                <w:spacing w:val="-2"/>
              </w:rPr>
              <w:t xml:space="preserve"> </w:t>
            </w:r>
            <w:r>
              <w:t>hires</w:t>
            </w:r>
            <w:r>
              <w:rPr>
                <w:spacing w:val="-2"/>
              </w:rPr>
              <w:t xml:space="preserve"> </w:t>
            </w:r>
            <w:r>
              <w:t>to</w:t>
            </w:r>
            <w:r>
              <w:rPr>
                <w:spacing w:val="-2"/>
              </w:rPr>
              <w:t xml:space="preserve"> </w:t>
            </w:r>
            <w:r>
              <w:t>succeed</w:t>
            </w:r>
            <w:r>
              <w:rPr>
                <w:spacing w:val="-2"/>
              </w:rPr>
              <w:t xml:space="preserve"> </w:t>
            </w:r>
            <w:r>
              <w:t>in</w:t>
            </w:r>
            <w:r>
              <w:rPr>
                <w:spacing w:val="-2"/>
              </w:rPr>
              <w:t xml:space="preserve"> </w:t>
            </w:r>
            <w:r>
              <w:t>the</w:t>
            </w:r>
            <w:r>
              <w:rPr>
                <w:spacing w:val="-2"/>
              </w:rPr>
              <w:t xml:space="preserve"> </w:t>
            </w:r>
            <w:r>
              <w:t>RBA</w:t>
            </w:r>
            <w:r>
              <w:rPr>
                <w:spacing w:val="-2"/>
              </w:rPr>
              <w:t xml:space="preserve"> </w:t>
            </w:r>
            <w:r>
              <w:t>through</w:t>
            </w:r>
            <w:r>
              <w:rPr>
                <w:spacing w:val="-2"/>
              </w:rPr>
              <w:t xml:space="preserve"> </w:t>
            </w:r>
            <w:r>
              <w:t>improved</w:t>
            </w:r>
            <w:r>
              <w:rPr>
                <w:spacing w:val="-2"/>
              </w:rPr>
              <w:t xml:space="preserve"> </w:t>
            </w:r>
            <w:r>
              <w:t>onboarding and support</w:t>
            </w:r>
          </w:p>
          <w:p w14:paraId="201E25CF" w14:textId="77777777" w:rsidR="008A3A3F" w:rsidRDefault="008A3A3F" w:rsidP="0000278A">
            <w:pPr>
              <w:pStyle w:val="Bullet"/>
            </w:pPr>
            <w:r>
              <w:t>setting</w:t>
            </w:r>
            <w:r>
              <w:rPr>
                <w:spacing w:val="6"/>
              </w:rPr>
              <w:t xml:space="preserve"> </w:t>
            </w:r>
            <w:r>
              <w:t>diversity</w:t>
            </w:r>
            <w:r>
              <w:rPr>
                <w:spacing w:val="6"/>
              </w:rPr>
              <w:t xml:space="preserve"> </w:t>
            </w:r>
            <w:r>
              <w:t>targets</w:t>
            </w:r>
            <w:r>
              <w:rPr>
                <w:spacing w:val="6"/>
              </w:rPr>
              <w:t xml:space="preserve"> </w:t>
            </w:r>
            <w:r>
              <w:t>and</w:t>
            </w:r>
            <w:r>
              <w:rPr>
                <w:spacing w:val="6"/>
              </w:rPr>
              <w:t xml:space="preserve"> </w:t>
            </w:r>
            <w:r>
              <w:t>tracking</w:t>
            </w:r>
            <w:r>
              <w:rPr>
                <w:spacing w:val="6"/>
              </w:rPr>
              <w:t xml:space="preserve"> </w:t>
            </w:r>
            <w:r>
              <w:t>progress</w:t>
            </w:r>
            <w:r>
              <w:rPr>
                <w:spacing w:val="6"/>
              </w:rPr>
              <w:t xml:space="preserve"> </w:t>
            </w:r>
            <w:r>
              <w:t>against</w:t>
            </w:r>
            <w:r>
              <w:rPr>
                <w:spacing w:val="6"/>
              </w:rPr>
              <w:t xml:space="preserve"> </w:t>
            </w:r>
            <w:r>
              <w:rPr>
                <w:spacing w:val="-4"/>
              </w:rPr>
              <w:t>them.</w:t>
            </w:r>
          </w:p>
        </w:tc>
      </w:tr>
    </w:tbl>
    <w:p w14:paraId="3F1B6A7D" w14:textId="77777777" w:rsidR="00A416B8" w:rsidRDefault="00A416B8" w:rsidP="006F5896"/>
    <w:p w14:paraId="710A381A" w14:textId="77777777" w:rsidR="00345EF6" w:rsidRDefault="00345EF6" w:rsidP="00345EF6">
      <w:r>
        <w:t>The RBA has undertaken a range of actions to encourage staff members to speak up and share</w:t>
      </w:r>
      <w:r>
        <w:rPr>
          <w:spacing w:val="40"/>
        </w:rPr>
        <w:t xml:space="preserve"> </w:t>
      </w:r>
      <w:r>
        <w:t>their views. The Review has identified the following areas in which the RBA could take further action to encourage constructive challenge and openness to diverse viewpoints:</w:t>
      </w:r>
    </w:p>
    <w:p w14:paraId="30173807" w14:textId="77777777" w:rsidR="00345EF6" w:rsidRDefault="00345EF6" w:rsidP="0000278A">
      <w:pPr>
        <w:pStyle w:val="Bullet"/>
      </w:pPr>
      <w:r>
        <w:t>Some staff members felt the RBA could do more to foster an environment that encourages contrary or dissenting views to be expressed.</w:t>
      </w:r>
    </w:p>
    <w:p w14:paraId="2ED07C69" w14:textId="5A2EA3A6" w:rsidR="00345EF6" w:rsidRDefault="00345EF6" w:rsidP="0000278A">
      <w:pPr>
        <w:pStyle w:val="Bullet"/>
        <w:spacing w:line="238" w:lineRule="exact"/>
        <w:ind w:left="386"/>
      </w:pPr>
      <w:r>
        <w:t>Leaders</w:t>
      </w:r>
      <w:r w:rsidRPr="00345EF6">
        <w:rPr>
          <w:spacing w:val="-1"/>
        </w:rPr>
        <w:t xml:space="preserve"> </w:t>
      </w:r>
      <w:r>
        <w:t>could</w:t>
      </w:r>
      <w:r w:rsidRPr="00345EF6">
        <w:rPr>
          <w:spacing w:val="1"/>
        </w:rPr>
        <w:t xml:space="preserve"> </w:t>
      </w:r>
      <w:r>
        <w:t>more</w:t>
      </w:r>
      <w:r w:rsidRPr="00345EF6">
        <w:rPr>
          <w:spacing w:val="1"/>
        </w:rPr>
        <w:t xml:space="preserve"> </w:t>
      </w:r>
      <w:r>
        <w:t>actively</w:t>
      </w:r>
      <w:r w:rsidRPr="00345EF6">
        <w:rPr>
          <w:spacing w:val="2"/>
        </w:rPr>
        <w:t xml:space="preserve"> </w:t>
      </w:r>
      <w:r>
        <w:t>share</w:t>
      </w:r>
      <w:r w:rsidRPr="00345EF6">
        <w:rPr>
          <w:spacing w:val="1"/>
        </w:rPr>
        <w:t xml:space="preserve"> </w:t>
      </w:r>
      <w:r>
        <w:t>reasoning</w:t>
      </w:r>
      <w:r w:rsidRPr="00345EF6">
        <w:rPr>
          <w:spacing w:val="1"/>
        </w:rPr>
        <w:t xml:space="preserve"> </w:t>
      </w:r>
      <w:r>
        <w:t>and</w:t>
      </w:r>
      <w:r w:rsidRPr="00345EF6">
        <w:rPr>
          <w:spacing w:val="1"/>
        </w:rPr>
        <w:t xml:space="preserve"> </w:t>
      </w:r>
      <w:r>
        <w:t>engage</w:t>
      </w:r>
      <w:r w:rsidRPr="00345EF6">
        <w:rPr>
          <w:spacing w:val="2"/>
        </w:rPr>
        <w:t xml:space="preserve"> </w:t>
      </w:r>
      <w:r>
        <w:t>in</w:t>
      </w:r>
      <w:r w:rsidRPr="00345EF6">
        <w:rPr>
          <w:spacing w:val="1"/>
        </w:rPr>
        <w:t xml:space="preserve"> </w:t>
      </w:r>
      <w:r>
        <w:t>discussion</w:t>
      </w:r>
      <w:r w:rsidRPr="00345EF6">
        <w:rPr>
          <w:spacing w:val="1"/>
        </w:rPr>
        <w:t xml:space="preserve"> </w:t>
      </w:r>
      <w:r>
        <w:t>with</w:t>
      </w:r>
      <w:r w:rsidRPr="00345EF6">
        <w:rPr>
          <w:spacing w:val="1"/>
        </w:rPr>
        <w:t xml:space="preserve"> </w:t>
      </w:r>
      <w:r>
        <w:t>staff</w:t>
      </w:r>
      <w:r w:rsidRPr="00345EF6">
        <w:rPr>
          <w:spacing w:val="2"/>
        </w:rPr>
        <w:t xml:space="preserve"> </w:t>
      </w:r>
      <w:r w:rsidRPr="00345EF6">
        <w:rPr>
          <w:spacing w:val="-2"/>
        </w:rPr>
        <w:t>members</w:t>
      </w:r>
      <w:r>
        <w:rPr>
          <w:spacing w:val="-2"/>
        </w:rPr>
        <w:t xml:space="preserve"> </w:t>
      </w:r>
      <w:r w:rsidRPr="00345EF6">
        <w:rPr>
          <w:color w:val="231F20"/>
        </w:rPr>
        <w:t>about</w:t>
      </w:r>
      <w:r w:rsidRPr="00345EF6">
        <w:rPr>
          <w:color w:val="231F20"/>
          <w:spacing w:val="-1"/>
        </w:rPr>
        <w:t xml:space="preserve"> </w:t>
      </w:r>
      <w:r w:rsidRPr="00345EF6">
        <w:rPr>
          <w:color w:val="231F20"/>
        </w:rPr>
        <w:t>why decisions</w:t>
      </w:r>
      <w:r w:rsidRPr="00345EF6">
        <w:rPr>
          <w:color w:val="231F20"/>
          <w:spacing w:val="-1"/>
        </w:rPr>
        <w:t xml:space="preserve"> </w:t>
      </w:r>
      <w:r w:rsidRPr="00345EF6">
        <w:rPr>
          <w:color w:val="231F20"/>
        </w:rPr>
        <w:t>are made</w:t>
      </w:r>
      <w:r w:rsidR="0068598E">
        <w:rPr>
          <w:color w:val="231F20"/>
          <w:spacing w:val="-24"/>
        </w:rPr>
        <w:t>.</w:t>
      </w:r>
    </w:p>
    <w:p w14:paraId="0F41A0A3" w14:textId="77777777" w:rsidR="00345EF6" w:rsidRDefault="00345EF6" w:rsidP="0000278A">
      <w:pPr>
        <w:pStyle w:val="Bullet"/>
      </w:pPr>
      <w:r>
        <w:t>The</w:t>
      </w:r>
      <w:r>
        <w:rPr>
          <w:spacing w:val="-2"/>
        </w:rPr>
        <w:t xml:space="preserve"> </w:t>
      </w:r>
      <w:r>
        <w:t>RBA could be</w:t>
      </w:r>
      <w:r>
        <w:rPr>
          <w:spacing w:val="1"/>
        </w:rPr>
        <w:t xml:space="preserve"> </w:t>
      </w:r>
      <w:r>
        <w:t>more open to engaging</w:t>
      </w:r>
      <w:r>
        <w:rPr>
          <w:spacing w:val="1"/>
        </w:rPr>
        <w:t xml:space="preserve"> </w:t>
      </w:r>
      <w:r>
        <w:t>with external ideas and</w:t>
      </w:r>
      <w:r>
        <w:rPr>
          <w:spacing w:val="1"/>
        </w:rPr>
        <w:t xml:space="preserve"> </w:t>
      </w:r>
      <w:r>
        <w:rPr>
          <w:spacing w:val="-2"/>
        </w:rPr>
        <w:t>voices.</w:t>
      </w:r>
    </w:p>
    <w:p w14:paraId="574E79DA" w14:textId="77777777" w:rsidR="00C0319C" w:rsidRDefault="00345EF6" w:rsidP="0000278A">
      <w:pPr>
        <w:pStyle w:val="Bullet"/>
      </w:pPr>
      <w:r>
        <w:t xml:space="preserve">Greater effort is needed to boost gender and cultural diversity in the RBA’s management roles. </w:t>
      </w:r>
    </w:p>
    <w:p w14:paraId="4B0455B3" w14:textId="02C82848" w:rsidR="00345EF6" w:rsidRDefault="00345EF6" w:rsidP="00C0319C">
      <w:r>
        <w:t xml:space="preserve">In part, this list reflects underlying issues such as how supported and safe staff members feel to </w:t>
      </w:r>
      <w:r w:rsidRPr="00345EF6">
        <w:t>speak</w:t>
      </w:r>
      <w:r w:rsidRPr="00345EF6">
        <w:rPr>
          <w:spacing w:val="-12"/>
        </w:rPr>
        <w:t xml:space="preserve"> </w:t>
      </w:r>
      <w:r w:rsidRPr="00345EF6">
        <w:t>up and challenge the status quo, and how they perceive promotion incentives</w:t>
      </w:r>
      <w:r w:rsidR="0068598E">
        <w:rPr>
          <w:spacing w:val="-12"/>
        </w:rPr>
        <w:t>.</w:t>
      </w:r>
      <w:r w:rsidRPr="00345EF6">
        <w:rPr>
          <w:w w:val="85"/>
        </w:rPr>
        <w:t xml:space="preserve"> </w:t>
      </w:r>
      <w:r w:rsidRPr="00345EF6">
        <w:t>The actions of leaders</w:t>
      </w:r>
      <w:r w:rsidRPr="00345EF6">
        <w:rPr>
          <w:spacing w:val="-11"/>
        </w:rPr>
        <w:t xml:space="preserve"> </w:t>
      </w:r>
      <w:r w:rsidRPr="00345EF6">
        <w:t>are critical to much of this (discussed further in Chapter 6)</w:t>
      </w:r>
      <w:r w:rsidR="0068598E">
        <w:rPr>
          <w:spacing w:val="-12"/>
        </w:rPr>
        <w:t>.</w:t>
      </w:r>
      <w:r w:rsidRPr="00345EF6">
        <w:rPr>
          <w:w w:val="85"/>
        </w:rPr>
        <w:t xml:space="preserve"> </w:t>
      </w:r>
      <w:r w:rsidRPr="00345EF6">
        <w:t>Other factors, such as selection, induction and incentives can also drive meaningful and enduring change</w:t>
      </w:r>
      <w:r w:rsidR="0068598E">
        <w:rPr>
          <w:spacing w:val="-16"/>
        </w:rPr>
        <w:t>.</w:t>
      </w:r>
    </w:p>
    <w:p w14:paraId="6346CCCA" w14:textId="21F1C6FA" w:rsidR="00345EF6" w:rsidRDefault="00345EF6" w:rsidP="00345EF6">
      <w:r>
        <w:t>The aim of this recommendation is to ensure that policy and operational decisions made by the RBA are subject to rigorous debate and testing from a diverse range of perspectives</w:t>
      </w:r>
      <w:r w:rsidR="0068598E">
        <w:rPr>
          <w:spacing w:val="-24"/>
        </w:rPr>
        <w:t>.</w:t>
      </w:r>
      <w:r>
        <w:rPr>
          <w:w w:val="85"/>
        </w:rPr>
        <w:t xml:space="preserve"> </w:t>
      </w:r>
      <w:r>
        <w:t xml:space="preserve">This </w:t>
      </w:r>
      <w:r>
        <w:rPr>
          <w:color w:val="231F20"/>
        </w:rPr>
        <w:t>recommendation is complemented by recommendations in the Review to strengthen monetary policy decision making processes (see Recommendation 9) and for leaders to drive and model change (see Recommendation 13)</w:t>
      </w:r>
      <w:r w:rsidR="0068598E">
        <w:rPr>
          <w:color w:val="231F20"/>
          <w:spacing w:val="-9"/>
        </w:rPr>
        <w:t>.</w:t>
      </w:r>
    </w:p>
    <w:p w14:paraId="2E2B46FD" w14:textId="13D13249" w:rsidR="00345EF6" w:rsidRDefault="00345EF6" w:rsidP="00345EF6">
      <w:r>
        <w:t>Leaders should be assessed for how well they listen to and engage with staff members, and welcome</w:t>
      </w:r>
      <w:r>
        <w:rPr>
          <w:spacing w:val="14"/>
        </w:rPr>
        <w:t xml:space="preserve"> </w:t>
      </w:r>
      <w:r>
        <w:t>alternative</w:t>
      </w:r>
      <w:r>
        <w:rPr>
          <w:spacing w:val="14"/>
        </w:rPr>
        <w:t xml:space="preserve"> </w:t>
      </w:r>
      <w:r>
        <w:t>views.</w:t>
      </w:r>
      <w:r>
        <w:rPr>
          <w:spacing w:val="14"/>
        </w:rPr>
        <w:t xml:space="preserve"> </w:t>
      </w:r>
      <w:r>
        <w:t>Junior</w:t>
      </w:r>
      <w:r>
        <w:rPr>
          <w:spacing w:val="14"/>
        </w:rPr>
        <w:t xml:space="preserve"> </w:t>
      </w:r>
      <w:r>
        <w:t>staff</w:t>
      </w:r>
      <w:r>
        <w:rPr>
          <w:spacing w:val="14"/>
        </w:rPr>
        <w:t xml:space="preserve"> </w:t>
      </w:r>
      <w:r>
        <w:t>members</w:t>
      </w:r>
      <w:r>
        <w:rPr>
          <w:spacing w:val="14"/>
        </w:rPr>
        <w:t xml:space="preserve"> </w:t>
      </w:r>
      <w:r>
        <w:t>should</w:t>
      </w:r>
      <w:r>
        <w:rPr>
          <w:spacing w:val="14"/>
        </w:rPr>
        <w:t xml:space="preserve"> </w:t>
      </w:r>
      <w:r>
        <w:t>feel</w:t>
      </w:r>
      <w:r>
        <w:rPr>
          <w:spacing w:val="14"/>
        </w:rPr>
        <w:t xml:space="preserve"> </w:t>
      </w:r>
      <w:r>
        <w:t>comfortable</w:t>
      </w:r>
      <w:r>
        <w:rPr>
          <w:spacing w:val="14"/>
        </w:rPr>
        <w:t xml:space="preserve"> </w:t>
      </w:r>
      <w:r>
        <w:t>to</w:t>
      </w:r>
      <w:r>
        <w:rPr>
          <w:spacing w:val="14"/>
        </w:rPr>
        <w:t xml:space="preserve"> </w:t>
      </w:r>
      <w:r>
        <w:t>share</w:t>
      </w:r>
      <w:r>
        <w:rPr>
          <w:spacing w:val="14"/>
        </w:rPr>
        <w:t xml:space="preserve"> </w:t>
      </w:r>
      <w:r>
        <w:t>ideas</w:t>
      </w:r>
      <w:r>
        <w:rPr>
          <w:spacing w:val="14"/>
        </w:rPr>
        <w:t xml:space="preserve"> </w:t>
      </w:r>
      <w:r>
        <w:t>and</w:t>
      </w:r>
      <w:r>
        <w:rPr>
          <w:spacing w:val="14"/>
        </w:rPr>
        <w:t xml:space="preserve"> </w:t>
      </w:r>
      <w:r>
        <w:t>be able to discuss these ideas in more depth with senior leaders, including understanding how leaders think through matters, the merits of the ideas, and the potential issues</w:t>
      </w:r>
      <w:r w:rsidR="0068598E">
        <w:rPr>
          <w:spacing w:val="-24"/>
        </w:rPr>
        <w:t>.</w:t>
      </w:r>
      <w:r>
        <w:rPr>
          <w:w w:val="85"/>
        </w:rPr>
        <w:t xml:space="preserve"> </w:t>
      </w:r>
      <w:r>
        <w:t>This will improve the quality of outcomes, by ensuring more contestability in developing and implementing decisions – both policy and operational. Staff members need space to express their views in different formats rather than needing to fit a particular profile or style of working to have their voice heard. They need to</w:t>
      </w:r>
      <w:r>
        <w:rPr>
          <w:spacing w:val="80"/>
        </w:rPr>
        <w:t xml:space="preserve"> </w:t>
      </w:r>
      <w:r>
        <w:t>feel safe and supported to raise ideas that may be contrary to the RBA’s public position</w:t>
      </w:r>
      <w:r w:rsidR="0068598E">
        <w:rPr>
          <w:spacing w:val="-20"/>
        </w:rPr>
        <w:t>.</w:t>
      </w:r>
    </w:p>
    <w:p w14:paraId="2CB70827" w14:textId="38B7F806" w:rsidR="00FE6F84" w:rsidRDefault="00FE6F84" w:rsidP="00FE6F84">
      <w:r>
        <w:t>Leaders taking action in these ways will assist junior staff members to better understand the rationale behind key decisions, enhancing their professional development</w:t>
      </w:r>
      <w:r w:rsidR="0068598E">
        <w:rPr>
          <w:spacing w:val="-24"/>
        </w:rPr>
        <w:t>.</w:t>
      </w:r>
      <w:r>
        <w:rPr>
          <w:w w:val="85"/>
        </w:rPr>
        <w:t xml:space="preserve"> </w:t>
      </w:r>
      <w:r>
        <w:t>When implementing this recommendation, senior leaders need to be mindful to strike an appropriate balance in how they engage. Leaders need to listen, discuss and ask questions but not crowd out views of junior staff members</w:t>
      </w:r>
      <w:r w:rsidR="0068598E">
        <w:rPr>
          <w:spacing w:val="-21"/>
        </w:rPr>
        <w:t>.</w:t>
      </w:r>
      <w:r>
        <w:rPr>
          <w:w w:val="85"/>
        </w:rPr>
        <w:t xml:space="preserve"> </w:t>
      </w:r>
      <w:r>
        <w:t>Debate needs to be respectful and not combative or overly aggressive</w:t>
      </w:r>
      <w:r w:rsidR="0068598E">
        <w:rPr>
          <w:spacing w:val="-21"/>
        </w:rPr>
        <w:t>.</w:t>
      </w:r>
      <w:r>
        <w:rPr>
          <w:w w:val="85"/>
        </w:rPr>
        <w:t xml:space="preserve"> </w:t>
      </w:r>
      <w:r>
        <w:t xml:space="preserve">Leaders’ skills in </w:t>
      </w:r>
      <w:r>
        <w:lastRenderedPageBreak/>
        <w:t>achieving this balance should be considered in regular performance assessments to hold leaders</w:t>
      </w:r>
      <w:r>
        <w:rPr>
          <w:spacing w:val="80"/>
        </w:rPr>
        <w:t xml:space="preserve"> </w:t>
      </w:r>
      <w:r>
        <w:t>to account and incentivise development of these skills</w:t>
      </w:r>
      <w:r w:rsidR="0068598E">
        <w:rPr>
          <w:spacing w:val="-14"/>
        </w:rPr>
        <w:t>.</w:t>
      </w:r>
    </w:p>
    <w:p w14:paraId="04C097EA" w14:textId="5986A6F9" w:rsidR="00FE6F84" w:rsidRDefault="00FE6F84" w:rsidP="00FE6F84">
      <w:r>
        <w:t>The RBA should advertise vacancies for management roles externally as a default and improve onboarding support for experienced hires. The RBA should foster an environment that is more open to engaging with external viewpoints and supportive of practices which enable a greater flow of ideas into the organisation. Staff members should be encouraged to engage with external ideas and organisations. Leaders should elevate and clearly articulate the benefits of genuine engagement with external voices and make concerted efforts to resist insular thinking. These actions should bring in new ideas, new ways of doing things, and different attitudes to risk and openness to change</w:t>
      </w:r>
      <w:r w:rsidR="0068598E">
        <w:rPr>
          <w:spacing w:val="-11"/>
        </w:rPr>
        <w:t>.</w:t>
      </w:r>
    </w:p>
    <w:p w14:paraId="6B909404" w14:textId="2CD6D24C" w:rsidR="00FE6F84" w:rsidRDefault="00FE6F84" w:rsidP="00FE6F84">
      <w:r>
        <w:t>To help achieve this, the RBA should increase openness to hiring experienced external candidates, including at senior levels and particularly within the RBA’s policy groups</w:t>
      </w:r>
      <w:r w:rsidR="0068598E">
        <w:rPr>
          <w:spacing w:val="-20"/>
        </w:rPr>
        <w:t>.</w:t>
      </w:r>
      <w:r>
        <w:rPr>
          <w:w w:val="85"/>
        </w:rPr>
        <w:t xml:space="preserve"> </w:t>
      </w:r>
      <w:r>
        <w:t>Currently, the RBA has policies to externally advertise senior positions (Head of Department and above, with a similar expectation</w:t>
      </w:r>
      <w:r>
        <w:rPr>
          <w:spacing w:val="-3"/>
        </w:rPr>
        <w:t xml:space="preserve"> </w:t>
      </w:r>
      <w:r>
        <w:t>for</w:t>
      </w:r>
      <w:r>
        <w:rPr>
          <w:spacing w:val="-3"/>
        </w:rPr>
        <w:t xml:space="preserve"> </w:t>
      </w:r>
      <w:r>
        <w:t>Deputy</w:t>
      </w:r>
      <w:r>
        <w:rPr>
          <w:spacing w:val="-3"/>
        </w:rPr>
        <w:t xml:space="preserve"> </w:t>
      </w:r>
      <w:r>
        <w:t>Head</w:t>
      </w:r>
      <w:r>
        <w:rPr>
          <w:spacing w:val="-3"/>
        </w:rPr>
        <w:t xml:space="preserve"> </w:t>
      </w:r>
      <w:r>
        <w:t>roles)</w:t>
      </w:r>
      <w:r>
        <w:rPr>
          <w:spacing w:val="-3"/>
        </w:rPr>
        <w:t xml:space="preserve"> </w:t>
      </w:r>
      <w:r>
        <w:t>as</w:t>
      </w:r>
      <w:r>
        <w:rPr>
          <w:spacing w:val="-3"/>
        </w:rPr>
        <w:t xml:space="preserve"> </w:t>
      </w:r>
      <w:r>
        <w:t>a</w:t>
      </w:r>
      <w:r>
        <w:rPr>
          <w:spacing w:val="-3"/>
        </w:rPr>
        <w:t xml:space="preserve"> </w:t>
      </w:r>
      <w:r>
        <w:t>default.</w:t>
      </w:r>
      <w:r>
        <w:rPr>
          <w:spacing w:val="-3"/>
        </w:rPr>
        <w:t xml:space="preserve"> </w:t>
      </w:r>
      <w:r>
        <w:t>The</w:t>
      </w:r>
      <w:r>
        <w:rPr>
          <w:spacing w:val="-3"/>
        </w:rPr>
        <w:t xml:space="preserve"> </w:t>
      </w:r>
      <w:r>
        <w:t>RBA</w:t>
      </w:r>
      <w:r>
        <w:rPr>
          <w:spacing w:val="-3"/>
        </w:rPr>
        <w:t xml:space="preserve"> </w:t>
      </w:r>
      <w:r>
        <w:t>should</w:t>
      </w:r>
      <w:r>
        <w:rPr>
          <w:spacing w:val="-3"/>
        </w:rPr>
        <w:t xml:space="preserve"> </w:t>
      </w:r>
      <w:r>
        <w:t>extend</w:t>
      </w:r>
      <w:r>
        <w:rPr>
          <w:spacing w:val="-3"/>
        </w:rPr>
        <w:t xml:space="preserve"> </w:t>
      </w:r>
      <w:r>
        <w:t>this</w:t>
      </w:r>
      <w:r>
        <w:rPr>
          <w:spacing w:val="-3"/>
        </w:rPr>
        <w:t xml:space="preserve"> </w:t>
      </w:r>
      <w:r>
        <w:t>policy</w:t>
      </w:r>
      <w:r>
        <w:rPr>
          <w:spacing w:val="-3"/>
        </w:rPr>
        <w:t xml:space="preserve"> </w:t>
      </w:r>
      <w:r>
        <w:t>to</w:t>
      </w:r>
      <w:r>
        <w:rPr>
          <w:spacing w:val="-3"/>
        </w:rPr>
        <w:t xml:space="preserve"> </w:t>
      </w:r>
      <w:r>
        <w:t>cover</w:t>
      </w:r>
      <w:r>
        <w:rPr>
          <w:spacing w:val="-3"/>
        </w:rPr>
        <w:t xml:space="preserve"> </w:t>
      </w:r>
      <w:r>
        <w:t>external advertising of all management roles (Managers and above) as a default</w:t>
      </w:r>
      <w:r w:rsidR="0068598E">
        <w:rPr>
          <w:spacing w:val="-21"/>
        </w:rPr>
        <w:t>.</w:t>
      </w:r>
      <w:r>
        <w:rPr>
          <w:w w:val="85"/>
        </w:rPr>
        <w:t xml:space="preserve"> </w:t>
      </w:r>
      <w:r>
        <w:t>While this should be the general approach, the Review acknowledges that it is not always possible and/or desirable to fill all such vacancies in this way</w:t>
      </w:r>
      <w:r w:rsidR="0068598E">
        <w:rPr>
          <w:spacing w:val="-23"/>
        </w:rPr>
        <w:t>.</w:t>
      </w:r>
      <w:r>
        <w:rPr>
          <w:w w:val="85"/>
        </w:rPr>
        <w:t xml:space="preserve"> </w:t>
      </w:r>
      <w:r>
        <w:t>To further promote openness and balance in recruitment decisions, the RBA should also consider having an external member on all recruitment and selection panels for Deputy Head of Department roles and above</w:t>
      </w:r>
      <w:r w:rsidR="0068598E">
        <w:rPr>
          <w:spacing w:val="-13"/>
        </w:rPr>
        <w:t>.</w:t>
      </w:r>
    </w:p>
    <w:p w14:paraId="248B5D82" w14:textId="77777777" w:rsidR="00FE6F84" w:rsidRDefault="00FE6F84" w:rsidP="00FE6F84">
      <w:r>
        <w:t>The increased openness to external hiring should be complemented by greater onboarding support for experienced hires to ensure they can succeed at the RBA. Additionally, staff should be supported, encouraged, and incentivised to complete secondments away from the organisation and their experience fully recognised upon their return.</w:t>
      </w:r>
    </w:p>
    <w:p w14:paraId="118F080A" w14:textId="1AE3511B" w:rsidR="00FE6F84" w:rsidRDefault="00FE6F84" w:rsidP="00FE6F84">
      <w:r>
        <w:t>Diversity targets for senior leaders (managers and above) should be implemented to create a disciplined approach to drive change and benefit decision making. There is currently a lack of diverse representation in the RBA’s senior leadership positions, particularly cultural and linguistic diversity (CALD), and this is more so the case in the RBA’s policy areas. In the near term, the RBA should consider how best to implement targets for CALD representation among its management positions to complement existing targets for gender equity. The Review notes that the RBA is</w:t>
      </w:r>
      <w:r>
        <w:rPr>
          <w:spacing w:val="40"/>
        </w:rPr>
        <w:t xml:space="preserve"> </w:t>
      </w:r>
      <w:r>
        <w:t>closely considering ways to better integrate approaches to diversity and inclusion, including via recruitment, promotion, performance assessment and leadership behaviour</w:t>
      </w:r>
      <w:r w:rsidR="0068598E">
        <w:rPr>
          <w:spacing w:val="-23"/>
        </w:rPr>
        <w:t>.</w:t>
      </w:r>
      <w:r>
        <w:rPr>
          <w:w w:val="85"/>
        </w:rPr>
        <w:t xml:space="preserve"> </w:t>
      </w:r>
      <w:r>
        <w:t>The Review supports this work continuing and believes that the RBA should continue to consider how it can best target broader dimensions of diversity in management positions over time</w:t>
      </w:r>
      <w:r w:rsidR="0068598E">
        <w:rPr>
          <w:spacing w:val="-15"/>
        </w:rPr>
        <w:t>.</w:t>
      </w:r>
    </w:p>
    <w:p w14:paraId="6737195D" w14:textId="2BB7DEE9" w:rsidR="00FE6F84" w:rsidRDefault="00FE6F84" w:rsidP="00FE6F84">
      <w:r>
        <w:t>The Review recognises that the economics profession is not as diverse at it could be, and that the pipeline of economics students has become less diverse over recent years</w:t>
      </w:r>
      <w:r w:rsidR="0068598E">
        <w:rPr>
          <w:spacing w:val="-24"/>
        </w:rPr>
        <w:t>.</w:t>
      </w:r>
      <w:r>
        <w:rPr>
          <w:w w:val="85"/>
        </w:rPr>
        <w:t xml:space="preserve"> </w:t>
      </w:r>
      <w:r>
        <w:t>The Review also</w:t>
      </w:r>
      <w:r w:rsidR="0068598E">
        <w:t xml:space="preserve"> </w:t>
      </w:r>
      <w:r>
        <w:rPr>
          <w:color w:val="231F20"/>
        </w:rPr>
        <w:t>acknowledges the significant work the RBA undertakes to understand diversity trends in economics and influence positive change in this area. While there are challenges, the Review has made this recommendation because progress in this area is important</w:t>
      </w:r>
      <w:r w:rsidR="0068598E">
        <w:rPr>
          <w:color w:val="231F20"/>
          <w:spacing w:val="-21"/>
        </w:rPr>
        <w:t>.</w:t>
      </w:r>
      <w:r>
        <w:rPr>
          <w:color w:val="231F20"/>
          <w:w w:val="85"/>
        </w:rPr>
        <w:t xml:space="preserve"> </w:t>
      </w:r>
      <w:r>
        <w:rPr>
          <w:color w:val="231F20"/>
        </w:rPr>
        <w:t>Targets have been shown to improve focus, boost accountability, improve talent and succession planning, and increase the chances that the best person is selected for the job (WGEA 2013, Chief Executive Women and Male Champions</w:t>
      </w:r>
      <w:r>
        <w:rPr>
          <w:color w:val="231F20"/>
          <w:spacing w:val="80"/>
        </w:rPr>
        <w:t xml:space="preserve"> </w:t>
      </w:r>
      <w:r>
        <w:rPr>
          <w:color w:val="231F20"/>
        </w:rPr>
        <w:t>of Change 2014)</w:t>
      </w:r>
      <w:r w:rsidR="0068598E">
        <w:rPr>
          <w:color w:val="231F20"/>
          <w:spacing w:val="-11"/>
        </w:rPr>
        <w:t>.</w:t>
      </w:r>
    </w:p>
    <w:p w14:paraId="0AF9DD2C" w14:textId="05AF102F" w:rsidR="00345EF6" w:rsidRDefault="00FE6F84" w:rsidP="00FE6F84">
      <w:pPr>
        <w:rPr>
          <w:color w:val="231F20"/>
          <w:spacing w:val="-10"/>
          <w:w w:val="85"/>
        </w:rPr>
      </w:pPr>
      <w:r>
        <w:t>The aspiration</w:t>
      </w:r>
      <w:r>
        <w:rPr>
          <w:spacing w:val="1"/>
        </w:rPr>
        <w:t xml:space="preserve"> </w:t>
      </w:r>
      <w:r>
        <w:t>is</w:t>
      </w:r>
      <w:r>
        <w:rPr>
          <w:spacing w:val="1"/>
        </w:rPr>
        <w:t xml:space="preserve"> </w:t>
      </w:r>
      <w:r>
        <w:t>that</w:t>
      </w:r>
      <w:r>
        <w:rPr>
          <w:spacing w:val="1"/>
        </w:rPr>
        <w:t xml:space="preserve"> </w:t>
      </w:r>
      <w:r>
        <w:t>over</w:t>
      </w:r>
      <w:r>
        <w:rPr>
          <w:spacing w:val="1"/>
        </w:rPr>
        <w:t xml:space="preserve"> </w:t>
      </w:r>
      <w:r>
        <w:t>time,</w:t>
      </w:r>
      <w:r>
        <w:rPr>
          <w:spacing w:val="1"/>
        </w:rPr>
        <w:t xml:space="preserve"> </w:t>
      </w:r>
      <w:r>
        <w:t>the</w:t>
      </w:r>
      <w:r>
        <w:rPr>
          <w:spacing w:val="1"/>
        </w:rPr>
        <w:t xml:space="preserve"> </w:t>
      </w:r>
      <w:r>
        <w:t>senior</w:t>
      </w:r>
      <w:r>
        <w:rPr>
          <w:spacing w:val="1"/>
        </w:rPr>
        <w:t xml:space="preserve"> </w:t>
      </w:r>
      <w:r>
        <w:t>leadership</w:t>
      </w:r>
      <w:r>
        <w:rPr>
          <w:spacing w:val="1"/>
        </w:rPr>
        <w:t xml:space="preserve"> </w:t>
      </w:r>
      <w:r>
        <w:t>cohort</w:t>
      </w:r>
      <w:r>
        <w:rPr>
          <w:spacing w:val="1"/>
        </w:rPr>
        <w:t xml:space="preserve"> </w:t>
      </w:r>
      <w:r>
        <w:t>at</w:t>
      </w:r>
      <w:r>
        <w:rPr>
          <w:spacing w:val="1"/>
        </w:rPr>
        <w:t xml:space="preserve"> </w:t>
      </w:r>
      <w:r>
        <w:t>the</w:t>
      </w:r>
      <w:r>
        <w:rPr>
          <w:spacing w:val="1"/>
        </w:rPr>
        <w:t xml:space="preserve"> </w:t>
      </w:r>
      <w:r>
        <w:t>RBA</w:t>
      </w:r>
      <w:r>
        <w:rPr>
          <w:spacing w:val="1"/>
        </w:rPr>
        <w:t xml:space="preserve"> </w:t>
      </w:r>
      <w:r>
        <w:t>becomes</w:t>
      </w:r>
      <w:r>
        <w:rPr>
          <w:spacing w:val="1"/>
        </w:rPr>
        <w:t xml:space="preserve"> </w:t>
      </w:r>
      <w:r>
        <w:rPr>
          <w:spacing w:val="-4"/>
        </w:rPr>
        <w:t xml:space="preserve">more </w:t>
      </w:r>
      <w:r>
        <w:t>reflective</w:t>
      </w:r>
      <w:r>
        <w:rPr>
          <w:spacing w:val="2"/>
        </w:rPr>
        <w:t xml:space="preserve"> </w:t>
      </w:r>
      <w:r>
        <w:t>of</w:t>
      </w:r>
      <w:r>
        <w:rPr>
          <w:spacing w:val="2"/>
        </w:rPr>
        <w:t xml:space="preserve"> </w:t>
      </w:r>
      <w:r>
        <w:t>the</w:t>
      </w:r>
      <w:r>
        <w:rPr>
          <w:spacing w:val="2"/>
        </w:rPr>
        <w:t xml:space="preserve"> </w:t>
      </w:r>
      <w:r>
        <w:t>community</w:t>
      </w:r>
      <w:r>
        <w:rPr>
          <w:spacing w:val="3"/>
        </w:rPr>
        <w:t xml:space="preserve"> </w:t>
      </w:r>
      <w:r>
        <w:t>it</w:t>
      </w:r>
      <w:r>
        <w:rPr>
          <w:spacing w:val="2"/>
        </w:rPr>
        <w:t xml:space="preserve"> </w:t>
      </w:r>
      <w:r>
        <w:t>serves.</w:t>
      </w:r>
      <w:r>
        <w:rPr>
          <w:spacing w:val="2"/>
        </w:rPr>
        <w:t xml:space="preserve"> </w:t>
      </w:r>
      <w:r>
        <w:t>Given</w:t>
      </w:r>
      <w:r>
        <w:rPr>
          <w:spacing w:val="2"/>
        </w:rPr>
        <w:t xml:space="preserve"> </w:t>
      </w:r>
      <w:r>
        <w:t>the</w:t>
      </w:r>
      <w:r>
        <w:rPr>
          <w:spacing w:val="3"/>
        </w:rPr>
        <w:t xml:space="preserve"> </w:t>
      </w:r>
      <w:r>
        <w:t>work</w:t>
      </w:r>
      <w:r>
        <w:rPr>
          <w:spacing w:val="2"/>
        </w:rPr>
        <w:t xml:space="preserve"> </w:t>
      </w:r>
      <w:r>
        <w:t>the</w:t>
      </w:r>
      <w:r>
        <w:rPr>
          <w:spacing w:val="2"/>
        </w:rPr>
        <w:t xml:space="preserve"> </w:t>
      </w:r>
      <w:r>
        <w:t>RBA</w:t>
      </w:r>
      <w:r>
        <w:rPr>
          <w:spacing w:val="2"/>
        </w:rPr>
        <w:t xml:space="preserve"> </w:t>
      </w:r>
      <w:r>
        <w:t>has</w:t>
      </w:r>
      <w:r>
        <w:rPr>
          <w:spacing w:val="3"/>
        </w:rPr>
        <w:t xml:space="preserve"> </w:t>
      </w:r>
      <w:r>
        <w:t>commenced</w:t>
      </w:r>
      <w:r>
        <w:rPr>
          <w:spacing w:val="2"/>
        </w:rPr>
        <w:t xml:space="preserve"> </w:t>
      </w:r>
      <w:r>
        <w:t>on</w:t>
      </w:r>
      <w:r>
        <w:rPr>
          <w:spacing w:val="2"/>
        </w:rPr>
        <w:t xml:space="preserve"> </w:t>
      </w:r>
      <w:r>
        <w:t>measuring</w:t>
      </w:r>
      <w:r>
        <w:rPr>
          <w:spacing w:val="3"/>
        </w:rPr>
        <w:t xml:space="preserve"> </w:t>
      </w:r>
      <w:r>
        <w:rPr>
          <w:spacing w:val="-5"/>
        </w:rPr>
        <w:t>and</w:t>
      </w:r>
      <w:r w:rsidR="007D65FE">
        <w:rPr>
          <w:spacing w:val="-5"/>
        </w:rPr>
        <w:t xml:space="preserve"> </w:t>
      </w:r>
      <w:r>
        <w:rPr>
          <w:color w:val="231F20"/>
        </w:rPr>
        <w:t>understanding</w:t>
      </w:r>
      <w:r>
        <w:rPr>
          <w:color w:val="231F20"/>
          <w:spacing w:val="2"/>
        </w:rPr>
        <w:t xml:space="preserve"> </w:t>
      </w:r>
      <w:r>
        <w:rPr>
          <w:color w:val="231F20"/>
        </w:rPr>
        <w:t>the</w:t>
      </w:r>
      <w:r>
        <w:rPr>
          <w:color w:val="231F20"/>
          <w:spacing w:val="2"/>
        </w:rPr>
        <w:t xml:space="preserve"> </w:t>
      </w:r>
      <w:r>
        <w:rPr>
          <w:color w:val="231F20"/>
        </w:rPr>
        <w:t>drivers</w:t>
      </w:r>
      <w:r>
        <w:rPr>
          <w:color w:val="231F20"/>
          <w:spacing w:val="2"/>
        </w:rPr>
        <w:t xml:space="preserve"> </w:t>
      </w:r>
      <w:r>
        <w:rPr>
          <w:color w:val="231F20"/>
        </w:rPr>
        <w:t>of</w:t>
      </w:r>
      <w:r>
        <w:rPr>
          <w:color w:val="231F20"/>
          <w:spacing w:val="2"/>
        </w:rPr>
        <w:t xml:space="preserve"> </w:t>
      </w:r>
      <w:r>
        <w:rPr>
          <w:color w:val="231F20"/>
        </w:rPr>
        <w:t>these</w:t>
      </w:r>
      <w:r>
        <w:rPr>
          <w:color w:val="231F20"/>
          <w:spacing w:val="2"/>
        </w:rPr>
        <w:t xml:space="preserve"> </w:t>
      </w:r>
      <w:r>
        <w:rPr>
          <w:color w:val="231F20"/>
        </w:rPr>
        <w:t>issues,</w:t>
      </w:r>
      <w:r>
        <w:rPr>
          <w:color w:val="231F20"/>
          <w:spacing w:val="2"/>
        </w:rPr>
        <w:t xml:space="preserve"> </w:t>
      </w:r>
      <w:r>
        <w:rPr>
          <w:color w:val="231F20"/>
        </w:rPr>
        <w:t>it</w:t>
      </w:r>
      <w:r>
        <w:rPr>
          <w:color w:val="231F20"/>
          <w:spacing w:val="2"/>
        </w:rPr>
        <w:t xml:space="preserve"> </w:t>
      </w:r>
      <w:r>
        <w:rPr>
          <w:color w:val="231F20"/>
        </w:rPr>
        <w:t>is</w:t>
      </w:r>
      <w:r>
        <w:rPr>
          <w:color w:val="231F20"/>
          <w:spacing w:val="3"/>
        </w:rPr>
        <w:t xml:space="preserve"> </w:t>
      </w:r>
      <w:r>
        <w:rPr>
          <w:color w:val="231F20"/>
        </w:rPr>
        <w:t>well</w:t>
      </w:r>
      <w:r>
        <w:rPr>
          <w:color w:val="231F20"/>
          <w:spacing w:val="2"/>
        </w:rPr>
        <w:t xml:space="preserve"> </w:t>
      </w:r>
      <w:r>
        <w:rPr>
          <w:color w:val="231F20"/>
        </w:rPr>
        <w:t>placed</w:t>
      </w:r>
      <w:r>
        <w:rPr>
          <w:color w:val="231F20"/>
          <w:spacing w:val="2"/>
        </w:rPr>
        <w:t xml:space="preserve"> </w:t>
      </w:r>
      <w:r>
        <w:rPr>
          <w:color w:val="231F20"/>
        </w:rPr>
        <w:t>to</w:t>
      </w:r>
      <w:r>
        <w:rPr>
          <w:color w:val="231F20"/>
          <w:spacing w:val="2"/>
        </w:rPr>
        <w:t xml:space="preserve"> </w:t>
      </w:r>
      <w:r>
        <w:rPr>
          <w:color w:val="231F20"/>
        </w:rPr>
        <w:t>move</w:t>
      </w:r>
      <w:r>
        <w:rPr>
          <w:color w:val="231F20"/>
          <w:spacing w:val="2"/>
        </w:rPr>
        <w:t xml:space="preserve"> </w:t>
      </w:r>
      <w:r>
        <w:rPr>
          <w:color w:val="231F20"/>
        </w:rPr>
        <w:t>forward</w:t>
      </w:r>
      <w:r>
        <w:rPr>
          <w:color w:val="231F20"/>
          <w:spacing w:val="2"/>
        </w:rPr>
        <w:t xml:space="preserve"> </w:t>
      </w:r>
      <w:r>
        <w:rPr>
          <w:color w:val="231F20"/>
        </w:rPr>
        <w:t>and</w:t>
      </w:r>
      <w:r>
        <w:rPr>
          <w:color w:val="231F20"/>
          <w:spacing w:val="2"/>
        </w:rPr>
        <w:t xml:space="preserve"> </w:t>
      </w:r>
      <w:r>
        <w:rPr>
          <w:color w:val="231F20"/>
        </w:rPr>
        <w:t>implement</w:t>
      </w:r>
      <w:r>
        <w:rPr>
          <w:color w:val="231F20"/>
          <w:spacing w:val="2"/>
        </w:rPr>
        <w:t xml:space="preserve"> </w:t>
      </w:r>
      <w:r>
        <w:rPr>
          <w:color w:val="231F20"/>
        </w:rPr>
        <w:t>targets</w:t>
      </w:r>
      <w:r w:rsidR="0068598E">
        <w:rPr>
          <w:color w:val="231F20"/>
          <w:spacing w:val="-22"/>
        </w:rPr>
        <w:t>.</w:t>
      </w:r>
    </w:p>
    <w:p w14:paraId="06D6E3E8" w14:textId="7EA0E473" w:rsidR="0017062B" w:rsidRDefault="0017062B" w:rsidP="0017062B">
      <w:r>
        <w:t>A range of factors can influence meeting such targets, ranging from underlying organisational problems</w:t>
      </w:r>
      <w:r>
        <w:rPr>
          <w:spacing w:val="-1"/>
        </w:rPr>
        <w:t xml:space="preserve"> </w:t>
      </w:r>
      <w:r>
        <w:t>like</w:t>
      </w:r>
      <w:r>
        <w:rPr>
          <w:spacing w:val="-1"/>
        </w:rPr>
        <w:t xml:space="preserve"> </w:t>
      </w:r>
      <w:r>
        <w:t>unconscious</w:t>
      </w:r>
      <w:r>
        <w:rPr>
          <w:spacing w:val="-1"/>
        </w:rPr>
        <w:t xml:space="preserve"> </w:t>
      </w:r>
      <w:r>
        <w:t>bias,</w:t>
      </w:r>
      <w:r>
        <w:rPr>
          <w:spacing w:val="-1"/>
        </w:rPr>
        <w:t xml:space="preserve"> </w:t>
      </w:r>
      <w:r>
        <w:t>to</w:t>
      </w:r>
      <w:r>
        <w:rPr>
          <w:spacing w:val="-1"/>
        </w:rPr>
        <w:t xml:space="preserve"> </w:t>
      </w:r>
      <w:r>
        <w:t>the</w:t>
      </w:r>
      <w:r>
        <w:rPr>
          <w:spacing w:val="-1"/>
        </w:rPr>
        <w:t xml:space="preserve"> </w:t>
      </w:r>
      <w:r>
        <w:t>timing</w:t>
      </w:r>
      <w:r>
        <w:rPr>
          <w:spacing w:val="-1"/>
        </w:rPr>
        <w:t xml:space="preserve"> </w:t>
      </w:r>
      <w:r>
        <w:t>and</w:t>
      </w:r>
      <w:r>
        <w:rPr>
          <w:spacing w:val="-1"/>
        </w:rPr>
        <w:t xml:space="preserve"> </w:t>
      </w:r>
      <w:r>
        <w:t>the</w:t>
      </w:r>
      <w:r>
        <w:rPr>
          <w:spacing w:val="-1"/>
        </w:rPr>
        <w:t xml:space="preserve"> </w:t>
      </w:r>
      <w:r>
        <w:t>availability</w:t>
      </w:r>
      <w:r>
        <w:rPr>
          <w:spacing w:val="-1"/>
        </w:rPr>
        <w:t xml:space="preserve"> </w:t>
      </w:r>
      <w:r>
        <w:t>of</w:t>
      </w:r>
      <w:r>
        <w:rPr>
          <w:spacing w:val="-1"/>
        </w:rPr>
        <w:t xml:space="preserve"> </w:t>
      </w:r>
      <w:r>
        <w:t>individuals</w:t>
      </w:r>
      <w:r>
        <w:rPr>
          <w:spacing w:val="-1"/>
        </w:rPr>
        <w:t xml:space="preserve"> </w:t>
      </w:r>
      <w:r>
        <w:t>and</w:t>
      </w:r>
      <w:r>
        <w:rPr>
          <w:spacing w:val="-1"/>
        </w:rPr>
        <w:t xml:space="preserve"> </w:t>
      </w:r>
      <w:r>
        <w:t>roles</w:t>
      </w:r>
      <w:r w:rsidR="0068598E">
        <w:rPr>
          <w:spacing w:val="-24"/>
        </w:rPr>
        <w:t>.</w:t>
      </w:r>
      <w:r>
        <w:rPr>
          <w:w w:val="85"/>
        </w:rPr>
        <w:t xml:space="preserve"> </w:t>
      </w:r>
      <w:r>
        <w:t>These targets should, therefore, not be overly prescriptive on timing to allow for some flexibility.</w:t>
      </w:r>
    </w:p>
    <w:p w14:paraId="213568DB" w14:textId="77777777" w:rsidR="005E2359" w:rsidRDefault="005E2359" w:rsidP="005A7871">
      <w:pPr>
        <w:pStyle w:val="Heading3"/>
      </w:pPr>
      <w:r>
        <w:lastRenderedPageBreak/>
        <w:t>Supporting</w:t>
      </w:r>
      <w:r>
        <w:rPr>
          <w:spacing w:val="-9"/>
        </w:rPr>
        <w:t xml:space="preserve"> </w:t>
      </w:r>
      <w:r>
        <w:rPr>
          <w:spacing w:val="-2"/>
        </w:rPr>
        <w:t>assessment</w:t>
      </w:r>
    </w:p>
    <w:p w14:paraId="57482A34" w14:textId="77777777" w:rsidR="005E2359" w:rsidRDefault="005E2359" w:rsidP="005A7871">
      <w:pPr>
        <w:pStyle w:val="Heading4"/>
      </w:pPr>
      <w:r>
        <w:t>Welcoming different</w:t>
      </w:r>
      <w:r>
        <w:rPr>
          <w:spacing w:val="1"/>
        </w:rPr>
        <w:t xml:space="preserve"> </w:t>
      </w:r>
      <w:r>
        <w:rPr>
          <w:spacing w:val="-4"/>
        </w:rPr>
        <w:t>views</w:t>
      </w:r>
    </w:p>
    <w:p w14:paraId="2A2F1D21" w14:textId="17F61824" w:rsidR="005E2359" w:rsidRDefault="005E2359" w:rsidP="005A7871">
      <w:pPr>
        <w:pStyle w:val="BodyText"/>
        <w:spacing w:before="155" w:line="238" w:lineRule="exact"/>
        <w:ind w:left="160"/>
      </w:pPr>
      <w:r>
        <w:rPr>
          <w:color w:val="231F20"/>
        </w:rPr>
        <w:t>The</w:t>
      </w:r>
      <w:r>
        <w:rPr>
          <w:color w:val="231F20"/>
          <w:spacing w:val="-1"/>
        </w:rPr>
        <w:t xml:space="preserve"> </w:t>
      </w:r>
      <w:r>
        <w:rPr>
          <w:color w:val="231F20"/>
        </w:rPr>
        <w:t>RBA</w:t>
      </w:r>
      <w:r>
        <w:rPr>
          <w:color w:val="231F20"/>
          <w:spacing w:val="2"/>
        </w:rPr>
        <w:t xml:space="preserve"> </w:t>
      </w:r>
      <w:r>
        <w:rPr>
          <w:color w:val="231F20"/>
        </w:rPr>
        <w:t>has</w:t>
      </w:r>
      <w:r>
        <w:rPr>
          <w:color w:val="231F20"/>
          <w:spacing w:val="2"/>
        </w:rPr>
        <w:t xml:space="preserve"> </w:t>
      </w:r>
      <w:r>
        <w:rPr>
          <w:color w:val="231F20"/>
        </w:rPr>
        <w:t>introduced</w:t>
      </w:r>
      <w:r>
        <w:rPr>
          <w:color w:val="231F20"/>
          <w:spacing w:val="2"/>
        </w:rPr>
        <w:t xml:space="preserve"> </w:t>
      </w:r>
      <w:r>
        <w:rPr>
          <w:color w:val="231F20"/>
        </w:rPr>
        <w:t>various</w:t>
      </w:r>
      <w:r>
        <w:rPr>
          <w:color w:val="231F20"/>
          <w:spacing w:val="1"/>
        </w:rPr>
        <w:t xml:space="preserve"> </w:t>
      </w:r>
      <w:r>
        <w:rPr>
          <w:color w:val="231F20"/>
        </w:rPr>
        <w:t>initiatives</w:t>
      </w:r>
      <w:r>
        <w:rPr>
          <w:color w:val="231F20"/>
          <w:spacing w:val="2"/>
        </w:rPr>
        <w:t xml:space="preserve"> </w:t>
      </w:r>
      <w:r>
        <w:rPr>
          <w:color w:val="231F20"/>
        </w:rPr>
        <w:t>to</w:t>
      </w:r>
      <w:r>
        <w:rPr>
          <w:color w:val="231F20"/>
          <w:spacing w:val="2"/>
        </w:rPr>
        <w:t xml:space="preserve"> </w:t>
      </w:r>
      <w:r>
        <w:rPr>
          <w:color w:val="231F20"/>
        </w:rPr>
        <w:t>encourage</w:t>
      </w:r>
      <w:r>
        <w:rPr>
          <w:color w:val="231F20"/>
          <w:spacing w:val="2"/>
        </w:rPr>
        <w:t xml:space="preserve"> </w:t>
      </w:r>
      <w:r>
        <w:rPr>
          <w:color w:val="231F20"/>
        </w:rPr>
        <w:t>constructive</w:t>
      </w:r>
      <w:r>
        <w:rPr>
          <w:color w:val="231F20"/>
          <w:spacing w:val="1"/>
        </w:rPr>
        <w:t xml:space="preserve"> </w:t>
      </w:r>
      <w:r>
        <w:rPr>
          <w:color w:val="231F20"/>
        </w:rPr>
        <w:t>challenge</w:t>
      </w:r>
      <w:r>
        <w:rPr>
          <w:color w:val="231F20"/>
          <w:spacing w:val="2"/>
        </w:rPr>
        <w:t xml:space="preserve"> </w:t>
      </w:r>
      <w:r>
        <w:rPr>
          <w:color w:val="231F20"/>
        </w:rPr>
        <w:t>and</w:t>
      </w:r>
      <w:r>
        <w:rPr>
          <w:color w:val="231F20"/>
          <w:spacing w:val="2"/>
        </w:rPr>
        <w:t xml:space="preserve"> </w:t>
      </w:r>
      <w:r>
        <w:rPr>
          <w:color w:val="231F20"/>
        </w:rPr>
        <w:t>debate,</w:t>
      </w:r>
      <w:r>
        <w:rPr>
          <w:color w:val="231F20"/>
          <w:spacing w:val="2"/>
        </w:rPr>
        <w:t xml:space="preserve"> </w:t>
      </w:r>
      <w:r>
        <w:rPr>
          <w:color w:val="231F20"/>
          <w:spacing w:val="-5"/>
        </w:rPr>
        <w:t>and</w:t>
      </w:r>
      <w:r w:rsidR="005A7871">
        <w:rPr>
          <w:color w:val="231F20"/>
          <w:spacing w:val="-5"/>
        </w:rPr>
        <w:t xml:space="preserve"> </w:t>
      </w:r>
      <w:r>
        <w:t>inclusive discussion</w:t>
      </w:r>
      <w:r>
        <w:rPr>
          <w:spacing w:val="3"/>
        </w:rPr>
        <w:t xml:space="preserve"> </w:t>
      </w:r>
      <w:r>
        <w:t>(RBA</w:t>
      </w:r>
      <w:r>
        <w:rPr>
          <w:spacing w:val="3"/>
        </w:rPr>
        <w:t xml:space="preserve"> </w:t>
      </w:r>
      <w:r>
        <w:t>third</w:t>
      </w:r>
      <w:r>
        <w:rPr>
          <w:spacing w:val="2"/>
        </w:rPr>
        <w:t xml:space="preserve"> </w:t>
      </w:r>
      <w:r>
        <w:t>information</w:t>
      </w:r>
      <w:r>
        <w:rPr>
          <w:spacing w:val="3"/>
        </w:rPr>
        <w:t xml:space="preserve"> </w:t>
      </w:r>
      <w:r>
        <w:t>request).</w:t>
      </w:r>
      <w:r>
        <w:rPr>
          <w:spacing w:val="3"/>
        </w:rPr>
        <w:t xml:space="preserve"> </w:t>
      </w:r>
      <w:r>
        <w:t>Examples</w:t>
      </w:r>
      <w:r>
        <w:rPr>
          <w:spacing w:val="3"/>
        </w:rPr>
        <w:t xml:space="preserve"> </w:t>
      </w:r>
      <w:r>
        <w:rPr>
          <w:spacing w:val="-2"/>
        </w:rPr>
        <w:t>include:</w:t>
      </w:r>
    </w:p>
    <w:p w14:paraId="6C7D3C79" w14:textId="77777777" w:rsidR="005E2359" w:rsidRDefault="005E2359" w:rsidP="0000278A">
      <w:pPr>
        <w:pStyle w:val="Bullet"/>
      </w:pPr>
      <w:r>
        <w:t>changes to make the Policy Discussion Group (and the equivalent forum for less senior staff members) more inclusive, including through more structured chairing of meetings and key discussion topics being provided in advance</w:t>
      </w:r>
    </w:p>
    <w:p w14:paraId="1B85E4B9" w14:textId="77777777" w:rsidR="005E2359" w:rsidRDefault="005E2359" w:rsidP="0000278A">
      <w:pPr>
        <w:pStyle w:val="Bullet"/>
      </w:pPr>
      <w:r>
        <w:t>the</w:t>
      </w:r>
      <w:r>
        <w:rPr>
          <w:spacing w:val="-2"/>
        </w:rPr>
        <w:t xml:space="preserve"> </w:t>
      </w:r>
      <w:r>
        <w:t>‘VoxEC’</w:t>
      </w:r>
      <w:r>
        <w:rPr>
          <w:spacing w:val="-1"/>
        </w:rPr>
        <w:t xml:space="preserve"> </w:t>
      </w:r>
      <w:r>
        <w:t>internal</w:t>
      </w:r>
      <w:r>
        <w:rPr>
          <w:spacing w:val="-1"/>
        </w:rPr>
        <w:t xml:space="preserve"> </w:t>
      </w:r>
      <w:r>
        <w:t>blog</w:t>
      </w:r>
      <w:r>
        <w:rPr>
          <w:spacing w:val="-1"/>
        </w:rPr>
        <w:t xml:space="preserve"> </w:t>
      </w:r>
      <w:r>
        <w:t>to</w:t>
      </w:r>
      <w:r>
        <w:rPr>
          <w:spacing w:val="-1"/>
        </w:rPr>
        <w:t xml:space="preserve"> </w:t>
      </w:r>
      <w:r>
        <w:t>share</w:t>
      </w:r>
      <w:r>
        <w:rPr>
          <w:spacing w:val="-1"/>
        </w:rPr>
        <w:t xml:space="preserve"> </w:t>
      </w:r>
      <w:r>
        <w:t>internal</w:t>
      </w:r>
      <w:r>
        <w:rPr>
          <w:spacing w:val="-1"/>
        </w:rPr>
        <w:t xml:space="preserve"> </w:t>
      </w:r>
      <w:r>
        <w:t>research</w:t>
      </w:r>
      <w:r>
        <w:rPr>
          <w:spacing w:val="-1"/>
        </w:rPr>
        <w:t xml:space="preserve"> </w:t>
      </w:r>
      <w:r>
        <w:t>and</w:t>
      </w:r>
      <w:r>
        <w:rPr>
          <w:spacing w:val="-1"/>
        </w:rPr>
        <w:t xml:space="preserve"> </w:t>
      </w:r>
      <w:r>
        <w:t>promote</w:t>
      </w:r>
      <w:r>
        <w:rPr>
          <w:spacing w:val="-1"/>
        </w:rPr>
        <w:t xml:space="preserve"> </w:t>
      </w:r>
      <w:r>
        <w:rPr>
          <w:spacing w:val="-2"/>
        </w:rPr>
        <w:t>debate</w:t>
      </w:r>
    </w:p>
    <w:p w14:paraId="7AA43CEF" w14:textId="77777777" w:rsidR="005E2359" w:rsidRDefault="005E2359" w:rsidP="0000278A">
      <w:pPr>
        <w:pStyle w:val="Bullet"/>
      </w:pPr>
      <w:r>
        <w:t>the Economic Research Department’s ‘challenge notes’ and quarterly ‘challenge meetings’ (although these have been more limited in recent times)</w:t>
      </w:r>
    </w:p>
    <w:p w14:paraId="09C291B7" w14:textId="77777777" w:rsidR="005E2359" w:rsidRDefault="005E2359" w:rsidP="0000278A">
      <w:pPr>
        <w:pStyle w:val="Bullet"/>
      </w:pPr>
      <w:r>
        <w:t>the</w:t>
      </w:r>
      <w:r>
        <w:rPr>
          <w:spacing w:val="9"/>
        </w:rPr>
        <w:t xml:space="preserve"> </w:t>
      </w:r>
      <w:r>
        <w:t>Governor’s</w:t>
      </w:r>
      <w:r>
        <w:rPr>
          <w:spacing w:val="10"/>
        </w:rPr>
        <w:t xml:space="preserve"> </w:t>
      </w:r>
      <w:r>
        <w:t>anonymous</w:t>
      </w:r>
      <w:r>
        <w:rPr>
          <w:spacing w:val="9"/>
        </w:rPr>
        <w:t xml:space="preserve"> </w:t>
      </w:r>
      <w:r>
        <w:t>‘Suggestions</w:t>
      </w:r>
      <w:r>
        <w:rPr>
          <w:spacing w:val="10"/>
        </w:rPr>
        <w:t xml:space="preserve"> </w:t>
      </w:r>
      <w:r>
        <w:rPr>
          <w:spacing w:val="-4"/>
        </w:rPr>
        <w:t>Box’</w:t>
      </w:r>
    </w:p>
    <w:p w14:paraId="085CDABF" w14:textId="77777777" w:rsidR="005E2359" w:rsidRDefault="005E2359" w:rsidP="0000278A">
      <w:pPr>
        <w:pStyle w:val="Bullet"/>
      </w:pPr>
      <w:r>
        <w:t>and a range of grass roots initiatives within each department such as regular</w:t>
      </w:r>
      <w:r>
        <w:rPr>
          <w:spacing w:val="80"/>
        </w:rPr>
        <w:t xml:space="preserve"> </w:t>
      </w:r>
      <w:r>
        <w:t>‘catch up’ meetings to discuss policy issues, analytical work, strategic priorities and organisational topics.</w:t>
      </w:r>
    </w:p>
    <w:p w14:paraId="6069761E" w14:textId="587E6873" w:rsidR="005E2359" w:rsidRDefault="005E2359" w:rsidP="005A7871">
      <w:r>
        <w:t>However,</w:t>
      </w:r>
      <w:r>
        <w:rPr>
          <w:spacing w:val="-2"/>
        </w:rPr>
        <w:t xml:space="preserve"> </w:t>
      </w:r>
      <w:r>
        <w:t>the Review</w:t>
      </w:r>
      <w:r>
        <w:rPr>
          <w:spacing w:val="1"/>
        </w:rPr>
        <w:t xml:space="preserve"> </w:t>
      </w:r>
      <w:r>
        <w:t>heard mixed views</w:t>
      </w:r>
      <w:r>
        <w:rPr>
          <w:spacing w:val="1"/>
        </w:rPr>
        <w:t xml:space="preserve"> </w:t>
      </w:r>
      <w:r>
        <w:t>on how widespread</w:t>
      </w:r>
      <w:r>
        <w:rPr>
          <w:spacing w:val="1"/>
        </w:rPr>
        <w:t xml:space="preserve"> </w:t>
      </w:r>
      <w:r>
        <w:t>improvements have been.</w:t>
      </w:r>
      <w:r>
        <w:rPr>
          <w:spacing w:val="1"/>
        </w:rPr>
        <w:t xml:space="preserve"> </w:t>
      </w:r>
      <w:r>
        <w:t>As one</w:t>
      </w:r>
      <w:r>
        <w:rPr>
          <w:spacing w:val="1"/>
        </w:rPr>
        <w:t xml:space="preserve"> </w:t>
      </w:r>
      <w:r>
        <w:rPr>
          <w:spacing w:val="-2"/>
        </w:rPr>
        <w:t>staff</w:t>
      </w:r>
      <w:r w:rsidR="005A7871">
        <w:rPr>
          <w:spacing w:val="-2"/>
        </w:rPr>
        <w:t xml:space="preserve"> </w:t>
      </w:r>
      <w:r>
        <w:rPr>
          <w:color w:val="231F20"/>
        </w:rPr>
        <w:t xml:space="preserve">member </w:t>
      </w:r>
      <w:r>
        <w:rPr>
          <w:color w:val="231F20"/>
          <w:spacing w:val="-2"/>
        </w:rPr>
        <w:t>observed:</w:t>
      </w:r>
    </w:p>
    <w:p w14:paraId="48E549C5" w14:textId="77777777" w:rsidR="005E2359" w:rsidRDefault="005E2359" w:rsidP="005A7871">
      <w:pPr>
        <w:pStyle w:val="italicquote"/>
      </w:pPr>
      <w:r>
        <w:t>‘I</w:t>
      </w:r>
      <w:r>
        <w:rPr>
          <w:spacing w:val="-2"/>
        </w:rPr>
        <w:t xml:space="preserve"> </w:t>
      </w:r>
      <w:r>
        <w:t>am</w:t>
      </w:r>
      <w:r>
        <w:rPr>
          <w:spacing w:val="-2"/>
        </w:rPr>
        <w:t xml:space="preserve"> </w:t>
      </w:r>
      <w:r>
        <w:t>able</w:t>
      </w:r>
      <w:r>
        <w:rPr>
          <w:spacing w:val="-2"/>
        </w:rPr>
        <w:t xml:space="preserve"> </w:t>
      </w:r>
      <w:r>
        <w:t>to</w:t>
      </w:r>
      <w:r>
        <w:rPr>
          <w:spacing w:val="-2"/>
        </w:rPr>
        <w:t xml:space="preserve"> </w:t>
      </w:r>
      <w:r>
        <w:t>feel</w:t>
      </w:r>
      <w:r>
        <w:rPr>
          <w:spacing w:val="-2"/>
        </w:rPr>
        <w:t xml:space="preserve"> </w:t>
      </w:r>
      <w:r>
        <w:t>included,</w:t>
      </w:r>
      <w:r>
        <w:rPr>
          <w:spacing w:val="-2"/>
        </w:rPr>
        <w:t xml:space="preserve"> </w:t>
      </w:r>
      <w:r>
        <w:t>learn</w:t>
      </w:r>
      <w:r>
        <w:rPr>
          <w:spacing w:val="-2"/>
        </w:rPr>
        <w:t xml:space="preserve"> </w:t>
      </w:r>
      <w:r>
        <w:t>and</w:t>
      </w:r>
      <w:r>
        <w:rPr>
          <w:spacing w:val="-2"/>
        </w:rPr>
        <w:t xml:space="preserve"> </w:t>
      </w:r>
      <w:r>
        <w:t>make</w:t>
      </w:r>
      <w:r>
        <w:rPr>
          <w:spacing w:val="-2"/>
        </w:rPr>
        <w:t xml:space="preserve"> </w:t>
      </w:r>
      <w:r>
        <w:t>mistakes</w:t>
      </w:r>
      <w:r>
        <w:rPr>
          <w:spacing w:val="-2"/>
        </w:rPr>
        <w:t xml:space="preserve"> </w:t>
      </w:r>
      <w:r>
        <w:t>and</w:t>
      </w:r>
      <w:r>
        <w:rPr>
          <w:spacing w:val="-2"/>
        </w:rPr>
        <w:t xml:space="preserve"> </w:t>
      </w:r>
      <w:r>
        <w:t>also</w:t>
      </w:r>
      <w:r>
        <w:rPr>
          <w:spacing w:val="-2"/>
        </w:rPr>
        <w:t xml:space="preserve"> </w:t>
      </w:r>
      <w:r>
        <w:t>provide</w:t>
      </w:r>
      <w:r>
        <w:rPr>
          <w:spacing w:val="-2"/>
        </w:rPr>
        <w:t xml:space="preserve"> </w:t>
      </w:r>
      <w:r>
        <w:t>healthy</w:t>
      </w:r>
      <w:r>
        <w:rPr>
          <w:spacing w:val="-2"/>
        </w:rPr>
        <w:t xml:space="preserve"> </w:t>
      </w:r>
      <w:r>
        <w:t>challenge</w:t>
      </w:r>
      <w:r>
        <w:rPr>
          <w:spacing w:val="-2"/>
        </w:rPr>
        <w:t xml:space="preserve"> </w:t>
      </w:r>
      <w:r>
        <w:t>without</w:t>
      </w:r>
      <w:r>
        <w:rPr>
          <w:spacing w:val="-2"/>
        </w:rPr>
        <w:t xml:space="preserve"> </w:t>
      </w:r>
      <w:r>
        <w:t>any negative repercussion. I know that my personal experience isn’t exactly echoed throughout the Bank and some people have wildly different experiences to mine.’</w:t>
      </w:r>
    </w:p>
    <w:p w14:paraId="1F4BE17C" w14:textId="77777777" w:rsidR="005E2359" w:rsidRDefault="005E2359" w:rsidP="005A7871">
      <w:pPr>
        <w:pStyle w:val="italicquote"/>
      </w:pPr>
      <w:r>
        <w:t>̶</w:t>
      </w:r>
      <w:r>
        <w:rPr>
          <w:spacing w:val="-1"/>
        </w:rPr>
        <w:t xml:space="preserve"> </w:t>
      </w:r>
      <w:r>
        <w:t>̶</w:t>
      </w:r>
      <w:r>
        <w:rPr>
          <w:spacing w:val="53"/>
        </w:rPr>
        <w:t xml:space="preserve"> </w:t>
      </w:r>
      <w:r>
        <w:t xml:space="preserve">RBA staff </w:t>
      </w:r>
      <w:r>
        <w:rPr>
          <w:spacing w:val="-2"/>
        </w:rPr>
        <w:t>member</w:t>
      </w:r>
    </w:p>
    <w:p w14:paraId="5E31B9B9" w14:textId="4074BA81" w:rsidR="005E2359" w:rsidRDefault="005E2359" w:rsidP="005A7871">
      <w:pPr>
        <w:rPr>
          <w:color w:val="231F20"/>
          <w:spacing w:val="-2"/>
        </w:rPr>
      </w:pPr>
      <w:r>
        <w:t>Results from the RBA Review Staff Survey indicate that staff members perceive senior leaders to be</w:t>
      </w:r>
      <w:r>
        <w:rPr>
          <w:spacing w:val="-2"/>
        </w:rPr>
        <w:t xml:space="preserve"> </w:t>
      </w:r>
      <w:r>
        <w:t>less open to challenge and debate than</w:t>
      </w:r>
      <w:r>
        <w:rPr>
          <w:spacing w:val="1"/>
        </w:rPr>
        <w:t xml:space="preserve"> </w:t>
      </w:r>
      <w:r>
        <w:t>their immediate managers. While the majority of</w:t>
      </w:r>
      <w:r>
        <w:rPr>
          <w:spacing w:val="1"/>
        </w:rPr>
        <w:t xml:space="preserve"> </w:t>
      </w:r>
      <w:r>
        <w:rPr>
          <w:spacing w:val="-2"/>
        </w:rPr>
        <w:t>staff</w:t>
      </w:r>
      <w:r w:rsidR="005A7871">
        <w:rPr>
          <w:spacing w:val="-2"/>
        </w:rPr>
        <w:t xml:space="preserve"> </w:t>
      </w:r>
      <w:r>
        <w:t>members</w:t>
      </w:r>
      <w:r>
        <w:rPr>
          <w:spacing w:val="-6"/>
        </w:rPr>
        <w:t xml:space="preserve"> </w:t>
      </w:r>
      <w:r>
        <w:t>perceived</w:t>
      </w:r>
      <w:r>
        <w:rPr>
          <w:spacing w:val="-4"/>
        </w:rPr>
        <w:t xml:space="preserve"> </w:t>
      </w:r>
      <w:r>
        <w:t>their</w:t>
      </w:r>
      <w:r>
        <w:rPr>
          <w:spacing w:val="-5"/>
        </w:rPr>
        <w:t xml:space="preserve"> </w:t>
      </w:r>
      <w:r>
        <w:t>immediate</w:t>
      </w:r>
      <w:r>
        <w:rPr>
          <w:spacing w:val="-4"/>
        </w:rPr>
        <w:t xml:space="preserve"> </w:t>
      </w:r>
      <w:r>
        <w:t>supervisor</w:t>
      </w:r>
      <w:r>
        <w:rPr>
          <w:spacing w:val="-4"/>
        </w:rPr>
        <w:t xml:space="preserve"> </w:t>
      </w:r>
      <w:r>
        <w:t>as</w:t>
      </w:r>
      <w:r>
        <w:rPr>
          <w:spacing w:val="-5"/>
        </w:rPr>
        <w:t xml:space="preserve"> </w:t>
      </w:r>
      <w:r>
        <w:t>open</w:t>
      </w:r>
      <w:r>
        <w:rPr>
          <w:spacing w:val="-4"/>
        </w:rPr>
        <w:t xml:space="preserve"> </w:t>
      </w:r>
      <w:r>
        <w:t>to</w:t>
      </w:r>
      <w:r>
        <w:rPr>
          <w:spacing w:val="-4"/>
        </w:rPr>
        <w:t xml:space="preserve"> </w:t>
      </w:r>
      <w:r>
        <w:t>challenge</w:t>
      </w:r>
      <w:r>
        <w:rPr>
          <w:spacing w:val="-4"/>
        </w:rPr>
        <w:t xml:space="preserve"> </w:t>
      </w:r>
      <w:r>
        <w:t>and</w:t>
      </w:r>
      <w:r>
        <w:rPr>
          <w:spacing w:val="-5"/>
        </w:rPr>
        <w:t xml:space="preserve"> </w:t>
      </w:r>
      <w:r>
        <w:t>debate,</w:t>
      </w:r>
      <w:r>
        <w:rPr>
          <w:spacing w:val="-4"/>
        </w:rPr>
        <w:t xml:space="preserve"> </w:t>
      </w:r>
      <w:r>
        <w:t>Chart</w:t>
      </w:r>
      <w:r>
        <w:rPr>
          <w:spacing w:val="-4"/>
        </w:rPr>
        <w:t xml:space="preserve"> </w:t>
      </w:r>
      <w:r>
        <w:t>4</w:t>
      </w:r>
      <w:r w:rsidR="0068598E">
        <w:rPr>
          <w:spacing w:val="-25"/>
        </w:rPr>
        <w:t>.</w:t>
      </w:r>
      <w:r>
        <w:rPr>
          <w:w w:val="117"/>
        </w:rPr>
        <w:t>12</w:t>
      </w:r>
      <w:r>
        <w:rPr>
          <w:spacing w:val="-4"/>
          <w:w w:val="99"/>
        </w:rPr>
        <w:t xml:space="preserve"> </w:t>
      </w:r>
      <w:r>
        <w:rPr>
          <w:spacing w:val="-2"/>
        </w:rPr>
        <w:t>shows</w:t>
      </w:r>
      <w:r w:rsidR="005A7871">
        <w:rPr>
          <w:spacing w:val="-2"/>
        </w:rPr>
        <w:t xml:space="preserve"> </w:t>
      </w:r>
      <w:r>
        <w:rPr>
          <w:color w:val="231F20"/>
        </w:rPr>
        <w:t>that</w:t>
      </w:r>
      <w:r>
        <w:rPr>
          <w:color w:val="231F20"/>
          <w:spacing w:val="-1"/>
        </w:rPr>
        <w:t xml:space="preserve"> </w:t>
      </w:r>
      <w:r>
        <w:rPr>
          <w:color w:val="231F20"/>
        </w:rPr>
        <w:t>staff</w:t>
      </w:r>
      <w:r>
        <w:rPr>
          <w:color w:val="231F20"/>
          <w:spacing w:val="1"/>
        </w:rPr>
        <w:t xml:space="preserve"> </w:t>
      </w:r>
      <w:r>
        <w:rPr>
          <w:color w:val="231F20"/>
        </w:rPr>
        <w:t>members’</w:t>
      </w:r>
      <w:r>
        <w:rPr>
          <w:color w:val="231F20"/>
          <w:spacing w:val="1"/>
        </w:rPr>
        <w:t xml:space="preserve"> </w:t>
      </w:r>
      <w:r>
        <w:rPr>
          <w:color w:val="231F20"/>
        </w:rPr>
        <w:t>perceptions</w:t>
      </w:r>
      <w:r>
        <w:rPr>
          <w:color w:val="231F20"/>
          <w:spacing w:val="1"/>
        </w:rPr>
        <w:t xml:space="preserve"> </w:t>
      </w:r>
      <w:r>
        <w:rPr>
          <w:color w:val="231F20"/>
        </w:rPr>
        <w:t>of</w:t>
      </w:r>
      <w:r>
        <w:rPr>
          <w:color w:val="231F20"/>
          <w:spacing w:val="2"/>
        </w:rPr>
        <w:t xml:space="preserve"> </w:t>
      </w:r>
      <w:r>
        <w:rPr>
          <w:color w:val="231F20"/>
        </w:rPr>
        <w:t>openness</w:t>
      </w:r>
      <w:r>
        <w:rPr>
          <w:color w:val="231F20"/>
          <w:spacing w:val="1"/>
        </w:rPr>
        <w:t xml:space="preserve"> </w:t>
      </w:r>
      <w:r>
        <w:rPr>
          <w:color w:val="231F20"/>
        </w:rPr>
        <w:t>to</w:t>
      </w:r>
      <w:r>
        <w:rPr>
          <w:color w:val="231F20"/>
          <w:spacing w:val="1"/>
        </w:rPr>
        <w:t xml:space="preserve"> </w:t>
      </w:r>
      <w:r>
        <w:rPr>
          <w:color w:val="231F20"/>
        </w:rPr>
        <w:t>challenge</w:t>
      </w:r>
      <w:r>
        <w:rPr>
          <w:color w:val="231F20"/>
          <w:spacing w:val="1"/>
        </w:rPr>
        <w:t xml:space="preserve"> </w:t>
      </w:r>
      <w:r>
        <w:rPr>
          <w:color w:val="231F20"/>
        </w:rPr>
        <w:t>and</w:t>
      </w:r>
      <w:r>
        <w:rPr>
          <w:color w:val="231F20"/>
          <w:spacing w:val="2"/>
        </w:rPr>
        <w:t xml:space="preserve"> </w:t>
      </w:r>
      <w:r>
        <w:rPr>
          <w:color w:val="231F20"/>
        </w:rPr>
        <w:t>debate</w:t>
      </w:r>
      <w:r>
        <w:rPr>
          <w:color w:val="231F20"/>
          <w:spacing w:val="1"/>
        </w:rPr>
        <w:t xml:space="preserve"> </w:t>
      </w:r>
      <w:r>
        <w:rPr>
          <w:color w:val="231F20"/>
        </w:rPr>
        <w:t>drops</w:t>
      </w:r>
      <w:r>
        <w:rPr>
          <w:color w:val="231F20"/>
          <w:spacing w:val="1"/>
        </w:rPr>
        <w:t xml:space="preserve"> </w:t>
      </w:r>
      <w:r>
        <w:rPr>
          <w:color w:val="231F20"/>
        </w:rPr>
        <w:t>as</w:t>
      </w:r>
      <w:r>
        <w:rPr>
          <w:color w:val="231F20"/>
          <w:spacing w:val="1"/>
        </w:rPr>
        <w:t xml:space="preserve"> </w:t>
      </w:r>
      <w:r>
        <w:rPr>
          <w:color w:val="231F20"/>
        </w:rPr>
        <w:t>seniority</w:t>
      </w:r>
      <w:r>
        <w:rPr>
          <w:color w:val="231F20"/>
          <w:spacing w:val="2"/>
        </w:rPr>
        <w:t xml:space="preserve"> </w:t>
      </w:r>
      <w:r>
        <w:rPr>
          <w:color w:val="231F20"/>
          <w:spacing w:val="-2"/>
        </w:rPr>
        <w:t>increases.</w:t>
      </w:r>
    </w:p>
    <w:p w14:paraId="129C00D4" w14:textId="189F8F9C" w:rsidR="003C0BF7" w:rsidRDefault="003C0BF7" w:rsidP="009326AD">
      <w:pPr>
        <w:pStyle w:val="BoxHeading"/>
        <w:keepLines/>
      </w:pPr>
      <w:r>
        <w:lastRenderedPageBreak/>
        <w:t>Chart</w:t>
      </w:r>
      <w:r>
        <w:rPr>
          <w:spacing w:val="-1"/>
        </w:rPr>
        <w:t xml:space="preserve"> </w:t>
      </w:r>
      <w:r>
        <w:t>4.12:</w:t>
      </w:r>
      <w:r>
        <w:rPr>
          <w:spacing w:val="-1"/>
        </w:rPr>
        <w:t xml:space="preserve"> </w:t>
      </w:r>
      <w:r>
        <w:t>Staff perceptions</w:t>
      </w:r>
      <w:r>
        <w:rPr>
          <w:spacing w:val="-1"/>
        </w:rPr>
        <w:t xml:space="preserve"> </w:t>
      </w:r>
      <w:r>
        <w:t>of openness</w:t>
      </w:r>
      <w:r>
        <w:rPr>
          <w:spacing w:val="-1"/>
        </w:rPr>
        <w:t xml:space="preserve"> </w:t>
      </w:r>
      <w:r>
        <w:t>to</w:t>
      </w:r>
      <w:r>
        <w:rPr>
          <w:spacing w:val="-1"/>
        </w:rPr>
        <w:t xml:space="preserve"> </w:t>
      </w:r>
      <w:r>
        <w:t>challenge and</w:t>
      </w:r>
      <w:r>
        <w:rPr>
          <w:spacing w:val="-1"/>
        </w:rPr>
        <w:t xml:space="preserve"> </w:t>
      </w:r>
      <w:r>
        <w:rPr>
          <w:spacing w:val="-2"/>
        </w:rPr>
        <w:t>debate</w:t>
      </w:r>
    </w:p>
    <w:p w14:paraId="7C27B380" w14:textId="6A83428E" w:rsidR="003C0BF7" w:rsidRDefault="009326AD" w:rsidP="009326AD">
      <w:pPr>
        <w:keepNext/>
        <w:keepLines/>
        <w:jc w:val="center"/>
      </w:pPr>
      <w:r>
        <w:rPr>
          <w:noProof/>
        </w:rPr>
        <w:drawing>
          <wp:inline distT="0" distB="0" distL="0" distR="0" wp14:anchorId="489D3E7E" wp14:editId="044622D8">
            <wp:extent cx="4892926" cy="2803669"/>
            <wp:effectExtent l="0" t="0" r="3175" b="0"/>
            <wp:docPr id="43" name="Picture 43" descr="Bar chart showing the proportion of RBA staff members who agreed with statements about their immediate supervisor, their Department Head and Deputy Department Heads and the RBA Executive. &#10;Assistant Governors and above objectively consider other views when their ideas are challenged. 51 per cent agree. &#10;Assistant Governors and above invite a range of views, including those different to their own. 55 per cent agree. &#10;Department Heads and Deputy Heads objectively consider other views when their ideas are challenged. 67 per cent agree. &#10;Department Heads and Deputy Heads invite a range of views, including those different to their own. 70 per cent agree. &#10;My immediate supervisor invites a range of views, including those different to their own. 79 per cent agree. &#10;I can challenge the ideas of my supervisor without any repercussions. 77 per cent agre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Bar chart showing the proportion of RBA staff members who agreed with statements about their immediate supervisor, their Department Head and Deputy Department Heads and the RBA Executive. &#10;Assistant Governors and above objectively consider other views when their ideas are challenged. 51 per cent agree. &#10;Assistant Governors and above invite a range of views, including those different to their own. 55 per cent agree. &#10;Department Heads and Deputy Heads objectively consider other views when their ideas are challenged. 67 per cent agree. &#10;Department Heads and Deputy Heads invite a range of views, including those different to their own. 70 per cent agree. &#10;My immediate supervisor invites a range of views, including those different to their own. 79 per cent agree. &#10;I can challenge the ideas of my supervisor without any repercussions. 77 per cent agree. &#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92926" cy="2803669"/>
                    </a:xfrm>
                    <a:prstGeom prst="rect">
                      <a:avLst/>
                    </a:prstGeom>
                  </pic:spPr>
                </pic:pic>
              </a:graphicData>
            </a:graphic>
          </wp:inline>
        </w:drawing>
      </w:r>
    </w:p>
    <w:p w14:paraId="39B8B713" w14:textId="493D66BD" w:rsidR="00881325" w:rsidRDefault="00881325" w:rsidP="009326AD">
      <w:pPr>
        <w:pStyle w:val="Note"/>
        <w:keepNext/>
        <w:keepLines/>
      </w:pPr>
      <w:r>
        <w:t>Source:</w:t>
      </w:r>
      <w:r>
        <w:rPr>
          <w:spacing w:val="5"/>
        </w:rPr>
        <w:t xml:space="preserve"> </w:t>
      </w:r>
      <w:r>
        <w:t>RBA</w:t>
      </w:r>
      <w:r>
        <w:rPr>
          <w:spacing w:val="6"/>
        </w:rPr>
        <w:t xml:space="preserve"> </w:t>
      </w:r>
      <w:r>
        <w:t>Review</w:t>
      </w:r>
      <w:r>
        <w:rPr>
          <w:spacing w:val="6"/>
        </w:rPr>
        <w:t xml:space="preserve"> </w:t>
      </w:r>
      <w:r>
        <w:t>Staff</w:t>
      </w:r>
      <w:r>
        <w:rPr>
          <w:spacing w:val="6"/>
        </w:rPr>
        <w:t xml:space="preserve"> </w:t>
      </w:r>
      <w:r>
        <w:t>Survey</w:t>
      </w:r>
      <w:r>
        <w:rPr>
          <w:spacing w:val="6"/>
        </w:rPr>
        <w:t xml:space="preserve"> </w:t>
      </w:r>
      <w:r>
        <w:t>(2022)</w:t>
      </w:r>
      <w:r w:rsidR="0068598E">
        <w:rPr>
          <w:spacing w:val="-19"/>
        </w:rPr>
        <w:t>.</w:t>
      </w:r>
    </w:p>
    <w:p w14:paraId="7E541D7A" w14:textId="4DD59DAB" w:rsidR="00881325" w:rsidRDefault="00881325" w:rsidP="009326AD">
      <w:pPr>
        <w:pStyle w:val="Note"/>
        <w:keepNext/>
        <w:keepLines/>
      </w:pPr>
      <w:r>
        <w:t>Note: Response scale was ‘Strongly agree’, ‘agree’, ‘neither agree nor disagree’, ‘disagree’, ‘strongly disagree’</w:t>
      </w:r>
      <w:r w:rsidR="0068598E">
        <w:rPr>
          <w:spacing w:val="-19"/>
        </w:rPr>
        <w:t>.</w:t>
      </w:r>
      <w:r>
        <w:rPr>
          <w:w w:val="85"/>
        </w:rPr>
        <w:t xml:space="preserve"> </w:t>
      </w:r>
      <w:r>
        <w:t>% positive includes ‘Strongly agree’ and ‘agree’</w:t>
      </w:r>
      <w:r w:rsidR="0068598E">
        <w:rPr>
          <w:spacing w:val="-7"/>
        </w:rPr>
        <w:t>.</w:t>
      </w:r>
    </w:p>
    <w:p w14:paraId="01D59D41" w14:textId="60D84F78" w:rsidR="00817330" w:rsidRDefault="00817330" w:rsidP="00817330">
      <w:r>
        <w:t>Staff members can sometimes find it not safe to speak up on both policy and organisational issues. The RBA Review Staff Survey showed that around one quarter of current staff members and half of former staff members do (or did) not feel safe to speak up and challenge the way things</w:t>
      </w:r>
      <w:r>
        <w:rPr>
          <w:spacing w:val="-1"/>
        </w:rPr>
        <w:t xml:space="preserve"> </w:t>
      </w:r>
      <w:r>
        <w:t>are</w:t>
      </w:r>
      <w:r>
        <w:rPr>
          <w:spacing w:val="-1"/>
        </w:rPr>
        <w:t xml:space="preserve"> </w:t>
      </w:r>
      <w:r>
        <w:t>done</w:t>
      </w:r>
      <w:r>
        <w:rPr>
          <w:spacing w:val="-1"/>
        </w:rPr>
        <w:t xml:space="preserve"> </w:t>
      </w:r>
      <w:r>
        <w:t>at</w:t>
      </w:r>
      <w:r>
        <w:rPr>
          <w:spacing w:val="-1"/>
        </w:rPr>
        <w:t xml:space="preserve"> </w:t>
      </w:r>
      <w:r>
        <w:t>the</w:t>
      </w:r>
      <w:r>
        <w:rPr>
          <w:spacing w:val="-1"/>
        </w:rPr>
        <w:t xml:space="preserve"> </w:t>
      </w:r>
      <w:r>
        <w:t>RBA,</w:t>
      </w:r>
      <w:r>
        <w:rPr>
          <w:spacing w:val="-1"/>
        </w:rPr>
        <w:t xml:space="preserve"> </w:t>
      </w:r>
      <w:r>
        <w:t>fearing</w:t>
      </w:r>
      <w:r>
        <w:rPr>
          <w:spacing w:val="-1"/>
        </w:rPr>
        <w:t xml:space="preserve"> </w:t>
      </w:r>
      <w:r>
        <w:t>repercussions</w:t>
      </w:r>
      <w:r>
        <w:rPr>
          <w:spacing w:val="-1"/>
        </w:rPr>
        <w:t xml:space="preserve"> </w:t>
      </w:r>
      <w:r>
        <w:t>including</w:t>
      </w:r>
      <w:r>
        <w:rPr>
          <w:spacing w:val="-1"/>
        </w:rPr>
        <w:t xml:space="preserve"> </w:t>
      </w:r>
      <w:r>
        <w:t>derision</w:t>
      </w:r>
      <w:r w:rsidR="0068598E">
        <w:rPr>
          <w:spacing w:val="-25"/>
        </w:rPr>
        <w:t>.</w:t>
      </w:r>
      <w:r>
        <w:rPr>
          <w:w w:val="85"/>
        </w:rPr>
        <w:t xml:space="preserve"> </w:t>
      </w:r>
      <w:r>
        <w:t>This</w:t>
      </w:r>
      <w:r>
        <w:rPr>
          <w:spacing w:val="-1"/>
        </w:rPr>
        <w:t xml:space="preserve"> </w:t>
      </w:r>
      <w:r>
        <w:t>is</w:t>
      </w:r>
      <w:r>
        <w:rPr>
          <w:spacing w:val="-1"/>
        </w:rPr>
        <w:t xml:space="preserve"> </w:t>
      </w:r>
      <w:r>
        <w:t>not</w:t>
      </w:r>
      <w:r>
        <w:rPr>
          <w:spacing w:val="-1"/>
        </w:rPr>
        <w:t xml:space="preserve"> </w:t>
      </w:r>
      <w:r>
        <w:t>a</w:t>
      </w:r>
      <w:r>
        <w:rPr>
          <w:spacing w:val="-1"/>
        </w:rPr>
        <w:t xml:space="preserve"> </w:t>
      </w:r>
      <w:r>
        <w:t>new</w:t>
      </w:r>
      <w:r>
        <w:rPr>
          <w:spacing w:val="-1"/>
        </w:rPr>
        <w:t xml:space="preserve"> </w:t>
      </w:r>
      <w:r>
        <w:t>issue</w:t>
      </w:r>
      <w:r>
        <w:rPr>
          <w:spacing w:val="-1"/>
        </w:rPr>
        <w:t xml:space="preserve"> </w:t>
      </w:r>
      <w:r>
        <w:t>–</w:t>
      </w:r>
      <w:r>
        <w:rPr>
          <w:spacing w:val="-1"/>
        </w:rPr>
        <w:t xml:space="preserve"> </w:t>
      </w:r>
      <w:r>
        <w:t xml:space="preserve">for example, the 2019 RBA Staff Engagement Survey showed that many staff members did not think differing opinions were openly discussed before reaching decisions. The 2021 RBA Psychosocial Risk Audit conducted by The Centre for Corporate Health also found that challenging ideas and </w:t>
      </w:r>
      <w:r>
        <w:rPr>
          <w:color w:val="231F20"/>
        </w:rPr>
        <w:t>engaging in healthy conflict tends to be avoided. They found that some people are fearful of making mistakes or speaking out against more senior leaders and that challenging ideas in a constructive manner can at times not be welcomed. They noted that the potential impact of this is that it stifles innovation and productivity and encourages a passive aggressive culture</w:t>
      </w:r>
      <w:r w:rsidR="0068598E">
        <w:rPr>
          <w:color w:val="231F20"/>
          <w:spacing w:val="-17"/>
        </w:rPr>
        <w:t>.</w:t>
      </w:r>
      <w:r>
        <w:rPr>
          <w:color w:val="231F20"/>
          <w:w w:val="85"/>
        </w:rPr>
        <w:t xml:space="preserve"> </w:t>
      </w:r>
      <w:r>
        <w:rPr>
          <w:color w:val="231F20"/>
        </w:rPr>
        <w:t>This can contribute to poor psychological safety</w:t>
      </w:r>
      <w:r w:rsidR="0068598E">
        <w:rPr>
          <w:color w:val="231F20"/>
          <w:spacing w:val="-11"/>
        </w:rPr>
        <w:t>.</w:t>
      </w:r>
    </w:p>
    <w:p w14:paraId="0F879711" w14:textId="3D736FC2" w:rsidR="00817330" w:rsidRDefault="00817330" w:rsidP="00817330">
      <w:r>
        <w:t>Some</w:t>
      </w:r>
      <w:r>
        <w:rPr>
          <w:spacing w:val="15"/>
        </w:rPr>
        <w:t xml:space="preserve"> </w:t>
      </w:r>
      <w:r>
        <w:t>suggested</w:t>
      </w:r>
      <w:r>
        <w:rPr>
          <w:spacing w:val="15"/>
        </w:rPr>
        <w:t xml:space="preserve"> </w:t>
      </w:r>
      <w:r>
        <w:t>that</w:t>
      </w:r>
      <w:r>
        <w:rPr>
          <w:spacing w:val="15"/>
        </w:rPr>
        <w:t xml:space="preserve"> </w:t>
      </w:r>
      <w:r>
        <w:t>staff</w:t>
      </w:r>
      <w:r>
        <w:rPr>
          <w:spacing w:val="15"/>
        </w:rPr>
        <w:t xml:space="preserve"> </w:t>
      </w:r>
      <w:r>
        <w:t>members</w:t>
      </w:r>
      <w:r>
        <w:rPr>
          <w:spacing w:val="15"/>
        </w:rPr>
        <w:t xml:space="preserve"> </w:t>
      </w:r>
      <w:r>
        <w:t>can</w:t>
      </w:r>
      <w:r>
        <w:rPr>
          <w:spacing w:val="15"/>
        </w:rPr>
        <w:t xml:space="preserve"> </w:t>
      </w:r>
      <w:r>
        <w:t>feel</w:t>
      </w:r>
      <w:r>
        <w:rPr>
          <w:spacing w:val="15"/>
        </w:rPr>
        <w:t xml:space="preserve"> </w:t>
      </w:r>
      <w:r>
        <w:t>incentivised</w:t>
      </w:r>
      <w:r>
        <w:rPr>
          <w:spacing w:val="15"/>
        </w:rPr>
        <w:t xml:space="preserve"> </w:t>
      </w:r>
      <w:r>
        <w:t>to</w:t>
      </w:r>
      <w:r>
        <w:rPr>
          <w:spacing w:val="15"/>
        </w:rPr>
        <w:t xml:space="preserve"> </w:t>
      </w:r>
      <w:r>
        <w:t>express</w:t>
      </w:r>
      <w:r>
        <w:rPr>
          <w:spacing w:val="15"/>
        </w:rPr>
        <w:t xml:space="preserve"> </w:t>
      </w:r>
      <w:r>
        <w:t>views</w:t>
      </w:r>
      <w:r>
        <w:rPr>
          <w:spacing w:val="15"/>
        </w:rPr>
        <w:t xml:space="preserve"> </w:t>
      </w:r>
      <w:r>
        <w:t>that</w:t>
      </w:r>
      <w:r>
        <w:rPr>
          <w:spacing w:val="15"/>
        </w:rPr>
        <w:t xml:space="preserve"> </w:t>
      </w:r>
      <w:r>
        <w:t>align</w:t>
      </w:r>
      <w:r>
        <w:rPr>
          <w:spacing w:val="15"/>
        </w:rPr>
        <w:t xml:space="preserve"> </w:t>
      </w:r>
      <w:r>
        <w:t>with their direct managers and senior leaders. Some staff members expressed a perception that contradictory views may affect promotion prospects, with some noting that they had explicitly been given this feedback</w:t>
      </w:r>
      <w:r w:rsidR="0068598E">
        <w:rPr>
          <w:spacing w:val="-17"/>
        </w:rPr>
        <w:t>.</w:t>
      </w:r>
      <w:r>
        <w:rPr>
          <w:w w:val="85"/>
        </w:rPr>
        <w:t xml:space="preserve"> </w:t>
      </w:r>
      <w:r>
        <w:t>These are symptoms of groupthink, where there is psychological pressure</w:t>
      </w:r>
      <w:r>
        <w:rPr>
          <w:spacing w:val="-1"/>
        </w:rPr>
        <w:t xml:space="preserve"> </w:t>
      </w:r>
      <w:r>
        <w:t>on</w:t>
      </w:r>
      <w:r>
        <w:rPr>
          <w:spacing w:val="-1"/>
        </w:rPr>
        <w:t xml:space="preserve"> </w:t>
      </w:r>
      <w:r>
        <w:t>staff</w:t>
      </w:r>
      <w:r>
        <w:rPr>
          <w:spacing w:val="-1"/>
        </w:rPr>
        <w:t xml:space="preserve"> </w:t>
      </w:r>
      <w:r>
        <w:t>members</w:t>
      </w:r>
      <w:r>
        <w:rPr>
          <w:spacing w:val="-1"/>
        </w:rPr>
        <w:t xml:space="preserve"> </w:t>
      </w:r>
      <w:r>
        <w:t>to</w:t>
      </w:r>
      <w:r>
        <w:rPr>
          <w:spacing w:val="-1"/>
        </w:rPr>
        <w:t xml:space="preserve"> </w:t>
      </w:r>
      <w:r>
        <w:t>conform</w:t>
      </w:r>
      <w:r>
        <w:rPr>
          <w:spacing w:val="-1"/>
        </w:rPr>
        <w:t xml:space="preserve"> </w:t>
      </w:r>
      <w:r>
        <w:t>to</w:t>
      </w:r>
      <w:r>
        <w:rPr>
          <w:spacing w:val="-1"/>
        </w:rPr>
        <w:t xml:space="preserve"> </w:t>
      </w:r>
      <w:r>
        <w:t>the</w:t>
      </w:r>
      <w:r>
        <w:rPr>
          <w:spacing w:val="-1"/>
        </w:rPr>
        <w:t xml:space="preserve"> </w:t>
      </w:r>
      <w:r>
        <w:t>views</w:t>
      </w:r>
      <w:r>
        <w:rPr>
          <w:spacing w:val="-1"/>
        </w:rPr>
        <w:t xml:space="preserve"> </w:t>
      </w:r>
      <w:r>
        <w:t>of</w:t>
      </w:r>
      <w:r>
        <w:rPr>
          <w:spacing w:val="-1"/>
        </w:rPr>
        <w:t xml:space="preserve"> </w:t>
      </w:r>
      <w:r>
        <w:t>leaders</w:t>
      </w:r>
      <w:r>
        <w:rPr>
          <w:spacing w:val="-1"/>
        </w:rPr>
        <w:t xml:space="preserve"> </w:t>
      </w:r>
      <w:r>
        <w:t>(Fisher</w:t>
      </w:r>
      <w:r>
        <w:rPr>
          <w:spacing w:val="-1"/>
        </w:rPr>
        <w:t xml:space="preserve"> </w:t>
      </w:r>
      <w:r>
        <w:t>2021).</w:t>
      </w:r>
      <w:r>
        <w:rPr>
          <w:spacing w:val="-1"/>
        </w:rPr>
        <w:t xml:space="preserve"> </w:t>
      </w:r>
      <w:r>
        <w:t>Research</w:t>
      </w:r>
      <w:r>
        <w:rPr>
          <w:spacing w:val="-1"/>
        </w:rPr>
        <w:t xml:space="preserve"> </w:t>
      </w:r>
      <w:r>
        <w:t>on</w:t>
      </w:r>
      <w:r>
        <w:rPr>
          <w:spacing w:val="-1"/>
        </w:rPr>
        <w:t xml:space="preserve"> </w:t>
      </w:r>
      <w:r>
        <w:t>this</w:t>
      </w:r>
      <w:r>
        <w:rPr>
          <w:spacing w:val="-1"/>
        </w:rPr>
        <w:t xml:space="preserve"> </w:t>
      </w:r>
      <w:r>
        <w:t>topic has shown that individuals subtly adjust their preferences to be aligned with the majority view (Fisher 2021)</w:t>
      </w:r>
      <w:r w:rsidR="0068598E">
        <w:rPr>
          <w:spacing w:val="-19"/>
        </w:rPr>
        <w:t>.</w:t>
      </w:r>
      <w:r>
        <w:rPr>
          <w:w w:val="85"/>
        </w:rPr>
        <w:t xml:space="preserve"> </w:t>
      </w:r>
      <w:r>
        <w:t>This limits consideration of alternative views and challenge and debate</w:t>
      </w:r>
      <w:r w:rsidR="0068598E">
        <w:rPr>
          <w:spacing w:val="-19"/>
        </w:rPr>
        <w:t>.</w:t>
      </w:r>
    </w:p>
    <w:p w14:paraId="2C8D3446" w14:textId="56DB4F69" w:rsidR="00F00219" w:rsidRDefault="00F00219" w:rsidP="00F00219">
      <w:r>
        <w:t>Some</w:t>
      </w:r>
      <w:r>
        <w:rPr>
          <w:spacing w:val="12"/>
        </w:rPr>
        <w:t xml:space="preserve"> </w:t>
      </w:r>
      <w:r>
        <w:t>staff</w:t>
      </w:r>
      <w:r>
        <w:rPr>
          <w:spacing w:val="12"/>
        </w:rPr>
        <w:t xml:space="preserve"> </w:t>
      </w:r>
      <w:r>
        <w:t>members</w:t>
      </w:r>
      <w:r>
        <w:rPr>
          <w:spacing w:val="12"/>
        </w:rPr>
        <w:t xml:space="preserve"> </w:t>
      </w:r>
      <w:r>
        <w:t>mentioned</w:t>
      </w:r>
      <w:r>
        <w:rPr>
          <w:spacing w:val="12"/>
        </w:rPr>
        <w:t xml:space="preserve"> </w:t>
      </w:r>
      <w:r>
        <w:t>that</w:t>
      </w:r>
      <w:r>
        <w:rPr>
          <w:spacing w:val="12"/>
        </w:rPr>
        <w:t xml:space="preserve"> </w:t>
      </w:r>
      <w:r>
        <w:t>at</w:t>
      </w:r>
      <w:r>
        <w:rPr>
          <w:spacing w:val="12"/>
        </w:rPr>
        <w:t xml:space="preserve"> </w:t>
      </w:r>
      <w:r>
        <w:t>times</w:t>
      </w:r>
      <w:r>
        <w:rPr>
          <w:spacing w:val="12"/>
        </w:rPr>
        <w:t xml:space="preserve"> </w:t>
      </w:r>
      <w:r>
        <w:t>when</w:t>
      </w:r>
      <w:r>
        <w:rPr>
          <w:spacing w:val="12"/>
        </w:rPr>
        <w:t xml:space="preserve"> </w:t>
      </w:r>
      <w:r>
        <w:t>junior</w:t>
      </w:r>
      <w:r>
        <w:rPr>
          <w:spacing w:val="12"/>
        </w:rPr>
        <w:t xml:space="preserve"> </w:t>
      </w:r>
      <w:r>
        <w:t>staff</w:t>
      </w:r>
      <w:r>
        <w:rPr>
          <w:spacing w:val="12"/>
        </w:rPr>
        <w:t xml:space="preserve"> </w:t>
      </w:r>
      <w:r>
        <w:t>members</w:t>
      </w:r>
      <w:r>
        <w:rPr>
          <w:spacing w:val="12"/>
        </w:rPr>
        <w:t xml:space="preserve"> </w:t>
      </w:r>
      <w:r>
        <w:t>are</w:t>
      </w:r>
      <w:r>
        <w:rPr>
          <w:spacing w:val="12"/>
        </w:rPr>
        <w:t xml:space="preserve"> </w:t>
      </w:r>
      <w:r>
        <w:t>asked</w:t>
      </w:r>
      <w:r>
        <w:rPr>
          <w:spacing w:val="12"/>
        </w:rPr>
        <w:t xml:space="preserve"> </w:t>
      </w:r>
      <w:r>
        <w:t>for</w:t>
      </w:r>
      <w:r>
        <w:rPr>
          <w:spacing w:val="12"/>
        </w:rPr>
        <w:t xml:space="preserve"> </w:t>
      </w:r>
      <w:r>
        <w:t>their views by more senior staff members they are careful to not ‘blindside’ their immediate managers</w:t>
      </w:r>
      <w:r>
        <w:rPr>
          <w:spacing w:val="40"/>
        </w:rPr>
        <w:t xml:space="preserve"> </w:t>
      </w:r>
      <w:r>
        <w:t>by saying something they would disagree with</w:t>
      </w:r>
      <w:r w:rsidR="0068598E">
        <w:rPr>
          <w:spacing w:val="-18"/>
        </w:rPr>
        <w:t>.</w:t>
      </w:r>
      <w:r>
        <w:rPr>
          <w:w w:val="85"/>
        </w:rPr>
        <w:t xml:space="preserve"> </w:t>
      </w:r>
      <w:r>
        <w:t>Others remarked ‘conversations are shut down because higher-ups won’t like something’ and ‘ideas and suggestions are sometimes not put up</w:t>
      </w:r>
      <w:r>
        <w:rPr>
          <w:spacing w:val="40"/>
        </w:rPr>
        <w:t xml:space="preserve"> </w:t>
      </w:r>
      <w:r>
        <w:t>the line because managers fear it won’t be well received higher up’</w:t>
      </w:r>
      <w:r w:rsidR="0068598E">
        <w:rPr>
          <w:spacing w:val="-21"/>
        </w:rPr>
        <w:t>.</w:t>
      </w:r>
      <w:r>
        <w:rPr>
          <w:w w:val="85"/>
        </w:rPr>
        <w:t xml:space="preserve"> </w:t>
      </w:r>
      <w:r>
        <w:t>Some people noted that they keep hearing the phrase ‘small target’ when requesting approval on new projects or initiatives</w:t>
      </w:r>
      <w:r w:rsidR="0068598E">
        <w:rPr>
          <w:spacing w:val="-23"/>
        </w:rPr>
        <w:t>.</w:t>
      </w:r>
      <w:r>
        <w:rPr>
          <w:w w:val="85"/>
        </w:rPr>
        <w:t xml:space="preserve"> </w:t>
      </w:r>
      <w:r>
        <w:t>For example, some staff members have heard managers say, ‘we don’t know what so and so thinks</w:t>
      </w:r>
      <w:r>
        <w:rPr>
          <w:spacing w:val="80"/>
        </w:rPr>
        <w:t xml:space="preserve"> </w:t>
      </w:r>
      <w:r>
        <w:t>yet, so let’s make this look as small as possible so we can get approval’</w:t>
      </w:r>
      <w:r w:rsidR="0068598E">
        <w:rPr>
          <w:spacing w:val="-22"/>
        </w:rPr>
        <w:t>.</w:t>
      </w:r>
      <w:r>
        <w:rPr>
          <w:w w:val="85"/>
        </w:rPr>
        <w:t xml:space="preserve"> </w:t>
      </w:r>
      <w:r>
        <w:t>Several people noted that most people hedge when offering opinions until they know what side of an argument the Governor is on and then repeat phrases he has used in his speeches or in monetary policy statements</w:t>
      </w:r>
      <w:r w:rsidR="0068598E">
        <w:rPr>
          <w:spacing w:val="-20"/>
        </w:rPr>
        <w:t>.</w:t>
      </w:r>
      <w:r>
        <w:rPr>
          <w:w w:val="85"/>
        </w:rPr>
        <w:t xml:space="preserve"> </w:t>
      </w:r>
      <w:r>
        <w:t xml:space="preserve">The Review heard that </w:t>
      </w:r>
      <w:r>
        <w:lastRenderedPageBreak/>
        <w:t>managers at times justify decisions by saying ‘this is what the Governor would want’. Similar examples are easily found in the public service more generally.</w:t>
      </w:r>
    </w:p>
    <w:p w14:paraId="7036524E" w14:textId="72814C9D" w:rsidR="00F00219" w:rsidRDefault="00F00219" w:rsidP="00F00219">
      <w:r>
        <w:t>Several staff members thought a tendency not to speak up was more common in policy areas than corporate</w:t>
      </w:r>
      <w:r>
        <w:rPr>
          <w:spacing w:val="-10"/>
        </w:rPr>
        <w:t xml:space="preserve"> </w:t>
      </w:r>
      <w:r>
        <w:t>areas</w:t>
      </w:r>
      <w:r w:rsidR="0068598E">
        <w:rPr>
          <w:spacing w:val="-12"/>
        </w:rPr>
        <w:t>.</w:t>
      </w:r>
      <w:r>
        <w:rPr>
          <w:w w:val="85"/>
        </w:rPr>
        <w:t xml:space="preserve"> </w:t>
      </w:r>
      <w:r>
        <w:t>Others thought it was more common in relation to organisational issues, pointing out a strong commitment to debating policy views, but a resistance to challenging how the RBA is run as an organisation. Some noted that staff members have been discouraged from putting criticisms or disagreements in writing. They attributed this to the fear of a Freedom of Information request, where released information could subsequently damage the RBA’s reputation</w:t>
      </w:r>
      <w:r w:rsidR="0068598E">
        <w:rPr>
          <w:spacing w:val="-24"/>
        </w:rPr>
        <w:t>.</w:t>
      </w:r>
      <w:r>
        <w:rPr>
          <w:w w:val="85"/>
        </w:rPr>
        <w:t xml:space="preserve"> </w:t>
      </w:r>
      <w:r>
        <w:t>The Review heard multiple accounts of stories of this nature. One example shared in a submission indicated that publication of a paper detailing the RBA’s forecast errors was opposed by senior management as it ‘reflected poorly on the Bank’.</w:t>
      </w:r>
    </w:p>
    <w:p w14:paraId="6F006674" w14:textId="00529449" w:rsidR="00F00219" w:rsidRDefault="00F00219" w:rsidP="00BB3B14">
      <w:r>
        <w:t>Many staff members told the Review that a greater degree of challenge and debate within the Reserve Bank Board would flow into more demand for hearing alternative perspectives throughout the RBA</w:t>
      </w:r>
      <w:r w:rsidR="0068598E">
        <w:rPr>
          <w:spacing w:val="-19"/>
        </w:rPr>
        <w:t>.</w:t>
      </w:r>
      <w:r>
        <w:t xml:space="preserve"> This sentiment was captured by a submission that said, ‘the Board is shielded from</w:t>
      </w:r>
      <w:r>
        <w:rPr>
          <w:spacing w:val="40"/>
        </w:rPr>
        <w:t xml:space="preserve"> </w:t>
      </w:r>
      <w:r>
        <w:t>internal staff debate, which occurs below Assistant Governors’ which means ‘senior management are not challenged when they present their own narrative’</w:t>
      </w:r>
      <w:r w:rsidR="0068598E">
        <w:rPr>
          <w:spacing w:val="-16"/>
        </w:rPr>
        <w:t>.</w:t>
      </w:r>
    </w:p>
    <w:p w14:paraId="7D677489" w14:textId="185A9BB8" w:rsidR="00F00219" w:rsidRDefault="00F00219" w:rsidP="00BB3B14">
      <w:r>
        <w:t>The Review heard that a more expert board with greater access to staff members would likely increase the incentive for senior leaders to engage with a broader range of perspectives ahead of Reserve Bank Board meetings</w:t>
      </w:r>
      <w:r w:rsidR="0068598E">
        <w:rPr>
          <w:spacing w:val="-9"/>
        </w:rPr>
        <w:t>.</w:t>
      </w:r>
    </w:p>
    <w:p w14:paraId="530EC3CA" w14:textId="77777777" w:rsidR="00F00219" w:rsidRDefault="00F00219" w:rsidP="00BB3B14">
      <w:pPr>
        <w:pStyle w:val="Heading4"/>
      </w:pPr>
      <w:r>
        <w:t xml:space="preserve">Promoting more meaningful communication and </w:t>
      </w:r>
      <w:r>
        <w:rPr>
          <w:spacing w:val="-2"/>
        </w:rPr>
        <w:t>discussion</w:t>
      </w:r>
    </w:p>
    <w:p w14:paraId="7BBC454C" w14:textId="23E1FA4C" w:rsidR="00F00219" w:rsidRDefault="00F00219" w:rsidP="00BB3B14">
      <w:r>
        <w:t>RBA</w:t>
      </w:r>
      <w:r>
        <w:rPr>
          <w:spacing w:val="-9"/>
        </w:rPr>
        <w:t xml:space="preserve"> </w:t>
      </w:r>
      <w:r>
        <w:t>staff</w:t>
      </w:r>
      <w:r>
        <w:rPr>
          <w:spacing w:val="-9"/>
        </w:rPr>
        <w:t xml:space="preserve"> </w:t>
      </w:r>
      <w:r>
        <w:t>members</w:t>
      </w:r>
      <w:r>
        <w:rPr>
          <w:spacing w:val="-9"/>
        </w:rPr>
        <w:t xml:space="preserve"> </w:t>
      </w:r>
      <w:r>
        <w:t>told</w:t>
      </w:r>
      <w:r>
        <w:rPr>
          <w:spacing w:val="-10"/>
        </w:rPr>
        <w:t xml:space="preserve"> </w:t>
      </w:r>
      <w:r>
        <w:t>the</w:t>
      </w:r>
      <w:r>
        <w:rPr>
          <w:spacing w:val="-9"/>
        </w:rPr>
        <w:t xml:space="preserve"> </w:t>
      </w:r>
      <w:r>
        <w:t>Review</w:t>
      </w:r>
      <w:r>
        <w:rPr>
          <w:spacing w:val="-9"/>
        </w:rPr>
        <w:t xml:space="preserve"> </w:t>
      </w:r>
      <w:r>
        <w:t>that</w:t>
      </w:r>
      <w:r>
        <w:rPr>
          <w:spacing w:val="-9"/>
        </w:rPr>
        <w:t xml:space="preserve"> </w:t>
      </w:r>
      <w:r>
        <w:t>when</w:t>
      </w:r>
      <w:r>
        <w:rPr>
          <w:spacing w:val="-9"/>
        </w:rPr>
        <w:t xml:space="preserve"> </w:t>
      </w:r>
      <w:r>
        <w:t>they</w:t>
      </w:r>
      <w:r>
        <w:rPr>
          <w:spacing w:val="-9"/>
        </w:rPr>
        <w:t xml:space="preserve"> </w:t>
      </w:r>
      <w:r>
        <w:t>do</w:t>
      </w:r>
      <w:r>
        <w:rPr>
          <w:spacing w:val="-9"/>
        </w:rPr>
        <w:t xml:space="preserve"> </w:t>
      </w:r>
      <w:r>
        <w:t>express</w:t>
      </w:r>
      <w:r>
        <w:rPr>
          <w:spacing w:val="-9"/>
        </w:rPr>
        <w:t xml:space="preserve"> </w:t>
      </w:r>
      <w:r>
        <w:t>views,</w:t>
      </w:r>
      <w:r>
        <w:rPr>
          <w:spacing w:val="-9"/>
        </w:rPr>
        <w:t xml:space="preserve"> </w:t>
      </w:r>
      <w:r>
        <w:t>they</w:t>
      </w:r>
      <w:r>
        <w:rPr>
          <w:spacing w:val="-9"/>
        </w:rPr>
        <w:t xml:space="preserve"> </w:t>
      </w:r>
      <w:r>
        <w:t>would</w:t>
      </w:r>
      <w:r>
        <w:rPr>
          <w:spacing w:val="-10"/>
        </w:rPr>
        <w:t xml:space="preserve"> </w:t>
      </w:r>
      <w:r>
        <w:t>like</w:t>
      </w:r>
      <w:r>
        <w:rPr>
          <w:spacing w:val="-9"/>
        </w:rPr>
        <w:t xml:space="preserve"> </w:t>
      </w:r>
      <w:r>
        <w:t>to</w:t>
      </w:r>
      <w:r>
        <w:rPr>
          <w:spacing w:val="-9"/>
        </w:rPr>
        <w:t xml:space="preserve"> </w:t>
      </w:r>
      <w:r>
        <w:t>have</w:t>
      </w:r>
      <w:r>
        <w:rPr>
          <w:spacing w:val="-9"/>
        </w:rPr>
        <w:t xml:space="preserve"> </w:t>
      </w:r>
      <w:r>
        <w:t>more meaningful</w:t>
      </w:r>
      <w:r>
        <w:rPr>
          <w:spacing w:val="-4"/>
        </w:rPr>
        <w:t xml:space="preserve"> </w:t>
      </w:r>
      <w:r>
        <w:t>conversations</w:t>
      </w:r>
      <w:r>
        <w:rPr>
          <w:spacing w:val="-4"/>
        </w:rPr>
        <w:t xml:space="preserve"> </w:t>
      </w:r>
      <w:r>
        <w:t>with</w:t>
      </w:r>
      <w:r>
        <w:rPr>
          <w:spacing w:val="-4"/>
        </w:rPr>
        <w:t xml:space="preserve"> </w:t>
      </w:r>
      <w:r>
        <w:t>senior</w:t>
      </w:r>
      <w:r>
        <w:rPr>
          <w:spacing w:val="-4"/>
        </w:rPr>
        <w:t xml:space="preserve"> </w:t>
      </w:r>
      <w:r>
        <w:t>leaders</w:t>
      </w:r>
      <w:r w:rsidR="0068598E">
        <w:rPr>
          <w:spacing w:val="-22"/>
        </w:rPr>
        <w:t>.</w:t>
      </w:r>
      <w:r>
        <w:rPr>
          <w:w w:val="85"/>
        </w:rPr>
        <w:t xml:space="preserve"> </w:t>
      </w:r>
      <w:r>
        <w:t>Many</w:t>
      </w:r>
      <w:r>
        <w:rPr>
          <w:spacing w:val="-4"/>
        </w:rPr>
        <w:t xml:space="preserve"> </w:t>
      </w:r>
      <w:r>
        <w:t>people</w:t>
      </w:r>
      <w:r>
        <w:rPr>
          <w:spacing w:val="-4"/>
        </w:rPr>
        <w:t xml:space="preserve"> </w:t>
      </w:r>
      <w:r>
        <w:t>the</w:t>
      </w:r>
      <w:r>
        <w:rPr>
          <w:spacing w:val="-4"/>
        </w:rPr>
        <w:t xml:space="preserve"> </w:t>
      </w:r>
      <w:r>
        <w:t>Review</w:t>
      </w:r>
      <w:r>
        <w:rPr>
          <w:spacing w:val="-4"/>
        </w:rPr>
        <w:t xml:space="preserve"> </w:t>
      </w:r>
      <w:r>
        <w:t>consulted</w:t>
      </w:r>
      <w:r>
        <w:rPr>
          <w:spacing w:val="-4"/>
        </w:rPr>
        <w:t xml:space="preserve"> </w:t>
      </w:r>
      <w:r>
        <w:t>indicated</w:t>
      </w:r>
      <w:r>
        <w:rPr>
          <w:spacing w:val="-4"/>
        </w:rPr>
        <w:t xml:space="preserve"> </w:t>
      </w:r>
      <w:r>
        <w:t>a</w:t>
      </w:r>
      <w:r>
        <w:rPr>
          <w:spacing w:val="-4"/>
        </w:rPr>
        <w:t xml:space="preserve"> </w:t>
      </w:r>
      <w:r>
        <w:t>desire to</w:t>
      </w:r>
      <w:r>
        <w:rPr>
          <w:spacing w:val="-9"/>
        </w:rPr>
        <w:t xml:space="preserve"> </w:t>
      </w:r>
      <w:r>
        <w:t>hear</w:t>
      </w:r>
      <w:r>
        <w:rPr>
          <w:spacing w:val="-10"/>
        </w:rPr>
        <w:t xml:space="preserve"> </w:t>
      </w:r>
      <w:r>
        <w:t>more</w:t>
      </w:r>
      <w:r>
        <w:rPr>
          <w:spacing w:val="-9"/>
        </w:rPr>
        <w:t xml:space="preserve"> </w:t>
      </w:r>
      <w:r>
        <w:t>on</w:t>
      </w:r>
      <w:r>
        <w:rPr>
          <w:spacing w:val="-9"/>
        </w:rPr>
        <w:t xml:space="preserve"> </w:t>
      </w:r>
      <w:r>
        <w:t>senior</w:t>
      </w:r>
      <w:r>
        <w:rPr>
          <w:spacing w:val="-10"/>
        </w:rPr>
        <w:t xml:space="preserve"> </w:t>
      </w:r>
      <w:r>
        <w:t>leaders’</w:t>
      </w:r>
      <w:r>
        <w:rPr>
          <w:spacing w:val="-9"/>
        </w:rPr>
        <w:t xml:space="preserve"> </w:t>
      </w:r>
      <w:r>
        <w:t>reactions</w:t>
      </w:r>
      <w:r>
        <w:rPr>
          <w:spacing w:val="-9"/>
        </w:rPr>
        <w:t xml:space="preserve"> </w:t>
      </w:r>
      <w:r>
        <w:t>to</w:t>
      </w:r>
      <w:r>
        <w:rPr>
          <w:spacing w:val="-9"/>
        </w:rPr>
        <w:t xml:space="preserve"> </w:t>
      </w:r>
      <w:r>
        <w:t>staff</w:t>
      </w:r>
      <w:r>
        <w:rPr>
          <w:spacing w:val="-9"/>
        </w:rPr>
        <w:t xml:space="preserve"> </w:t>
      </w:r>
      <w:r>
        <w:t>members’</w:t>
      </w:r>
      <w:r>
        <w:rPr>
          <w:spacing w:val="-9"/>
        </w:rPr>
        <w:t xml:space="preserve"> </w:t>
      </w:r>
      <w:r>
        <w:t>views.</w:t>
      </w:r>
      <w:r>
        <w:rPr>
          <w:spacing w:val="-9"/>
        </w:rPr>
        <w:t xml:space="preserve"> </w:t>
      </w:r>
      <w:r>
        <w:t>They</w:t>
      </w:r>
      <w:r>
        <w:rPr>
          <w:spacing w:val="-9"/>
        </w:rPr>
        <w:t xml:space="preserve"> </w:t>
      </w:r>
      <w:r>
        <w:t>wanted</w:t>
      </w:r>
      <w:r>
        <w:rPr>
          <w:spacing w:val="-10"/>
        </w:rPr>
        <w:t xml:space="preserve"> </w:t>
      </w:r>
      <w:r>
        <w:t>to</w:t>
      </w:r>
      <w:r>
        <w:rPr>
          <w:spacing w:val="-9"/>
        </w:rPr>
        <w:t xml:space="preserve"> </w:t>
      </w:r>
      <w:r>
        <w:t>better</w:t>
      </w:r>
      <w:r>
        <w:rPr>
          <w:spacing w:val="-10"/>
        </w:rPr>
        <w:t xml:space="preserve"> </w:t>
      </w:r>
      <w:r>
        <w:t>understand the</w:t>
      </w:r>
      <w:r>
        <w:rPr>
          <w:spacing w:val="-12"/>
        </w:rPr>
        <w:t xml:space="preserve"> </w:t>
      </w:r>
      <w:r>
        <w:t>rationale</w:t>
      </w:r>
      <w:r>
        <w:rPr>
          <w:spacing w:val="-12"/>
        </w:rPr>
        <w:t xml:space="preserve"> </w:t>
      </w:r>
      <w:r>
        <w:t>for</w:t>
      </w:r>
      <w:r>
        <w:rPr>
          <w:spacing w:val="-12"/>
        </w:rPr>
        <w:t xml:space="preserve"> </w:t>
      </w:r>
      <w:r>
        <w:t>key</w:t>
      </w:r>
      <w:r>
        <w:rPr>
          <w:spacing w:val="-11"/>
        </w:rPr>
        <w:t xml:space="preserve"> </w:t>
      </w:r>
      <w:r>
        <w:t>decisions,</w:t>
      </w:r>
      <w:r>
        <w:rPr>
          <w:spacing w:val="-12"/>
        </w:rPr>
        <w:t xml:space="preserve"> </w:t>
      </w:r>
      <w:r>
        <w:t>especially</w:t>
      </w:r>
      <w:r>
        <w:rPr>
          <w:spacing w:val="-12"/>
        </w:rPr>
        <w:t xml:space="preserve"> </w:t>
      </w:r>
      <w:r>
        <w:t>where</w:t>
      </w:r>
      <w:r>
        <w:rPr>
          <w:spacing w:val="-11"/>
        </w:rPr>
        <w:t xml:space="preserve"> </w:t>
      </w:r>
      <w:r>
        <w:t>decisions</w:t>
      </w:r>
      <w:r>
        <w:rPr>
          <w:spacing w:val="-12"/>
        </w:rPr>
        <w:t xml:space="preserve"> </w:t>
      </w:r>
      <w:r>
        <w:t>differed</w:t>
      </w:r>
      <w:r>
        <w:rPr>
          <w:spacing w:val="-12"/>
        </w:rPr>
        <w:t xml:space="preserve"> </w:t>
      </w:r>
      <w:r>
        <w:t>from</w:t>
      </w:r>
      <w:r>
        <w:rPr>
          <w:spacing w:val="-11"/>
        </w:rPr>
        <w:t xml:space="preserve"> </w:t>
      </w:r>
      <w:r>
        <w:t>staff</w:t>
      </w:r>
      <w:r>
        <w:rPr>
          <w:spacing w:val="-12"/>
        </w:rPr>
        <w:t xml:space="preserve"> </w:t>
      </w:r>
      <w:r>
        <w:t>members’</w:t>
      </w:r>
      <w:r>
        <w:rPr>
          <w:spacing w:val="-12"/>
        </w:rPr>
        <w:t xml:space="preserve"> </w:t>
      </w:r>
      <w:r>
        <w:t>views.</w:t>
      </w:r>
      <w:r>
        <w:rPr>
          <w:spacing w:val="-11"/>
        </w:rPr>
        <w:t xml:space="preserve"> </w:t>
      </w:r>
      <w:r>
        <w:t>This</w:t>
      </w:r>
      <w:r w:rsidR="00BB3B14">
        <w:t xml:space="preserve"> </w:t>
      </w:r>
      <w:r>
        <w:rPr>
          <w:color w:val="231F20"/>
          <w:spacing w:val="-2"/>
        </w:rPr>
        <w:t>understanding</w:t>
      </w:r>
      <w:r>
        <w:rPr>
          <w:color w:val="231F20"/>
          <w:spacing w:val="-10"/>
        </w:rPr>
        <w:t xml:space="preserve"> </w:t>
      </w:r>
      <w:r>
        <w:rPr>
          <w:color w:val="231F20"/>
          <w:spacing w:val="-2"/>
        </w:rPr>
        <w:t>would</w:t>
      </w:r>
      <w:r>
        <w:rPr>
          <w:color w:val="231F20"/>
          <w:spacing w:val="-10"/>
        </w:rPr>
        <w:t xml:space="preserve"> </w:t>
      </w:r>
      <w:r>
        <w:rPr>
          <w:color w:val="231F20"/>
          <w:spacing w:val="-2"/>
        </w:rPr>
        <w:t>better</w:t>
      </w:r>
      <w:r>
        <w:rPr>
          <w:color w:val="231F20"/>
          <w:spacing w:val="-10"/>
        </w:rPr>
        <w:t xml:space="preserve"> </w:t>
      </w:r>
      <w:r>
        <w:rPr>
          <w:color w:val="231F20"/>
          <w:spacing w:val="-2"/>
        </w:rPr>
        <w:t>enable</w:t>
      </w:r>
      <w:r>
        <w:rPr>
          <w:color w:val="231F20"/>
          <w:spacing w:val="-10"/>
        </w:rPr>
        <w:t xml:space="preserve"> </w:t>
      </w:r>
      <w:r>
        <w:rPr>
          <w:color w:val="231F20"/>
          <w:spacing w:val="-2"/>
        </w:rPr>
        <w:t>staff</w:t>
      </w:r>
      <w:r>
        <w:rPr>
          <w:color w:val="231F20"/>
          <w:spacing w:val="-10"/>
        </w:rPr>
        <w:t xml:space="preserve"> </w:t>
      </w:r>
      <w:r>
        <w:rPr>
          <w:color w:val="231F20"/>
          <w:spacing w:val="-2"/>
        </w:rPr>
        <w:t>members</w:t>
      </w:r>
      <w:r>
        <w:rPr>
          <w:color w:val="231F20"/>
          <w:spacing w:val="-9"/>
        </w:rPr>
        <w:t xml:space="preserve"> </w:t>
      </w:r>
      <w:r>
        <w:rPr>
          <w:color w:val="231F20"/>
          <w:spacing w:val="-2"/>
        </w:rPr>
        <w:t>to</w:t>
      </w:r>
      <w:r>
        <w:rPr>
          <w:color w:val="231F20"/>
          <w:spacing w:val="-10"/>
        </w:rPr>
        <w:t xml:space="preserve"> </w:t>
      </w:r>
      <w:r>
        <w:rPr>
          <w:color w:val="231F20"/>
          <w:spacing w:val="-2"/>
        </w:rPr>
        <w:t>challenge</w:t>
      </w:r>
      <w:r>
        <w:rPr>
          <w:color w:val="231F20"/>
          <w:spacing w:val="-10"/>
        </w:rPr>
        <w:t xml:space="preserve"> </w:t>
      </w:r>
      <w:r>
        <w:rPr>
          <w:color w:val="231F20"/>
          <w:spacing w:val="-2"/>
        </w:rPr>
        <w:t>policy</w:t>
      </w:r>
      <w:r>
        <w:rPr>
          <w:color w:val="231F20"/>
          <w:spacing w:val="-9"/>
        </w:rPr>
        <w:t xml:space="preserve"> </w:t>
      </w:r>
      <w:r>
        <w:rPr>
          <w:color w:val="231F20"/>
          <w:spacing w:val="-2"/>
        </w:rPr>
        <w:t>decisions</w:t>
      </w:r>
      <w:r>
        <w:rPr>
          <w:color w:val="231F20"/>
          <w:spacing w:val="-10"/>
        </w:rPr>
        <w:t xml:space="preserve"> </w:t>
      </w:r>
      <w:r>
        <w:rPr>
          <w:color w:val="231F20"/>
          <w:spacing w:val="-2"/>
        </w:rPr>
        <w:t>and</w:t>
      </w:r>
      <w:r>
        <w:rPr>
          <w:color w:val="231F20"/>
          <w:spacing w:val="-10"/>
        </w:rPr>
        <w:t xml:space="preserve"> </w:t>
      </w:r>
      <w:r>
        <w:rPr>
          <w:color w:val="231F20"/>
          <w:spacing w:val="-2"/>
        </w:rPr>
        <w:t>improve</w:t>
      </w:r>
      <w:r>
        <w:rPr>
          <w:color w:val="231F20"/>
          <w:spacing w:val="-10"/>
        </w:rPr>
        <w:t xml:space="preserve"> </w:t>
      </w:r>
      <w:r>
        <w:rPr>
          <w:color w:val="231F20"/>
          <w:spacing w:val="-2"/>
        </w:rPr>
        <w:t>their</w:t>
      </w:r>
      <w:r>
        <w:rPr>
          <w:color w:val="231F20"/>
          <w:spacing w:val="-10"/>
        </w:rPr>
        <w:t xml:space="preserve"> </w:t>
      </w:r>
      <w:r>
        <w:rPr>
          <w:color w:val="231F20"/>
          <w:spacing w:val="-2"/>
        </w:rPr>
        <w:t xml:space="preserve">trust </w:t>
      </w:r>
      <w:r>
        <w:rPr>
          <w:color w:val="231F20"/>
        </w:rPr>
        <w:t>in</w:t>
      </w:r>
      <w:r>
        <w:rPr>
          <w:color w:val="231F20"/>
          <w:spacing w:val="-12"/>
        </w:rPr>
        <w:t xml:space="preserve"> </w:t>
      </w:r>
      <w:r>
        <w:rPr>
          <w:color w:val="231F20"/>
        </w:rPr>
        <w:t>decision</w:t>
      </w:r>
      <w:r>
        <w:rPr>
          <w:color w:val="231F20"/>
          <w:spacing w:val="-12"/>
        </w:rPr>
        <w:t xml:space="preserve"> </w:t>
      </w:r>
      <w:r>
        <w:rPr>
          <w:color w:val="231F20"/>
        </w:rPr>
        <w:t>making.</w:t>
      </w:r>
      <w:r>
        <w:rPr>
          <w:color w:val="231F20"/>
          <w:spacing w:val="-11"/>
        </w:rPr>
        <w:t xml:space="preserve"> </w:t>
      </w:r>
      <w:r>
        <w:rPr>
          <w:color w:val="231F20"/>
        </w:rPr>
        <w:t>It</w:t>
      </w:r>
      <w:r>
        <w:rPr>
          <w:color w:val="231F20"/>
          <w:spacing w:val="-11"/>
        </w:rPr>
        <w:t xml:space="preserve"> </w:t>
      </w:r>
      <w:r>
        <w:rPr>
          <w:color w:val="231F20"/>
        </w:rPr>
        <w:t>would</w:t>
      </w:r>
      <w:r>
        <w:rPr>
          <w:color w:val="231F20"/>
          <w:spacing w:val="-12"/>
        </w:rPr>
        <w:t xml:space="preserve"> </w:t>
      </w:r>
      <w:r>
        <w:rPr>
          <w:color w:val="231F20"/>
        </w:rPr>
        <w:t>also</w:t>
      </w:r>
      <w:r>
        <w:rPr>
          <w:color w:val="231F20"/>
          <w:spacing w:val="-11"/>
        </w:rPr>
        <w:t xml:space="preserve"> </w:t>
      </w:r>
      <w:r>
        <w:rPr>
          <w:color w:val="231F20"/>
        </w:rPr>
        <w:t>aid</w:t>
      </w:r>
      <w:r>
        <w:rPr>
          <w:color w:val="231F20"/>
          <w:spacing w:val="-12"/>
        </w:rPr>
        <w:t xml:space="preserve"> </w:t>
      </w:r>
      <w:r>
        <w:rPr>
          <w:color w:val="231F20"/>
        </w:rPr>
        <w:t>junior</w:t>
      </w:r>
      <w:r>
        <w:rPr>
          <w:color w:val="231F20"/>
          <w:spacing w:val="-12"/>
        </w:rPr>
        <w:t xml:space="preserve"> </w:t>
      </w:r>
      <w:r>
        <w:rPr>
          <w:color w:val="231F20"/>
        </w:rPr>
        <w:t>staff</w:t>
      </w:r>
      <w:r>
        <w:rPr>
          <w:color w:val="231F20"/>
          <w:spacing w:val="-11"/>
        </w:rPr>
        <w:t xml:space="preserve"> </w:t>
      </w:r>
      <w:r>
        <w:rPr>
          <w:color w:val="231F20"/>
        </w:rPr>
        <w:t>members’</w:t>
      </w:r>
      <w:r>
        <w:rPr>
          <w:color w:val="231F20"/>
          <w:spacing w:val="-11"/>
        </w:rPr>
        <w:t xml:space="preserve"> </w:t>
      </w:r>
      <w:r>
        <w:rPr>
          <w:color w:val="231F20"/>
        </w:rPr>
        <w:t>career</w:t>
      </w:r>
      <w:r>
        <w:rPr>
          <w:color w:val="231F20"/>
          <w:spacing w:val="-12"/>
        </w:rPr>
        <w:t xml:space="preserve"> </w:t>
      </w:r>
      <w:r>
        <w:rPr>
          <w:color w:val="231F20"/>
        </w:rPr>
        <w:t>development</w:t>
      </w:r>
      <w:r>
        <w:rPr>
          <w:color w:val="231F20"/>
          <w:spacing w:val="-11"/>
        </w:rPr>
        <w:t xml:space="preserve"> </w:t>
      </w:r>
      <w:r>
        <w:rPr>
          <w:color w:val="231F20"/>
        </w:rPr>
        <w:t>by</w:t>
      </w:r>
      <w:r>
        <w:rPr>
          <w:color w:val="231F20"/>
          <w:spacing w:val="-12"/>
        </w:rPr>
        <w:t xml:space="preserve"> </w:t>
      </w:r>
      <w:r>
        <w:rPr>
          <w:color w:val="231F20"/>
        </w:rPr>
        <w:t>exposing</w:t>
      </w:r>
      <w:r>
        <w:rPr>
          <w:color w:val="231F20"/>
          <w:spacing w:val="-11"/>
        </w:rPr>
        <w:t xml:space="preserve"> </w:t>
      </w:r>
      <w:r>
        <w:rPr>
          <w:color w:val="231F20"/>
        </w:rPr>
        <w:t>them</w:t>
      </w:r>
      <w:r>
        <w:rPr>
          <w:color w:val="231F20"/>
          <w:spacing w:val="-11"/>
        </w:rPr>
        <w:t xml:space="preserve"> </w:t>
      </w:r>
      <w:r>
        <w:rPr>
          <w:color w:val="231F20"/>
        </w:rPr>
        <w:t>to</w:t>
      </w:r>
      <w:r>
        <w:rPr>
          <w:color w:val="231F20"/>
          <w:spacing w:val="-12"/>
        </w:rPr>
        <w:t xml:space="preserve"> </w:t>
      </w:r>
      <w:r>
        <w:rPr>
          <w:color w:val="231F20"/>
        </w:rPr>
        <w:t>a broader</w:t>
      </w:r>
      <w:r>
        <w:rPr>
          <w:color w:val="231F20"/>
          <w:spacing w:val="-1"/>
        </w:rPr>
        <w:t xml:space="preserve"> </w:t>
      </w:r>
      <w:r>
        <w:rPr>
          <w:color w:val="231F20"/>
        </w:rPr>
        <w:t>range of perspectives and</w:t>
      </w:r>
      <w:r>
        <w:rPr>
          <w:color w:val="231F20"/>
          <w:spacing w:val="-1"/>
        </w:rPr>
        <w:t xml:space="preserve"> </w:t>
      </w:r>
      <w:r>
        <w:rPr>
          <w:color w:val="231F20"/>
        </w:rPr>
        <w:t>thinking</w:t>
      </w:r>
      <w:r w:rsidR="0068598E">
        <w:rPr>
          <w:color w:val="231F20"/>
          <w:spacing w:val="-19"/>
        </w:rPr>
        <w:t>.</w:t>
      </w:r>
    </w:p>
    <w:p w14:paraId="00BB60E3" w14:textId="0FE8EF45" w:rsidR="00F00219" w:rsidRDefault="00F00219" w:rsidP="00BB3B14">
      <w:r>
        <w:t>Some staff members relayed that the RBA has a ‘nice culture’. This can be driven by a common desire to avoid conflict (Clark 2021). This can stifle the expression of opinions up the chain of authority and limit communication coming back down. In consultations, several people noted that if someone disagrees with something, they are more likely to humour you and do nothing than openly disagree with you. The Review heard multiple accounts of examples of this nature. In one specific example, senior leaders took 16 months to respond to an intended Research Discussion Paper that challenged the stance of monetary policy</w:t>
      </w:r>
      <w:r w:rsidR="0068598E">
        <w:rPr>
          <w:spacing w:val="-14"/>
        </w:rPr>
        <w:t>.</w:t>
      </w:r>
    </w:p>
    <w:p w14:paraId="618714D5" w14:textId="54B3DA14" w:rsidR="00A117B8" w:rsidRDefault="00A117B8" w:rsidP="00A117B8">
      <w:r>
        <w:t>Several people noted having been told not to criticise arguments that others were making for the sake of collegiality</w:t>
      </w:r>
      <w:r w:rsidR="0068598E">
        <w:rPr>
          <w:spacing w:val="-24"/>
        </w:rPr>
        <w:t>.</w:t>
      </w:r>
      <w:r>
        <w:rPr>
          <w:w w:val="85"/>
        </w:rPr>
        <w:t xml:space="preserve"> </w:t>
      </w:r>
      <w:r>
        <w:t>Some noted that those who question or challenge in meetings are subsequently told they are ‘too negative’, or their intervention was ‘not constructive’</w:t>
      </w:r>
      <w:r w:rsidR="0068598E">
        <w:rPr>
          <w:spacing w:val="-18"/>
        </w:rPr>
        <w:t>.</w:t>
      </w:r>
      <w:r>
        <w:rPr>
          <w:w w:val="85"/>
        </w:rPr>
        <w:t xml:space="preserve"> </w:t>
      </w:r>
      <w:r>
        <w:t>Others nuanced this by observing that while staff members should feel free to constructively challenge, it should be done respectfully and in a way that does not intimidate others, particularly more junior staff members.</w:t>
      </w:r>
    </w:p>
    <w:p w14:paraId="163707CC" w14:textId="269C898B" w:rsidR="00A117B8" w:rsidRDefault="00A117B8" w:rsidP="00A117B8">
      <w:r>
        <w:t>Another potential factor affecting engagement by senior leaders is a desire to not ‘crowd out’ staff members. At times, attempts to create a space for staff members to speak can leave some feeling like they are speaking into a void. Again, this highlights the challenge for leaders of finding the right balance. Staff members said they would welcome more feedback from and deeper engagement with senior leaders on their views</w:t>
      </w:r>
      <w:r w:rsidR="0068598E">
        <w:rPr>
          <w:spacing w:val="-18"/>
        </w:rPr>
        <w:t>.</w:t>
      </w:r>
      <w:r>
        <w:rPr>
          <w:w w:val="85"/>
        </w:rPr>
        <w:t xml:space="preserve"> </w:t>
      </w:r>
      <w:r>
        <w:t>Senior leaders should continue to pursue ways to actively engage with staff members (for example, through more open questioning) that do not leave them feeling that leaders are either disengaged or trying to shut down discussion</w:t>
      </w:r>
      <w:r w:rsidR="0068598E">
        <w:rPr>
          <w:spacing w:val="-18"/>
        </w:rPr>
        <w:t>.</w:t>
      </w:r>
    </w:p>
    <w:p w14:paraId="326745EC" w14:textId="77777777" w:rsidR="00A117B8" w:rsidRDefault="00A117B8" w:rsidP="00A117B8">
      <w:pPr>
        <w:pStyle w:val="Heading4"/>
      </w:pPr>
      <w:r>
        <w:lastRenderedPageBreak/>
        <w:t>Improving</w:t>
      </w:r>
      <w:r>
        <w:rPr>
          <w:spacing w:val="1"/>
        </w:rPr>
        <w:t xml:space="preserve"> </w:t>
      </w:r>
      <w:r>
        <w:t>openness</w:t>
      </w:r>
      <w:r>
        <w:rPr>
          <w:spacing w:val="1"/>
        </w:rPr>
        <w:t xml:space="preserve"> </w:t>
      </w:r>
      <w:r>
        <w:t>to</w:t>
      </w:r>
      <w:r>
        <w:rPr>
          <w:spacing w:val="2"/>
        </w:rPr>
        <w:t xml:space="preserve"> </w:t>
      </w:r>
      <w:r>
        <w:t>external</w:t>
      </w:r>
      <w:r>
        <w:rPr>
          <w:spacing w:val="1"/>
        </w:rPr>
        <w:t xml:space="preserve"> </w:t>
      </w:r>
      <w:r>
        <w:t>ideas</w:t>
      </w:r>
      <w:r>
        <w:rPr>
          <w:spacing w:val="1"/>
        </w:rPr>
        <w:t xml:space="preserve"> </w:t>
      </w:r>
      <w:r>
        <w:t>and</w:t>
      </w:r>
      <w:r>
        <w:rPr>
          <w:spacing w:val="2"/>
        </w:rPr>
        <w:t xml:space="preserve"> </w:t>
      </w:r>
      <w:r>
        <w:rPr>
          <w:spacing w:val="-2"/>
        </w:rPr>
        <w:t>people</w:t>
      </w:r>
    </w:p>
    <w:p w14:paraId="3EF235D7" w14:textId="0E6D44F8" w:rsidR="00A117B8" w:rsidRDefault="00A117B8" w:rsidP="00A117B8">
      <w:r>
        <w:t>RBA staff members have a very strong sense of pride and attachment to their organisation when compared</w:t>
      </w:r>
      <w:r>
        <w:rPr>
          <w:spacing w:val="-1"/>
        </w:rPr>
        <w:t xml:space="preserve"> </w:t>
      </w:r>
      <w:r>
        <w:t>with</w:t>
      </w:r>
      <w:r>
        <w:rPr>
          <w:spacing w:val="-1"/>
        </w:rPr>
        <w:t xml:space="preserve"> </w:t>
      </w:r>
      <w:r>
        <w:t>the</w:t>
      </w:r>
      <w:r>
        <w:rPr>
          <w:spacing w:val="-1"/>
        </w:rPr>
        <w:t xml:space="preserve"> </w:t>
      </w:r>
      <w:r>
        <w:t>APS</w:t>
      </w:r>
      <w:r w:rsidR="0068598E">
        <w:rPr>
          <w:spacing w:val="-25"/>
        </w:rPr>
        <w:t>.</w:t>
      </w:r>
      <w:r>
        <w:rPr>
          <w:w w:val="85"/>
        </w:rPr>
        <w:t xml:space="preserve"> </w:t>
      </w:r>
      <w:r>
        <w:t>They</w:t>
      </w:r>
      <w:r>
        <w:rPr>
          <w:spacing w:val="-1"/>
        </w:rPr>
        <w:t xml:space="preserve"> </w:t>
      </w:r>
      <w:r>
        <w:t>are</w:t>
      </w:r>
      <w:r>
        <w:rPr>
          <w:spacing w:val="-1"/>
        </w:rPr>
        <w:t xml:space="preserve"> </w:t>
      </w:r>
      <w:r>
        <w:t>more</w:t>
      </w:r>
      <w:r>
        <w:rPr>
          <w:spacing w:val="-1"/>
        </w:rPr>
        <w:t xml:space="preserve"> </w:t>
      </w:r>
      <w:r>
        <w:t>likely</w:t>
      </w:r>
      <w:r>
        <w:rPr>
          <w:spacing w:val="-1"/>
        </w:rPr>
        <w:t xml:space="preserve"> </w:t>
      </w:r>
      <w:r>
        <w:t>to</w:t>
      </w:r>
      <w:r>
        <w:rPr>
          <w:spacing w:val="-1"/>
        </w:rPr>
        <w:t xml:space="preserve"> </w:t>
      </w:r>
      <w:r>
        <w:t>be</w:t>
      </w:r>
      <w:r>
        <w:rPr>
          <w:spacing w:val="-1"/>
        </w:rPr>
        <w:t xml:space="preserve"> </w:t>
      </w:r>
      <w:r>
        <w:t>proud</w:t>
      </w:r>
      <w:r>
        <w:rPr>
          <w:spacing w:val="-1"/>
        </w:rPr>
        <w:t xml:space="preserve"> </w:t>
      </w:r>
      <w:r>
        <w:t>to</w:t>
      </w:r>
      <w:r>
        <w:rPr>
          <w:spacing w:val="-1"/>
        </w:rPr>
        <w:t xml:space="preserve"> </w:t>
      </w:r>
      <w:r>
        <w:t>work</w:t>
      </w:r>
      <w:r>
        <w:rPr>
          <w:spacing w:val="-1"/>
        </w:rPr>
        <w:t xml:space="preserve"> </w:t>
      </w:r>
      <w:r>
        <w:t>in</w:t>
      </w:r>
      <w:r>
        <w:rPr>
          <w:spacing w:val="-1"/>
        </w:rPr>
        <w:t xml:space="preserve"> </w:t>
      </w:r>
      <w:r>
        <w:t>their</w:t>
      </w:r>
      <w:r>
        <w:rPr>
          <w:spacing w:val="-1"/>
        </w:rPr>
        <w:t xml:space="preserve"> </w:t>
      </w:r>
      <w:r>
        <w:t>organisation,</w:t>
      </w:r>
      <w:r>
        <w:rPr>
          <w:spacing w:val="-1"/>
        </w:rPr>
        <w:t xml:space="preserve"> </w:t>
      </w:r>
      <w:r>
        <w:t>feel</w:t>
      </w:r>
      <w:r>
        <w:rPr>
          <w:spacing w:val="-1"/>
        </w:rPr>
        <w:t xml:space="preserve"> </w:t>
      </w:r>
      <w:r>
        <w:t>a</w:t>
      </w:r>
      <w:r>
        <w:rPr>
          <w:spacing w:val="-1"/>
        </w:rPr>
        <w:t xml:space="preserve"> </w:t>
      </w:r>
      <w:r>
        <w:t>strong personal attachment to their organisation, believe strongly in the purpose and objectives of their organisation, recommend their organisation as a good place to work, and feel committed to their organisation’s goals (RBA Review Staff Survey 2022).</w:t>
      </w:r>
    </w:p>
    <w:p w14:paraId="6D086167" w14:textId="77777777" w:rsidR="00A117B8" w:rsidRDefault="00A117B8" w:rsidP="00A117B8">
      <w:r>
        <w:t>Yet, the Review also heard that this strength can be overplayed, resulting in some insularity, arrogance, and over-confidence among staff members. This can inhibit constructive challenge and debate, which can stifle innovation and have a detrimental impact on good decision making (see Chapter 1).</w:t>
      </w:r>
    </w:p>
    <w:p w14:paraId="758DA6A0" w14:textId="20F7BE17" w:rsidR="00A117B8" w:rsidRDefault="00A117B8" w:rsidP="00A117B8">
      <w:r>
        <w:t>The Review heard from some stakeholders that the RBA is a bit of a ‘closed shop’ with little interaction</w:t>
      </w:r>
      <w:r>
        <w:rPr>
          <w:spacing w:val="-5"/>
        </w:rPr>
        <w:t xml:space="preserve"> </w:t>
      </w:r>
      <w:r>
        <w:t>with the broader economics community</w:t>
      </w:r>
      <w:r w:rsidR="0068598E">
        <w:rPr>
          <w:spacing w:val="-12"/>
        </w:rPr>
        <w:t>.</w:t>
      </w:r>
      <w:r>
        <w:rPr>
          <w:w w:val="85"/>
        </w:rPr>
        <w:t xml:space="preserve"> </w:t>
      </w:r>
      <w:r>
        <w:t>One person summarised these views by noting:</w:t>
      </w:r>
    </w:p>
    <w:p w14:paraId="563E2BDB" w14:textId="77777777" w:rsidR="00A117B8" w:rsidRDefault="00A117B8" w:rsidP="00A117B8">
      <w:pPr>
        <w:pStyle w:val="italicquote"/>
      </w:pPr>
      <w:r>
        <w:t>‘As</w:t>
      </w:r>
      <w:r>
        <w:rPr>
          <w:spacing w:val="-3"/>
        </w:rPr>
        <w:t xml:space="preserve"> </w:t>
      </w:r>
      <w:r>
        <w:t>an</w:t>
      </w:r>
      <w:r>
        <w:rPr>
          <w:spacing w:val="-3"/>
        </w:rPr>
        <w:t xml:space="preserve"> </w:t>
      </w:r>
      <w:r>
        <w:t>observer,</w:t>
      </w:r>
      <w:r>
        <w:rPr>
          <w:spacing w:val="-3"/>
        </w:rPr>
        <w:t xml:space="preserve"> </w:t>
      </w:r>
      <w:r>
        <w:t>it</w:t>
      </w:r>
      <w:r>
        <w:rPr>
          <w:spacing w:val="-3"/>
        </w:rPr>
        <w:t xml:space="preserve"> </w:t>
      </w:r>
      <w:r>
        <w:t>would</w:t>
      </w:r>
      <w:r>
        <w:rPr>
          <w:spacing w:val="-3"/>
        </w:rPr>
        <w:t xml:space="preserve"> </w:t>
      </w:r>
      <w:r>
        <w:t>appear</w:t>
      </w:r>
      <w:r>
        <w:rPr>
          <w:spacing w:val="-3"/>
        </w:rPr>
        <w:t xml:space="preserve"> </w:t>
      </w:r>
      <w:r>
        <w:t>to</w:t>
      </w:r>
      <w:r>
        <w:rPr>
          <w:spacing w:val="-3"/>
        </w:rPr>
        <w:t xml:space="preserve"> </w:t>
      </w:r>
      <w:r>
        <w:t>me</w:t>
      </w:r>
      <w:r>
        <w:rPr>
          <w:spacing w:val="-3"/>
        </w:rPr>
        <w:t xml:space="preserve"> </w:t>
      </w:r>
      <w:r>
        <w:t>that</w:t>
      </w:r>
      <w:r>
        <w:rPr>
          <w:spacing w:val="-3"/>
        </w:rPr>
        <w:t xml:space="preserve"> </w:t>
      </w:r>
      <w:r>
        <w:t>the</w:t>
      </w:r>
      <w:r>
        <w:rPr>
          <w:spacing w:val="-3"/>
        </w:rPr>
        <w:t xml:space="preserve"> </w:t>
      </w:r>
      <w:r>
        <w:t>RBA</w:t>
      </w:r>
      <w:r>
        <w:rPr>
          <w:spacing w:val="-3"/>
        </w:rPr>
        <w:t xml:space="preserve"> </w:t>
      </w:r>
      <w:r>
        <w:t>has</w:t>
      </w:r>
      <w:r>
        <w:rPr>
          <w:spacing w:val="-3"/>
        </w:rPr>
        <w:t xml:space="preserve"> </w:t>
      </w:r>
      <w:r>
        <w:t>an</w:t>
      </w:r>
      <w:r>
        <w:rPr>
          <w:spacing w:val="-3"/>
        </w:rPr>
        <w:t xml:space="preserve"> </w:t>
      </w:r>
      <w:r>
        <w:t>insular</w:t>
      </w:r>
      <w:r>
        <w:rPr>
          <w:spacing w:val="-3"/>
        </w:rPr>
        <w:t xml:space="preserve"> </w:t>
      </w:r>
      <w:r>
        <w:t>culture</w:t>
      </w:r>
      <w:r>
        <w:rPr>
          <w:spacing w:val="-3"/>
        </w:rPr>
        <w:t xml:space="preserve"> </w:t>
      </w:r>
      <w:r>
        <w:t>that</w:t>
      </w:r>
      <w:r>
        <w:rPr>
          <w:spacing w:val="-3"/>
        </w:rPr>
        <w:t xml:space="preserve"> </w:t>
      </w:r>
      <w:r>
        <w:t>is</w:t>
      </w:r>
      <w:r>
        <w:rPr>
          <w:spacing w:val="-3"/>
        </w:rPr>
        <w:t xml:space="preserve"> </w:t>
      </w:r>
      <w:r>
        <w:t>not</w:t>
      </w:r>
      <w:r>
        <w:rPr>
          <w:spacing w:val="-3"/>
        </w:rPr>
        <w:t xml:space="preserve"> </w:t>
      </w:r>
      <w:r>
        <w:t>particularly open to ideas from outsiders and is prone to groupthink’.</w:t>
      </w:r>
    </w:p>
    <w:p w14:paraId="2A254168" w14:textId="77777777" w:rsidR="00A117B8" w:rsidRDefault="00A117B8" w:rsidP="00A117B8">
      <w:pPr>
        <w:pStyle w:val="italicquote"/>
      </w:pPr>
      <w:r>
        <w:t>̶</w:t>
      </w:r>
      <w:r>
        <w:rPr>
          <w:spacing w:val="4"/>
        </w:rPr>
        <w:t xml:space="preserve"> </w:t>
      </w:r>
      <w:r>
        <w:t>Submission</w:t>
      </w:r>
      <w:r>
        <w:rPr>
          <w:spacing w:val="-2"/>
        </w:rPr>
        <w:t xml:space="preserve"> </w:t>
      </w:r>
      <w:r>
        <w:t>to</w:t>
      </w:r>
      <w:r>
        <w:rPr>
          <w:spacing w:val="-2"/>
        </w:rPr>
        <w:t xml:space="preserve"> </w:t>
      </w:r>
      <w:r>
        <w:t>the</w:t>
      </w:r>
      <w:r>
        <w:rPr>
          <w:spacing w:val="-2"/>
        </w:rPr>
        <w:t xml:space="preserve"> </w:t>
      </w:r>
      <w:r>
        <w:t>RBA</w:t>
      </w:r>
      <w:r>
        <w:rPr>
          <w:spacing w:val="-1"/>
        </w:rPr>
        <w:t xml:space="preserve"> </w:t>
      </w:r>
      <w:r>
        <w:rPr>
          <w:spacing w:val="-2"/>
        </w:rPr>
        <w:t>Review</w:t>
      </w:r>
    </w:p>
    <w:p w14:paraId="4421A215" w14:textId="6040E4D7" w:rsidR="00A117B8" w:rsidRDefault="00A117B8" w:rsidP="00A117B8">
      <w:r>
        <w:t>In the RBA Review Staff Survey, 53 per cent of current employees and 24 per cent of former employees agreed with the phrase, ‘the RBA takes into account the views of a broad range of external stakeholders’. These results were much worse for staff members in the Economic</w:t>
      </w:r>
      <w:r>
        <w:rPr>
          <w:spacing w:val="80"/>
        </w:rPr>
        <w:t xml:space="preserve"> </w:t>
      </w:r>
      <w:r>
        <w:t>Research Department (10 per cent agreed), the Financial Stability Department (39 per cent agreed), and the Human Resources Department (40 per cent agreed). Staff members in these areas expressed a stronger desire to see external ideas and research feeding into policy and internal debates more often (see Recommendation 11</w:t>
      </w:r>
      <w:r w:rsidR="0068598E">
        <w:rPr>
          <w:spacing w:val="-18"/>
        </w:rPr>
        <w:t>.</w:t>
      </w:r>
      <w:r>
        <w:rPr>
          <w:w w:val="117"/>
        </w:rPr>
        <w:t>4)</w:t>
      </w:r>
      <w:r w:rsidR="0068598E">
        <w:rPr>
          <w:spacing w:val="-17"/>
          <w:w w:val="99"/>
        </w:rPr>
        <w:t>.</w:t>
      </w:r>
    </w:p>
    <w:p w14:paraId="7E13018F" w14:textId="476ACC64" w:rsidR="00A117B8" w:rsidRDefault="00A117B8" w:rsidP="00A117B8">
      <w:r>
        <w:t>The Review heard that increasing the share of external hires, particularly at senior levels, would help reduce insularity. Over the last 5 years, the share of external hires in policy departments</w:t>
      </w:r>
      <w:r>
        <w:rPr>
          <w:spacing w:val="80"/>
        </w:rPr>
        <w:t xml:space="preserve"> </w:t>
      </w:r>
      <w:r>
        <w:t>has</w:t>
      </w:r>
      <w:r>
        <w:rPr>
          <w:spacing w:val="-2"/>
        </w:rPr>
        <w:t xml:space="preserve"> </w:t>
      </w:r>
      <w:r>
        <w:t>increased</w:t>
      </w:r>
      <w:r>
        <w:rPr>
          <w:spacing w:val="-2"/>
        </w:rPr>
        <w:t xml:space="preserve"> </w:t>
      </w:r>
      <w:r>
        <w:t>at</w:t>
      </w:r>
      <w:r>
        <w:rPr>
          <w:spacing w:val="-2"/>
        </w:rPr>
        <w:t xml:space="preserve"> </w:t>
      </w:r>
      <w:r>
        <w:t>junior</w:t>
      </w:r>
      <w:r>
        <w:rPr>
          <w:spacing w:val="-2"/>
        </w:rPr>
        <w:t xml:space="preserve"> </w:t>
      </w:r>
      <w:r>
        <w:t>levels</w:t>
      </w:r>
      <w:r>
        <w:rPr>
          <w:spacing w:val="-2"/>
        </w:rPr>
        <w:t xml:space="preserve"> </w:t>
      </w:r>
      <w:r>
        <w:t>–</w:t>
      </w:r>
      <w:r>
        <w:rPr>
          <w:spacing w:val="-2"/>
        </w:rPr>
        <w:t xml:space="preserve"> </w:t>
      </w:r>
      <w:r>
        <w:t>but</w:t>
      </w:r>
      <w:r>
        <w:rPr>
          <w:spacing w:val="-2"/>
        </w:rPr>
        <w:t xml:space="preserve"> </w:t>
      </w:r>
      <w:r>
        <w:t>this</w:t>
      </w:r>
      <w:r>
        <w:rPr>
          <w:spacing w:val="-2"/>
        </w:rPr>
        <w:t xml:space="preserve"> </w:t>
      </w:r>
      <w:r>
        <w:t>is</w:t>
      </w:r>
      <w:r>
        <w:rPr>
          <w:spacing w:val="-2"/>
        </w:rPr>
        <w:t xml:space="preserve"> </w:t>
      </w:r>
      <w:r>
        <w:t>less</w:t>
      </w:r>
      <w:r>
        <w:rPr>
          <w:spacing w:val="-2"/>
        </w:rPr>
        <w:t xml:space="preserve"> </w:t>
      </w:r>
      <w:r>
        <w:t>true</w:t>
      </w:r>
      <w:r>
        <w:rPr>
          <w:spacing w:val="-2"/>
        </w:rPr>
        <w:t xml:space="preserve"> </w:t>
      </w:r>
      <w:r>
        <w:t>for</w:t>
      </w:r>
      <w:r>
        <w:rPr>
          <w:spacing w:val="-2"/>
        </w:rPr>
        <w:t xml:space="preserve"> </w:t>
      </w:r>
      <w:r>
        <w:t>senior</w:t>
      </w:r>
      <w:r>
        <w:rPr>
          <w:spacing w:val="-2"/>
        </w:rPr>
        <w:t xml:space="preserve"> </w:t>
      </w:r>
      <w:r>
        <w:t>levels</w:t>
      </w:r>
      <w:r>
        <w:rPr>
          <w:spacing w:val="-2"/>
        </w:rPr>
        <w:t xml:space="preserve"> </w:t>
      </w:r>
      <w:r>
        <w:t>(Table</w:t>
      </w:r>
      <w:r>
        <w:rPr>
          <w:spacing w:val="-2"/>
        </w:rPr>
        <w:t xml:space="preserve"> </w:t>
      </w:r>
      <w:r>
        <w:t>4.1).</w:t>
      </w:r>
      <w:r>
        <w:rPr>
          <w:spacing w:val="-2"/>
        </w:rPr>
        <w:t xml:space="preserve"> </w:t>
      </w:r>
      <w:r>
        <w:t>74</w:t>
      </w:r>
      <w:r>
        <w:rPr>
          <w:spacing w:val="-2"/>
        </w:rPr>
        <w:t xml:space="preserve"> </w:t>
      </w:r>
      <w:r>
        <w:t>per</w:t>
      </w:r>
      <w:r>
        <w:rPr>
          <w:spacing w:val="-2"/>
        </w:rPr>
        <w:t xml:space="preserve"> </w:t>
      </w:r>
      <w:r>
        <w:t>cent</w:t>
      </w:r>
      <w:r>
        <w:rPr>
          <w:spacing w:val="-2"/>
        </w:rPr>
        <w:t xml:space="preserve"> </w:t>
      </w:r>
      <w:r>
        <w:t>of</w:t>
      </w:r>
      <w:r>
        <w:rPr>
          <w:spacing w:val="-2"/>
        </w:rPr>
        <w:t xml:space="preserve"> </w:t>
      </w:r>
      <w:r>
        <w:t xml:space="preserve">staff </w:t>
      </w:r>
      <w:r>
        <w:rPr>
          <w:color w:val="231F20"/>
        </w:rPr>
        <w:t>members in policy departments ranked manager and above started as graduates with an average tenure of 17 years. Senior roles are often filled by those that began their careers at the RBA, and have been shaped by the culture, which can limit diversity of thinking</w:t>
      </w:r>
      <w:r w:rsidR="0068598E">
        <w:rPr>
          <w:color w:val="231F20"/>
          <w:spacing w:val="-17"/>
        </w:rPr>
        <w:t>.</w:t>
      </w:r>
    </w:p>
    <w:p w14:paraId="003EFA46" w14:textId="77777777" w:rsidR="00D76C1D" w:rsidRDefault="00D76C1D" w:rsidP="00465226">
      <w:pPr>
        <w:pStyle w:val="BoxHeading"/>
        <w:keepLines/>
      </w:pPr>
      <w:r>
        <w:lastRenderedPageBreak/>
        <w:t>Table</w:t>
      </w:r>
      <w:r>
        <w:rPr>
          <w:spacing w:val="-4"/>
        </w:rPr>
        <w:t xml:space="preserve"> </w:t>
      </w:r>
      <w:r>
        <w:t>4.1:</w:t>
      </w:r>
      <w:r>
        <w:rPr>
          <w:spacing w:val="-1"/>
        </w:rPr>
        <w:t xml:space="preserve"> </w:t>
      </w:r>
      <w:r>
        <w:t>External</w:t>
      </w:r>
      <w:r>
        <w:rPr>
          <w:spacing w:val="-1"/>
        </w:rPr>
        <w:t xml:space="preserve"> </w:t>
      </w:r>
      <w:r>
        <w:t>hires</w:t>
      </w:r>
      <w:r>
        <w:rPr>
          <w:spacing w:val="-1"/>
        </w:rPr>
        <w:t xml:space="preserve"> </w:t>
      </w:r>
      <w:r>
        <w:t>as</w:t>
      </w:r>
      <w:r>
        <w:rPr>
          <w:spacing w:val="-2"/>
        </w:rPr>
        <w:t xml:space="preserve"> </w:t>
      </w:r>
      <w:r>
        <w:t>a</w:t>
      </w:r>
      <w:r>
        <w:rPr>
          <w:spacing w:val="-1"/>
        </w:rPr>
        <w:t xml:space="preserve"> </w:t>
      </w:r>
      <w:r>
        <w:t>share</w:t>
      </w:r>
      <w:r>
        <w:rPr>
          <w:spacing w:val="-1"/>
        </w:rPr>
        <w:t xml:space="preserve"> </w:t>
      </w:r>
      <w:r>
        <w:t>of</w:t>
      </w:r>
      <w:r>
        <w:rPr>
          <w:spacing w:val="-1"/>
        </w:rPr>
        <w:t xml:space="preserve"> </w:t>
      </w:r>
      <w:r>
        <w:t>total</w:t>
      </w:r>
      <w:r>
        <w:rPr>
          <w:spacing w:val="-2"/>
        </w:rPr>
        <w:t xml:space="preserve"> </w:t>
      </w:r>
      <w:r>
        <w:t>appointments</w:t>
      </w:r>
      <w:r>
        <w:rPr>
          <w:spacing w:val="-1"/>
        </w:rPr>
        <w:t xml:space="preserve"> </w:t>
      </w:r>
      <w:r>
        <w:t>in</w:t>
      </w:r>
      <w:r>
        <w:rPr>
          <w:spacing w:val="-1"/>
        </w:rPr>
        <w:t xml:space="preserve"> </w:t>
      </w:r>
      <w:r>
        <w:t>policy</w:t>
      </w:r>
      <w:r>
        <w:rPr>
          <w:spacing w:val="-1"/>
        </w:rPr>
        <w:t xml:space="preserve"> </w:t>
      </w:r>
      <w:r>
        <w:rPr>
          <w:spacing w:val="-2"/>
        </w:rPr>
        <w:t>departments</w:t>
      </w:r>
    </w:p>
    <w:p w14:paraId="0B140FB9" w14:textId="77777777" w:rsidR="00D76C1D" w:rsidRDefault="00D76C1D" w:rsidP="00465226">
      <w:pPr>
        <w:pStyle w:val="BodyText"/>
        <w:keepNext/>
        <w:keepLines/>
        <w:spacing w:before="11"/>
        <w:rPr>
          <w:rFonts w:ascii="Open Sans"/>
          <w:b/>
          <w:sz w:val="10"/>
        </w:rPr>
      </w:pPr>
    </w:p>
    <w:tbl>
      <w:tblPr>
        <w:tblW w:w="0" w:type="auto"/>
        <w:tblInd w:w="167" w:type="dxa"/>
        <w:tblBorders>
          <w:top w:val="single" w:sz="2" w:space="0" w:color="7F859B"/>
          <w:left w:val="single" w:sz="2" w:space="0" w:color="7F859B"/>
          <w:bottom w:val="single" w:sz="2" w:space="0" w:color="7F859B"/>
          <w:right w:val="single" w:sz="2" w:space="0" w:color="7F859B"/>
          <w:insideH w:val="single" w:sz="2" w:space="0" w:color="7F859B"/>
          <w:insideV w:val="single" w:sz="2" w:space="0" w:color="7F859B"/>
        </w:tblBorders>
        <w:tblLayout w:type="fixed"/>
        <w:tblCellMar>
          <w:left w:w="0" w:type="dxa"/>
          <w:right w:w="0" w:type="dxa"/>
        </w:tblCellMar>
        <w:tblLook w:val="01E0" w:firstRow="1" w:lastRow="1" w:firstColumn="1" w:lastColumn="1" w:noHBand="0" w:noVBand="0"/>
      </w:tblPr>
      <w:tblGrid>
        <w:gridCol w:w="2795"/>
        <w:gridCol w:w="1321"/>
        <w:gridCol w:w="1321"/>
        <w:gridCol w:w="1321"/>
        <w:gridCol w:w="1321"/>
      </w:tblGrid>
      <w:tr w:rsidR="00D76C1D" w14:paraId="04BF213B" w14:textId="77777777" w:rsidTr="00F22AE5">
        <w:trPr>
          <w:trHeight w:val="546"/>
        </w:trPr>
        <w:tc>
          <w:tcPr>
            <w:tcW w:w="2795" w:type="dxa"/>
            <w:vMerge w:val="restart"/>
            <w:tcBorders>
              <w:top w:val="nil"/>
              <w:left w:val="nil"/>
              <w:right w:val="single" w:sz="8" w:space="0" w:color="1F4060"/>
            </w:tcBorders>
          </w:tcPr>
          <w:p w14:paraId="1BABD9D8" w14:textId="77777777" w:rsidR="00D76C1D" w:rsidRPr="00D76C1D" w:rsidRDefault="00D76C1D" w:rsidP="00465226">
            <w:pPr>
              <w:pStyle w:val="TableParagraph"/>
              <w:keepNext/>
              <w:keepLines/>
              <w:rPr>
                <w:rFonts w:ascii="Calibri Light" w:hAnsi="Calibri Light" w:cs="Calibri Light"/>
                <w:sz w:val="16"/>
              </w:rPr>
            </w:pPr>
          </w:p>
        </w:tc>
        <w:tc>
          <w:tcPr>
            <w:tcW w:w="2642" w:type="dxa"/>
            <w:gridSpan w:val="2"/>
            <w:tcBorders>
              <w:top w:val="nil"/>
              <w:left w:val="single" w:sz="8" w:space="0" w:color="1F4060"/>
              <w:bottom w:val="nil"/>
              <w:right w:val="single" w:sz="8" w:space="0" w:color="1F4060"/>
            </w:tcBorders>
          </w:tcPr>
          <w:p w14:paraId="2AD0E6B6" w14:textId="77777777" w:rsidR="00D76C1D" w:rsidRPr="00D76C1D" w:rsidRDefault="00D76C1D" w:rsidP="00465226">
            <w:pPr>
              <w:pStyle w:val="TableParagraph"/>
              <w:keepNext/>
              <w:keepLines/>
              <w:spacing w:before="64" w:line="209" w:lineRule="exact"/>
              <w:ind w:left="69"/>
              <w:rPr>
                <w:rFonts w:ascii="Calibri Light" w:hAnsi="Calibri Light" w:cs="Calibri Light"/>
                <w:b/>
                <w:sz w:val="16"/>
              </w:rPr>
            </w:pPr>
            <w:r w:rsidRPr="00D76C1D">
              <w:rPr>
                <w:rFonts w:ascii="Calibri Light" w:hAnsi="Calibri Light" w:cs="Calibri Light"/>
                <w:b/>
                <w:color w:val="231F20"/>
                <w:sz w:val="16"/>
              </w:rPr>
              <w:t>Past</w:t>
            </w:r>
            <w:r w:rsidRPr="00D76C1D">
              <w:rPr>
                <w:rFonts w:ascii="Calibri Light" w:hAnsi="Calibri Light" w:cs="Calibri Light"/>
                <w:b/>
                <w:color w:val="231F20"/>
                <w:spacing w:val="-6"/>
                <w:sz w:val="16"/>
              </w:rPr>
              <w:t xml:space="preserve"> </w:t>
            </w:r>
            <w:r w:rsidRPr="00D76C1D">
              <w:rPr>
                <w:rFonts w:ascii="Calibri Light" w:hAnsi="Calibri Light" w:cs="Calibri Light"/>
                <w:b/>
                <w:color w:val="231F20"/>
                <w:sz w:val="16"/>
              </w:rPr>
              <w:t>5</w:t>
            </w:r>
            <w:r w:rsidRPr="00D76C1D">
              <w:rPr>
                <w:rFonts w:ascii="Calibri Light" w:hAnsi="Calibri Light" w:cs="Calibri Light"/>
                <w:b/>
                <w:color w:val="231F20"/>
                <w:spacing w:val="-3"/>
                <w:sz w:val="16"/>
              </w:rPr>
              <w:t xml:space="preserve"> </w:t>
            </w:r>
            <w:r w:rsidRPr="00D76C1D">
              <w:rPr>
                <w:rFonts w:ascii="Calibri Light" w:hAnsi="Calibri Light" w:cs="Calibri Light"/>
                <w:b/>
                <w:color w:val="231F20"/>
                <w:spacing w:val="-2"/>
                <w:sz w:val="16"/>
              </w:rPr>
              <w:t>years</w:t>
            </w:r>
          </w:p>
          <w:p w14:paraId="2B2FA800" w14:textId="77777777" w:rsidR="00D76C1D" w:rsidRPr="00D76C1D" w:rsidRDefault="00D76C1D" w:rsidP="00465226">
            <w:pPr>
              <w:pStyle w:val="TableParagraph"/>
              <w:keepNext/>
              <w:keepLines/>
              <w:spacing w:line="209" w:lineRule="exact"/>
              <w:ind w:left="69"/>
              <w:rPr>
                <w:rFonts w:ascii="Calibri Light" w:hAnsi="Calibri Light" w:cs="Calibri Light"/>
                <w:sz w:val="16"/>
              </w:rPr>
            </w:pPr>
            <w:r w:rsidRPr="00D76C1D">
              <w:rPr>
                <w:rFonts w:ascii="Calibri Light" w:hAnsi="Calibri Light" w:cs="Calibri Light"/>
                <w:color w:val="231F20"/>
                <w:sz w:val="16"/>
              </w:rPr>
              <w:t>(August</w:t>
            </w:r>
            <w:r w:rsidRPr="00D76C1D">
              <w:rPr>
                <w:rFonts w:ascii="Calibri Light" w:hAnsi="Calibri Light" w:cs="Calibri Light"/>
                <w:color w:val="231F20"/>
                <w:spacing w:val="-6"/>
                <w:sz w:val="16"/>
              </w:rPr>
              <w:t xml:space="preserve"> </w:t>
            </w:r>
            <w:r w:rsidRPr="00D76C1D">
              <w:rPr>
                <w:rFonts w:ascii="Calibri Light" w:hAnsi="Calibri Light" w:cs="Calibri Light"/>
                <w:color w:val="231F20"/>
                <w:sz w:val="16"/>
              </w:rPr>
              <w:t>2017</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August</w:t>
            </w:r>
            <w:r w:rsidRPr="00D76C1D">
              <w:rPr>
                <w:rFonts w:ascii="Calibri Light" w:hAnsi="Calibri Light" w:cs="Calibri Light"/>
                <w:color w:val="231F20"/>
                <w:spacing w:val="-4"/>
                <w:sz w:val="16"/>
              </w:rPr>
              <w:t xml:space="preserve"> 2022)</w:t>
            </w:r>
          </w:p>
        </w:tc>
        <w:tc>
          <w:tcPr>
            <w:tcW w:w="2642" w:type="dxa"/>
            <w:gridSpan w:val="2"/>
            <w:tcBorders>
              <w:top w:val="nil"/>
              <w:left w:val="single" w:sz="8" w:space="0" w:color="1F4060"/>
              <w:bottom w:val="nil"/>
              <w:right w:val="nil"/>
            </w:tcBorders>
          </w:tcPr>
          <w:p w14:paraId="5E4CDBF5" w14:textId="77777777" w:rsidR="00D76C1D" w:rsidRPr="00D76C1D" w:rsidRDefault="00D76C1D" w:rsidP="00465226">
            <w:pPr>
              <w:pStyle w:val="TableParagraph"/>
              <w:keepNext/>
              <w:keepLines/>
              <w:spacing w:before="64" w:line="209" w:lineRule="exact"/>
              <w:ind w:left="69"/>
              <w:rPr>
                <w:rFonts w:ascii="Calibri Light" w:hAnsi="Calibri Light" w:cs="Calibri Light"/>
                <w:b/>
                <w:sz w:val="16"/>
              </w:rPr>
            </w:pPr>
            <w:r w:rsidRPr="00D76C1D">
              <w:rPr>
                <w:rFonts w:ascii="Calibri Light" w:hAnsi="Calibri Light" w:cs="Calibri Light"/>
                <w:b/>
                <w:color w:val="231F20"/>
                <w:sz w:val="16"/>
              </w:rPr>
              <w:t>Previous</w:t>
            </w:r>
            <w:r w:rsidRPr="00D76C1D">
              <w:rPr>
                <w:rFonts w:ascii="Calibri Light" w:hAnsi="Calibri Light" w:cs="Calibri Light"/>
                <w:b/>
                <w:color w:val="231F20"/>
                <w:spacing w:val="-5"/>
                <w:sz w:val="16"/>
              </w:rPr>
              <w:t xml:space="preserve"> </w:t>
            </w:r>
            <w:r w:rsidRPr="00D76C1D">
              <w:rPr>
                <w:rFonts w:ascii="Calibri Light" w:hAnsi="Calibri Light" w:cs="Calibri Light"/>
                <w:b/>
                <w:color w:val="231F20"/>
                <w:sz w:val="16"/>
              </w:rPr>
              <w:t>5</w:t>
            </w:r>
            <w:r w:rsidRPr="00D76C1D">
              <w:rPr>
                <w:rFonts w:ascii="Calibri Light" w:hAnsi="Calibri Light" w:cs="Calibri Light"/>
                <w:b/>
                <w:color w:val="231F20"/>
                <w:spacing w:val="-3"/>
                <w:sz w:val="16"/>
              </w:rPr>
              <w:t xml:space="preserve"> </w:t>
            </w:r>
            <w:r w:rsidRPr="00D76C1D">
              <w:rPr>
                <w:rFonts w:ascii="Calibri Light" w:hAnsi="Calibri Light" w:cs="Calibri Light"/>
                <w:b/>
                <w:color w:val="231F20"/>
                <w:spacing w:val="-2"/>
                <w:sz w:val="16"/>
              </w:rPr>
              <w:t>years</w:t>
            </w:r>
          </w:p>
          <w:p w14:paraId="459F20EE" w14:textId="77777777" w:rsidR="00D76C1D" w:rsidRPr="00D76C1D" w:rsidRDefault="00D76C1D" w:rsidP="00465226">
            <w:pPr>
              <w:pStyle w:val="TableParagraph"/>
              <w:keepNext/>
              <w:keepLines/>
              <w:spacing w:line="209" w:lineRule="exact"/>
              <w:ind w:left="69"/>
              <w:rPr>
                <w:rFonts w:ascii="Calibri Light" w:hAnsi="Calibri Light" w:cs="Calibri Light"/>
                <w:sz w:val="16"/>
              </w:rPr>
            </w:pPr>
            <w:r w:rsidRPr="00D76C1D">
              <w:rPr>
                <w:rFonts w:ascii="Calibri Light" w:hAnsi="Calibri Light" w:cs="Calibri Light"/>
                <w:color w:val="231F20"/>
                <w:sz w:val="16"/>
              </w:rPr>
              <w:t>(August</w:t>
            </w:r>
            <w:r w:rsidRPr="00D76C1D">
              <w:rPr>
                <w:rFonts w:ascii="Calibri Light" w:hAnsi="Calibri Light" w:cs="Calibri Light"/>
                <w:color w:val="231F20"/>
                <w:spacing w:val="-6"/>
                <w:sz w:val="16"/>
              </w:rPr>
              <w:t xml:space="preserve"> </w:t>
            </w:r>
            <w:r w:rsidRPr="00D76C1D">
              <w:rPr>
                <w:rFonts w:ascii="Calibri Light" w:hAnsi="Calibri Light" w:cs="Calibri Light"/>
                <w:color w:val="231F20"/>
                <w:sz w:val="16"/>
              </w:rPr>
              <w:t>2012</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August</w:t>
            </w:r>
            <w:r w:rsidRPr="00D76C1D">
              <w:rPr>
                <w:rFonts w:ascii="Calibri Light" w:hAnsi="Calibri Light" w:cs="Calibri Light"/>
                <w:color w:val="231F20"/>
                <w:spacing w:val="-4"/>
                <w:sz w:val="16"/>
              </w:rPr>
              <w:t xml:space="preserve"> 2017)</w:t>
            </w:r>
          </w:p>
        </w:tc>
      </w:tr>
      <w:tr w:rsidR="00D76C1D" w14:paraId="71AA5D6E" w14:textId="77777777" w:rsidTr="00F22AE5">
        <w:trPr>
          <w:trHeight w:val="367"/>
        </w:trPr>
        <w:tc>
          <w:tcPr>
            <w:tcW w:w="2795" w:type="dxa"/>
            <w:vMerge/>
            <w:tcBorders>
              <w:top w:val="nil"/>
              <w:left w:val="nil"/>
              <w:right w:val="single" w:sz="8" w:space="0" w:color="1F4060"/>
            </w:tcBorders>
          </w:tcPr>
          <w:p w14:paraId="336A94F3" w14:textId="77777777" w:rsidR="00D76C1D" w:rsidRPr="00D76C1D" w:rsidRDefault="00D76C1D" w:rsidP="00465226">
            <w:pPr>
              <w:keepNext/>
              <w:keepLines/>
              <w:rPr>
                <w:rFonts w:cs="Calibri Light"/>
                <w:sz w:val="2"/>
                <w:szCs w:val="2"/>
              </w:rPr>
            </w:pPr>
          </w:p>
        </w:tc>
        <w:tc>
          <w:tcPr>
            <w:tcW w:w="1321" w:type="dxa"/>
            <w:tcBorders>
              <w:top w:val="nil"/>
              <w:left w:val="single" w:sz="8" w:space="0" w:color="1F4060"/>
            </w:tcBorders>
          </w:tcPr>
          <w:p w14:paraId="1AE0F0D1" w14:textId="77777777" w:rsidR="00D76C1D" w:rsidRPr="00D76C1D" w:rsidRDefault="00D76C1D" w:rsidP="00465226">
            <w:pPr>
              <w:pStyle w:val="TableParagraph"/>
              <w:keepNext/>
              <w:keepLines/>
              <w:spacing w:before="119"/>
              <w:ind w:left="69"/>
              <w:rPr>
                <w:rFonts w:ascii="Calibri Light" w:hAnsi="Calibri Light" w:cs="Calibri Light"/>
                <w:sz w:val="16"/>
              </w:rPr>
            </w:pPr>
            <w:r w:rsidRPr="00D76C1D">
              <w:rPr>
                <w:rFonts w:ascii="Calibri Light" w:hAnsi="Calibri Light" w:cs="Calibri Light"/>
                <w:color w:val="231F20"/>
                <w:spacing w:val="-2"/>
                <w:sz w:val="16"/>
              </w:rPr>
              <w:t>Number</w:t>
            </w:r>
          </w:p>
        </w:tc>
        <w:tc>
          <w:tcPr>
            <w:tcW w:w="1321" w:type="dxa"/>
            <w:tcBorders>
              <w:top w:val="nil"/>
              <w:right w:val="single" w:sz="8" w:space="0" w:color="1F4060"/>
            </w:tcBorders>
          </w:tcPr>
          <w:p w14:paraId="428340CA" w14:textId="77777777" w:rsidR="00D76C1D" w:rsidRPr="00D76C1D" w:rsidRDefault="00D76C1D" w:rsidP="00465226">
            <w:pPr>
              <w:pStyle w:val="TableParagraph"/>
              <w:keepNext/>
              <w:keepLines/>
              <w:spacing w:before="119"/>
              <w:ind w:left="69"/>
              <w:rPr>
                <w:rFonts w:ascii="Calibri Light" w:hAnsi="Calibri Light" w:cs="Calibri Light"/>
                <w:sz w:val="16"/>
              </w:rPr>
            </w:pPr>
            <w:r w:rsidRPr="00D76C1D">
              <w:rPr>
                <w:rFonts w:ascii="Calibri Light" w:hAnsi="Calibri Light" w:cs="Calibri Light"/>
                <w:color w:val="231F20"/>
                <w:spacing w:val="-2"/>
                <w:sz w:val="16"/>
              </w:rPr>
              <w:t>Share</w:t>
            </w:r>
          </w:p>
        </w:tc>
        <w:tc>
          <w:tcPr>
            <w:tcW w:w="1321" w:type="dxa"/>
            <w:tcBorders>
              <w:top w:val="nil"/>
              <w:left w:val="single" w:sz="8" w:space="0" w:color="1F4060"/>
            </w:tcBorders>
          </w:tcPr>
          <w:p w14:paraId="40596E6F" w14:textId="77777777" w:rsidR="00D76C1D" w:rsidRPr="00D76C1D" w:rsidRDefault="00D76C1D" w:rsidP="00465226">
            <w:pPr>
              <w:pStyle w:val="TableParagraph"/>
              <w:keepNext/>
              <w:keepLines/>
              <w:spacing w:before="119"/>
              <w:ind w:left="69"/>
              <w:rPr>
                <w:rFonts w:ascii="Calibri Light" w:hAnsi="Calibri Light" w:cs="Calibri Light"/>
                <w:sz w:val="16"/>
              </w:rPr>
            </w:pPr>
            <w:r w:rsidRPr="00D76C1D">
              <w:rPr>
                <w:rFonts w:ascii="Calibri Light" w:hAnsi="Calibri Light" w:cs="Calibri Light"/>
                <w:color w:val="231F20"/>
                <w:spacing w:val="-2"/>
                <w:sz w:val="16"/>
              </w:rPr>
              <w:t>Number</w:t>
            </w:r>
          </w:p>
        </w:tc>
        <w:tc>
          <w:tcPr>
            <w:tcW w:w="1321" w:type="dxa"/>
            <w:tcBorders>
              <w:top w:val="nil"/>
              <w:right w:val="nil"/>
            </w:tcBorders>
          </w:tcPr>
          <w:p w14:paraId="41EE6520" w14:textId="77777777" w:rsidR="00D76C1D" w:rsidRPr="00D76C1D" w:rsidRDefault="00D76C1D" w:rsidP="00465226">
            <w:pPr>
              <w:pStyle w:val="TableParagraph"/>
              <w:keepNext/>
              <w:keepLines/>
              <w:spacing w:before="119"/>
              <w:ind w:left="76"/>
              <w:rPr>
                <w:rFonts w:ascii="Calibri Light" w:hAnsi="Calibri Light" w:cs="Calibri Light"/>
                <w:sz w:val="16"/>
              </w:rPr>
            </w:pPr>
            <w:r w:rsidRPr="00D76C1D">
              <w:rPr>
                <w:rFonts w:ascii="Calibri Light" w:hAnsi="Calibri Light" w:cs="Calibri Light"/>
                <w:color w:val="231F20"/>
                <w:spacing w:val="-2"/>
                <w:sz w:val="16"/>
              </w:rPr>
              <w:t>Share</w:t>
            </w:r>
          </w:p>
        </w:tc>
      </w:tr>
      <w:tr w:rsidR="00D76C1D" w14:paraId="28B3CF9A" w14:textId="77777777" w:rsidTr="00F22AE5">
        <w:trPr>
          <w:trHeight w:val="277"/>
        </w:trPr>
        <w:tc>
          <w:tcPr>
            <w:tcW w:w="2795" w:type="dxa"/>
            <w:tcBorders>
              <w:left w:val="nil"/>
              <w:right w:val="single" w:sz="8" w:space="0" w:color="1F4060"/>
            </w:tcBorders>
          </w:tcPr>
          <w:p w14:paraId="2FCF38E0" w14:textId="77777777" w:rsidR="00D76C1D" w:rsidRPr="00D76C1D" w:rsidRDefault="00D76C1D" w:rsidP="00465226">
            <w:pPr>
              <w:pStyle w:val="TableParagraph"/>
              <w:keepNext/>
              <w:keepLines/>
              <w:spacing w:before="29"/>
              <w:ind w:left="70"/>
              <w:rPr>
                <w:rFonts w:ascii="Calibri Light" w:hAnsi="Calibri Light" w:cs="Calibri Light"/>
                <w:sz w:val="16"/>
              </w:rPr>
            </w:pPr>
            <w:r w:rsidRPr="00D76C1D">
              <w:rPr>
                <w:rFonts w:ascii="Calibri Light" w:hAnsi="Calibri Light" w:cs="Calibri Light"/>
                <w:color w:val="231F20"/>
                <w:spacing w:val="-2"/>
                <w:sz w:val="16"/>
              </w:rPr>
              <w:t>Graduate</w:t>
            </w:r>
          </w:p>
        </w:tc>
        <w:tc>
          <w:tcPr>
            <w:tcW w:w="1321" w:type="dxa"/>
            <w:tcBorders>
              <w:left w:val="single" w:sz="8" w:space="0" w:color="1F4060"/>
            </w:tcBorders>
          </w:tcPr>
          <w:p w14:paraId="3BC5C337"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w:t>
            </w:r>
          </w:p>
        </w:tc>
        <w:tc>
          <w:tcPr>
            <w:tcW w:w="1321" w:type="dxa"/>
            <w:tcBorders>
              <w:right w:val="single" w:sz="8" w:space="0" w:color="1F4060"/>
            </w:tcBorders>
          </w:tcPr>
          <w:p w14:paraId="2CDEE6A7"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w:t>
            </w:r>
          </w:p>
        </w:tc>
        <w:tc>
          <w:tcPr>
            <w:tcW w:w="1321" w:type="dxa"/>
            <w:tcBorders>
              <w:left w:val="single" w:sz="8" w:space="0" w:color="1F4060"/>
            </w:tcBorders>
          </w:tcPr>
          <w:p w14:paraId="7E436E0E"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w:t>
            </w:r>
          </w:p>
        </w:tc>
        <w:tc>
          <w:tcPr>
            <w:tcW w:w="1321" w:type="dxa"/>
            <w:tcBorders>
              <w:right w:val="nil"/>
            </w:tcBorders>
          </w:tcPr>
          <w:p w14:paraId="7BE203AC" w14:textId="77777777" w:rsidR="00D76C1D" w:rsidRPr="00D76C1D" w:rsidRDefault="00D76C1D" w:rsidP="00465226">
            <w:pPr>
              <w:pStyle w:val="TableParagraph"/>
              <w:keepNext/>
              <w:keepLines/>
              <w:spacing w:before="29"/>
              <w:ind w:left="76"/>
              <w:rPr>
                <w:rFonts w:ascii="Calibri Light" w:hAnsi="Calibri Light" w:cs="Calibri Light"/>
                <w:sz w:val="16"/>
              </w:rPr>
            </w:pPr>
            <w:r w:rsidRPr="00D76C1D">
              <w:rPr>
                <w:rFonts w:ascii="Calibri Light" w:hAnsi="Calibri Light" w:cs="Calibri Light"/>
                <w:color w:val="231F20"/>
                <w:sz w:val="16"/>
              </w:rPr>
              <w:t>-</w:t>
            </w:r>
          </w:p>
        </w:tc>
      </w:tr>
      <w:tr w:rsidR="00D76C1D" w14:paraId="09623E32" w14:textId="77777777" w:rsidTr="00F22AE5">
        <w:trPr>
          <w:trHeight w:val="277"/>
        </w:trPr>
        <w:tc>
          <w:tcPr>
            <w:tcW w:w="2795" w:type="dxa"/>
            <w:tcBorders>
              <w:left w:val="nil"/>
              <w:right w:val="single" w:sz="8" w:space="0" w:color="1F4060"/>
            </w:tcBorders>
          </w:tcPr>
          <w:p w14:paraId="15301300" w14:textId="77777777" w:rsidR="00D76C1D" w:rsidRPr="00D76C1D" w:rsidRDefault="00D76C1D" w:rsidP="00465226">
            <w:pPr>
              <w:pStyle w:val="TableParagraph"/>
              <w:keepNext/>
              <w:keepLines/>
              <w:spacing w:before="29"/>
              <w:ind w:left="70"/>
              <w:rPr>
                <w:rFonts w:ascii="Calibri Light" w:hAnsi="Calibri Light" w:cs="Calibri Light"/>
                <w:sz w:val="16"/>
              </w:rPr>
            </w:pPr>
            <w:r w:rsidRPr="00D76C1D">
              <w:rPr>
                <w:rFonts w:ascii="Calibri Light" w:hAnsi="Calibri Light" w:cs="Calibri Light"/>
                <w:color w:val="231F20"/>
                <w:spacing w:val="-2"/>
                <w:sz w:val="16"/>
              </w:rPr>
              <w:t>Analyst</w:t>
            </w:r>
          </w:p>
        </w:tc>
        <w:tc>
          <w:tcPr>
            <w:tcW w:w="1321" w:type="dxa"/>
            <w:tcBorders>
              <w:left w:val="single" w:sz="8" w:space="0" w:color="1F4060"/>
            </w:tcBorders>
          </w:tcPr>
          <w:p w14:paraId="7055A87C"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64</w:t>
            </w:r>
            <w:r w:rsidRPr="00D76C1D">
              <w:rPr>
                <w:rFonts w:ascii="Calibri Light" w:hAnsi="Calibri Light" w:cs="Calibri Light"/>
                <w:color w:val="231F20"/>
                <w:spacing w:val="-2"/>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1"/>
                <w:sz w:val="16"/>
              </w:rPr>
              <w:t xml:space="preserve"> </w:t>
            </w:r>
            <w:r w:rsidRPr="00D76C1D">
              <w:rPr>
                <w:rFonts w:ascii="Calibri Light" w:hAnsi="Calibri Light" w:cs="Calibri Light"/>
                <w:color w:val="231F20"/>
                <w:spacing w:val="-5"/>
                <w:sz w:val="16"/>
              </w:rPr>
              <w:t>168</w:t>
            </w:r>
          </w:p>
        </w:tc>
        <w:tc>
          <w:tcPr>
            <w:tcW w:w="1321" w:type="dxa"/>
            <w:tcBorders>
              <w:right w:val="single" w:sz="8" w:space="0" w:color="1F4060"/>
            </w:tcBorders>
          </w:tcPr>
          <w:p w14:paraId="212D93CF"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pacing w:val="-5"/>
                <w:sz w:val="16"/>
              </w:rPr>
              <w:t>38%</w:t>
            </w:r>
          </w:p>
        </w:tc>
        <w:tc>
          <w:tcPr>
            <w:tcW w:w="1321" w:type="dxa"/>
            <w:tcBorders>
              <w:left w:val="single" w:sz="8" w:space="0" w:color="1F4060"/>
            </w:tcBorders>
          </w:tcPr>
          <w:p w14:paraId="6C8C424A"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15</w:t>
            </w:r>
            <w:r w:rsidRPr="00D76C1D">
              <w:rPr>
                <w:rFonts w:ascii="Calibri Light" w:hAnsi="Calibri Light" w:cs="Calibri Light"/>
                <w:color w:val="231F20"/>
                <w:spacing w:val="-10"/>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10"/>
                <w:sz w:val="16"/>
              </w:rPr>
              <w:t xml:space="preserve"> </w:t>
            </w:r>
            <w:r w:rsidRPr="00D76C1D">
              <w:rPr>
                <w:rFonts w:ascii="Calibri Light" w:hAnsi="Calibri Light" w:cs="Calibri Light"/>
                <w:color w:val="231F20"/>
                <w:spacing w:val="-5"/>
                <w:sz w:val="16"/>
              </w:rPr>
              <w:t>145</w:t>
            </w:r>
          </w:p>
        </w:tc>
        <w:tc>
          <w:tcPr>
            <w:tcW w:w="1321" w:type="dxa"/>
            <w:tcBorders>
              <w:right w:val="nil"/>
            </w:tcBorders>
          </w:tcPr>
          <w:p w14:paraId="5BD805C5" w14:textId="77777777" w:rsidR="00D76C1D" w:rsidRPr="00D76C1D" w:rsidRDefault="00D76C1D" w:rsidP="00465226">
            <w:pPr>
              <w:pStyle w:val="TableParagraph"/>
              <w:keepNext/>
              <w:keepLines/>
              <w:spacing w:before="29"/>
              <w:ind w:left="76"/>
              <w:rPr>
                <w:rFonts w:ascii="Calibri Light" w:hAnsi="Calibri Light" w:cs="Calibri Light"/>
                <w:sz w:val="16"/>
              </w:rPr>
            </w:pPr>
            <w:r w:rsidRPr="00D76C1D">
              <w:rPr>
                <w:rFonts w:ascii="Calibri Light" w:hAnsi="Calibri Light" w:cs="Calibri Light"/>
                <w:color w:val="231F20"/>
                <w:spacing w:val="-5"/>
                <w:sz w:val="16"/>
              </w:rPr>
              <w:t>10%</w:t>
            </w:r>
          </w:p>
        </w:tc>
      </w:tr>
      <w:tr w:rsidR="00D76C1D" w14:paraId="5AB05ED2" w14:textId="77777777" w:rsidTr="00F22AE5">
        <w:trPr>
          <w:trHeight w:val="302"/>
        </w:trPr>
        <w:tc>
          <w:tcPr>
            <w:tcW w:w="2795" w:type="dxa"/>
            <w:tcBorders>
              <w:left w:val="nil"/>
              <w:right w:val="single" w:sz="8" w:space="0" w:color="1F4060"/>
            </w:tcBorders>
          </w:tcPr>
          <w:p w14:paraId="18F8BFA9" w14:textId="77777777" w:rsidR="00D76C1D" w:rsidRPr="00D76C1D" w:rsidRDefault="00D76C1D" w:rsidP="00465226">
            <w:pPr>
              <w:pStyle w:val="TableParagraph"/>
              <w:keepNext/>
              <w:keepLines/>
              <w:spacing w:before="29"/>
              <w:ind w:left="70"/>
              <w:rPr>
                <w:rFonts w:ascii="Calibri Light" w:hAnsi="Calibri Light" w:cs="Calibri Light"/>
                <w:sz w:val="16"/>
              </w:rPr>
            </w:pPr>
            <w:r w:rsidRPr="00D76C1D">
              <w:rPr>
                <w:rFonts w:ascii="Calibri Light" w:hAnsi="Calibri Light" w:cs="Calibri Light"/>
                <w:color w:val="231F20"/>
                <w:spacing w:val="-2"/>
                <w:sz w:val="16"/>
              </w:rPr>
              <w:t>Manager</w:t>
            </w:r>
          </w:p>
        </w:tc>
        <w:tc>
          <w:tcPr>
            <w:tcW w:w="1321" w:type="dxa"/>
            <w:tcBorders>
              <w:left w:val="single" w:sz="8" w:space="0" w:color="1F4060"/>
            </w:tcBorders>
          </w:tcPr>
          <w:p w14:paraId="19DD726A"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5</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pacing w:val="-5"/>
                <w:sz w:val="16"/>
              </w:rPr>
              <w:t>31</w:t>
            </w:r>
          </w:p>
        </w:tc>
        <w:tc>
          <w:tcPr>
            <w:tcW w:w="1321" w:type="dxa"/>
            <w:tcBorders>
              <w:right w:val="single" w:sz="8" w:space="0" w:color="1F4060"/>
            </w:tcBorders>
          </w:tcPr>
          <w:p w14:paraId="5F7B12F0"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pacing w:val="-5"/>
                <w:sz w:val="16"/>
              </w:rPr>
              <w:t>16%</w:t>
            </w:r>
          </w:p>
        </w:tc>
        <w:tc>
          <w:tcPr>
            <w:tcW w:w="1321" w:type="dxa"/>
            <w:tcBorders>
              <w:left w:val="single" w:sz="8" w:space="0" w:color="1F4060"/>
            </w:tcBorders>
          </w:tcPr>
          <w:p w14:paraId="0F927781"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3</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pacing w:val="-5"/>
                <w:sz w:val="16"/>
              </w:rPr>
              <w:t>32</w:t>
            </w:r>
          </w:p>
        </w:tc>
        <w:tc>
          <w:tcPr>
            <w:tcW w:w="1321" w:type="dxa"/>
            <w:tcBorders>
              <w:right w:val="nil"/>
            </w:tcBorders>
          </w:tcPr>
          <w:p w14:paraId="00FF3C13" w14:textId="77777777" w:rsidR="00D76C1D" w:rsidRPr="00D76C1D" w:rsidRDefault="00D76C1D" w:rsidP="00465226">
            <w:pPr>
              <w:pStyle w:val="TableParagraph"/>
              <w:keepNext/>
              <w:keepLines/>
              <w:spacing w:before="29"/>
              <w:ind w:left="76"/>
              <w:rPr>
                <w:rFonts w:ascii="Calibri Light" w:hAnsi="Calibri Light" w:cs="Calibri Light"/>
                <w:sz w:val="16"/>
              </w:rPr>
            </w:pPr>
            <w:r w:rsidRPr="00D76C1D">
              <w:rPr>
                <w:rFonts w:ascii="Calibri Light" w:hAnsi="Calibri Light" w:cs="Calibri Light"/>
                <w:color w:val="231F20"/>
                <w:spacing w:val="-5"/>
                <w:sz w:val="16"/>
              </w:rPr>
              <w:t>9%</w:t>
            </w:r>
          </w:p>
        </w:tc>
      </w:tr>
      <w:tr w:rsidR="00D76C1D" w14:paraId="5458BE75" w14:textId="77777777" w:rsidTr="00F22AE5">
        <w:trPr>
          <w:trHeight w:val="277"/>
        </w:trPr>
        <w:tc>
          <w:tcPr>
            <w:tcW w:w="2795" w:type="dxa"/>
            <w:tcBorders>
              <w:left w:val="nil"/>
              <w:right w:val="single" w:sz="8" w:space="0" w:color="1F4060"/>
            </w:tcBorders>
          </w:tcPr>
          <w:p w14:paraId="3B3287CA" w14:textId="77777777" w:rsidR="00D76C1D" w:rsidRPr="00D76C1D" w:rsidRDefault="00D76C1D" w:rsidP="00465226">
            <w:pPr>
              <w:pStyle w:val="TableParagraph"/>
              <w:keepNext/>
              <w:keepLines/>
              <w:spacing w:before="29"/>
              <w:ind w:left="70"/>
              <w:rPr>
                <w:rFonts w:ascii="Calibri Light" w:hAnsi="Calibri Light" w:cs="Calibri Light"/>
                <w:sz w:val="16"/>
              </w:rPr>
            </w:pPr>
            <w:r w:rsidRPr="00D76C1D">
              <w:rPr>
                <w:rFonts w:ascii="Calibri Light" w:hAnsi="Calibri Light" w:cs="Calibri Light"/>
                <w:color w:val="231F20"/>
                <w:sz w:val="16"/>
              </w:rPr>
              <w:t>Senior</w:t>
            </w:r>
            <w:r w:rsidRPr="00D76C1D">
              <w:rPr>
                <w:rFonts w:ascii="Calibri Light" w:hAnsi="Calibri Light" w:cs="Calibri Light"/>
                <w:color w:val="231F20"/>
                <w:spacing w:val="-2"/>
                <w:sz w:val="16"/>
              </w:rPr>
              <w:t xml:space="preserve"> Manager</w:t>
            </w:r>
          </w:p>
        </w:tc>
        <w:tc>
          <w:tcPr>
            <w:tcW w:w="1321" w:type="dxa"/>
            <w:tcBorders>
              <w:left w:val="single" w:sz="8" w:space="0" w:color="1F4060"/>
            </w:tcBorders>
          </w:tcPr>
          <w:p w14:paraId="1C902C19"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2</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pacing w:val="-5"/>
                <w:sz w:val="16"/>
              </w:rPr>
              <w:t>15</w:t>
            </w:r>
          </w:p>
        </w:tc>
        <w:tc>
          <w:tcPr>
            <w:tcW w:w="1321" w:type="dxa"/>
            <w:tcBorders>
              <w:right w:val="single" w:sz="8" w:space="0" w:color="1F4060"/>
            </w:tcBorders>
          </w:tcPr>
          <w:p w14:paraId="61F87B25"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pacing w:val="-5"/>
                <w:sz w:val="16"/>
              </w:rPr>
              <w:t>13%</w:t>
            </w:r>
          </w:p>
        </w:tc>
        <w:tc>
          <w:tcPr>
            <w:tcW w:w="1321" w:type="dxa"/>
            <w:tcBorders>
              <w:left w:val="single" w:sz="8" w:space="0" w:color="1F4060"/>
            </w:tcBorders>
          </w:tcPr>
          <w:p w14:paraId="14991FE6"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2</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pacing w:val="-5"/>
                <w:sz w:val="16"/>
              </w:rPr>
              <w:t>22</w:t>
            </w:r>
          </w:p>
        </w:tc>
        <w:tc>
          <w:tcPr>
            <w:tcW w:w="1321" w:type="dxa"/>
            <w:tcBorders>
              <w:right w:val="nil"/>
            </w:tcBorders>
          </w:tcPr>
          <w:p w14:paraId="51696BC8" w14:textId="77777777" w:rsidR="00D76C1D" w:rsidRPr="00D76C1D" w:rsidRDefault="00D76C1D" w:rsidP="00465226">
            <w:pPr>
              <w:pStyle w:val="TableParagraph"/>
              <w:keepNext/>
              <w:keepLines/>
              <w:spacing w:before="29"/>
              <w:ind w:left="76"/>
              <w:rPr>
                <w:rFonts w:ascii="Calibri Light" w:hAnsi="Calibri Light" w:cs="Calibri Light"/>
                <w:sz w:val="16"/>
              </w:rPr>
            </w:pPr>
            <w:r w:rsidRPr="00D76C1D">
              <w:rPr>
                <w:rFonts w:ascii="Calibri Light" w:hAnsi="Calibri Light" w:cs="Calibri Light"/>
                <w:color w:val="231F20"/>
                <w:spacing w:val="-5"/>
                <w:sz w:val="16"/>
              </w:rPr>
              <w:t>9%</w:t>
            </w:r>
          </w:p>
        </w:tc>
      </w:tr>
      <w:tr w:rsidR="00D76C1D" w14:paraId="059372D2" w14:textId="77777777" w:rsidTr="00F22AE5">
        <w:trPr>
          <w:trHeight w:val="277"/>
        </w:trPr>
        <w:tc>
          <w:tcPr>
            <w:tcW w:w="2795" w:type="dxa"/>
            <w:tcBorders>
              <w:left w:val="nil"/>
              <w:right w:val="single" w:sz="8" w:space="0" w:color="1F4060"/>
            </w:tcBorders>
          </w:tcPr>
          <w:p w14:paraId="6B8F706F" w14:textId="77777777" w:rsidR="00D76C1D" w:rsidRPr="00D76C1D" w:rsidRDefault="00D76C1D" w:rsidP="00465226">
            <w:pPr>
              <w:pStyle w:val="TableParagraph"/>
              <w:keepNext/>
              <w:keepLines/>
              <w:spacing w:before="29"/>
              <w:ind w:left="70"/>
              <w:rPr>
                <w:rFonts w:ascii="Calibri Light" w:hAnsi="Calibri Light" w:cs="Calibri Light"/>
                <w:sz w:val="16"/>
              </w:rPr>
            </w:pPr>
            <w:r w:rsidRPr="00D76C1D">
              <w:rPr>
                <w:rFonts w:ascii="Calibri Light" w:hAnsi="Calibri Light" w:cs="Calibri Light"/>
                <w:color w:val="231F20"/>
                <w:sz w:val="16"/>
              </w:rPr>
              <w:t>Deputy Head of</w:t>
            </w:r>
            <w:r w:rsidRPr="00D76C1D">
              <w:rPr>
                <w:rFonts w:ascii="Calibri Light" w:hAnsi="Calibri Light" w:cs="Calibri Light"/>
                <w:color w:val="231F20"/>
                <w:spacing w:val="1"/>
                <w:sz w:val="16"/>
              </w:rPr>
              <w:t xml:space="preserve"> </w:t>
            </w:r>
            <w:r w:rsidRPr="00D76C1D">
              <w:rPr>
                <w:rFonts w:ascii="Calibri Light" w:hAnsi="Calibri Light" w:cs="Calibri Light"/>
                <w:color w:val="231F20"/>
                <w:spacing w:val="-2"/>
                <w:sz w:val="16"/>
              </w:rPr>
              <w:t>Department</w:t>
            </w:r>
          </w:p>
        </w:tc>
        <w:tc>
          <w:tcPr>
            <w:tcW w:w="1321" w:type="dxa"/>
            <w:tcBorders>
              <w:left w:val="single" w:sz="8" w:space="0" w:color="1F4060"/>
            </w:tcBorders>
          </w:tcPr>
          <w:p w14:paraId="78D93BAC"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1</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pacing w:val="-10"/>
                <w:sz w:val="16"/>
              </w:rPr>
              <w:t>5</w:t>
            </w:r>
          </w:p>
        </w:tc>
        <w:tc>
          <w:tcPr>
            <w:tcW w:w="1321" w:type="dxa"/>
            <w:tcBorders>
              <w:right w:val="single" w:sz="8" w:space="0" w:color="1F4060"/>
            </w:tcBorders>
          </w:tcPr>
          <w:p w14:paraId="40D31E4F"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pacing w:val="-5"/>
                <w:sz w:val="16"/>
              </w:rPr>
              <w:t>20%</w:t>
            </w:r>
          </w:p>
        </w:tc>
        <w:tc>
          <w:tcPr>
            <w:tcW w:w="1321" w:type="dxa"/>
            <w:tcBorders>
              <w:left w:val="single" w:sz="8" w:space="0" w:color="1F4060"/>
            </w:tcBorders>
          </w:tcPr>
          <w:p w14:paraId="7E3E9B08"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0</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pacing w:val="-10"/>
                <w:sz w:val="16"/>
              </w:rPr>
              <w:t>7</w:t>
            </w:r>
          </w:p>
        </w:tc>
        <w:tc>
          <w:tcPr>
            <w:tcW w:w="1321" w:type="dxa"/>
            <w:tcBorders>
              <w:right w:val="nil"/>
            </w:tcBorders>
          </w:tcPr>
          <w:p w14:paraId="42CE760C" w14:textId="77777777" w:rsidR="00D76C1D" w:rsidRPr="00D76C1D" w:rsidRDefault="00D76C1D" w:rsidP="00465226">
            <w:pPr>
              <w:pStyle w:val="TableParagraph"/>
              <w:keepNext/>
              <w:keepLines/>
              <w:spacing w:before="29"/>
              <w:ind w:left="76"/>
              <w:rPr>
                <w:rFonts w:ascii="Calibri Light" w:hAnsi="Calibri Light" w:cs="Calibri Light"/>
                <w:sz w:val="16"/>
              </w:rPr>
            </w:pPr>
            <w:r w:rsidRPr="00D76C1D">
              <w:rPr>
                <w:rFonts w:ascii="Calibri Light" w:hAnsi="Calibri Light" w:cs="Calibri Light"/>
                <w:color w:val="231F20"/>
                <w:spacing w:val="-5"/>
                <w:sz w:val="16"/>
              </w:rPr>
              <w:t>0%</w:t>
            </w:r>
          </w:p>
        </w:tc>
      </w:tr>
      <w:tr w:rsidR="00D76C1D" w14:paraId="5A553D8A" w14:textId="77777777" w:rsidTr="00F22AE5">
        <w:trPr>
          <w:trHeight w:val="277"/>
        </w:trPr>
        <w:tc>
          <w:tcPr>
            <w:tcW w:w="2795" w:type="dxa"/>
            <w:tcBorders>
              <w:left w:val="nil"/>
              <w:right w:val="single" w:sz="8" w:space="0" w:color="1F4060"/>
            </w:tcBorders>
          </w:tcPr>
          <w:p w14:paraId="04A88835" w14:textId="77777777" w:rsidR="00D76C1D" w:rsidRPr="00D76C1D" w:rsidRDefault="00D76C1D" w:rsidP="00465226">
            <w:pPr>
              <w:pStyle w:val="TableParagraph"/>
              <w:keepNext/>
              <w:keepLines/>
              <w:spacing w:before="29"/>
              <w:ind w:left="70"/>
              <w:rPr>
                <w:rFonts w:ascii="Calibri Light" w:hAnsi="Calibri Light" w:cs="Calibri Light"/>
                <w:sz w:val="16"/>
              </w:rPr>
            </w:pPr>
            <w:r w:rsidRPr="00D76C1D">
              <w:rPr>
                <w:rFonts w:ascii="Calibri Light" w:hAnsi="Calibri Light" w:cs="Calibri Light"/>
                <w:color w:val="231F20"/>
                <w:sz w:val="16"/>
              </w:rPr>
              <w:t>Head</w:t>
            </w:r>
            <w:r w:rsidRPr="00D76C1D">
              <w:rPr>
                <w:rFonts w:ascii="Calibri Light" w:hAnsi="Calibri Light" w:cs="Calibri Light"/>
                <w:color w:val="231F20"/>
                <w:spacing w:val="-3"/>
                <w:sz w:val="16"/>
              </w:rPr>
              <w:t xml:space="preserve"> </w:t>
            </w:r>
            <w:r w:rsidRPr="00D76C1D">
              <w:rPr>
                <w:rFonts w:ascii="Calibri Light" w:hAnsi="Calibri Light" w:cs="Calibri Light"/>
                <w:color w:val="231F20"/>
                <w:sz w:val="16"/>
              </w:rPr>
              <w:t>of</w:t>
            </w:r>
            <w:r w:rsidRPr="00D76C1D">
              <w:rPr>
                <w:rFonts w:ascii="Calibri Light" w:hAnsi="Calibri Light" w:cs="Calibri Light"/>
                <w:color w:val="231F20"/>
                <w:spacing w:val="-3"/>
                <w:sz w:val="16"/>
              </w:rPr>
              <w:t xml:space="preserve"> </w:t>
            </w:r>
            <w:r w:rsidRPr="00D76C1D">
              <w:rPr>
                <w:rFonts w:ascii="Calibri Light" w:hAnsi="Calibri Light" w:cs="Calibri Light"/>
                <w:color w:val="231F20"/>
                <w:spacing w:val="-2"/>
                <w:sz w:val="16"/>
              </w:rPr>
              <w:t>Department</w:t>
            </w:r>
          </w:p>
        </w:tc>
        <w:tc>
          <w:tcPr>
            <w:tcW w:w="1321" w:type="dxa"/>
            <w:tcBorders>
              <w:left w:val="single" w:sz="8" w:space="0" w:color="1F4060"/>
            </w:tcBorders>
          </w:tcPr>
          <w:p w14:paraId="507E0948"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1</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pacing w:val="-10"/>
                <w:sz w:val="16"/>
              </w:rPr>
              <w:t>3</w:t>
            </w:r>
          </w:p>
        </w:tc>
        <w:tc>
          <w:tcPr>
            <w:tcW w:w="1321" w:type="dxa"/>
            <w:tcBorders>
              <w:right w:val="single" w:sz="8" w:space="0" w:color="1F4060"/>
            </w:tcBorders>
          </w:tcPr>
          <w:p w14:paraId="0E36F98F"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pacing w:val="-5"/>
                <w:sz w:val="16"/>
              </w:rPr>
              <w:t>33%</w:t>
            </w:r>
          </w:p>
        </w:tc>
        <w:tc>
          <w:tcPr>
            <w:tcW w:w="1321" w:type="dxa"/>
            <w:tcBorders>
              <w:left w:val="single" w:sz="8" w:space="0" w:color="1F4060"/>
            </w:tcBorders>
          </w:tcPr>
          <w:p w14:paraId="6E1093BA"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0</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pacing w:val="-10"/>
                <w:sz w:val="16"/>
              </w:rPr>
              <w:t>2</w:t>
            </w:r>
          </w:p>
        </w:tc>
        <w:tc>
          <w:tcPr>
            <w:tcW w:w="1321" w:type="dxa"/>
            <w:tcBorders>
              <w:right w:val="nil"/>
            </w:tcBorders>
          </w:tcPr>
          <w:p w14:paraId="0D0029EE" w14:textId="77777777" w:rsidR="00D76C1D" w:rsidRPr="00D76C1D" w:rsidRDefault="00D76C1D" w:rsidP="00465226">
            <w:pPr>
              <w:pStyle w:val="TableParagraph"/>
              <w:keepNext/>
              <w:keepLines/>
              <w:spacing w:before="29"/>
              <w:ind w:left="76"/>
              <w:rPr>
                <w:rFonts w:ascii="Calibri Light" w:hAnsi="Calibri Light" w:cs="Calibri Light"/>
                <w:sz w:val="16"/>
              </w:rPr>
            </w:pPr>
            <w:r w:rsidRPr="00D76C1D">
              <w:rPr>
                <w:rFonts w:ascii="Calibri Light" w:hAnsi="Calibri Light" w:cs="Calibri Light"/>
                <w:color w:val="231F20"/>
                <w:spacing w:val="-5"/>
                <w:sz w:val="16"/>
              </w:rPr>
              <w:t>0%</w:t>
            </w:r>
          </w:p>
        </w:tc>
      </w:tr>
      <w:tr w:rsidR="00D76C1D" w14:paraId="2D638690" w14:textId="77777777" w:rsidTr="00F22AE5">
        <w:trPr>
          <w:trHeight w:val="269"/>
        </w:trPr>
        <w:tc>
          <w:tcPr>
            <w:tcW w:w="2795" w:type="dxa"/>
            <w:tcBorders>
              <w:left w:val="nil"/>
              <w:bottom w:val="single" w:sz="8" w:space="0" w:color="1F4060"/>
              <w:right w:val="single" w:sz="8" w:space="0" w:color="1F4060"/>
            </w:tcBorders>
          </w:tcPr>
          <w:p w14:paraId="1326CC2D" w14:textId="77777777" w:rsidR="00D76C1D" w:rsidRPr="00D76C1D" w:rsidRDefault="00D76C1D" w:rsidP="00465226">
            <w:pPr>
              <w:pStyle w:val="TableParagraph"/>
              <w:keepNext/>
              <w:keepLines/>
              <w:spacing w:before="29"/>
              <w:ind w:left="70"/>
              <w:rPr>
                <w:rFonts w:ascii="Calibri Light" w:hAnsi="Calibri Light" w:cs="Calibri Light"/>
                <w:sz w:val="16"/>
              </w:rPr>
            </w:pPr>
            <w:r w:rsidRPr="00D76C1D">
              <w:rPr>
                <w:rFonts w:ascii="Calibri Light" w:hAnsi="Calibri Light" w:cs="Calibri Light"/>
                <w:color w:val="231F20"/>
                <w:sz w:val="16"/>
              </w:rPr>
              <w:t>Assistant</w:t>
            </w:r>
            <w:r w:rsidRPr="00D76C1D">
              <w:rPr>
                <w:rFonts w:ascii="Calibri Light" w:hAnsi="Calibri Light" w:cs="Calibri Light"/>
                <w:color w:val="231F20"/>
                <w:spacing w:val="11"/>
                <w:sz w:val="16"/>
              </w:rPr>
              <w:t xml:space="preserve"> </w:t>
            </w:r>
            <w:r w:rsidRPr="00D76C1D">
              <w:rPr>
                <w:rFonts w:ascii="Calibri Light" w:hAnsi="Calibri Light" w:cs="Calibri Light"/>
                <w:color w:val="231F20"/>
                <w:spacing w:val="-2"/>
                <w:sz w:val="16"/>
              </w:rPr>
              <w:t>Governor</w:t>
            </w:r>
          </w:p>
        </w:tc>
        <w:tc>
          <w:tcPr>
            <w:tcW w:w="1321" w:type="dxa"/>
            <w:tcBorders>
              <w:left w:val="single" w:sz="8" w:space="0" w:color="1F4060"/>
              <w:bottom w:val="single" w:sz="8" w:space="0" w:color="1F4060"/>
            </w:tcBorders>
          </w:tcPr>
          <w:p w14:paraId="5273832F"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0</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pacing w:val="-10"/>
                <w:sz w:val="16"/>
              </w:rPr>
              <w:t>1</w:t>
            </w:r>
          </w:p>
        </w:tc>
        <w:tc>
          <w:tcPr>
            <w:tcW w:w="1321" w:type="dxa"/>
            <w:tcBorders>
              <w:bottom w:val="single" w:sz="8" w:space="0" w:color="1F4060"/>
              <w:right w:val="single" w:sz="8" w:space="0" w:color="1F4060"/>
            </w:tcBorders>
          </w:tcPr>
          <w:p w14:paraId="347C7BB1"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pacing w:val="-5"/>
                <w:sz w:val="16"/>
              </w:rPr>
              <w:t>0%</w:t>
            </w:r>
          </w:p>
        </w:tc>
        <w:tc>
          <w:tcPr>
            <w:tcW w:w="1321" w:type="dxa"/>
            <w:tcBorders>
              <w:left w:val="single" w:sz="8" w:space="0" w:color="1F4060"/>
              <w:bottom w:val="single" w:sz="8" w:space="0" w:color="1F4060"/>
            </w:tcBorders>
          </w:tcPr>
          <w:p w14:paraId="26A1F212"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0</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pacing w:val="-10"/>
                <w:sz w:val="16"/>
              </w:rPr>
              <w:t>2</w:t>
            </w:r>
          </w:p>
        </w:tc>
        <w:tc>
          <w:tcPr>
            <w:tcW w:w="1321" w:type="dxa"/>
            <w:tcBorders>
              <w:bottom w:val="single" w:sz="8" w:space="0" w:color="1F4060"/>
              <w:right w:val="nil"/>
            </w:tcBorders>
          </w:tcPr>
          <w:p w14:paraId="2DD05BEE" w14:textId="77777777" w:rsidR="00D76C1D" w:rsidRPr="00D76C1D" w:rsidRDefault="00D76C1D" w:rsidP="00465226">
            <w:pPr>
              <w:pStyle w:val="TableParagraph"/>
              <w:keepNext/>
              <w:keepLines/>
              <w:spacing w:before="29"/>
              <w:ind w:left="76"/>
              <w:rPr>
                <w:rFonts w:ascii="Calibri Light" w:hAnsi="Calibri Light" w:cs="Calibri Light"/>
                <w:sz w:val="16"/>
              </w:rPr>
            </w:pPr>
            <w:r w:rsidRPr="00D76C1D">
              <w:rPr>
                <w:rFonts w:ascii="Calibri Light" w:hAnsi="Calibri Light" w:cs="Calibri Light"/>
                <w:color w:val="231F20"/>
                <w:spacing w:val="-5"/>
                <w:sz w:val="16"/>
              </w:rPr>
              <w:t>0%</w:t>
            </w:r>
          </w:p>
        </w:tc>
      </w:tr>
      <w:tr w:rsidR="00D76C1D" w14:paraId="29746082" w14:textId="77777777" w:rsidTr="00F22AE5">
        <w:trPr>
          <w:trHeight w:val="269"/>
        </w:trPr>
        <w:tc>
          <w:tcPr>
            <w:tcW w:w="2795" w:type="dxa"/>
            <w:tcBorders>
              <w:top w:val="single" w:sz="8" w:space="0" w:color="1F4060"/>
              <w:left w:val="nil"/>
              <w:right w:val="single" w:sz="8" w:space="0" w:color="1F4060"/>
            </w:tcBorders>
          </w:tcPr>
          <w:p w14:paraId="5E2E18A1" w14:textId="77777777" w:rsidR="00D76C1D" w:rsidRPr="00D76C1D" w:rsidRDefault="00D76C1D" w:rsidP="00465226">
            <w:pPr>
              <w:pStyle w:val="TableParagraph"/>
              <w:keepNext/>
              <w:keepLines/>
              <w:spacing w:before="21"/>
              <w:ind w:left="70"/>
              <w:rPr>
                <w:rFonts w:ascii="Calibri Light" w:hAnsi="Calibri Light" w:cs="Calibri Light"/>
                <w:sz w:val="16"/>
              </w:rPr>
            </w:pPr>
            <w:r w:rsidRPr="00D76C1D">
              <w:rPr>
                <w:rFonts w:ascii="Calibri Light" w:hAnsi="Calibri Light" w:cs="Calibri Light"/>
                <w:color w:val="231F20"/>
                <w:sz w:val="16"/>
              </w:rPr>
              <w:t>Total</w:t>
            </w:r>
            <w:r w:rsidRPr="00D76C1D">
              <w:rPr>
                <w:rFonts w:ascii="Calibri Light" w:hAnsi="Calibri Light" w:cs="Calibri Light"/>
                <w:color w:val="231F20"/>
                <w:spacing w:val="-7"/>
                <w:sz w:val="16"/>
              </w:rPr>
              <w:t xml:space="preserve"> </w:t>
            </w:r>
            <w:r w:rsidRPr="00D76C1D">
              <w:rPr>
                <w:rFonts w:ascii="Calibri Light" w:hAnsi="Calibri Light" w:cs="Calibri Light"/>
                <w:color w:val="231F20"/>
                <w:sz w:val="16"/>
              </w:rPr>
              <w:t>(Manager</w:t>
            </w:r>
            <w:r w:rsidRPr="00D76C1D">
              <w:rPr>
                <w:rFonts w:ascii="Calibri Light" w:hAnsi="Calibri Light" w:cs="Calibri Light"/>
                <w:color w:val="231F20"/>
                <w:spacing w:val="-7"/>
                <w:sz w:val="16"/>
              </w:rPr>
              <w:t xml:space="preserve"> </w:t>
            </w:r>
            <w:r w:rsidRPr="00D76C1D">
              <w:rPr>
                <w:rFonts w:ascii="Calibri Light" w:hAnsi="Calibri Light" w:cs="Calibri Light"/>
                <w:color w:val="231F20"/>
                <w:sz w:val="16"/>
              </w:rPr>
              <w:t>&amp;</w:t>
            </w:r>
            <w:r w:rsidRPr="00D76C1D">
              <w:rPr>
                <w:rFonts w:ascii="Calibri Light" w:hAnsi="Calibri Light" w:cs="Calibri Light"/>
                <w:color w:val="231F20"/>
                <w:spacing w:val="-6"/>
                <w:sz w:val="16"/>
              </w:rPr>
              <w:t xml:space="preserve"> </w:t>
            </w:r>
            <w:r w:rsidRPr="00D76C1D">
              <w:rPr>
                <w:rFonts w:ascii="Calibri Light" w:hAnsi="Calibri Light" w:cs="Calibri Light"/>
                <w:color w:val="231F20"/>
                <w:spacing w:val="-2"/>
                <w:sz w:val="16"/>
              </w:rPr>
              <w:t>above)</w:t>
            </w:r>
          </w:p>
        </w:tc>
        <w:tc>
          <w:tcPr>
            <w:tcW w:w="1321" w:type="dxa"/>
            <w:tcBorders>
              <w:top w:val="single" w:sz="8" w:space="0" w:color="1F4060"/>
              <w:left w:val="single" w:sz="8" w:space="0" w:color="1F4060"/>
            </w:tcBorders>
          </w:tcPr>
          <w:p w14:paraId="2973BBEB" w14:textId="77777777" w:rsidR="00D76C1D" w:rsidRPr="00D76C1D" w:rsidRDefault="00D76C1D" w:rsidP="00465226">
            <w:pPr>
              <w:pStyle w:val="TableParagraph"/>
              <w:keepNext/>
              <w:keepLines/>
              <w:spacing w:before="21"/>
              <w:ind w:left="69"/>
              <w:rPr>
                <w:rFonts w:ascii="Calibri Light" w:hAnsi="Calibri Light" w:cs="Calibri Light"/>
                <w:sz w:val="16"/>
              </w:rPr>
            </w:pPr>
            <w:r w:rsidRPr="00D76C1D">
              <w:rPr>
                <w:rFonts w:ascii="Calibri Light" w:hAnsi="Calibri Light" w:cs="Calibri Light"/>
                <w:color w:val="231F20"/>
                <w:sz w:val="16"/>
              </w:rPr>
              <w:t>9</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pacing w:val="-5"/>
                <w:sz w:val="16"/>
              </w:rPr>
              <w:t>55</w:t>
            </w:r>
          </w:p>
        </w:tc>
        <w:tc>
          <w:tcPr>
            <w:tcW w:w="1321" w:type="dxa"/>
            <w:tcBorders>
              <w:top w:val="single" w:sz="8" w:space="0" w:color="1F4060"/>
              <w:right w:val="single" w:sz="8" w:space="0" w:color="1F4060"/>
            </w:tcBorders>
          </w:tcPr>
          <w:p w14:paraId="57FD01A2" w14:textId="77777777" w:rsidR="00D76C1D" w:rsidRPr="00D76C1D" w:rsidRDefault="00D76C1D" w:rsidP="00465226">
            <w:pPr>
              <w:pStyle w:val="TableParagraph"/>
              <w:keepNext/>
              <w:keepLines/>
              <w:spacing w:before="21"/>
              <w:ind w:left="69"/>
              <w:rPr>
                <w:rFonts w:ascii="Calibri Light" w:hAnsi="Calibri Light" w:cs="Calibri Light"/>
                <w:sz w:val="16"/>
              </w:rPr>
            </w:pPr>
            <w:r w:rsidRPr="00D76C1D">
              <w:rPr>
                <w:rFonts w:ascii="Calibri Light" w:hAnsi="Calibri Light" w:cs="Calibri Light"/>
                <w:color w:val="231F20"/>
                <w:spacing w:val="-5"/>
                <w:sz w:val="16"/>
              </w:rPr>
              <w:t>16%</w:t>
            </w:r>
          </w:p>
        </w:tc>
        <w:tc>
          <w:tcPr>
            <w:tcW w:w="1321" w:type="dxa"/>
            <w:tcBorders>
              <w:top w:val="single" w:sz="8" w:space="0" w:color="1F4060"/>
              <w:left w:val="single" w:sz="8" w:space="0" w:color="1F4060"/>
            </w:tcBorders>
          </w:tcPr>
          <w:p w14:paraId="203486D6" w14:textId="77777777" w:rsidR="00D76C1D" w:rsidRPr="00D76C1D" w:rsidRDefault="00D76C1D" w:rsidP="00465226">
            <w:pPr>
              <w:pStyle w:val="TableParagraph"/>
              <w:keepNext/>
              <w:keepLines/>
              <w:spacing w:before="21"/>
              <w:ind w:left="69"/>
              <w:rPr>
                <w:rFonts w:ascii="Calibri Light" w:hAnsi="Calibri Light" w:cs="Calibri Light"/>
                <w:sz w:val="16"/>
              </w:rPr>
            </w:pPr>
            <w:r w:rsidRPr="00D76C1D">
              <w:rPr>
                <w:rFonts w:ascii="Calibri Light" w:hAnsi="Calibri Light" w:cs="Calibri Light"/>
                <w:color w:val="231F20"/>
                <w:sz w:val="16"/>
              </w:rPr>
              <w:t>5</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pacing w:val="-5"/>
                <w:sz w:val="16"/>
              </w:rPr>
              <w:t>65</w:t>
            </w:r>
          </w:p>
        </w:tc>
        <w:tc>
          <w:tcPr>
            <w:tcW w:w="1321" w:type="dxa"/>
            <w:tcBorders>
              <w:top w:val="single" w:sz="8" w:space="0" w:color="1F4060"/>
              <w:right w:val="nil"/>
            </w:tcBorders>
          </w:tcPr>
          <w:p w14:paraId="1A257133" w14:textId="77777777" w:rsidR="00D76C1D" w:rsidRPr="00D76C1D" w:rsidRDefault="00D76C1D" w:rsidP="00465226">
            <w:pPr>
              <w:pStyle w:val="TableParagraph"/>
              <w:keepNext/>
              <w:keepLines/>
              <w:spacing w:before="21"/>
              <w:ind w:left="76"/>
              <w:rPr>
                <w:rFonts w:ascii="Calibri Light" w:hAnsi="Calibri Light" w:cs="Calibri Light"/>
                <w:sz w:val="16"/>
              </w:rPr>
            </w:pPr>
            <w:r w:rsidRPr="00D76C1D">
              <w:rPr>
                <w:rFonts w:ascii="Calibri Light" w:hAnsi="Calibri Light" w:cs="Calibri Light"/>
                <w:color w:val="231F20"/>
                <w:spacing w:val="-5"/>
                <w:sz w:val="16"/>
              </w:rPr>
              <w:t>8%</w:t>
            </w:r>
          </w:p>
        </w:tc>
      </w:tr>
      <w:tr w:rsidR="00D76C1D" w14:paraId="3A35FC5B" w14:textId="77777777" w:rsidTr="00F22AE5">
        <w:trPr>
          <w:trHeight w:val="279"/>
        </w:trPr>
        <w:tc>
          <w:tcPr>
            <w:tcW w:w="2795" w:type="dxa"/>
            <w:tcBorders>
              <w:left w:val="nil"/>
              <w:bottom w:val="nil"/>
              <w:right w:val="single" w:sz="8" w:space="0" w:color="1F4060"/>
            </w:tcBorders>
          </w:tcPr>
          <w:p w14:paraId="70A730CB" w14:textId="77777777" w:rsidR="00D76C1D" w:rsidRPr="00D76C1D" w:rsidRDefault="00D76C1D" w:rsidP="00465226">
            <w:pPr>
              <w:pStyle w:val="TableParagraph"/>
              <w:keepNext/>
              <w:keepLines/>
              <w:spacing w:before="29"/>
              <w:ind w:left="70"/>
              <w:rPr>
                <w:rFonts w:ascii="Calibri Light" w:hAnsi="Calibri Light" w:cs="Calibri Light"/>
                <w:sz w:val="16"/>
              </w:rPr>
            </w:pPr>
            <w:r w:rsidRPr="00D76C1D">
              <w:rPr>
                <w:rFonts w:ascii="Calibri Light" w:hAnsi="Calibri Light" w:cs="Calibri Light"/>
                <w:color w:val="231F20"/>
                <w:spacing w:val="-2"/>
                <w:sz w:val="16"/>
              </w:rPr>
              <w:t>Total</w:t>
            </w:r>
          </w:p>
        </w:tc>
        <w:tc>
          <w:tcPr>
            <w:tcW w:w="1321" w:type="dxa"/>
            <w:tcBorders>
              <w:left w:val="single" w:sz="8" w:space="0" w:color="1F4060"/>
              <w:bottom w:val="nil"/>
            </w:tcBorders>
          </w:tcPr>
          <w:p w14:paraId="5907C638"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72</w:t>
            </w:r>
            <w:r w:rsidRPr="00D76C1D">
              <w:rPr>
                <w:rFonts w:ascii="Calibri Light" w:hAnsi="Calibri Light" w:cs="Calibri Light"/>
                <w:color w:val="231F20"/>
                <w:spacing w:val="-4"/>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3"/>
                <w:sz w:val="16"/>
              </w:rPr>
              <w:t xml:space="preserve"> </w:t>
            </w:r>
            <w:r w:rsidRPr="00D76C1D">
              <w:rPr>
                <w:rFonts w:ascii="Calibri Light" w:hAnsi="Calibri Light" w:cs="Calibri Light"/>
                <w:color w:val="231F20"/>
                <w:spacing w:val="-5"/>
                <w:sz w:val="16"/>
              </w:rPr>
              <w:t>223</w:t>
            </w:r>
          </w:p>
        </w:tc>
        <w:tc>
          <w:tcPr>
            <w:tcW w:w="1321" w:type="dxa"/>
            <w:tcBorders>
              <w:bottom w:val="nil"/>
              <w:right w:val="single" w:sz="8" w:space="0" w:color="1F4060"/>
            </w:tcBorders>
          </w:tcPr>
          <w:p w14:paraId="1A4C3088"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pacing w:val="-5"/>
                <w:sz w:val="16"/>
              </w:rPr>
              <w:t>32%</w:t>
            </w:r>
          </w:p>
        </w:tc>
        <w:tc>
          <w:tcPr>
            <w:tcW w:w="1321" w:type="dxa"/>
            <w:tcBorders>
              <w:left w:val="single" w:sz="8" w:space="0" w:color="1F4060"/>
              <w:bottom w:val="nil"/>
            </w:tcBorders>
          </w:tcPr>
          <w:p w14:paraId="77EE913E" w14:textId="77777777" w:rsidR="00D76C1D" w:rsidRPr="00D76C1D" w:rsidRDefault="00D76C1D" w:rsidP="00465226">
            <w:pPr>
              <w:pStyle w:val="TableParagraph"/>
              <w:keepNext/>
              <w:keepLines/>
              <w:spacing w:before="29"/>
              <w:ind w:left="69"/>
              <w:rPr>
                <w:rFonts w:ascii="Calibri Light" w:hAnsi="Calibri Light" w:cs="Calibri Light"/>
                <w:sz w:val="16"/>
              </w:rPr>
            </w:pPr>
            <w:r w:rsidRPr="00D76C1D">
              <w:rPr>
                <w:rFonts w:ascii="Calibri Light" w:hAnsi="Calibri Light" w:cs="Calibri Light"/>
                <w:color w:val="231F20"/>
                <w:sz w:val="16"/>
              </w:rPr>
              <w:t>18</w:t>
            </w:r>
            <w:r w:rsidRPr="00D76C1D">
              <w:rPr>
                <w:rFonts w:ascii="Calibri Light" w:hAnsi="Calibri Light" w:cs="Calibri Light"/>
                <w:color w:val="231F20"/>
                <w:spacing w:val="-9"/>
                <w:sz w:val="16"/>
              </w:rPr>
              <w:t xml:space="preserve"> </w:t>
            </w:r>
            <w:r w:rsidRPr="00D76C1D">
              <w:rPr>
                <w:rFonts w:ascii="Calibri Light" w:hAnsi="Calibri Light" w:cs="Calibri Light"/>
                <w:color w:val="231F20"/>
                <w:sz w:val="16"/>
              </w:rPr>
              <w:t>/</w:t>
            </w:r>
            <w:r w:rsidRPr="00D76C1D">
              <w:rPr>
                <w:rFonts w:ascii="Calibri Light" w:hAnsi="Calibri Light" w:cs="Calibri Light"/>
                <w:color w:val="231F20"/>
                <w:spacing w:val="-8"/>
                <w:sz w:val="16"/>
              </w:rPr>
              <w:t xml:space="preserve"> </w:t>
            </w:r>
            <w:r w:rsidRPr="00D76C1D">
              <w:rPr>
                <w:rFonts w:ascii="Calibri Light" w:hAnsi="Calibri Light" w:cs="Calibri Light"/>
                <w:color w:val="231F20"/>
                <w:spacing w:val="-5"/>
                <w:sz w:val="16"/>
              </w:rPr>
              <w:t>210</w:t>
            </w:r>
          </w:p>
        </w:tc>
        <w:tc>
          <w:tcPr>
            <w:tcW w:w="1321" w:type="dxa"/>
            <w:tcBorders>
              <w:bottom w:val="nil"/>
              <w:right w:val="nil"/>
            </w:tcBorders>
          </w:tcPr>
          <w:p w14:paraId="1646EE70" w14:textId="77777777" w:rsidR="00D76C1D" w:rsidRPr="00D76C1D" w:rsidRDefault="00D76C1D" w:rsidP="00465226">
            <w:pPr>
              <w:pStyle w:val="TableParagraph"/>
              <w:keepNext/>
              <w:keepLines/>
              <w:spacing w:before="29"/>
              <w:ind w:left="76"/>
              <w:rPr>
                <w:rFonts w:ascii="Calibri Light" w:hAnsi="Calibri Light" w:cs="Calibri Light"/>
                <w:sz w:val="16"/>
              </w:rPr>
            </w:pPr>
            <w:r w:rsidRPr="00D76C1D">
              <w:rPr>
                <w:rFonts w:ascii="Calibri Light" w:hAnsi="Calibri Light" w:cs="Calibri Light"/>
                <w:color w:val="231F20"/>
                <w:spacing w:val="-5"/>
                <w:sz w:val="16"/>
              </w:rPr>
              <w:t>9%</w:t>
            </w:r>
          </w:p>
        </w:tc>
      </w:tr>
    </w:tbl>
    <w:p w14:paraId="441EF557" w14:textId="77777777" w:rsidR="00D76C1D" w:rsidRDefault="00D76C1D" w:rsidP="00465226">
      <w:pPr>
        <w:pStyle w:val="BodyText"/>
        <w:keepNext/>
        <w:keepLines/>
        <w:spacing w:before="1"/>
        <w:rPr>
          <w:rFonts w:ascii="Open Sans"/>
          <w:b/>
          <w:sz w:val="16"/>
        </w:rPr>
      </w:pPr>
    </w:p>
    <w:p w14:paraId="72B6F2FA" w14:textId="77777777" w:rsidR="00D76C1D" w:rsidRDefault="00D76C1D" w:rsidP="00465226">
      <w:pPr>
        <w:pStyle w:val="Note"/>
        <w:keepNext/>
        <w:keepLines/>
      </w:pPr>
      <w:r>
        <w:t>Source:</w:t>
      </w:r>
      <w:r>
        <w:rPr>
          <w:spacing w:val="1"/>
        </w:rPr>
        <w:t xml:space="preserve"> </w:t>
      </w:r>
      <w:r>
        <w:rPr>
          <w:spacing w:val="-5"/>
        </w:rPr>
        <w:t>RBA</w:t>
      </w:r>
    </w:p>
    <w:p w14:paraId="6F9461FE" w14:textId="1B1729F2" w:rsidR="00D76C1D" w:rsidRDefault="00D76C1D" w:rsidP="00465226">
      <w:pPr>
        <w:pStyle w:val="Note"/>
        <w:keepNext/>
        <w:keepLines/>
      </w:pPr>
      <w:r>
        <w:t>Note: Defined as the number of vacant positions filled by an external appointment during the period (a flow rather than a stock) and is compared against the total number of vacant positions filled</w:t>
      </w:r>
      <w:r w:rsidR="0068598E">
        <w:rPr>
          <w:spacing w:val="-16"/>
        </w:rPr>
        <w:t>.</w:t>
      </w:r>
      <w:r>
        <w:rPr>
          <w:w w:val="85"/>
        </w:rPr>
        <w:t xml:space="preserve"> </w:t>
      </w:r>
      <w:r>
        <w:t>For Analysts, total appointments include graduates promoted to analysts at the end of the Graduate Development Program</w:t>
      </w:r>
      <w:r w:rsidR="0068598E">
        <w:rPr>
          <w:spacing w:val="-14"/>
        </w:rPr>
        <w:t>.</w:t>
      </w:r>
    </w:p>
    <w:p w14:paraId="1803893E" w14:textId="77777777" w:rsidR="00D76C1D" w:rsidRDefault="00D76C1D" w:rsidP="00D76C1D">
      <w:r>
        <w:t>At present, policies exist at the RBA to externally advertise senior positions (Head of Department and above, with a similar expectation for Deputy Head roles) as a default, but these are not always followed. Staff members also reported reluctance among some of the RBA’s senior and executive leaders to engage in standard external hiring practices, such as the use of recruitment agencies.</w:t>
      </w:r>
    </w:p>
    <w:p w14:paraId="5AB4C339" w14:textId="4E14B9C6" w:rsidR="00D76C1D" w:rsidRDefault="00D76C1D" w:rsidP="00D76C1D">
      <w:r>
        <w:t>Finding the right balance of internal promotions and external hires will encourage learning and development, and broader competitive merit-based recruitment (also relevant for Recommendation 11</w:t>
      </w:r>
      <w:r w:rsidR="0068598E">
        <w:rPr>
          <w:spacing w:val="-21"/>
        </w:rPr>
        <w:t>.</w:t>
      </w:r>
      <w:r>
        <w:rPr>
          <w:w w:val="117"/>
        </w:rPr>
        <w:t>2)</w:t>
      </w:r>
      <w:r w:rsidR="0068598E">
        <w:rPr>
          <w:spacing w:val="-20"/>
          <w:w w:val="99"/>
        </w:rPr>
        <w:t>.</w:t>
      </w:r>
      <w:r>
        <w:rPr>
          <w:w w:val="85"/>
        </w:rPr>
        <w:t xml:space="preserve"> </w:t>
      </w:r>
      <w:r>
        <w:t>The appropriate balance will ensure that the RBA retains critical institutional knowledge and skills but is still able to benefit from an openness to new ways of thinking and working. On balance, the Review found a lot of support among current staff members and senior leadership for boosting the share of external hires, particularly from diverse backgrounds.</w:t>
      </w:r>
    </w:p>
    <w:p w14:paraId="498BE58C" w14:textId="6CDE5618" w:rsidR="00D76C1D" w:rsidRDefault="00D76C1D" w:rsidP="00D76C1D">
      <w:r>
        <w:t>Stronger processes for external hiring should be complemented by a renewed focus on ensuring experienced hires are well supported. The Review heard that, at times, some managers and staff members could pre-emptively lack confidence in the capability or experience of external hires as they have not been trained by the RBA. Staff members also relayed that onboarding support for experienced hires was variable, dependent upon individual managers, and considerably less developed than that available to graduates</w:t>
      </w:r>
      <w:r w:rsidR="0068598E">
        <w:rPr>
          <w:spacing w:val="-11"/>
        </w:rPr>
        <w:t>.</w:t>
      </w:r>
    </w:p>
    <w:p w14:paraId="7B7DDDFB" w14:textId="315B2789" w:rsidR="009717B2" w:rsidRDefault="009717B2" w:rsidP="009717B2">
      <w:r>
        <w:t>The Review heard that more short-term secondments would be helpful. Several staff members commented that increased movement between the RBA and the APS has helped to improve diversity of views. In February 2023, 13 RBA staff members were on an external secondment (0.9 per cent of 2022 staff base) and there were 4 secondees working at the RBA (0.3 per cent of 2022 staff base). In comparison, in June 2022, 111 or 2.5 per cent of ongoing staff members from a central APS agency were on an external secondment to another APS agency and there were 135 or 3 per cent of ongoing APS employees seconded into a central APS agency (APSED 2020-22)</w:t>
      </w:r>
      <w:r w:rsidR="0068598E">
        <w:rPr>
          <w:spacing w:val="-20"/>
        </w:rPr>
        <w:t>.</w:t>
      </w:r>
      <w:r>
        <w:rPr>
          <w:w w:val="85"/>
        </w:rPr>
        <w:t xml:space="preserve"> </w:t>
      </w:r>
      <w:r>
        <w:t>Note, this comparison is a lower-bound, as it excludes non-ongoing employees and employees seconded to non-APS workplaces (such as those in the private sector). In the RBA Review Staff Survey, one staff member said:</w:t>
      </w:r>
    </w:p>
    <w:p w14:paraId="166F8DD0" w14:textId="77777777" w:rsidR="002B0F9A" w:rsidRDefault="002B0F9A" w:rsidP="00465226">
      <w:pPr>
        <w:pStyle w:val="italicquote"/>
        <w:keepNext/>
        <w:keepLines/>
        <w:ind w:right="522"/>
      </w:pPr>
      <w:r>
        <w:lastRenderedPageBreak/>
        <w:t>‘Junior</w:t>
      </w:r>
      <w:r>
        <w:rPr>
          <w:spacing w:val="-2"/>
        </w:rPr>
        <w:t xml:space="preserve"> </w:t>
      </w:r>
      <w:r>
        <w:t>staff</w:t>
      </w:r>
      <w:r>
        <w:rPr>
          <w:spacing w:val="-2"/>
        </w:rPr>
        <w:t xml:space="preserve"> </w:t>
      </w:r>
      <w:r>
        <w:t>are</w:t>
      </w:r>
      <w:r>
        <w:rPr>
          <w:spacing w:val="-2"/>
        </w:rPr>
        <w:t xml:space="preserve"> </w:t>
      </w:r>
      <w:r>
        <w:t>reluctant</w:t>
      </w:r>
      <w:r>
        <w:rPr>
          <w:spacing w:val="-2"/>
        </w:rPr>
        <w:t xml:space="preserve"> </w:t>
      </w:r>
      <w:r>
        <w:t>to</w:t>
      </w:r>
      <w:r>
        <w:rPr>
          <w:spacing w:val="-2"/>
        </w:rPr>
        <w:t xml:space="preserve"> </w:t>
      </w:r>
      <w:r>
        <w:t>take</w:t>
      </w:r>
      <w:r>
        <w:rPr>
          <w:spacing w:val="-2"/>
        </w:rPr>
        <w:t xml:space="preserve"> </w:t>
      </w:r>
      <w:r>
        <w:t>secondments,</w:t>
      </w:r>
      <w:r>
        <w:rPr>
          <w:spacing w:val="-2"/>
        </w:rPr>
        <w:t xml:space="preserve"> </w:t>
      </w:r>
      <w:r>
        <w:t>or</w:t>
      </w:r>
      <w:r>
        <w:rPr>
          <w:spacing w:val="-2"/>
        </w:rPr>
        <w:t xml:space="preserve"> </w:t>
      </w:r>
      <w:r>
        <w:t>study</w:t>
      </w:r>
      <w:r>
        <w:rPr>
          <w:spacing w:val="-2"/>
        </w:rPr>
        <w:t xml:space="preserve"> </w:t>
      </w:r>
      <w:r>
        <w:t>for</w:t>
      </w:r>
      <w:r>
        <w:rPr>
          <w:spacing w:val="-2"/>
        </w:rPr>
        <w:t xml:space="preserve"> </w:t>
      </w:r>
      <w:r>
        <w:t>PhDs</w:t>
      </w:r>
      <w:r>
        <w:rPr>
          <w:spacing w:val="-2"/>
        </w:rPr>
        <w:t xml:space="preserve"> </w:t>
      </w:r>
      <w:r>
        <w:t>as</w:t>
      </w:r>
      <w:r>
        <w:rPr>
          <w:spacing w:val="-2"/>
        </w:rPr>
        <w:t xml:space="preserve"> </w:t>
      </w:r>
      <w:r>
        <w:t>they</w:t>
      </w:r>
      <w:r>
        <w:rPr>
          <w:spacing w:val="-2"/>
        </w:rPr>
        <w:t xml:space="preserve"> </w:t>
      </w:r>
      <w:r>
        <w:t>feel</w:t>
      </w:r>
      <w:r>
        <w:rPr>
          <w:spacing w:val="-2"/>
        </w:rPr>
        <w:t xml:space="preserve"> </w:t>
      </w:r>
      <w:r>
        <w:t>as</w:t>
      </w:r>
      <w:r>
        <w:rPr>
          <w:spacing w:val="-2"/>
        </w:rPr>
        <w:t xml:space="preserve"> </w:t>
      </w:r>
      <w:r>
        <w:t>though</w:t>
      </w:r>
      <w:r>
        <w:rPr>
          <w:spacing w:val="-2"/>
        </w:rPr>
        <w:t xml:space="preserve"> </w:t>
      </w:r>
      <w:r>
        <w:t>it</w:t>
      </w:r>
      <w:r>
        <w:rPr>
          <w:spacing w:val="-2"/>
        </w:rPr>
        <w:t xml:space="preserve"> </w:t>
      </w:r>
      <w:r>
        <w:t>will</w:t>
      </w:r>
      <w:r>
        <w:rPr>
          <w:spacing w:val="-2"/>
        </w:rPr>
        <w:t xml:space="preserve"> </w:t>
      </w:r>
      <w:r>
        <w:t>slow the</w:t>
      </w:r>
      <w:r>
        <w:rPr>
          <w:spacing w:val="-3"/>
        </w:rPr>
        <w:t xml:space="preserve"> </w:t>
      </w:r>
      <w:r>
        <w:t>pace</w:t>
      </w:r>
      <w:r>
        <w:rPr>
          <w:spacing w:val="-3"/>
        </w:rPr>
        <w:t xml:space="preserve"> </w:t>
      </w:r>
      <w:r>
        <w:t>of</w:t>
      </w:r>
      <w:r>
        <w:rPr>
          <w:spacing w:val="-3"/>
        </w:rPr>
        <w:t xml:space="preserve"> </w:t>
      </w:r>
      <w:r>
        <w:t>career</w:t>
      </w:r>
      <w:r>
        <w:rPr>
          <w:spacing w:val="-3"/>
        </w:rPr>
        <w:t xml:space="preserve"> </w:t>
      </w:r>
      <w:r>
        <w:t>progression.</w:t>
      </w:r>
      <w:r>
        <w:rPr>
          <w:spacing w:val="-3"/>
        </w:rPr>
        <w:t xml:space="preserve"> </w:t>
      </w:r>
      <w:r>
        <w:t>We</w:t>
      </w:r>
      <w:r>
        <w:rPr>
          <w:spacing w:val="-3"/>
        </w:rPr>
        <w:t xml:space="preserve"> </w:t>
      </w:r>
      <w:r>
        <w:t>should</w:t>
      </w:r>
      <w:r>
        <w:rPr>
          <w:spacing w:val="-3"/>
        </w:rPr>
        <w:t xml:space="preserve"> </w:t>
      </w:r>
      <w:r>
        <w:t>include</w:t>
      </w:r>
      <w:r>
        <w:rPr>
          <w:spacing w:val="-3"/>
        </w:rPr>
        <w:t xml:space="preserve"> </w:t>
      </w:r>
      <w:r>
        <w:t>these</w:t>
      </w:r>
      <w:r>
        <w:rPr>
          <w:spacing w:val="-3"/>
        </w:rPr>
        <w:t xml:space="preserve"> </w:t>
      </w:r>
      <w:r>
        <w:t>as</w:t>
      </w:r>
      <w:r>
        <w:rPr>
          <w:spacing w:val="-3"/>
        </w:rPr>
        <w:t xml:space="preserve"> </w:t>
      </w:r>
      <w:r>
        <w:t>highly</w:t>
      </w:r>
      <w:r>
        <w:rPr>
          <w:spacing w:val="-3"/>
        </w:rPr>
        <w:t xml:space="preserve"> </w:t>
      </w:r>
      <w:r>
        <w:t>desirable</w:t>
      </w:r>
      <w:r>
        <w:rPr>
          <w:spacing w:val="-3"/>
        </w:rPr>
        <w:t xml:space="preserve"> </w:t>
      </w:r>
      <w:r>
        <w:t>in</w:t>
      </w:r>
      <w:r>
        <w:rPr>
          <w:spacing w:val="-3"/>
        </w:rPr>
        <w:t xml:space="preserve"> </w:t>
      </w:r>
      <w:r>
        <w:t>the</w:t>
      </w:r>
      <w:r>
        <w:rPr>
          <w:spacing w:val="-3"/>
        </w:rPr>
        <w:t xml:space="preserve"> </w:t>
      </w:r>
      <w:r>
        <w:t>selection</w:t>
      </w:r>
      <w:r>
        <w:rPr>
          <w:spacing w:val="-3"/>
        </w:rPr>
        <w:t xml:space="preserve"> </w:t>
      </w:r>
      <w:r>
        <w:t>criteria for manager and above positions in policy areas and make decisions accordingly.’</w:t>
      </w:r>
    </w:p>
    <w:p w14:paraId="50A030D7" w14:textId="77777777" w:rsidR="002B0F9A" w:rsidRDefault="002B0F9A" w:rsidP="00465226">
      <w:pPr>
        <w:pStyle w:val="italicquote"/>
        <w:keepNext/>
        <w:keepLines/>
        <w:ind w:right="522"/>
      </w:pPr>
      <w:r>
        <w:t>̶</w:t>
      </w:r>
      <w:r>
        <w:rPr>
          <w:spacing w:val="54"/>
        </w:rPr>
        <w:t xml:space="preserve"> </w:t>
      </w:r>
      <w:r>
        <w:t xml:space="preserve">RBA staff </w:t>
      </w:r>
      <w:r>
        <w:rPr>
          <w:spacing w:val="-2"/>
        </w:rPr>
        <w:t>member</w:t>
      </w:r>
    </w:p>
    <w:p w14:paraId="2C7E7E80" w14:textId="77777777" w:rsidR="002B0F9A" w:rsidRDefault="002B0F9A" w:rsidP="002B0F9A">
      <w:pPr>
        <w:pStyle w:val="BodyText"/>
        <w:spacing w:before="8"/>
        <w:rPr>
          <w:i/>
          <w:sz w:val="20"/>
        </w:rPr>
      </w:pPr>
    </w:p>
    <w:p w14:paraId="0BC7B88A" w14:textId="0B97A16E" w:rsidR="002B0F9A" w:rsidRDefault="002B0F9A" w:rsidP="002B0F9A">
      <w:r>
        <w:t>Some staff indicated that the RBA’s superannuation defined benefit scheme, which closed to new members in 2014 (RBA 2020), disincentivises movements out of the RBA</w:t>
      </w:r>
      <w:r w:rsidR="0068598E">
        <w:rPr>
          <w:spacing w:val="-19"/>
        </w:rPr>
        <w:t>.</w:t>
      </w:r>
      <w:r>
        <w:rPr>
          <w:w w:val="85"/>
        </w:rPr>
        <w:t xml:space="preserve"> </w:t>
      </w:r>
      <w:r>
        <w:t>Others noted that for those who did leave and return (or consider returning), their outside experience was often not recognised as having contributed to their professional development and expertise. In effect, they were expected to return at the same level making such a move considerably less attractive.</w:t>
      </w:r>
    </w:p>
    <w:p w14:paraId="64EA6BFF" w14:textId="77777777" w:rsidR="002B0F9A" w:rsidRDefault="002B0F9A" w:rsidP="002B0F9A">
      <w:pPr>
        <w:pStyle w:val="Heading4"/>
      </w:pPr>
      <w:r>
        <w:t>Decision</w:t>
      </w:r>
      <w:r>
        <w:rPr>
          <w:spacing w:val="1"/>
        </w:rPr>
        <w:t xml:space="preserve"> </w:t>
      </w:r>
      <w:r>
        <w:t>making</w:t>
      </w:r>
      <w:r>
        <w:rPr>
          <w:spacing w:val="2"/>
        </w:rPr>
        <w:t xml:space="preserve"> </w:t>
      </w:r>
      <w:r>
        <w:t>that</w:t>
      </w:r>
      <w:r>
        <w:rPr>
          <w:spacing w:val="2"/>
        </w:rPr>
        <w:t xml:space="preserve"> </w:t>
      </w:r>
      <w:r>
        <w:t>benefits</w:t>
      </w:r>
      <w:r>
        <w:rPr>
          <w:spacing w:val="2"/>
        </w:rPr>
        <w:t xml:space="preserve"> </w:t>
      </w:r>
      <w:r>
        <w:t>from</w:t>
      </w:r>
      <w:r>
        <w:rPr>
          <w:spacing w:val="2"/>
        </w:rPr>
        <w:t xml:space="preserve"> </w:t>
      </w:r>
      <w:r>
        <w:t>diversity</w:t>
      </w:r>
      <w:r>
        <w:rPr>
          <w:spacing w:val="2"/>
        </w:rPr>
        <w:t xml:space="preserve"> </w:t>
      </w:r>
      <w:r>
        <w:t>of</w:t>
      </w:r>
      <w:r>
        <w:rPr>
          <w:spacing w:val="2"/>
        </w:rPr>
        <w:t xml:space="preserve"> </w:t>
      </w:r>
      <w:r>
        <w:rPr>
          <w:spacing w:val="-2"/>
        </w:rPr>
        <w:t>thinking</w:t>
      </w:r>
    </w:p>
    <w:p w14:paraId="103E104C" w14:textId="77061A8D" w:rsidR="002B0F9A" w:rsidRDefault="002B0F9A" w:rsidP="002B0F9A">
      <w:r>
        <w:t>The Review recognises the important work the RBA has already done to encourage greater diversity and inclusion, and the progress that has been made</w:t>
      </w:r>
      <w:r w:rsidR="0068598E">
        <w:rPr>
          <w:spacing w:val="-20"/>
        </w:rPr>
        <w:t>.</w:t>
      </w:r>
      <w:r>
        <w:rPr>
          <w:w w:val="85"/>
        </w:rPr>
        <w:t xml:space="preserve"> </w:t>
      </w:r>
      <w:r>
        <w:t>The RBA has undertaken a wide range of initiatives, including but not limited to:</w:t>
      </w:r>
    </w:p>
    <w:p w14:paraId="3803F459" w14:textId="61C77561" w:rsidR="002B0F9A" w:rsidRDefault="002B0F9A" w:rsidP="0000278A">
      <w:pPr>
        <w:pStyle w:val="Bullet"/>
      </w:pPr>
      <w:r>
        <w:t>Establishing a refreshed Diversity and Inclusion Strategy in 2020 with a substantial focus on integrating broader approaches to diversity and inclusion, including via recruitment, promotion, performance assessment and leadership behaviour</w:t>
      </w:r>
      <w:r w:rsidR="0068598E">
        <w:rPr>
          <w:spacing w:val="-8"/>
        </w:rPr>
        <w:t>.</w:t>
      </w:r>
    </w:p>
    <w:p w14:paraId="0AC1D1C7" w14:textId="77777777" w:rsidR="002B0F9A" w:rsidRDefault="002B0F9A" w:rsidP="0000278A">
      <w:pPr>
        <w:pStyle w:val="Bullet"/>
      </w:pPr>
      <w:r>
        <w:t>Establishing and reporting against explicit targets for female representation in management positions.</w:t>
      </w:r>
    </w:p>
    <w:p w14:paraId="489971CB" w14:textId="77777777" w:rsidR="002B0F9A" w:rsidRDefault="002B0F9A" w:rsidP="0000278A">
      <w:pPr>
        <w:pStyle w:val="Bullet"/>
      </w:pPr>
      <w:r>
        <w:t>Establishing</w:t>
      </w:r>
      <w:r>
        <w:rPr>
          <w:spacing w:val="-7"/>
        </w:rPr>
        <w:t xml:space="preserve"> </w:t>
      </w:r>
      <w:r>
        <w:t>several</w:t>
      </w:r>
      <w:r>
        <w:rPr>
          <w:spacing w:val="-7"/>
        </w:rPr>
        <w:t xml:space="preserve"> </w:t>
      </w:r>
      <w:r>
        <w:t>Employee</w:t>
      </w:r>
      <w:r>
        <w:rPr>
          <w:spacing w:val="-7"/>
        </w:rPr>
        <w:t xml:space="preserve"> </w:t>
      </w:r>
      <w:r>
        <w:t>Resource</w:t>
      </w:r>
      <w:r>
        <w:rPr>
          <w:spacing w:val="-7"/>
        </w:rPr>
        <w:t xml:space="preserve"> </w:t>
      </w:r>
      <w:r>
        <w:t>Groups</w:t>
      </w:r>
      <w:r>
        <w:rPr>
          <w:spacing w:val="-7"/>
        </w:rPr>
        <w:t xml:space="preserve"> </w:t>
      </w:r>
      <w:r>
        <w:t>to</w:t>
      </w:r>
      <w:r>
        <w:rPr>
          <w:spacing w:val="-7"/>
        </w:rPr>
        <w:t xml:space="preserve"> </w:t>
      </w:r>
      <w:r>
        <w:t>focus</w:t>
      </w:r>
      <w:r>
        <w:rPr>
          <w:spacing w:val="-7"/>
        </w:rPr>
        <w:t xml:space="preserve"> </w:t>
      </w:r>
      <w:r>
        <w:t>on</w:t>
      </w:r>
      <w:r>
        <w:rPr>
          <w:spacing w:val="-7"/>
        </w:rPr>
        <w:t xml:space="preserve"> </w:t>
      </w:r>
      <w:r>
        <w:t>specific</w:t>
      </w:r>
      <w:r>
        <w:rPr>
          <w:spacing w:val="-7"/>
        </w:rPr>
        <w:t xml:space="preserve"> </w:t>
      </w:r>
      <w:r>
        <w:t>areas</w:t>
      </w:r>
      <w:r>
        <w:rPr>
          <w:spacing w:val="-7"/>
        </w:rPr>
        <w:t xml:space="preserve"> </w:t>
      </w:r>
      <w:r>
        <w:t>(including</w:t>
      </w:r>
      <w:r>
        <w:rPr>
          <w:spacing w:val="-7"/>
        </w:rPr>
        <w:t xml:space="preserve"> </w:t>
      </w:r>
      <w:r>
        <w:t>disability, gender</w:t>
      </w:r>
      <w:r>
        <w:rPr>
          <w:spacing w:val="-2"/>
        </w:rPr>
        <w:t xml:space="preserve"> </w:t>
      </w:r>
      <w:r>
        <w:t>equity,</w:t>
      </w:r>
      <w:r>
        <w:rPr>
          <w:spacing w:val="-2"/>
        </w:rPr>
        <w:t xml:space="preserve"> </w:t>
      </w:r>
      <w:r>
        <w:t>First</w:t>
      </w:r>
      <w:r>
        <w:rPr>
          <w:spacing w:val="-2"/>
        </w:rPr>
        <w:t xml:space="preserve"> </w:t>
      </w:r>
      <w:r>
        <w:t>Nations,</w:t>
      </w:r>
      <w:r>
        <w:rPr>
          <w:spacing w:val="-2"/>
        </w:rPr>
        <w:t xml:space="preserve"> </w:t>
      </w:r>
      <w:r>
        <w:t>LGBTQIA+</w:t>
      </w:r>
      <w:r>
        <w:rPr>
          <w:spacing w:val="-2"/>
        </w:rPr>
        <w:t xml:space="preserve"> </w:t>
      </w:r>
      <w:r>
        <w:t>and</w:t>
      </w:r>
      <w:r>
        <w:rPr>
          <w:spacing w:val="-2"/>
        </w:rPr>
        <w:t xml:space="preserve"> </w:t>
      </w:r>
      <w:r>
        <w:t>race</w:t>
      </w:r>
      <w:r>
        <w:rPr>
          <w:spacing w:val="-2"/>
        </w:rPr>
        <w:t xml:space="preserve"> </w:t>
      </w:r>
      <w:r>
        <w:t>and</w:t>
      </w:r>
      <w:r>
        <w:rPr>
          <w:spacing w:val="-2"/>
        </w:rPr>
        <w:t xml:space="preserve"> </w:t>
      </w:r>
      <w:r>
        <w:t>cultural</w:t>
      </w:r>
      <w:r>
        <w:rPr>
          <w:spacing w:val="-2"/>
        </w:rPr>
        <w:t xml:space="preserve"> </w:t>
      </w:r>
      <w:r>
        <w:t>awareness)</w:t>
      </w:r>
      <w:r>
        <w:rPr>
          <w:spacing w:val="-2"/>
        </w:rPr>
        <w:t xml:space="preserve"> </w:t>
      </w:r>
      <w:r>
        <w:t>which</w:t>
      </w:r>
      <w:r>
        <w:rPr>
          <w:spacing w:val="-2"/>
        </w:rPr>
        <w:t xml:space="preserve"> </w:t>
      </w:r>
      <w:r>
        <w:t>are</w:t>
      </w:r>
      <w:r>
        <w:rPr>
          <w:spacing w:val="-2"/>
        </w:rPr>
        <w:t xml:space="preserve"> </w:t>
      </w:r>
      <w:r>
        <w:t>convened underneath a Diversity and Inclusion council chaired by the Deputy Governor.</w:t>
      </w:r>
    </w:p>
    <w:p w14:paraId="41AF62EB" w14:textId="5BD80993" w:rsidR="002B0F9A" w:rsidRDefault="002B0F9A" w:rsidP="0000278A">
      <w:pPr>
        <w:pStyle w:val="Bullet"/>
      </w:pPr>
      <w:r>
        <w:t>Publishing various data and communications about progress on diversity and inclusion initiatives in its Annual Report</w:t>
      </w:r>
      <w:r w:rsidR="0068598E">
        <w:rPr>
          <w:spacing w:val="-9"/>
        </w:rPr>
        <w:t>.</w:t>
      </w:r>
    </w:p>
    <w:p w14:paraId="0072B9FA" w14:textId="7A571D0F" w:rsidR="002B0F9A" w:rsidRDefault="002B0F9A" w:rsidP="002B0F9A">
      <w:r>
        <w:t>The Review strongly supports this work</w:t>
      </w:r>
      <w:r w:rsidR="0068598E">
        <w:rPr>
          <w:spacing w:val="-22"/>
        </w:rPr>
        <w:t>.</w:t>
      </w:r>
      <w:r>
        <w:rPr>
          <w:w w:val="85"/>
        </w:rPr>
        <w:t xml:space="preserve"> </w:t>
      </w:r>
      <w:r>
        <w:t>An openness to diverse views can drive constructive challenge and debate and improve organisational performance (Deloitte 2013) (see Chapters 1 and 3). The Review’s recommended actions are intended to support further progress in these areas.</w:t>
      </w:r>
    </w:p>
    <w:p w14:paraId="4C554ED0" w14:textId="77777777" w:rsidR="002B0F9A" w:rsidRDefault="002B0F9A" w:rsidP="002B0F9A">
      <w:r>
        <w:t>The RBA Review Staff Survey showed that while senior leaders are thought to have good intentions on</w:t>
      </w:r>
      <w:r>
        <w:rPr>
          <w:spacing w:val="-10"/>
        </w:rPr>
        <w:t xml:space="preserve"> </w:t>
      </w:r>
      <w:r>
        <w:t>diversity</w:t>
      </w:r>
      <w:r>
        <w:rPr>
          <w:spacing w:val="-10"/>
        </w:rPr>
        <w:t xml:space="preserve"> </w:t>
      </w:r>
      <w:r>
        <w:t>and</w:t>
      </w:r>
      <w:r>
        <w:rPr>
          <w:spacing w:val="-10"/>
        </w:rPr>
        <w:t xml:space="preserve"> </w:t>
      </w:r>
      <w:r>
        <w:t>inclusion,</w:t>
      </w:r>
      <w:r>
        <w:rPr>
          <w:spacing w:val="-10"/>
        </w:rPr>
        <w:t xml:space="preserve"> </w:t>
      </w:r>
      <w:r>
        <w:t>many</w:t>
      </w:r>
      <w:r>
        <w:rPr>
          <w:spacing w:val="-10"/>
        </w:rPr>
        <w:t xml:space="preserve"> </w:t>
      </w:r>
      <w:r>
        <w:t>staff</w:t>
      </w:r>
      <w:r>
        <w:rPr>
          <w:spacing w:val="-10"/>
        </w:rPr>
        <w:t xml:space="preserve"> </w:t>
      </w:r>
      <w:r>
        <w:t>members</w:t>
      </w:r>
      <w:r>
        <w:rPr>
          <w:spacing w:val="-10"/>
        </w:rPr>
        <w:t xml:space="preserve"> </w:t>
      </w:r>
      <w:r>
        <w:t>do</w:t>
      </w:r>
      <w:r>
        <w:rPr>
          <w:spacing w:val="-10"/>
        </w:rPr>
        <w:t xml:space="preserve"> </w:t>
      </w:r>
      <w:r>
        <w:t>not</w:t>
      </w:r>
      <w:r>
        <w:rPr>
          <w:spacing w:val="-10"/>
        </w:rPr>
        <w:t xml:space="preserve"> </w:t>
      </w:r>
      <w:r>
        <w:t>think</w:t>
      </w:r>
      <w:r>
        <w:rPr>
          <w:spacing w:val="-10"/>
        </w:rPr>
        <w:t xml:space="preserve"> </w:t>
      </w:r>
      <w:r>
        <w:t>this</w:t>
      </w:r>
      <w:r>
        <w:rPr>
          <w:spacing w:val="-10"/>
        </w:rPr>
        <w:t xml:space="preserve"> </w:t>
      </w:r>
      <w:r>
        <w:t>is</w:t>
      </w:r>
      <w:r>
        <w:rPr>
          <w:spacing w:val="-10"/>
        </w:rPr>
        <w:t xml:space="preserve"> </w:t>
      </w:r>
      <w:r>
        <w:t>translating</w:t>
      </w:r>
      <w:r>
        <w:rPr>
          <w:spacing w:val="-10"/>
        </w:rPr>
        <w:t xml:space="preserve"> </w:t>
      </w:r>
      <w:r>
        <w:t>into</w:t>
      </w:r>
      <w:r>
        <w:rPr>
          <w:spacing w:val="-10"/>
        </w:rPr>
        <w:t xml:space="preserve"> </w:t>
      </w:r>
      <w:r>
        <w:t>action</w:t>
      </w:r>
      <w:r>
        <w:rPr>
          <w:spacing w:val="-10"/>
        </w:rPr>
        <w:t xml:space="preserve"> </w:t>
      </w:r>
      <w:r>
        <w:t>(Chart</w:t>
      </w:r>
      <w:r>
        <w:rPr>
          <w:spacing w:val="-10"/>
        </w:rPr>
        <w:t xml:space="preserve"> </w:t>
      </w:r>
      <w:r>
        <w:t>4.13).</w:t>
      </w:r>
    </w:p>
    <w:p w14:paraId="2EB4324B" w14:textId="3C5524BF" w:rsidR="00C47607" w:rsidRDefault="00C47607" w:rsidP="009326AD">
      <w:pPr>
        <w:pStyle w:val="BoxHeading"/>
        <w:keepLines/>
      </w:pPr>
      <w:r>
        <w:lastRenderedPageBreak/>
        <w:t>Chart</w:t>
      </w:r>
      <w:r>
        <w:rPr>
          <w:spacing w:val="-1"/>
        </w:rPr>
        <w:t xml:space="preserve"> </w:t>
      </w:r>
      <w:r>
        <w:t>4.13: Staff perceptions of diversity</w:t>
      </w:r>
      <w:r>
        <w:rPr>
          <w:spacing w:val="-1"/>
        </w:rPr>
        <w:t xml:space="preserve"> </w:t>
      </w:r>
      <w:r>
        <w:t xml:space="preserve">and </w:t>
      </w:r>
      <w:r>
        <w:rPr>
          <w:spacing w:val="-2"/>
        </w:rPr>
        <w:t>inclusion</w:t>
      </w:r>
    </w:p>
    <w:p w14:paraId="2719F80F" w14:textId="078EBE6E" w:rsidR="00881325" w:rsidRDefault="009326AD" w:rsidP="009326AD">
      <w:pPr>
        <w:keepNext/>
        <w:keepLines/>
        <w:jc w:val="center"/>
      </w:pPr>
      <w:r>
        <w:rPr>
          <w:noProof/>
        </w:rPr>
        <w:drawing>
          <wp:inline distT="0" distB="0" distL="0" distR="0" wp14:anchorId="0A2C3F55" wp14:editId="319034CB">
            <wp:extent cx="4892926" cy="4327747"/>
            <wp:effectExtent l="0" t="0" r="3175" b="0"/>
            <wp:docPr id="54" name="Picture 54" descr="This chart shows the proportion of current RBA staff and former RBA staff who agreed with a statement. &#10;The RBA supports and actively promotes an inclusive workplace culture. 83 per cent of current staff and 51 per cent of former staff agreed. &#10;The RBA is committed to creating a diverse workforce. 80 per cent of current staff and 56 per cent of former staff agreed.&#10;The RBA encourages diversity of thought thro&#10;ugh recruitment. 54 per cent of current staff and 35 per cent of former staff agreed.&#10;The RBA's Diversity and Inclusion strategy is effective. 51 per cent of current staff and 28 per cent of former staff agreed.&#10;The RBA values diversity in recruitment as a way of facilitating different views and expertise. 47 per cent of current staff and 21 per cent of former staff agreed.&#10;Personal background is not a barrier to success in the RBA. 65 per cent of current staff and 37 per cent of former staff agreed.&#10;I feel I have an equal chance at promotion at the RBA. 40 per cent of current staff and 13 per cent of former staff agre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is chart shows the proportion of current RBA staff and former RBA staff who agreed with a statement. &#10;The RBA supports and actively promotes an inclusive workplace culture. 83 per cent of current staff and 51 per cent of former staff agreed. &#10;The RBA is committed to creating a diverse workforce. 80 per cent of current staff and 56 per cent of former staff agreed.&#10;The RBA encourages diversity of thought thro&#10;ugh recruitment. 54 per cent of current staff and 35 per cent of former staff agreed.&#10;The RBA's Diversity and Inclusion strategy is effective. 51 per cent of current staff and 28 per cent of former staff agreed.&#10;The RBA values diversity in recruitment as a way of facilitating different views and expertise. 47 per cent of current staff and 21 per cent of former staff agreed.&#10;Personal background is not a barrier to success in the RBA. 65 per cent of current staff and 37 per cent of former staff agreed.&#10;I feel I have an equal chance at promotion at the RBA. 40 per cent of current staff and 13 per cent of former staff agreed.&#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92926" cy="4327747"/>
                    </a:xfrm>
                    <a:prstGeom prst="rect">
                      <a:avLst/>
                    </a:prstGeom>
                  </pic:spPr>
                </pic:pic>
              </a:graphicData>
            </a:graphic>
          </wp:inline>
        </w:drawing>
      </w:r>
    </w:p>
    <w:p w14:paraId="76A786B6" w14:textId="77777777" w:rsidR="00F02F24" w:rsidRDefault="00F02F24" w:rsidP="009326AD">
      <w:pPr>
        <w:pStyle w:val="Note"/>
        <w:keepNext/>
        <w:keepLines/>
      </w:pPr>
      <w:r>
        <w:t>Source:</w:t>
      </w:r>
      <w:r>
        <w:rPr>
          <w:spacing w:val="7"/>
        </w:rPr>
        <w:t xml:space="preserve"> </w:t>
      </w:r>
      <w:r>
        <w:t>RBA</w:t>
      </w:r>
      <w:r>
        <w:rPr>
          <w:spacing w:val="7"/>
        </w:rPr>
        <w:t xml:space="preserve"> </w:t>
      </w:r>
      <w:r>
        <w:t>Review</w:t>
      </w:r>
      <w:r>
        <w:rPr>
          <w:spacing w:val="7"/>
        </w:rPr>
        <w:t xml:space="preserve"> </w:t>
      </w:r>
      <w:r>
        <w:t>Staff</w:t>
      </w:r>
      <w:r>
        <w:rPr>
          <w:spacing w:val="7"/>
        </w:rPr>
        <w:t xml:space="preserve"> </w:t>
      </w:r>
      <w:r>
        <w:t>Survey</w:t>
      </w:r>
      <w:r>
        <w:rPr>
          <w:spacing w:val="8"/>
        </w:rPr>
        <w:t xml:space="preserve"> </w:t>
      </w:r>
      <w:r>
        <w:rPr>
          <w:spacing w:val="-2"/>
        </w:rPr>
        <w:t>(2022)</w:t>
      </w:r>
    </w:p>
    <w:p w14:paraId="13E7FB5E" w14:textId="2C95CE68" w:rsidR="00F02F24" w:rsidRDefault="00F02F24" w:rsidP="009326AD">
      <w:pPr>
        <w:pStyle w:val="Note"/>
        <w:keepNext/>
        <w:keepLines/>
      </w:pPr>
      <w:r>
        <w:t>Note: Response scale was ‘Strongly agree’, ‘agree’, ‘neither agree nor disagree’, ‘disagree’, ‘strongly disagree’</w:t>
      </w:r>
      <w:r w:rsidR="0068598E">
        <w:rPr>
          <w:spacing w:val="-19"/>
        </w:rPr>
        <w:t>.</w:t>
      </w:r>
      <w:r>
        <w:rPr>
          <w:w w:val="85"/>
        </w:rPr>
        <w:t xml:space="preserve"> </w:t>
      </w:r>
      <w:r>
        <w:t>% positive includes ‘Strongly agree’ and ‘agree’</w:t>
      </w:r>
      <w:r w:rsidR="0068598E">
        <w:rPr>
          <w:spacing w:val="-7"/>
        </w:rPr>
        <w:t>.</w:t>
      </w:r>
    </w:p>
    <w:p w14:paraId="4E593F9E" w14:textId="43695628" w:rsidR="002D4C67" w:rsidRDefault="002D4C67" w:rsidP="002D4C67">
      <w:r>
        <w:t>The Review heard that there is a lack of cultural diversity in senior leadership positions as measured by non-English speaking background status and country of birth</w:t>
      </w:r>
      <w:r w:rsidR="0068598E">
        <w:rPr>
          <w:spacing w:val="-19"/>
        </w:rPr>
        <w:t>.</w:t>
      </w:r>
      <w:r>
        <w:rPr>
          <w:w w:val="85"/>
        </w:rPr>
        <w:t xml:space="preserve"> </w:t>
      </w:r>
      <w:r>
        <w:t>Analysis by the RBA’s Race and Cultural Identity Employee Resource Group confirmed that staff members from non- English speaking backgrounds are underrepresented in management, particularly at the senior</w:t>
      </w:r>
      <w:r>
        <w:rPr>
          <w:spacing w:val="40"/>
        </w:rPr>
        <w:t xml:space="preserve"> </w:t>
      </w:r>
      <w:r>
        <w:t>and executive leadership levels. They are also underrepresented in policy departments. While one in three staff are from a non-English speaking background, these staff members represent one- quarter of staff members in most policy departments. Additional data show that while almost half of staff members are born overseas, most managers and executives are born in Australia. Those born in Asian countries are much less likely to be represented in management</w:t>
      </w:r>
      <w:r w:rsidR="0068598E">
        <w:rPr>
          <w:spacing w:val="-19"/>
        </w:rPr>
        <w:t>.</w:t>
      </w:r>
    </w:p>
    <w:p w14:paraId="50EA6C2F" w14:textId="77777777" w:rsidR="002D4C67" w:rsidRDefault="002D4C67" w:rsidP="002D4C67">
      <w:pPr>
        <w:pStyle w:val="italicquote"/>
      </w:pPr>
      <w:r>
        <w:t>‘There</w:t>
      </w:r>
      <w:r>
        <w:rPr>
          <w:spacing w:val="-2"/>
        </w:rPr>
        <w:t xml:space="preserve"> </w:t>
      </w:r>
      <w:r>
        <w:t>is</w:t>
      </w:r>
      <w:r>
        <w:rPr>
          <w:spacing w:val="-2"/>
        </w:rPr>
        <w:t xml:space="preserve"> </w:t>
      </w:r>
      <w:r>
        <w:t>a</w:t>
      </w:r>
      <w:r>
        <w:rPr>
          <w:spacing w:val="-2"/>
        </w:rPr>
        <w:t xml:space="preserve"> </w:t>
      </w:r>
      <w:r>
        <w:t>major</w:t>
      </w:r>
      <w:r>
        <w:rPr>
          <w:spacing w:val="-2"/>
        </w:rPr>
        <w:t xml:space="preserve"> </w:t>
      </w:r>
      <w:r>
        <w:t>problem</w:t>
      </w:r>
      <w:r>
        <w:rPr>
          <w:spacing w:val="-2"/>
        </w:rPr>
        <w:t xml:space="preserve"> </w:t>
      </w:r>
      <w:r>
        <w:t>whereby</w:t>
      </w:r>
      <w:r>
        <w:rPr>
          <w:spacing w:val="-2"/>
        </w:rPr>
        <w:t xml:space="preserve"> </w:t>
      </w:r>
      <w:r>
        <w:t>staff</w:t>
      </w:r>
      <w:r>
        <w:rPr>
          <w:spacing w:val="-2"/>
        </w:rPr>
        <w:t xml:space="preserve"> </w:t>
      </w:r>
      <w:r>
        <w:t>from</w:t>
      </w:r>
      <w:r>
        <w:rPr>
          <w:spacing w:val="-2"/>
        </w:rPr>
        <w:t xml:space="preserve"> </w:t>
      </w:r>
      <w:r>
        <w:t>culturally</w:t>
      </w:r>
      <w:r>
        <w:rPr>
          <w:spacing w:val="-2"/>
        </w:rPr>
        <w:t xml:space="preserve"> </w:t>
      </w:r>
      <w:r>
        <w:t>diverse</w:t>
      </w:r>
      <w:r>
        <w:rPr>
          <w:spacing w:val="-2"/>
        </w:rPr>
        <w:t xml:space="preserve"> </w:t>
      </w:r>
      <w:r>
        <w:t>backgrounds,</w:t>
      </w:r>
      <w:r>
        <w:rPr>
          <w:spacing w:val="-2"/>
        </w:rPr>
        <w:t xml:space="preserve"> </w:t>
      </w:r>
      <w:r>
        <w:t>while</w:t>
      </w:r>
      <w:r>
        <w:rPr>
          <w:spacing w:val="-2"/>
        </w:rPr>
        <w:t xml:space="preserve"> </w:t>
      </w:r>
      <w:r>
        <w:t>well</w:t>
      </w:r>
      <w:r>
        <w:rPr>
          <w:spacing w:val="-2"/>
        </w:rPr>
        <w:t xml:space="preserve"> </w:t>
      </w:r>
      <w:r>
        <w:t>represented in junior to lower-mid level positions, are severely underrepresented in leadership positions… The problem is mirrored at the Board level, with no member of the Board appearing to be from a non- European background.’</w:t>
      </w:r>
    </w:p>
    <w:p w14:paraId="47B6EFA4" w14:textId="3E10A395" w:rsidR="00C47607" w:rsidRDefault="002D4C67" w:rsidP="00113CB0">
      <w:pPr>
        <w:pStyle w:val="italicquote"/>
        <w:rPr>
          <w:spacing w:val="-2"/>
        </w:rPr>
      </w:pPr>
      <w:r>
        <w:t>–</w:t>
      </w:r>
      <w:r>
        <w:rPr>
          <w:spacing w:val="-2"/>
        </w:rPr>
        <w:t xml:space="preserve"> </w:t>
      </w:r>
      <w:r>
        <w:t>Submission</w:t>
      </w:r>
      <w:r>
        <w:rPr>
          <w:spacing w:val="-2"/>
        </w:rPr>
        <w:t xml:space="preserve"> </w:t>
      </w:r>
      <w:r>
        <w:t>to</w:t>
      </w:r>
      <w:r>
        <w:rPr>
          <w:spacing w:val="-2"/>
        </w:rPr>
        <w:t xml:space="preserve"> </w:t>
      </w:r>
      <w:r>
        <w:t>the</w:t>
      </w:r>
      <w:r>
        <w:rPr>
          <w:spacing w:val="-2"/>
        </w:rPr>
        <w:t xml:space="preserve"> </w:t>
      </w:r>
      <w:r>
        <w:t>RBA</w:t>
      </w:r>
      <w:r>
        <w:rPr>
          <w:spacing w:val="-1"/>
        </w:rPr>
        <w:t xml:space="preserve"> </w:t>
      </w:r>
      <w:r>
        <w:rPr>
          <w:spacing w:val="-2"/>
        </w:rPr>
        <w:t>Review</w:t>
      </w:r>
    </w:p>
    <w:p w14:paraId="60C53EC8" w14:textId="1B721273" w:rsidR="00113CB0" w:rsidRDefault="00113CB0" w:rsidP="00113CB0">
      <w:r>
        <w:t>The RBA should continue to investigate why this is the case by studying data related to its recruitment and promotion processes and act to correct any biases or other aspects of the</w:t>
      </w:r>
      <w:r>
        <w:rPr>
          <w:spacing w:val="40"/>
        </w:rPr>
        <w:t xml:space="preserve"> </w:t>
      </w:r>
      <w:r>
        <w:t>process that contribute to this outcome. The RBA’s Race and Cultural Identity Employee Resource Group recommended that the RBA monitor the share of culturally diverse staff members and their career progression to better understand the barriers. The Review affirms this recommendation, and suggests the RBA also work to understand barriers at the recruitment phase</w:t>
      </w:r>
      <w:r w:rsidR="0068598E">
        <w:rPr>
          <w:spacing w:val="-17"/>
        </w:rPr>
        <w:t>.</w:t>
      </w:r>
    </w:p>
    <w:p w14:paraId="0A066DEE" w14:textId="77777777" w:rsidR="00113CB0" w:rsidRDefault="00113CB0" w:rsidP="00113CB0">
      <w:r>
        <w:lastRenderedPageBreak/>
        <w:t>The Bank of England investigated a similar issue in their 2021 Review of Ethnic Diversity and Inclusion and found that the share of those from a diverse background dropped at each stage of recruitment, as preference was given to internal candidates who tended to be less diverse than external applicants (Bank of England 2021).</w:t>
      </w:r>
    </w:p>
    <w:p w14:paraId="33B3ECD3" w14:textId="1BCE3BCF" w:rsidR="00113CB0" w:rsidRDefault="00113CB0" w:rsidP="00113CB0">
      <w:r>
        <w:t>The Review heard that diversity targets for leaders (managers and above) would create a disciplined approach to drive change</w:t>
      </w:r>
      <w:r w:rsidR="0068598E">
        <w:rPr>
          <w:spacing w:val="-9"/>
        </w:rPr>
        <w:t>.</w:t>
      </w:r>
    </w:p>
    <w:p w14:paraId="18911852" w14:textId="77777777" w:rsidR="00113CB0" w:rsidRDefault="00113CB0" w:rsidP="00113CB0">
      <w:pPr>
        <w:pStyle w:val="italicquote"/>
      </w:pPr>
      <w:r>
        <w:t>‘Given the severity of the problem and its embedded roots in unconscious biases, just like for gender,</w:t>
      </w:r>
      <w:r>
        <w:rPr>
          <w:spacing w:val="-3"/>
        </w:rPr>
        <w:t xml:space="preserve"> </w:t>
      </w:r>
      <w:r>
        <w:t>the</w:t>
      </w:r>
      <w:r>
        <w:rPr>
          <w:spacing w:val="-3"/>
        </w:rPr>
        <w:t xml:space="preserve"> </w:t>
      </w:r>
      <w:r>
        <w:t>only</w:t>
      </w:r>
      <w:r>
        <w:rPr>
          <w:spacing w:val="-3"/>
        </w:rPr>
        <w:t xml:space="preserve"> </w:t>
      </w:r>
      <w:r>
        <w:t>way</w:t>
      </w:r>
      <w:r>
        <w:rPr>
          <w:spacing w:val="-3"/>
        </w:rPr>
        <w:t xml:space="preserve"> </w:t>
      </w:r>
      <w:r>
        <w:t>to</w:t>
      </w:r>
      <w:r>
        <w:rPr>
          <w:spacing w:val="-3"/>
        </w:rPr>
        <w:t xml:space="preserve"> </w:t>
      </w:r>
      <w:r>
        <w:t>meaningfully</w:t>
      </w:r>
      <w:r>
        <w:rPr>
          <w:spacing w:val="-3"/>
        </w:rPr>
        <w:t xml:space="preserve"> </w:t>
      </w:r>
      <w:r>
        <w:t>tackle</w:t>
      </w:r>
      <w:r>
        <w:rPr>
          <w:spacing w:val="-3"/>
        </w:rPr>
        <w:t xml:space="preserve"> </w:t>
      </w:r>
      <w:r>
        <w:t>it</w:t>
      </w:r>
      <w:r>
        <w:rPr>
          <w:spacing w:val="-3"/>
        </w:rPr>
        <w:t xml:space="preserve"> </w:t>
      </w:r>
      <w:r>
        <w:t>is</w:t>
      </w:r>
      <w:r>
        <w:rPr>
          <w:spacing w:val="-3"/>
        </w:rPr>
        <w:t xml:space="preserve"> </w:t>
      </w:r>
      <w:r>
        <w:t>to</w:t>
      </w:r>
      <w:r>
        <w:rPr>
          <w:spacing w:val="-3"/>
        </w:rPr>
        <w:t xml:space="preserve"> </w:t>
      </w:r>
      <w:r>
        <w:t>introduce</w:t>
      </w:r>
      <w:r>
        <w:rPr>
          <w:spacing w:val="-3"/>
        </w:rPr>
        <w:t xml:space="preserve"> </w:t>
      </w:r>
      <w:r>
        <w:t>targets</w:t>
      </w:r>
      <w:r>
        <w:rPr>
          <w:spacing w:val="-3"/>
        </w:rPr>
        <w:t xml:space="preserve"> </w:t>
      </w:r>
      <w:r>
        <w:t>for</w:t>
      </w:r>
      <w:r>
        <w:rPr>
          <w:spacing w:val="-3"/>
        </w:rPr>
        <w:t xml:space="preserve"> </w:t>
      </w:r>
      <w:r>
        <w:t>culturally</w:t>
      </w:r>
      <w:r>
        <w:rPr>
          <w:spacing w:val="-3"/>
        </w:rPr>
        <w:t xml:space="preserve"> </w:t>
      </w:r>
      <w:r>
        <w:t>diverse</w:t>
      </w:r>
      <w:r>
        <w:rPr>
          <w:spacing w:val="-3"/>
        </w:rPr>
        <w:t xml:space="preserve"> </w:t>
      </w:r>
      <w:r>
        <w:t>staff</w:t>
      </w:r>
      <w:r>
        <w:rPr>
          <w:spacing w:val="-3"/>
        </w:rPr>
        <w:t xml:space="preserve"> </w:t>
      </w:r>
      <w:r>
        <w:t>in leadership positions.’</w:t>
      </w:r>
    </w:p>
    <w:p w14:paraId="115EC813" w14:textId="77777777" w:rsidR="00113CB0" w:rsidRDefault="00113CB0" w:rsidP="00113CB0">
      <w:pPr>
        <w:pStyle w:val="italicquote"/>
      </w:pPr>
      <w:r>
        <w:t>–</w:t>
      </w:r>
      <w:r>
        <w:rPr>
          <w:spacing w:val="-2"/>
        </w:rPr>
        <w:t xml:space="preserve"> </w:t>
      </w:r>
      <w:r>
        <w:t>Submission</w:t>
      </w:r>
      <w:r>
        <w:rPr>
          <w:spacing w:val="-2"/>
        </w:rPr>
        <w:t xml:space="preserve"> </w:t>
      </w:r>
      <w:r>
        <w:t>to</w:t>
      </w:r>
      <w:r>
        <w:rPr>
          <w:spacing w:val="-2"/>
        </w:rPr>
        <w:t xml:space="preserve"> </w:t>
      </w:r>
      <w:r>
        <w:t>the</w:t>
      </w:r>
      <w:r>
        <w:rPr>
          <w:spacing w:val="-2"/>
        </w:rPr>
        <w:t xml:space="preserve"> </w:t>
      </w:r>
      <w:r>
        <w:t>RBA</w:t>
      </w:r>
      <w:r>
        <w:rPr>
          <w:spacing w:val="-1"/>
        </w:rPr>
        <w:t xml:space="preserve"> </w:t>
      </w:r>
      <w:r>
        <w:rPr>
          <w:spacing w:val="-2"/>
        </w:rPr>
        <w:t>Review</w:t>
      </w:r>
    </w:p>
    <w:p w14:paraId="3B6344EC" w14:textId="67B278AA" w:rsidR="000667B6" w:rsidRPr="00F37B47" w:rsidRDefault="00113CB0" w:rsidP="00F37B47">
      <w:r>
        <w:t>The Review heard support for more diversity in gender, socioeconomic status, educational background, disability status, and indigenous status. However, a selection of staff members disagreed with these views, and thought that efforts to increase diversity (particularly with respect to gender and external hiring) were coming at the cost of merit-based recruitment practices.</w:t>
      </w:r>
      <w:r w:rsidR="00F37B47">
        <w:t xml:space="preserve"> </w:t>
      </w:r>
      <w:r>
        <w:t>Given this, the RBA should consider how to better communicate and educate its employees on the benefits of diversity and inclusion. Many staff members would like leaders to be accountable for supporting diversity and inclusion efforts across a range of dimensions and for all employees to be assessed against this in their performance appraisals</w:t>
      </w:r>
      <w:r w:rsidR="0068598E">
        <w:rPr>
          <w:spacing w:val="-11"/>
        </w:rPr>
        <w:t>.</w:t>
      </w:r>
    </w:p>
    <w:p w14:paraId="00426562" w14:textId="77777777" w:rsidR="005978DE" w:rsidRDefault="005978DE" w:rsidP="005978DE">
      <w:pPr>
        <w:pStyle w:val="Heading2"/>
      </w:pPr>
      <w:bookmarkStart w:id="56" w:name="_Toc134221026"/>
      <w:r>
        <w:t>Recommendation</w:t>
      </w:r>
      <w:r>
        <w:rPr>
          <w:spacing w:val="-16"/>
        </w:rPr>
        <w:t xml:space="preserve"> </w:t>
      </w:r>
      <w:r>
        <w:t>11.4:</w:t>
      </w:r>
      <w:r>
        <w:rPr>
          <w:spacing w:val="-16"/>
        </w:rPr>
        <w:t xml:space="preserve"> </w:t>
      </w:r>
      <w:r>
        <w:t>Enhanced</w:t>
      </w:r>
      <w:r>
        <w:rPr>
          <w:spacing w:val="-16"/>
        </w:rPr>
        <w:t xml:space="preserve"> </w:t>
      </w:r>
      <w:r>
        <w:t>use</w:t>
      </w:r>
      <w:r>
        <w:rPr>
          <w:spacing w:val="-16"/>
        </w:rPr>
        <w:t xml:space="preserve"> </w:t>
      </w:r>
      <w:r>
        <w:t>of</w:t>
      </w:r>
      <w:r>
        <w:rPr>
          <w:spacing w:val="-16"/>
        </w:rPr>
        <w:t xml:space="preserve"> </w:t>
      </w:r>
      <w:r>
        <w:t>technical skills and research capability</w:t>
      </w:r>
      <w:bookmarkEnd w:id="56"/>
    </w:p>
    <w:tbl>
      <w:tblPr>
        <w:tblW w:w="5000" w:type="pct"/>
        <w:tblCellMar>
          <w:left w:w="0" w:type="dxa"/>
          <w:right w:w="0" w:type="dxa"/>
        </w:tblCellMar>
        <w:tblLook w:val="01E0" w:firstRow="1" w:lastRow="1" w:firstColumn="1" w:lastColumn="1" w:noHBand="0" w:noVBand="0"/>
      </w:tblPr>
      <w:tblGrid>
        <w:gridCol w:w="842"/>
        <w:gridCol w:w="8228"/>
      </w:tblGrid>
      <w:tr w:rsidR="005978DE" w14:paraId="45C0B6D2" w14:textId="77777777" w:rsidTr="00F22AE5">
        <w:trPr>
          <w:trHeight w:val="581"/>
        </w:trPr>
        <w:tc>
          <w:tcPr>
            <w:tcW w:w="5000" w:type="pct"/>
            <w:gridSpan w:val="2"/>
            <w:tcBorders>
              <w:bottom w:val="single" w:sz="8" w:space="0" w:color="ECEDE9"/>
            </w:tcBorders>
          </w:tcPr>
          <w:p w14:paraId="3D3C1A10" w14:textId="057C2F35" w:rsidR="005978DE" w:rsidRPr="005978DE" w:rsidRDefault="005978DE" w:rsidP="005978DE">
            <w:pPr>
              <w:pStyle w:val="Heading4"/>
            </w:pPr>
            <w:r w:rsidRPr="005978DE">
              <w:t>Recommendation 11</w:t>
            </w:r>
            <w:r>
              <w:t xml:space="preserve">.4 Enhance use of technical skills and research </w:t>
            </w:r>
            <w:r w:rsidR="0068598E">
              <w:t>capability</w:t>
            </w:r>
          </w:p>
        </w:tc>
      </w:tr>
      <w:tr w:rsidR="005978DE" w14:paraId="6DC1AE8E" w14:textId="77777777" w:rsidTr="00F22AE5">
        <w:trPr>
          <w:trHeight w:val="2814"/>
        </w:trPr>
        <w:tc>
          <w:tcPr>
            <w:tcW w:w="464" w:type="pct"/>
            <w:tcBorders>
              <w:top w:val="single" w:sz="8" w:space="0" w:color="ECEDE9"/>
            </w:tcBorders>
          </w:tcPr>
          <w:p w14:paraId="683C7908" w14:textId="77777777" w:rsidR="005978DE" w:rsidRDefault="005978DE" w:rsidP="00F22AE5">
            <w:r>
              <w:t>11.4</w:t>
            </w:r>
          </w:p>
        </w:tc>
        <w:tc>
          <w:tcPr>
            <w:tcW w:w="4536" w:type="pct"/>
            <w:tcBorders>
              <w:top w:val="single" w:sz="8" w:space="0" w:color="ECEDE9"/>
            </w:tcBorders>
          </w:tcPr>
          <w:p w14:paraId="72FC087C" w14:textId="77777777" w:rsidR="005978DE" w:rsidRDefault="005978DE" w:rsidP="00F22AE5">
            <w:r>
              <w:t>The</w:t>
            </w:r>
            <w:r>
              <w:rPr>
                <w:spacing w:val="1"/>
              </w:rPr>
              <w:t xml:space="preserve"> </w:t>
            </w:r>
            <w:r>
              <w:t>RBA</w:t>
            </w:r>
            <w:r>
              <w:rPr>
                <w:spacing w:val="2"/>
              </w:rPr>
              <w:t xml:space="preserve"> </w:t>
            </w:r>
            <w:r>
              <w:t>should</w:t>
            </w:r>
            <w:r>
              <w:rPr>
                <w:spacing w:val="2"/>
              </w:rPr>
              <w:t xml:space="preserve"> </w:t>
            </w:r>
            <w:r>
              <w:t>strengthen</w:t>
            </w:r>
            <w:r>
              <w:rPr>
                <w:spacing w:val="2"/>
              </w:rPr>
              <w:t xml:space="preserve"> </w:t>
            </w:r>
            <w:r>
              <w:t>the</w:t>
            </w:r>
            <w:r>
              <w:rPr>
                <w:spacing w:val="2"/>
              </w:rPr>
              <w:t xml:space="preserve"> </w:t>
            </w:r>
            <w:r>
              <w:t>role</w:t>
            </w:r>
            <w:r>
              <w:rPr>
                <w:spacing w:val="2"/>
              </w:rPr>
              <w:t xml:space="preserve"> </w:t>
            </w:r>
            <w:r>
              <w:t>of</w:t>
            </w:r>
            <w:r>
              <w:rPr>
                <w:spacing w:val="1"/>
              </w:rPr>
              <w:t xml:space="preserve"> </w:t>
            </w:r>
            <w:r>
              <w:t>research</w:t>
            </w:r>
            <w:r>
              <w:rPr>
                <w:spacing w:val="2"/>
              </w:rPr>
              <w:t xml:space="preserve"> </w:t>
            </w:r>
            <w:r>
              <w:t>in</w:t>
            </w:r>
            <w:r>
              <w:rPr>
                <w:spacing w:val="2"/>
              </w:rPr>
              <w:t xml:space="preserve"> </w:t>
            </w:r>
            <w:r>
              <w:t>policy</w:t>
            </w:r>
            <w:r>
              <w:rPr>
                <w:spacing w:val="2"/>
              </w:rPr>
              <w:t xml:space="preserve"> </w:t>
            </w:r>
            <w:r>
              <w:t>formulation,</w:t>
            </w:r>
            <w:r>
              <w:rPr>
                <w:spacing w:val="2"/>
              </w:rPr>
              <w:t xml:space="preserve"> </w:t>
            </w:r>
            <w:r>
              <w:t>including</w:t>
            </w:r>
            <w:r>
              <w:rPr>
                <w:spacing w:val="2"/>
              </w:rPr>
              <w:t xml:space="preserve"> </w:t>
            </w:r>
            <w:r>
              <w:rPr>
                <w:spacing w:val="-5"/>
              </w:rPr>
              <w:t>by:</w:t>
            </w:r>
          </w:p>
          <w:p w14:paraId="49DE826B" w14:textId="77777777" w:rsidR="005978DE" w:rsidRDefault="005978DE" w:rsidP="0000278A">
            <w:pPr>
              <w:pStyle w:val="Bullet"/>
            </w:pPr>
            <w:r>
              <w:t>establishing</w:t>
            </w:r>
            <w:r>
              <w:rPr>
                <w:spacing w:val="8"/>
              </w:rPr>
              <w:t xml:space="preserve"> </w:t>
            </w:r>
            <w:r>
              <w:t>a</w:t>
            </w:r>
            <w:r>
              <w:rPr>
                <w:spacing w:val="9"/>
              </w:rPr>
              <w:t xml:space="preserve"> </w:t>
            </w:r>
            <w:r>
              <w:t>monetary</w:t>
            </w:r>
            <w:r>
              <w:rPr>
                <w:spacing w:val="8"/>
              </w:rPr>
              <w:t xml:space="preserve"> </w:t>
            </w:r>
            <w:r>
              <w:t>policy</w:t>
            </w:r>
            <w:r>
              <w:rPr>
                <w:spacing w:val="9"/>
              </w:rPr>
              <w:t xml:space="preserve"> </w:t>
            </w:r>
            <w:r>
              <w:t>strategy</w:t>
            </w:r>
            <w:r>
              <w:rPr>
                <w:spacing w:val="9"/>
              </w:rPr>
              <w:t xml:space="preserve"> </w:t>
            </w:r>
            <w:r>
              <w:rPr>
                <w:spacing w:val="-4"/>
              </w:rPr>
              <w:t>team</w:t>
            </w:r>
          </w:p>
          <w:p w14:paraId="783E28FF" w14:textId="77777777" w:rsidR="005978DE" w:rsidRDefault="005978DE" w:rsidP="0000278A">
            <w:pPr>
              <w:pStyle w:val="Bullet"/>
            </w:pPr>
            <w:r>
              <w:t>increasing collaboration between policy groups, including through cross-departmental projects</w:t>
            </w:r>
          </w:p>
          <w:p w14:paraId="03B7AE95" w14:textId="77777777" w:rsidR="005978DE" w:rsidRDefault="005978DE" w:rsidP="0000278A">
            <w:pPr>
              <w:pStyle w:val="Bullet"/>
            </w:pPr>
            <w:r>
              <w:t>developing and executing a research strategy and agenda overseen by the Monetary Policy Board</w:t>
            </w:r>
          </w:p>
          <w:p w14:paraId="38B14BFE" w14:textId="77777777" w:rsidR="005978DE" w:rsidRDefault="005978DE" w:rsidP="0000278A">
            <w:pPr>
              <w:pStyle w:val="Bullet"/>
            </w:pPr>
            <w:r>
              <w:t>increasing</w:t>
            </w:r>
            <w:r>
              <w:rPr>
                <w:spacing w:val="2"/>
              </w:rPr>
              <w:t xml:space="preserve"> </w:t>
            </w:r>
            <w:r>
              <w:t>engagement</w:t>
            </w:r>
            <w:r>
              <w:rPr>
                <w:spacing w:val="2"/>
              </w:rPr>
              <w:t xml:space="preserve"> </w:t>
            </w:r>
            <w:r>
              <w:t>with</w:t>
            </w:r>
            <w:r>
              <w:rPr>
                <w:spacing w:val="3"/>
              </w:rPr>
              <w:t xml:space="preserve"> </w:t>
            </w:r>
            <w:r>
              <w:t>universities</w:t>
            </w:r>
            <w:r>
              <w:rPr>
                <w:spacing w:val="2"/>
              </w:rPr>
              <w:t xml:space="preserve"> </w:t>
            </w:r>
            <w:r>
              <w:t>and</w:t>
            </w:r>
            <w:r>
              <w:rPr>
                <w:spacing w:val="3"/>
              </w:rPr>
              <w:t xml:space="preserve"> </w:t>
            </w:r>
            <w:r>
              <w:rPr>
                <w:spacing w:val="-2"/>
              </w:rPr>
              <w:t>thinktanks</w:t>
            </w:r>
          </w:p>
          <w:p w14:paraId="65EDC594" w14:textId="546B2A4B" w:rsidR="005978DE" w:rsidRDefault="005978DE" w:rsidP="0095488C">
            <w:pPr>
              <w:pStyle w:val="Bullet"/>
            </w:pPr>
            <w:r>
              <w:t>deepening analytical capability by</w:t>
            </w:r>
            <w:r>
              <w:rPr>
                <w:spacing w:val="1"/>
              </w:rPr>
              <w:t xml:space="preserve"> </w:t>
            </w:r>
            <w:r>
              <w:t>attracting, developing, and</w:t>
            </w:r>
            <w:r>
              <w:rPr>
                <w:spacing w:val="1"/>
              </w:rPr>
              <w:t xml:space="preserve"> </w:t>
            </w:r>
            <w:r>
              <w:rPr>
                <w:spacing w:val="-2"/>
              </w:rPr>
              <w:t>retaining</w:t>
            </w:r>
            <w:r w:rsidR="0095488C">
              <w:rPr>
                <w:spacing w:val="-2"/>
              </w:rPr>
              <w:t xml:space="preserve"> </w:t>
            </w:r>
            <w:r>
              <w:t>technical</w:t>
            </w:r>
            <w:r w:rsidRPr="0095488C">
              <w:rPr>
                <w:spacing w:val="-8"/>
              </w:rPr>
              <w:t xml:space="preserve"> </w:t>
            </w:r>
            <w:r w:rsidRPr="0095488C">
              <w:rPr>
                <w:spacing w:val="-2"/>
              </w:rPr>
              <w:t>expertise.</w:t>
            </w:r>
          </w:p>
        </w:tc>
      </w:tr>
    </w:tbl>
    <w:p w14:paraId="30CBC0C3" w14:textId="77777777" w:rsidR="00E232F2" w:rsidRDefault="00E232F2" w:rsidP="004C66B9">
      <w:r>
        <w:t>The RBA is recognised as having a high calibre staff with strong technical skills and expertise. The Review has identified the following areas that could enhance the RBA’s use of technical skills and research capability to support better policy outcomes:</w:t>
      </w:r>
    </w:p>
    <w:p w14:paraId="13AEC665" w14:textId="77777777" w:rsidR="00E232F2" w:rsidRDefault="00E232F2" w:rsidP="0000278A">
      <w:pPr>
        <w:pStyle w:val="Bullet"/>
      </w:pPr>
      <w:r>
        <w:t>Including more people in decision making with respect to monetary policy recommendations to improve staff members’ ability to contribute to the development of monetary policy strategy.</w:t>
      </w:r>
    </w:p>
    <w:p w14:paraId="4C58976C" w14:textId="0D30BC55" w:rsidR="00E232F2" w:rsidRDefault="00E232F2" w:rsidP="0000278A">
      <w:pPr>
        <w:pStyle w:val="Bullet"/>
      </w:pPr>
      <w:r>
        <w:t>Improved</w:t>
      </w:r>
      <w:r w:rsidRPr="004C66B9">
        <w:rPr>
          <w:spacing w:val="2"/>
        </w:rPr>
        <w:t xml:space="preserve"> </w:t>
      </w:r>
      <w:r>
        <w:t>buy-in</w:t>
      </w:r>
      <w:r w:rsidRPr="004C66B9">
        <w:rPr>
          <w:spacing w:val="3"/>
        </w:rPr>
        <w:t xml:space="preserve"> </w:t>
      </w:r>
      <w:r>
        <w:t>from</w:t>
      </w:r>
      <w:r w:rsidRPr="004C66B9">
        <w:rPr>
          <w:spacing w:val="3"/>
        </w:rPr>
        <w:t xml:space="preserve"> </w:t>
      </w:r>
      <w:r>
        <w:t>senior</w:t>
      </w:r>
      <w:r w:rsidRPr="004C66B9">
        <w:rPr>
          <w:spacing w:val="3"/>
        </w:rPr>
        <w:t xml:space="preserve"> </w:t>
      </w:r>
      <w:r>
        <w:t>leaders</w:t>
      </w:r>
      <w:r w:rsidRPr="004C66B9">
        <w:rPr>
          <w:spacing w:val="2"/>
        </w:rPr>
        <w:t xml:space="preserve"> </w:t>
      </w:r>
      <w:r>
        <w:t>with</w:t>
      </w:r>
      <w:r w:rsidRPr="004C66B9">
        <w:rPr>
          <w:spacing w:val="3"/>
        </w:rPr>
        <w:t xml:space="preserve"> </w:t>
      </w:r>
      <w:r>
        <w:t>respect</w:t>
      </w:r>
      <w:r w:rsidRPr="004C66B9">
        <w:rPr>
          <w:spacing w:val="3"/>
        </w:rPr>
        <w:t xml:space="preserve"> </w:t>
      </w:r>
      <w:r>
        <w:t>to</w:t>
      </w:r>
      <w:r w:rsidRPr="004C66B9">
        <w:rPr>
          <w:spacing w:val="3"/>
        </w:rPr>
        <w:t xml:space="preserve"> </w:t>
      </w:r>
      <w:r>
        <w:t>establishing</w:t>
      </w:r>
      <w:r w:rsidRPr="004C66B9">
        <w:rPr>
          <w:spacing w:val="2"/>
        </w:rPr>
        <w:t xml:space="preserve"> </w:t>
      </w:r>
      <w:r>
        <w:t>a</w:t>
      </w:r>
      <w:r w:rsidRPr="004C66B9">
        <w:rPr>
          <w:spacing w:val="3"/>
        </w:rPr>
        <w:t xml:space="preserve"> </w:t>
      </w:r>
      <w:r>
        <w:t>research</w:t>
      </w:r>
      <w:r w:rsidRPr="004C66B9">
        <w:rPr>
          <w:spacing w:val="3"/>
        </w:rPr>
        <w:t xml:space="preserve"> </w:t>
      </w:r>
      <w:r>
        <w:t>strategy</w:t>
      </w:r>
      <w:r w:rsidRPr="004C66B9">
        <w:rPr>
          <w:spacing w:val="3"/>
        </w:rPr>
        <w:t xml:space="preserve"> </w:t>
      </w:r>
      <w:r w:rsidRPr="004C66B9">
        <w:rPr>
          <w:spacing w:val="-5"/>
        </w:rPr>
        <w:t>and</w:t>
      </w:r>
      <w:r w:rsidR="004C66B9">
        <w:rPr>
          <w:spacing w:val="-5"/>
        </w:rPr>
        <w:t xml:space="preserve"> </w:t>
      </w:r>
      <w:r w:rsidRPr="004C66B9">
        <w:rPr>
          <w:color w:val="231F20"/>
        </w:rPr>
        <w:t>agenda,</w:t>
      </w:r>
      <w:r w:rsidRPr="004C66B9">
        <w:rPr>
          <w:color w:val="231F20"/>
          <w:spacing w:val="3"/>
        </w:rPr>
        <w:t xml:space="preserve"> </w:t>
      </w:r>
      <w:r w:rsidRPr="004C66B9">
        <w:rPr>
          <w:color w:val="231F20"/>
        </w:rPr>
        <w:t>which</w:t>
      </w:r>
      <w:r w:rsidRPr="004C66B9">
        <w:rPr>
          <w:color w:val="231F20"/>
          <w:spacing w:val="4"/>
        </w:rPr>
        <w:t xml:space="preserve"> </w:t>
      </w:r>
      <w:r w:rsidRPr="004C66B9">
        <w:rPr>
          <w:color w:val="231F20"/>
        </w:rPr>
        <w:t>would</w:t>
      </w:r>
      <w:r w:rsidRPr="004C66B9">
        <w:rPr>
          <w:color w:val="231F20"/>
          <w:spacing w:val="3"/>
        </w:rPr>
        <w:t xml:space="preserve"> </w:t>
      </w:r>
      <w:r w:rsidRPr="004C66B9">
        <w:rPr>
          <w:color w:val="231F20"/>
        </w:rPr>
        <w:t>enhance</w:t>
      </w:r>
      <w:r w:rsidRPr="004C66B9">
        <w:rPr>
          <w:color w:val="231F20"/>
          <w:spacing w:val="4"/>
        </w:rPr>
        <w:t xml:space="preserve"> </w:t>
      </w:r>
      <w:r w:rsidRPr="004C66B9">
        <w:rPr>
          <w:color w:val="231F20"/>
        </w:rPr>
        <w:t>engagement</w:t>
      </w:r>
      <w:r w:rsidRPr="004C66B9">
        <w:rPr>
          <w:color w:val="231F20"/>
          <w:spacing w:val="4"/>
        </w:rPr>
        <w:t xml:space="preserve"> </w:t>
      </w:r>
      <w:r w:rsidRPr="004C66B9">
        <w:rPr>
          <w:color w:val="231F20"/>
        </w:rPr>
        <w:t>with</w:t>
      </w:r>
      <w:r w:rsidRPr="004C66B9">
        <w:rPr>
          <w:color w:val="231F20"/>
          <w:spacing w:val="3"/>
        </w:rPr>
        <w:t xml:space="preserve"> </w:t>
      </w:r>
      <w:r w:rsidRPr="004C66B9">
        <w:rPr>
          <w:color w:val="231F20"/>
        </w:rPr>
        <w:t>universities</w:t>
      </w:r>
      <w:r w:rsidRPr="004C66B9">
        <w:rPr>
          <w:color w:val="231F20"/>
          <w:spacing w:val="4"/>
        </w:rPr>
        <w:t xml:space="preserve"> </w:t>
      </w:r>
      <w:r w:rsidRPr="004C66B9">
        <w:rPr>
          <w:color w:val="231F20"/>
        </w:rPr>
        <w:t>and</w:t>
      </w:r>
      <w:r w:rsidRPr="004C66B9">
        <w:rPr>
          <w:color w:val="231F20"/>
          <w:spacing w:val="4"/>
        </w:rPr>
        <w:t xml:space="preserve"> </w:t>
      </w:r>
      <w:r w:rsidRPr="004C66B9">
        <w:rPr>
          <w:color w:val="231F20"/>
        </w:rPr>
        <w:t>thinktanks</w:t>
      </w:r>
      <w:r w:rsidR="0068598E">
        <w:rPr>
          <w:color w:val="231F20"/>
          <w:spacing w:val="-22"/>
        </w:rPr>
        <w:t>.</w:t>
      </w:r>
    </w:p>
    <w:p w14:paraId="7DD812CD" w14:textId="5ECD5CF4" w:rsidR="004C66B9" w:rsidRPr="0068598E" w:rsidRDefault="00E232F2" w:rsidP="0068598E">
      <w:pPr>
        <w:pStyle w:val="Bullet"/>
        <w:rPr>
          <w:rFonts w:cs="Calibri Light"/>
          <w:sz w:val="18"/>
        </w:rPr>
      </w:pPr>
      <w:r w:rsidRPr="0068598E">
        <w:rPr>
          <w:rFonts w:cs="Calibri Light"/>
        </w:rPr>
        <w:t>Systematic processes</w:t>
      </w:r>
      <w:r w:rsidRPr="0068598E">
        <w:rPr>
          <w:rFonts w:cs="Calibri Light"/>
          <w:spacing w:val="1"/>
        </w:rPr>
        <w:t xml:space="preserve"> </w:t>
      </w:r>
      <w:r w:rsidRPr="0068598E">
        <w:rPr>
          <w:rFonts w:cs="Calibri Light"/>
        </w:rPr>
        <w:t>to</w:t>
      </w:r>
      <w:r w:rsidRPr="0068598E">
        <w:rPr>
          <w:rFonts w:cs="Calibri Light"/>
          <w:spacing w:val="1"/>
        </w:rPr>
        <w:t xml:space="preserve"> </w:t>
      </w:r>
      <w:r w:rsidRPr="0068598E">
        <w:rPr>
          <w:rFonts w:cs="Calibri Light"/>
        </w:rPr>
        <w:t>integrate</w:t>
      </w:r>
      <w:r w:rsidRPr="0068598E">
        <w:rPr>
          <w:rFonts w:cs="Calibri Light"/>
          <w:spacing w:val="1"/>
        </w:rPr>
        <w:t xml:space="preserve"> </w:t>
      </w:r>
      <w:r w:rsidRPr="0068598E">
        <w:rPr>
          <w:rFonts w:cs="Calibri Light"/>
        </w:rPr>
        <w:t>the</w:t>
      </w:r>
      <w:r w:rsidRPr="0068598E">
        <w:rPr>
          <w:rFonts w:cs="Calibri Light"/>
          <w:spacing w:val="1"/>
        </w:rPr>
        <w:t xml:space="preserve"> </w:t>
      </w:r>
      <w:r w:rsidRPr="0068598E">
        <w:rPr>
          <w:rFonts w:cs="Calibri Light"/>
        </w:rPr>
        <w:t>RBA’s</w:t>
      </w:r>
      <w:r w:rsidRPr="0068598E">
        <w:rPr>
          <w:rFonts w:cs="Calibri Light"/>
          <w:spacing w:val="1"/>
        </w:rPr>
        <w:t xml:space="preserve"> </w:t>
      </w:r>
      <w:r w:rsidRPr="0068598E">
        <w:rPr>
          <w:rFonts w:cs="Calibri Light"/>
        </w:rPr>
        <w:t>research</w:t>
      </w:r>
      <w:r w:rsidRPr="0068598E">
        <w:rPr>
          <w:rFonts w:cs="Calibri Light"/>
          <w:spacing w:val="1"/>
        </w:rPr>
        <w:t xml:space="preserve"> </w:t>
      </w:r>
      <w:r w:rsidRPr="0068598E">
        <w:rPr>
          <w:rFonts w:cs="Calibri Light"/>
        </w:rPr>
        <w:t>capability</w:t>
      </w:r>
      <w:r w:rsidRPr="0068598E">
        <w:rPr>
          <w:rFonts w:cs="Calibri Light"/>
          <w:spacing w:val="1"/>
        </w:rPr>
        <w:t xml:space="preserve"> </w:t>
      </w:r>
      <w:r w:rsidRPr="0068598E">
        <w:rPr>
          <w:rFonts w:cs="Calibri Light"/>
        </w:rPr>
        <w:t>into</w:t>
      </w:r>
      <w:r w:rsidRPr="0068598E">
        <w:rPr>
          <w:rFonts w:cs="Calibri Light"/>
          <w:spacing w:val="1"/>
        </w:rPr>
        <w:t xml:space="preserve"> </w:t>
      </w:r>
      <w:r w:rsidRPr="0068598E">
        <w:rPr>
          <w:rFonts w:cs="Calibri Light"/>
        </w:rPr>
        <w:t>the</w:t>
      </w:r>
      <w:r w:rsidRPr="0068598E">
        <w:rPr>
          <w:rFonts w:cs="Calibri Light"/>
          <w:spacing w:val="1"/>
        </w:rPr>
        <w:t xml:space="preserve"> </w:t>
      </w:r>
      <w:r w:rsidRPr="0068598E">
        <w:rPr>
          <w:rFonts w:cs="Calibri Light"/>
          <w:spacing w:val="-2"/>
        </w:rPr>
        <w:t>policy</w:t>
      </w:r>
      <w:r w:rsidR="004C66B9" w:rsidRPr="0068598E">
        <w:rPr>
          <w:rFonts w:cs="Calibri Light"/>
          <w:spacing w:val="-2"/>
        </w:rPr>
        <w:t xml:space="preserve"> </w:t>
      </w:r>
      <w:r w:rsidR="0068598E" w:rsidRPr="0068598E">
        <w:rPr>
          <w:rFonts w:cs="Calibri Light"/>
          <w:spacing w:val="-2"/>
        </w:rPr>
        <w:t>formulation</w:t>
      </w:r>
      <w:r w:rsidR="004C66B9" w:rsidRPr="0068598E">
        <w:rPr>
          <w:rFonts w:eastAsia="Open Sans Light" w:cs="Calibri Light"/>
          <w:color w:val="231F20"/>
          <w:sz w:val="18"/>
          <w:szCs w:val="18"/>
          <w:lang w:val="en-US" w:eastAsia="en-US"/>
        </w:rPr>
        <w:t xml:space="preserve"> processes.</w:t>
      </w:r>
    </w:p>
    <w:p w14:paraId="77ADEB82" w14:textId="6BCBA078" w:rsidR="00E232F2" w:rsidRDefault="00E232F2" w:rsidP="0000278A">
      <w:pPr>
        <w:pStyle w:val="Bullet"/>
      </w:pPr>
      <w:r>
        <w:t>Career</w:t>
      </w:r>
      <w:r>
        <w:rPr>
          <w:spacing w:val="-2"/>
        </w:rPr>
        <w:t xml:space="preserve"> </w:t>
      </w:r>
      <w:r>
        <w:t>pathways</w:t>
      </w:r>
      <w:r>
        <w:rPr>
          <w:spacing w:val="1"/>
        </w:rPr>
        <w:t xml:space="preserve"> </w:t>
      </w:r>
      <w:r>
        <w:t>that enable</w:t>
      </w:r>
      <w:r>
        <w:rPr>
          <w:spacing w:val="1"/>
        </w:rPr>
        <w:t xml:space="preserve"> </w:t>
      </w:r>
      <w:r>
        <w:t>the best</w:t>
      </w:r>
      <w:r>
        <w:rPr>
          <w:spacing w:val="1"/>
        </w:rPr>
        <w:t xml:space="preserve"> </w:t>
      </w:r>
      <w:r>
        <w:t>use,</w:t>
      </w:r>
      <w:r>
        <w:rPr>
          <w:spacing w:val="1"/>
        </w:rPr>
        <w:t xml:space="preserve"> </w:t>
      </w:r>
      <w:r>
        <w:t>development and</w:t>
      </w:r>
      <w:r>
        <w:rPr>
          <w:spacing w:val="1"/>
        </w:rPr>
        <w:t xml:space="preserve"> </w:t>
      </w:r>
      <w:r>
        <w:t>maintenance of</w:t>
      </w:r>
      <w:r>
        <w:rPr>
          <w:spacing w:val="1"/>
        </w:rPr>
        <w:t xml:space="preserve"> </w:t>
      </w:r>
      <w:r>
        <w:t>technical</w:t>
      </w:r>
      <w:r>
        <w:rPr>
          <w:spacing w:val="1"/>
        </w:rPr>
        <w:t xml:space="preserve"> </w:t>
      </w:r>
      <w:r>
        <w:rPr>
          <w:spacing w:val="-2"/>
        </w:rPr>
        <w:t>expertise.</w:t>
      </w:r>
    </w:p>
    <w:p w14:paraId="6630C1C7" w14:textId="56B9A1B1" w:rsidR="00E232F2" w:rsidRDefault="00E232F2" w:rsidP="004C66B9">
      <w:r>
        <w:lastRenderedPageBreak/>
        <w:t>This recommendation is complemented by those that relate to strengthening monetary policy decision making processes (see Recommendation 9) and leaders driving and modelling change (see Recommendation 13)</w:t>
      </w:r>
      <w:r w:rsidR="0068598E">
        <w:rPr>
          <w:spacing w:val="-17"/>
        </w:rPr>
        <w:t>.</w:t>
      </w:r>
    </w:p>
    <w:p w14:paraId="7786CA54" w14:textId="146D320B" w:rsidR="00E232F2" w:rsidRDefault="00E232F2" w:rsidP="004C66B9">
      <w:r>
        <w:t>A new monetary policy strategy team would empower more staff members to contribute to and collaborate</w:t>
      </w:r>
      <w:r>
        <w:rPr>
          <w:spacing w:val="14"/>
        </w:rPr>
        <w:t xml:space="preserve"> </w:t>
      </w:r>
      <w:r>
        <w:t>on</w:t>
      </w:r>
      <w:r>
        <w:rPr>
          <w:spacing w:val="14"/>
        </w:rPr>
        <w:t xml:space="preserve"> </w:t>
      </w:r>
      <w:r>
        <w:t>the</w:t>
      </w:r>
      <w:r>
        <w:rPr>
          <w:spacing w:val="14"/>
        </w:rPr>
        <w:t xml:space="preserve"> </w:t>
      </w:r>
      <w:r>
        <w:t>development</w:t>
      </w:r>
      <w:r>
        <w:rPr>
          <w:spacing w:val="14"/>
        </w:rPr>
        <w:t xml:space="preserve"> </w:t>
      </w:r>
      <w:r>
        <w:t>of</w:t>
      </w:r>
      <w:r>
        <w:rPr>
          <w:spacing w:val="14"/>
        </w:rPr>
        <w:t xml:space="preserve"> </w:t>
      </w:r>
      <w:r>
        <w:t>monetary</w:t>
      </w:r>
      <w:r>
        <w:rPr>
          <w:spacing w:val="14"/>
        </w:rPr>
        <w:t xml:space="preserve"> </w:t>
      </w:r>
      <w:r>
        <w:t>policy</w:t>
      </w:r>
      <w:r>
        <w:rPr>
          <w:spacing w:val="14"/>
        </w:rPr>
        <w:t xml:space="preserve"> </w:t>
      </w:r>
      <w:r>
        <w:t>strategy.</w:t>
      </w:r>
      <w:r>
        <w:rPr>
          <w:spacing w:val="14"/>
        </w:rPr>
        <w:t xml:space="preserve"> </w:t>
      </w:r>
      <w:r>
        <w:t>This</w:t>
      </w:r>
      <w:r>
        <w:rPr>
          <w:spacing w:val="14"/>
        </w:rPr>
        <w:t xml:space="preserve"> </w:t>
      </w:r>
      <w:r>
        <w:t>type</w:t>
      </w:r>
      <w:r>
        <w:rPr>
          <w:spacing w:val="14"/>
        </w:rPr>
        <w:t xml:space="preserve"> </w:t>
      </w:r>
      <w:r>
        <w:t>of</w:t>
      </w:r>
      <w:r>
        <w:rPr>
          <w:spacing w:val="14"/>
        </w:rPr>
        <w:t xml:space="preserve"> </w:t>
      </w:r>
      <w:r>
        <w:t>team</w:t>
      </w:r>
      <w:r>
        <w:rPr>
          <w:spacing w:val="14"/>
        </w:rPr>
        <w:t xml:space="preserve"> </w:t>
      </w:r>
      <w:r>
        <w:t>exists</w:t>
      </w:r>
      <w:r>
        <w:rPr>
          <w:spacing w:val="14"/>
        </w:rPr>
        <w:t xml:space="preserve"> </w:t>
      </w:r>
      <w:r>
        <w:t>in</w:t>
      </w:r>
      <w:r>
        <w:rPr>
          <w:spacing w:val="14"/>
        </w:rPr>
        <w:t xml:space="preserve"> </w:t>
      </w:r>
      <w:r>
        <w:t>some peer central banks. It would enable staff members other than the Governor, Deputy Governor and Assistant Governors to be responsible for bringing together a staff view on policy alternatives. This team is not intended to have sole responsibility for monetary policy strategy; rather, it is intended to become a place for people to contribute their ideas and thinking</w:t>
      </w:r>
      <w:r w:rsidR="0068598E">
        <w:rPr>
          <w:spacing w:val="-20"/>
        </w:rPr>
        <w:t>.</w:t>
      </w:r>
      <w:r>
        <w:rPr>
          <w:w w:val="85"/>
        </w:rPr>
        <w:t xml:space="preserve"> </w:t>
      </w:r>
      <w:r>
        <w:t>The team should collaborate with and leverage expertise from across the RBA. Providing alternative policy options to the Monetary Policy Board will give more scope for papers to include technical analysis and relevant external economic research.</w:t>
      </w:r>
    </w:p>
    <w:p w14:paraId="18D5763A" w14:textId="4E8B8A0A" w:rsidR="002911C4" w:rsidRDefault="00E232F2" w:rsidP="002911C4">
      <w:r>
        <w:t>The</w:t>
      </w:r>
      <w:r>
        <w:rPr>
          <w:spacing w:val="3"/>
        </w:rPr>
        <w:t xml:space="preserve"> </w:t>
      </w:r>
      <w:r>
        <w:t>new</w:t>
      </w:r>
      <w:r>
        <w:rPr>
          <w:spacing w:val="3"/>
        </w:rPr>
        <w:t xml:space="preserve"> </w:t>
      </w:r>
      <w:r>
        <w:t>monetary</w:t>
      </w:r>
      <w:r>
        <w:rPr>
          <w:spacing w:val="3"/>
        </w:rPr>
        <w:t xml:space="preserve"> </w:t>
      </w:r>
      <w:r>
        <w:t>policy</w:t>
      </w:r>
      <w:r>
        <w:rPr>
          <w:spacing w:val="3"/>
        </w:rPr>
        <w:t xml:space="preserve"> </w:t>
      </w:r>
      <w:r>
        <w:t>strategy</w:t>
      </w:r>
      <w:r>
        <w:rPr>
          <w:spacing w:val="4"/>
        </w:rPr>
        <w:t xml:space="preserve"> </w:t>
      </w:r>
      <w:r>
        <w:t>team</w:t>
      </w:r>
      <w:r>
        <w:rPr>
          <w:spacing w:val="3"/>
        </w:rPr>
        <w:t xml:space="preserve"> </w:t>
      </w:r>
      <w:r>
        <w:t>would</w:t>
      </w:r>
      <w:r>
        <w:rPr>
          <w:spacing w:val="3"/>
        </w:rPr>
        <w:t xml:space="preserve"> </w:t>
      </w:r>
      <w:r>
        <w:t>complement</w:t>
      </w:r>
      <w:r>
        <w:rPr>
          <w:spacing w:val="3"/>
        </w:rPr>
        <w:t xml:space="preserve"> </w:t>
      </w:r>
      <w:r>
        <w:t>the</w:t>
      </w:r>
      <w:r>
        <w:rPr>
          <w:spacing w:val="4"/>
        </w:rPr>
        <w:t xml:space="preserve"> </w:t>
      </w:r>
      <w:r>
        <w:t>work</w:t>
      </w:r>
      <w:r>
        <w:rPr>
          <w:spacing w:val="3"/>
        </w:rPr>
        <w:t xml:space="preserve"> </w:t>
      </w:r>
      <w:r>
        <w:t>of</w:t>
      </w:r>
      <w:r>
        <w:rPr>
          <w:spacing w:val="3"/>
        </w:rPr>
        <w:t xml:space="preserve"> </w:t>
      </w:r>
      <w:r>
        <w:t>existing</w:t>
      </w:r>
      <w:r>
        <w:rPr>
          <w:spacing w:val="3"/>
        </w:rPr>
        <w:t xml:space="preserve"> </w:t>
      </w:r>
      <w:r>
        <w:t>teams</w:t>
      </w:r>
      <w:r>
        <w:rPr>
          <w:spacing w:val="4"/>
        </w:rPr>
        <w:t xml:space="preserve"> </w:t>
      </w:r>
      <w:r>
        <w:rPr>
          <w:spacing w:val="-2"/>
        </w:rPr>
        <w:t>responsible</w:t>
      </w:r>
      <w:r w:rsidR="002911C4">
        <w:rPr>
          <w:spacing w:val="-2"/>
        </w:rPr>
        <w:t xml:space="preserve"> </w:t>
      </w:r>
      <w:r w:rsidR="002911C4">
        <w:t>for</w:t>
      </w:r>
      <w:r w:rsidR="002911C4">
        <w:rPr>
          <w:spacing w:val="2"/>
        </w:rPr>
        <w:t xml:space="preserve"> </w:t>
      </w:r>
      <w:r w:rsidR="002911C4">
        <w:t>monitoring,</w:t>
      </w:r>
      <w:r w:rsidR="002911C4">
        <w:rPr>
          <w:spacing w:val="2"/>
        </w:rPr>
        <w:t xml:space="preserve"> </w:t>
      </w:r>
      <w:r w:rsidR="002911C4">
        <w:t>analysing</w:t>
      </w:r>
      <w:r w:rsidR="002911C4">
        <w:rPr>
          <w:spacing w:val="2"/>
        </w:rPr>
        <w:t xml:space="preserve"> </w:t>
      </w:r>
      <w:r w:rsidR="002911C4">
        <w:t>and</w:t>
      </w:r>
      <w:r w:rsidR="002911C4">
        <w:rPr>
          <w:spacing w:val="2"/>
        </w:rPr>
        <w:t xml:space="preserve"> </w:t>
      </w:r>
      <w:r w:rsidR="002911C4">
        <w:t>forecasting</w:t>
      </w:r>
      <w:r w:rsidR="002911C4">
        <w:rPr>
          <w:spacing w:val="3"/>
        </w:rPr>
        <w:t xml:space="preserve"> </w:t>
      </w:r>
      <w:r w:rsidR="002911C4">
        <w:t>sectors</w:t>
      </w:r>
      <w:r w:rsidR="002911C4">
        <w:rPr>
          <w:spacing w:val="2"/>
        </w:rPr>
        <w:t xml:space="preserve"> </w:t>
      </w:r>
      <w:r w:rsidR="002911C4">
        <w:t>of</w:t>
      </w:r>
      <w:r w:rsidR="002911C4">
        <w:rPr>
          <w:spacing w:val="2"/>
        </w:rPr>
        <w:t xml:space="preserve"> </w:t>
      </w:r>
      <w:r w:rsidR="002911C4">
        <w:t>the</w:t>
      </w:r>
      <w:r w:rsidR="002911C4">
        <w:rPr>
          <w:spacing w:val="2"/>
        </w:rPr>
        <w:t xml:space="preserve"> </w:t>
      </w:r>
      <w:r w:rsidR="002911C4">
        <w:t>economy,</w:t>
      </w:r>
      <w:r w:rsidR="002911C4">
        <w:rPr>
          <w:spacing w:val="3"/>
        </w:rPr>
        <w:t xml:space="preserve"> </w:t>
      </w:r>
      <w:r w:rsidR="002911C4">
        <w:t>by</w:t>
      </w:r>
      <w:r w:rsidR="002911C4">
        <w:rPr>
          <w:spacing w:val="2"/>
        </w:rPr>
        <w:t xml:space="preserve"> </w:t>
      </w:r>
      <w:r w:rsidR="002911C4">
        <w:t>being</w:t>
      </w:r>
      <w:r w:rsidR="002911C4">
        <w:rPr>
          <w:spacing w:val="2"/>
        </w:rPr>
        <w:t xml:space="preserve"> </w:t>
      </w:r>
      <w:r w:rsidR="002911C4">
        <w:t>explicitly</w:t>
      </w:r>
      <w:r w:rsidR="002911C4">
        <w:rPr>
          <w:spacing w:val="2"/>
        </w:rPr>
        <w:t xml:space="preserve"> </w:t>
      </w:r>
      <w:r w:rsidR="002911C4">
        <w:t>tasked</w:t>
      </w:r>
      <w:r w:rsidR="002911C4">
        <w:rPr>
          <w:spacing w:val="3"/>
        </w:rPr>
        <w:t xml:space="preserve"> </w:t>
      </w:r>
      <w:r w:rsidR="002911C4">
        <w:rPr>
          <w:spacing w:val="-4"/>
        </w:rPr>
        <w:t xml:space="preserve">with </w:t>
      </w:r>
      <w:r w:rsidR="002911C4">
        <w:t>answering</w:t>
      </w:r>
      <w:r w:rsidR="002911C4">
        <w:rPr>
          <w:spacing w:val="4"/>
        </w:rPr>
        <w:t xml:space="preserve"> </w:t>
      </w:r>
      <w:r w:rsidR="002911C4">
        <w:t>questions</w:t>
      </w:r>
      <w:r w:rsidR="002911C4">
        <w:rPr>
          <w:spacing w:val="4"/>
        </w:rPr>
        <w:t xml:space="preserve"> </w:t>
      </w:r>
      <w:r w:rsidR="002911C4">
        <w:t>such</w:t>
      </w:r>
      <w:r w:rsidR="002911C4">
        <w:rPr>
          <w:spacing w:val="5"/>
        </w:rPr>
        <w:t xml:space="preserve"> </w:t>
      </w:r>
      <w:r w:rsidR="002911C4">
        <w:rPr>
          <w:spacing w:val="-5"/>
        </w:rPr>
        <w:t>as:</w:t>
      </w:r>
    </w:p>
    <w:p w14:paraId="68CB3F40" w14:textId="77777777" w:rsidR="0019573C" w:rsidRDefault="0019573C" w:rsidP="0000278A">
      <w:pPr>
        <w:pStyle w:val="Bullet"/>
      </w:pPr>
      <w:r>
        <w:t>Given the</w:t>
      </w:r>
      <w:r>
        <w:rPr>
          <w:spacing w:val="3"/>
        </w:rPr>
        <w:t xml:space="preserve"> </w:t>
      </w:r>
      <w:r>
        <w:t>set</w:t>
      </w:r>
      <w:r>
        <w:rPr>
          <w:spacing w:val="3"/>
        </w:rPr>
        <w:t xml:space="preserve"> </w:t>
      </w:r>
      <w:r>
        <w:t>of</w:t>
      </w:r>
      <w:r>
        <w:rPr>
          <w:spacing w:val="3"/>
        </w:rPr>
        <w:t xml:space="preserve"> </w:t>
      </w:r>
      <w:r>
        <w:t>forecasts</w:t>
      </w:r>
      <w:r>
        <w:rPr>
          <w:spacing w:val="2"/>
        </w:rPr>
        <w:t xml:space="preserve"> </w:t>
      </w:r>
      <w:r>
        <w:t>and</w:t>
      </w:r>
      <w:r>
        <w:rPr>
          <w:spacing w:val="3"/>
        </w:rPr>
        <w:t xml:space="preserve"> </w:t>
      </w:r>
      <w:r>
        <w:t>risks,</w:t>
      </w:r>
      <w:r>
        <w:rPr>
          <w:spacing w:val="3"/>
        </w:rPr>
        <w:t xml:space="preserve"> </w:t>
      </w:r>
      <w:r>
        <w:t>what</w:t>
      </w:r>
      <w:r>
        <w:rPr>
          <w:spacing w:val="3"/>
        </w:rPr>
        <w:t xml:space="preserve"> </w:t>
      </w:r>
      <w:r>
        <w:t>would</w:t>
      </w:r>
      <w:r>
        <w:rPr>
          <w:spacing w:val="2"/>
        </w:rPr>
        <w:t xml:space="preserve"> </w:t>
      </w:r>
      <w:r>
        <w:t>be</w:t>
      </w:r>
      <w:r>
        <w:rPr>
          <w:spacing w:val="3"/>
        </w:rPr>
        <w:t xml:space="preserve"> </w:t>
      </w:r>
      <w:r>
        <w:t>the</w:t>
      </w:r>
      <w:r>
        <w:rPr>
          <w:spacing w:val="3"/>
        </w:rPr>
        <w:t xml:space="preserve"> </w:t>
      </w:r>
      <w:r>
        <w:t>best</w:t>
      </w:r>
      <w:r>
        <w:rPr>
          <w:spacing w:val="3"/>
        </w:rPr>
        <w:t xml:space="preserve"> </w:t>
      </w:r>
      <w:r>
        <w:t>policy</w:t>
      </w:r>
      <w:r>
        <w:rPr>
          <w:spacing w:val="3"/>
        </w:rPr>
        <w:t xml:space="preserve"> </w:t>
      </w:r>
      <w:r>
        <w:rPr>
          <w:spacing w:val="-2"/>
        </w:rPr>
        <w:t>response?</w:t>
      </w:r>
    </w:p>
    <w:p w14:paraId="58465B48" w14:textId="77777777" w:rsidR="0019573C" w:rsidRDefault="0019573C" w:rsidP="0000278A">
      <w:pPr>
        <w:pStyle w:val="Bullet"/>
      </w:pPr>
      <w:r>
        <w:t>Is</w:t>
      </w:r>
      <w:r>
        <w:rPr>
          <w:spacing w:val="3"/>
        </w:rPr>
        <w:t xml:space="preserve"> </w:t>
      </w:r>
      <w:r>
        <w:t>the</w:t>
      </w:r>
      <w:r>
        <w:rPr>
          <w:spacing w:val="3"/>
        </w:rPr>
        <w:t xml:space="preserve"> </w:t>
      </w:r>
      <w:r>
        <w:t>overall</w:t>
      </w:r>
      <w:r>
        <w:rPr>
          <w:spacing w:val="4"/>
        </w:rPr>
        <w:t xml:space="preserve"> </w:t>
      </w:r>
      <w:r>
        <w:t>stance</w:t>
      </w:r>
      <w:r>
        <w:rPr>
          <w:spacing w:val="3"/>
        </w:rPr>
        <w:t xml:space="preserve"> </w:t>
      </w:r>
      <w:r>
        <w:t>of</w:t>
      </w:r>
      <w:r>
        <w:rPr>
          <w:spacing w:val="4"/>
        </w:rPr>
        <w:t xml:space="preserve"> </w:t>
      </w:r>
      <w:r>
        <w:t>monetary</w:t>
      </w:r>
      <w:r>
        <w:rPr>
          <w:spacing w:val="3"/>
        </w:rPr>
        <w:t xml:space="preserve"> </w:t>
      </w:r>
      <w:r>
        <w:t>policy</w:t>
      </w:r>
      <w:r>
        <w:rPr>
          <w:spacing w:val="4"/>
        </w:rPr>
        <w:t xml:space="preserve"> </w:t>
      </w:r>
      <w:r>
        <w:rPr>
          <w:spacing w:val="-2"/>
        </w:rPr>
        <w:t>appropriate?</w:t>
      </w:r>
    </w:p>
    <w:p w14:paraId="1E28BB9D" w14:textId="77777777" w:rsidR="0019573C" w:rsidRDefault="0019573C" w:rsidP="0000278A">
      <w:pPr>
        <w:pStyle w:val="Bullet"/>
      </w:pPr>
      <w:r>
        <w:t>What mix of policy tools should be used and how do they</w:t>
      </w:r>
      <w:r>
        <w:rPr>
          <w:spacing w:val="1"/>
        </w:rPr>
        <w:t xml:space="preserve"> </w:t>
      </w:r>
      <w:r>
        <w:rPr>
          <w:spacing w:val="-4"/>
        </w:rPr>
        <w:t>work?</w:t>
      </w:r>
    </w:p>
    <w:p w14:paraId="1BB24370" w14:textId="77777777" w:rsidR="0019573C" w:rsidRDefault="0019573C" w:rsidP="0000278A">
      <w:pPr>
        <w:pStyle w:val="Bullet"/>
      </w:pPr>
      <w:r>
        <w:t>Are</w:t>
      </w:r>
      <w:r>
        <w:rPr>
          <w:spacing w:val="1"/>
        </w:rPr>
        <w:t xml:space="preserve"> </w:t>
      </w:r>
      <w:r>
        <w:t>the</w:t>
      </w:r>
      <w:r>
        <w:rPr>
          <w:spacing w:val="1"/>
        </w:rPr>
        <w:t xml:space="preserve"> </w:t>
      </w:r>
      <w:r>
        <w:t>trade-offs</w:t>
      </w:r>
      <w:r>
        <w:rPr>
          <w:spacing w:val="2"/>
        </w:rPr>
        <w:t xml:space="preserve"> </w:t>
      </w:r>
      <w:r>
        <w:t>that</w:t>
      </w:r>
      <w:r>
        <w:rPr>
          <w:spacing w:val="1"/>
        </w:rPr>
        <w:t xml:space="preserve"> </w:t>
      </w:r>
      <w:r>
        <w:t>are</w:t>
      </w:r>
      <w:r>
        <w:rPr>
          <w:spacing w:val="2"/>
        </w:rPr>
        <w:t xml:space="preserve"> </w:t>
      </w:r>
      <w:r>
        <w:t>being</w:t>
      </w:r>
      <w:r>
        <w:rPr>
          <w:spacing w:val="1"/>
        </w:rPr>
        <w:t xml:space="preserve"> </w:t>
      </w:r>
      <w:r>
        <w:t>made</w:t>
      </w:r>
      <w:r>
        <w:rPr>
          <w:spacing w:val="2"/>
        </w:rPr>
        <w:t xml:space="preserve"> </w:t>
      </w:r>
      <w:r>
        <w:t>explicit</w:t>
      </w:r>
      <w:r>
        <w:rPr>
          <w:spacing w:val="1"/>
        </w:rPr>
        <w:t xml:space="preserve"> </w:t>
      </w:r>
      <w:r>
        <w:t>and</w:t>
      </w:r>
      <w:r>
        <w:rPr>
          <w:spacing w:val="2"/>
        </w:rPr>
        <w:t xml:space="preserve"> </w:t>
      </w:r>
      <w:r>
        <w:rPr>
          <w:spacing w:val="-2"/>
        </w:rPr>
        <w:t>sensible?</w:t>
      </w:r>
    </w:p>
    <w:p w14:paraId="20D1EB84" w14:textId="77777777" w:rsidR="0019573C" w:rsidRDefault="0019573C" w:rsidP="0000278A">
      <w:pPr>
        <w:pStyle w:val="Bullet"/>
      </w:pPr>
      <w:r>
        <w:t>What</w:t>
      </w:r>
      <w:r>
        <w:rPr>
          <w:spacing w:val="-2"/>
        </w:rPr>
        <w:t xml:space="preserve"> </w:t>
      </w:r>
      <w:r>
        <w:t>does</w:t>
      </w:r>
      <w:r>
        <w:rPr>
          <w:spacing w:val="1"/>
        </w:rPr>
        <w:t xml:space="preserve"> </w:t>
      </w:r>
      <w:r>
        <w:t>the</w:t>
      </w:r>
      <w:r>
        <w:rPr>
          <w:spacing w:val="1"/>
        </w:rPr>
        <w:t xml:space="preserve"> </w:t>
      </w:r>
      <w:r>
        <w:t>literature</w:t>
      </w:r>
      <w:r>
        <w:rPr>
          <w:spacing w:val="1"/>
        </w:rPr>
        <w:t xml:space="preserve"> </w:t>
      </w:r>
      <w:r>
        <w:t>say</w:t>
      </w:r>
      <w:r>
        <w:rPr>
          <w:spacing w:val="1"/>
        </w:rPr>
        <w:t xml:space="preserve"> </w:t>
      </w:r>
      <w:r>
        <w:t>about</w:t>
      </w:r>
      <w:r>
        <w:rPr>
          <w:spacing w:val="1"/>
        </w:rPr>
        <w:t xml:space="preserve"> </w:t>
      </w:r>
      <w:r>
        <w:t>the</w:t>
      </w:r>
      <w:r>
        <w:rPr>
          <w:spacing w:val="1"/>
        </w:rPr>
        <w:t xml:space="preserve"> </w:t>
      </w:r>
      <w:r>
        <w:t>policy</w:t>
      </w:r>
      <w:r>
        <w:rPr>
          <w:spacing w:val="1"/>
        </w:rPr>
        <w:t xml:space="preserve"> </w:t>
      </w:r>
      <w:r>
        <w:t>approach</w:t>
      </w:r>
      <w:r>
        <w:rPr>
          <w:spacing w:val="1"/>
        </w:rPr>
        <w:t xml:space="preserve"> </w:t>
      </w:r>
      <w:r>
        <w:t>that</w:t>
      </w:r>
      <w:r>
        <w:rPr>
          <w:spacing w:val="1"/>
        </w:rPr>
        <w:t xml:space="preserve"> </w:t>
      </w:r>
      <w:r>
        <w:t>is</w:t>
      </w:r>
      <w:r>
        <w:rPr>
          <w:spacing w:val="1"/>
        </w:rPr>
        <w:t xml:space="preserve"> </w:t>
      </w:r>
      <w:r>
        <w:t>being</w:t>
      </w:r>
      <w:r>
        <w:rPr>
          <w:spacing w:val="1"/>
        </w:rPr>
        <w:t xml:space="preserve"> </w:t>
      </w:r>
      <w:r>
        <w:rPr>
          <w:spacing w:val="-2"/>
        </w:rPr>
        <w:t>taken?</w:t>
      </w:r>
    </w:p>
    <w:p w14:paraId="3044F9E6" w14:textId="77777777" w:rsidR="0019573C" w:rsidRDefault="0019573C" w:rsidP="0000278A">
      <w:pPr>
        <w:pStyle w:val="Bullet"/>
      </w:pPr>
      <w:r>
        <w:t>Is</w:t>
      </w:r>
      <w:r>
        <w:rPr>
          <w:spacing w:val="-1"/>
        </w:rPr>
        <w:t xml:space="preserve"> </w:t>
      </w:r>
      <w:r>
        <w:t>the</w:t>
      </w:r>
      <w:r>
        <w:rPr>
          <w:spacing w:val="-1"/>
        </w:rPr>
        <w:t xml:space="preserve"> </w:t>
      </w:r>
      <w:r>
        <w:t>RBA’s</w:t>
      </w:r>
      <w:r>
        <w:rPr>
          <w:spacing w:val="-1"/>
        </w:rPr>
        <w:t xml:space="preserve"> </w:t>
      </w:r>
      <w:r>
        <w:t>communication</w:t>
      </w:r>
      <w:r>
        <w:rPr>
          <w:spacing w:val="-1"/>
        </w:rPr>
        <w:t xml:space="preserve"> </w:t>
      </w:r>
      <w:r>
        <w:t>being perceived</w:t>
      </w:r>
      <w:r>
        <w:rPr>
          <w:spacing w:val="-1"/>
        </w:rPr>
        <w:t xml:space="preserve"> </w:t>
      </w:r>
      <w:r>
        <w:t>in</w:t>
      </w:r>
      <w:r>
        <w:rPr>
          <w:spacing w:val="-1"/>
        </w:rPr>
        <w:t xml:space="preserve"> </w:t>
      </w:r>
      <w:r>
        <w:t>the</w:t>
      </w:r>
      <w:r>
        <w:rPr>
          <w:spacing w:val="-1"/>
        </w:rPr>
        <w:t xml:space="preserve"> </w:t>
      </w:r>
      <w:r>
        <w:t xml:space="preserve">desired </w:t>
      </w:r>
      <w:r>
        <w:rPr>
          <w:spacing w:val="-4"/>
        </w:rPr>
        <w:t>way?</w:t>
      </w:r>
    </w:p>
    <w:p w14:paraId="6133C950" w14:textId="77777777" w:rsidR="0019573C" w:rsidRDefault="0019573C" w:rsidP="0019573C">
      <w:r>
        <w:t>The new team would provide more support to external Monetary Policy Board members. Currently, Reserve Bank Board members rely very heavily on the Governor and Deputy Governor to bring together a consolidated view and share dissenting (if any) positions. It would also complement the Monetary Policy Board members having direct access to RBA staff (see Recommendation 9.2).</w:t>
      </w:r>
    </w:p>
    <w:p w14:paraId="1ABEFD52" w14:textId="48EA0735" w:rsidR="0019573C" w:rsidRDefault="0019573C" w:rsidP="0019573C">
      <w:r>
        <w:t>A research strategy overseen by the Monetary Policy Board would improve research capability, bring research insights into the policy process, shape a policy-relevant research agenda and promote greater engagement with universities and think tanks</w:t>
      </w:r>
      <w:r w:rsidR="0068598E">
        <w:rPr>
          <w:spacing w:val="-19"/>
        </w:rPr>
        <w:t>.</w:t>
      </w:r>
      <w:r>
        <w:t xml:space="preserve"> The strategy should initially cover</w:t>
      </w:r>
      <w:r>
        <w:rPr>
          <w:spacing w:val="80"/>
        </w:rPr>
        <w:t xml:space="preserve"> </w:t>
      </w:r>
      <w:r>
        <w:t>a 2-year time horizon and should be reviewed each year. It should set out objectives and key change priorities, timing and accountability for implementation, and success criteria</w:t>
      </w:r>
      <w:r w:rsidR="0068598E">
        <w:rPr>
          <w:spacing w:val="-23"/>
        </w:rPr>
        <w:t>.</w:t>
      </w:r>
      <w:r>
        <w:rPr>
          <w:w w:val="85"/>
        </w:rPr>
        <w:t xml:space="preserve"> </w:t>
      </w:r>
      <w:r>
        <w:t>An important overarching aim should be to create a stronger research culture within the RBA</w:t>
      </w:r>
      <w:r w:rsidR="0068598E">
        <w:rPr>
          <w:spacing w:val="-20"/>
        </w:rPr>
        <w:t>.</w:t>
      </w:r>
      <w:r>
        <w:rPr>
          <w:w w:val="85"/>
        </w:rPr>
        <w:t xml:space="preserve"> </w:t>
      </w:r>
      <w:r>
        <w:t>To support this, the strategy should:</w:t>
      </w:r>
    </w:p>
    <w:p w14:paraId="2C0904E9" w14:textId="48F259A6" w:rsidR="0019573C" w:rsidRDefault="0019573C" w:rsidP="0000278A">
      <w:pPr>
        <w:pStyle w:val="Bullet"/>
      </w:pPr>
      <w:r>
        <w:t>Set out an approach to recruiting, developing and incentivising technical experts, for example by creating technical career pathways, encouraging secondments, renewing support for PhD study, ring fencing research time and rewarding high quality journal publications</w:t>
      </w:r>
      <w:r w:rsidR="0068598E">
        <w:rPr>
          <w:spacing w:val="-16"/>
        </w:rPr>
        <w:t>.</w:t>
      </w:r>
    </w:p>
    <w:p w14:paraId="710E3B7A" w14:textId="28E46130" w:rsidR="0019573C" w:rsidRDefault="0019573C" w:rsidP="0000278A">
      <w:pPr>
        <w:pStyle w:val="Bullet"/>
      </w:pPr>
      <w:r>
        <w:t>Outline steps to further encourage collaboration between policy departments, and between analysts and technical experts, to ensure policy decisions draw fully on the RBA’s expertise and that evidence and research insights are brought to bear in a rigorous way on policy questions</w:t>
      </w:r>
      <w:r w:rsidR="0068598E">
        <w:rPr>
          <w:spacing w:val="-21"/>
        </w:rPr>
        <w:t>.</w:t>
      </w:r>
    </w:p>
    <w:p w14:paraId="4A0CB98C" w14:textId="0E62A6B0" w:rsidR="0019573C" w:rsidRDefault="0019573C" w:rsidP="0000278A">
      <w:pPr>
        <w:pStyle w:val="Bullet"/>
      </w:pPr>
      <w:r>
        <w:t>Identify a clear set of research priorities, approved by the Monetary Policy Board, to guide the direction of RBA research, ensure its policy relevance and promote collaboration with outside</w:t>
      </w:r>
      <w:r>
        <w:rPr>
          <w:spacing w:val="18"/>
        </w:rPr>
        <w:t xml:space="preserve"> </w:t>
      </w:r>
      <w:r>
        <w:t>experts.</w:t>
      </w:r>
      <w:r>
        <w:rPr>
          <w:spacing w:val="18"/>
        </w:rPr>
        <w:t xml:space="preserve"> </w:t>
      </w:r>
      <w:r>
        <w:t>These</w:t>
      </w:r>
      <w:r>
        <w:rPr>
          <w:spacing w:val="18"/>
        </w:rPr>
        <w:t xml:space="preserve"> </w:t>
      </w:r>
      <w:r>
        <w:t>priorities</w:t>
      </w:r>
      <w:r>
        <w:rPr>
          <w:spacing w:val="18"/>
        </w:rPr>
        <w:t xml:space="preserve"> </w:t>
      </w:r>
      <w:r>
        <w:t>should</w:t>
      </w:r>
      <w:r>
        <w:rPr>
          <w:spacing w:val="18"/>
        </w:rPr>
        <w:t xml:space="preserve"> </w:t>
      </w:r>
      <w:r>
        <w:t>draw</w:t>
      </w:r>
      <w:r>
        <w:rPr>
          <w:spacing w:val="18"/>
        </w:rPr>
        <w:t xml:space="preserve"> </w:t>
      </w:r>
      <w:r>
        <w:t>on</w:t>
      </w:r>
      <w:r>
        <w:rPr>
          <w:spacing w:val="18"/>
        </w:rPr>
        <w:t xml:space="preserve"> </w:t>
      </w:r>
      <w:r>
        <w:t>input</w:t>
      </w:r>
      <w:r>
        <w:rPr>
          <w:spacing w:val="18"/>
        </w:rPr>
        <w:t xml:space="preserve"> </w:t>
      </w:r>
      <w:r>
        <w:t>from</w:t>
      </w:r>
      <w:r>
        <w:rPr>
          <w:spacing w:val="18"/>
        </w:rPr>
        <w:t xml:space="preserve"> </w:t>
      </w:r>
      <w:r>
        <w:t>the</w:t>
      </w:r>
      <w:r>
        <w:rPr>
          <w:spacing w:val="18"/>
        </w:rPr>
        <w:t xml:space="preserve"> </w:t>
      </w:r>
      <w:r>
        <w:t>expert</w:t>
      </w:r>
      <w:r>
        <w:rPr>
          <w:spacing w:val="18"/>
        </w:rPr>
        <w:t xml:space="preserve"> </w:t>
      </w:r>
      <w:r>
        <w:t>advisory</w:t>
      </w:r>
      <w:r>
        <w:rPr>
          <w:spacing w:val="18"/>
        </w:rPr>
        <w:t xml:space="preserve"> </w:t>
      </w:r>
      <w:r>
        <w:t>group (see Recommendation 9.4) as well as RBA staff members and should have regard to the research agenda of the proposed Australian Macroeconomic Policy Research Program (see Recommendation 3</w:t>
      </w:r>
      <w:r w:rsidR="0068598E">
        <w:rPr>
          <w:spacing w:val="-13"/>
        </w:rPr>
        <w:t>.</w:t>
      </w:r>
      <w:r>
        <w:rPr>
          <w:w w:val="117"/>
        </w:rPr>
        <w:t>2)</w:t>
      </w:r>
      <w:r w:rsidR="0068598E">
        <w:rPr>
          <w:spacing w:val="-13"/>
          <w:w w:val="99"/>
        </w:rPr>
        <w:t>.</w:t>
      </w:r>
    </w:p>
    <w:p w14:paraId="6536FE02" w14:textId="3EAD167C" w:rsidR="0019573C" w:rsidRDefault="0019573C" w:rsidP="0000278A">
      <w:pPr>
        <w:pStyle w:val="Bullet"/>
      </w:pPr>
      <w:r>
        <w:t>Set</w:t>
      </w:r>
      <w:r>
        <w:rPr>
          <w:spacing w:val="-1"/>
        </w:rPr>
        <w:t xml:space="preserve"> </w:t>
      </w:r>
      <w:r>
        <w:t>out</w:t>
      </w:r>
      <w:r>
        <w:rPr>
          <w:spacing w:val="-1"/>
        </w:rPr>
        <w:t xml:space="preserve"> </w:t>
      </w:r>
      <w:r>
        <w:t>how</w:t>
      </w:r>
      <w:r>
        <w:rPr>
          <w:spacing w:val="-1"/>
        </w:rPr>
        <w:t xml:space="preserve"> </w:t>
      </w:r>
      <w:r>
        <w:t>the</w:t>
      </w:r>
      <w:r>
        <w:rPr>
          <w:spacing w:val="-1"/>
        </w:rPr>
        <w:t xml:space="preserve"> </w:t>
      </w:r>
      <w:r>
        <w:t>RBA</w:t>
      </w:r>
      <w:r>
        <w:rPr>
          <w:spacing w:val="-1"/>
        </w:rPr>
        <w:t xml:space="preserve"> </w:t>
      </w:r>
      <w:r>
        <w:t>could</w:t>
      </w:r>
      <w:r>
        <w:rPr>
          <w:spacing w:val="-1"/>
        </w:rPr>
        <w:t xml:space="preserve"> </w:t>
      </w:r>
      <w:r>
        <w:t>make</w:t>
      </w:r>
      <w:r>
        <w:rPr>
          <w:spacing w:val="-1"/>
        </w:rPr>
        <w:t xml:space="preserve"> </w:t>
      </w:r>
      <w:r>
        <w:t>use</w:t>
      </w:r>
      <w:r>
        <w:rPr>
          <w:spacing w:val="-1"/>
        </w:rPr>
        <w:t xml:space="preserve"> </w:t>
      </w:r>
      <w:r>
        <w:t>of</w:t>
      </w:r>
      <w:r>
        <w:rPr>
          <w:spacing w:val="-1"/>
        </w:rPr>
        <w:t xml:space="preserve"> </w:t>
      </w:r>
      <w:r>
        <w:t>new</w:t>
      </w:r>
      <w:r>
        <w:rPr>
          <w:spacing w:val="-1"/>
        </w:rPr>
        <w:t xml:space="preserve"> </w:t>
      </w:r>
      <w:r>
        <w:t>channels</w:t>
      </w:r>
      <w:r>
        <w:rPr>
          <w:spacing w:val="-1"/>
        </w:rPr>
        <w:t xml:space="preserve"> </w:t>
      </w:r>
      <w:r>
        <w:t>to</w:t>
      </w:r>
      <w:r>
        <w:rPr>
          <w:spacing w:val="-1"/>
        </w:rPr>
        <w:t xml:space="preserve"> </w:t>
      </w:r>
      <w:r>
        <w:t>disseminate</w:t>
      </w:r>
      <w:r>
        <w:rPr>
          <w:spacing w:val="-1"/>
        </w:rPr>
        <w:t xml:space="preserve"> </w:t>
      </w:r>
      <w:r>
        <w:t>research</w:t>
      </w:r>
      <w:r>
        <w:rPr>
          <w:spacing w:val="-1"/>
        </w:rPr>
        <w:t xml:space="preserve"> </w:t>
      </w:r>
      <w:r>
        <w:t>insights</w:t>
      </w:r>
      <w:r>
        <w:rPr>
          <w:spacing w:val="-1"/>
        </w:rPr>
        <w:t xml:space="preserve"> </w:t>
      </w:r>
      <w:r>
        <w:t>to</w:t>
      </w:r>
      <w:r>
        <w:rPr>
          <w:spacing w:val="-1"/>
        </w:rPr>
        <w:t xml:space="preserve"> </w:t>
      </w:r>
      <w:r>
        <w:t>a wider audience</w:t>
      </w:r>
      <w:r w:rsidR="0068598E">
        <w:rPr>
          <w:spacing w:val="-17"/>
        </w:rPr>
        <w:t>.</w:t>
      </w:r>
    </w:p>
    <w:p w14:paraId="37E8CE90" w14:textId="0596FA3B" w:rsidR="000667B6" w:rsidRDefault="0019573C" w:rsidP="0019573C">
      <w:pPr>
        <w:rPr>
          <w:color w:val="231F20"/>
          <w:w w:val="85"/>
        </w:rPr>
      </w:pPr>
      <w:r>
        <w:rPr>
          <w:color w:val="231F20"/>
        </w:rPr>
        <w:lastRenderedPageBreak/>
        <w:t>The RBA should keep under review how research is organised and administered in the RBA to ensure it best supports the Monetary Policy Board and its research strategy objectives, and should develop measures of desired outcomes</w:t>
      </w:r>
      <w:r w:rsidR="0068598E">
        <w:rPr>
          <w:color w:val="231F20"/>
          <w:spacing w:val="-9"/>
        </w:rPr>
        <w:t>.</w:t>
      </w:r>
    </w:p>
    <w:p w14:paraId="5FFDDDC7" w14:textId="77777777" w:rsidR="00AB0B60" w:rsidRDefault="00AB0B60" w:rsidP="00AB0B60">
      <w:r>
        <w:t>The design of technical career pathways is a challenging area that the RBA will need to carefully consider. The number, distribution, team structure and expectations for these types of roles</w:t>
      </w:r>
      <w:r>
        <w:rPr>
          <w:spacing w:val="80"/>
        </w:rPr>
        <w:t xml:space="preserve"> </w:t>
      </w:r>
      <w:r>
        <w:t>will determine how effectively they can be implemented. This challenge is not uncommon. For example, the Australian Public Service Commission is currently exploring ways to strengthen specialist career streams across the APS (APS Commission Hierarchy and Classification Review 2022).</w:t>
      </w:r>
      <w:r>
        <w:rPr>
          <w:spacing w:val="-1"/>
        </w:rPr>
        <w:t xml:space="preserve"> </w:t>
      </w:r>
      <w:r>
        <w:t>In</w:t>
      </w:r>
      <w:r>
        <w:rPr>
          <w:spacing w:val="-1"/>
        </w:rPr>
        <w:t xml:space="preserve"> </w:t>
      </w:r>
      <w:r>
        <w:t>implementing</w:t>
      </w:r>
      <w:r>
        <w:rPr>
          <w:spacing w:val="-1"/>
        </w:rPr>
        <w:t xml:space="preserve"> </w:t>
      </w:r>
      <w:r>
        <w:t>this</w:t>
      </w:r>
      <w:r>
        <w:rPr>
          <w:spacing w:val="-1"/>
        </w:rPr>
        <w:t xml:space="preserve"> </w:t>
      </w:r>
      <w:r>
        <w:t>recommendation,</w:t>
      </w:r>
      <w:r>
        <w:rPr>
          <w:spacing w:val="-1"/>
        </w:rPr>
        <w:t xml:space="preserve"> </w:t>
      </w:r>
      <w:r>
        <w:t>the</w:t>
      </w:r>
      <w:r>
        <w:rPr>
          <w:spacing w:val="-1"/>
        </w:rPr>
        <w:t xml:space="preserve"> </w:t>
      </w:r>
      <w:r>
        <w:t>RBA</w:t>
      </w:r>
      <w:r>
        <w:rPr>
          <w:spacing w:val="-1"/>
        </w:rPr>
        <w:t xml:space="preserve"> </w:t>
      </w:r>
      <w:r>
        <w:t>should</w:t>
      </w:r>
      <w:r>
        <w:rPr>
          <w:spacing w:val="-1"/>
        </w:rPr>
        <w:t xml:space="preserve"> </w:t>
      </w:r>
      <w:r>
        <w:t>also</w:t>
      </w:r>
      <w:r>
        <w:rPr>
          <w:spacing w:val="-1"/>
        </w:rPr>
        <w:t xml:space="preserve"> </w:t>
      </w:r>
      <w:r>
        <w:t>consider</w:t>
      </w:r>
      <w:r>
        <w:rPr>
          <w:spacing w:val="-1"/>
        </w:rPr>
        <w:t xml:space="preserve"> </w:t>
      </w:r>
      <w:r>
        <w:t>learnings</w:t>
      </w:r>
      <w:r>
        <w:rPr>
          <w:spacing w:val="-1"/>
        </w:rPr>
        <w:t xml:space="preserve"> </w:t>
      </w:r>
      <w:r>
        <w:t>from</w:t>
      </w:r>
      <w:r>
        <w:rPr>
          <w:spacing w:val="-1"/>
        </w:rPr>
        <w:t xml:space="preserve"> </w:t>
      </w:r>
      <w:r>
        <w:t>peer central banks.</w:t>
      </w:r>
    </w:p>
    <w:p w14:paraId="283C72BD" w14:textId="77777777" w:rsidR="00931B34" w:rsidRDefault="00931B34" w:rsidP="00077C01">
      <w:pPr>
        <w:pStyle w:val="Heading3"/>
      </w:pPr>
      <w:r w:rsidRPr="00931B34">
        <w:t>Supporting</w:t>
      </w:r>
      <w:r>
        <w:rPr>
          <w:spacing w:val="-9"/>
        </w:rPr>
        <w:t xml:space="preserve"> </w:t>
      </w:r>
      <w:r>
        <w:rPr>
          <w:spacing w:val="-2"/>
        </w:rPr>
        <w:t>assessment</w:t>
      </w:r>
    </w:p>
    <w:p w14:paraId="320A923B" w14:textId="0644952E" w:rsidR="00931B34" w:rsidRDefault="00931B34" w:rsidP="00931B34">
      <w:r>
        <w:t>Economic research provides the foundations for central banks’ understanding of the economy and their role in it. The expertise and skills that researchers bring can contribute to better policy. They bring evidence to bear in a rigorous way and help decision makers evaluate different arguments and perspectives</w:t>
      </w:r>
      <w:r w:rsidR="0068598E">
        <w:rPr>
          <w:spacing w:val="-17"/>
        </w:rPr>
        <w:t>.</w:t>
      </w:r>
    </w:p>
    <w:p w14:paraId="5A98A58B" w14:textId="1320722A" w:rsidR="00931B34" w:rsidRDefault="00931B34" w:rsidP="00931B34">
      <w:r>
        <w:t>As our economy evolves over time, it is important to understand how these changes might affect the operation of monetary policy. Increasing the focus and value placed on research in the policy process will ensure that the RBA is well placed to meet future challenges</w:t>
      </w:r>
      <w:r w:rsidR="0068598E">
        <w:rPr>
          <w:spacing w:val="-19"/>
        </w:rPr>
        <w:t>.</w:t>
      </w:r>
    </w:p>
    <w:p w14:paraId="2D13A39C" w14:textId="77777777" w:rsidR="00931B34" w:rsidRDefault="00931B34" w:rsidP="00931B34">
      <w:r>
        <w:t>A culture that recognises the value of research and technical expertise will make the most of the RBA staff members’ research capability and support better policy outcomes. Factors such as how specialist expertise is utilised, how open and inquisitive the institution is to external ideas and research, and how policymakers use research as an input to their decisions affect these outcomes.</w:t>
      </w:r>
    </w:p>
    <w:p w14:paraId="53B6B92A" w14:textId="77777777" w:rsidR="00931B34" w:rsidRDefault="00931B34" w:rsidP="00931B34">
      <w:pPr>
        <w:pStyle w:val="Heading4"/>
      </w:pPr>
      <w:r>
        <w:t>Better</w:t>
      </w:r>
      <w:r>
        <w:rPr>
          <w:spacing w:val="2"/>
        </w:rPr>
        <w:t xml:space="preserve"> </w:t>
      </w:r>
      <w:r>
        <w:t>linking</w:t>
      </w:r>
      <w:r>
        <w:rPr>
          <w:spacing w:val="2"/>
        </w:rPr>
        <w:t xml:space="preserve"> </w:t>
      </w:r>
      <w:r>
        <w:t>staff</w:t>
      </w:r>
      <w:r>
        <w:rPr>
          <w:spacing w:val="2"/>
        </w:rPr>
        <w:t xml:space="preserve"> </w:t>
      </w:r>
      <w:r>
        <w:t>members</w:t>
      </w:r>
      <w:r>
        <w:rPr>
          <w:spacing w:val="3"/>
        </w:rPr>
        <w:t xml:space="preserve"> </w:t>
      </w:r>
      <w:r>
        <w:t>and</w:t>
      </w:r>
      <w:r>
        <w:rPr>
          <w:spacing w:val="2"/>
        </w:rPr>
        <w:t xml:space="preserve"> </w:t>
      </w:r>
      <w:r>
        <w:t>research</w:t>
      </w:r>
      <w:r>
        <w:rPr>
          <w:spacing w:val="2"/>
        </w:rPr>
        <w:t xml:space="preserve"> </w:t>
      </w:r>
      <w:r>
        <w:t>with</w:t>
      </w:r>
      <w:r>
        <w:rPr>
          <w:spacing w:val="3"/>
        </w:rPr>
        <w:t xml:space="preserve"> </w:t>
      </w:r>
      <w:r>
        <w:t>policy</w:t>
      </w:r>
      <w:r>
        <w:rPr>
          <w:spacing w:val="2"/>
        </w:rPr>
        <w:t xml:space="preserve"> </w:t>
      </w:r>
      <w:r>
        <w:rPr>
          <w:spacing w:val="-2"/>
        </w:rPr>
        <w:t>decisions</w:t>
      </w:r>
    </w:p>
    <w:p w14:paraId="23EA63D7" w14:textId="7F2D40CD" w:rsidR="00931B34" w:rsidRDefault="00931B34" w:rsidP="00931B34">
      <w:r>
        <w:t>The Review heard that a new monetary policy strategy team would be a way to better link staff members and research to decision making</w:t>
      </w:r>
      <w:r w:rsidR="0068598E">
        <w:rPr>
          <w:spacing w:val="-19"/>
        </w:rPr>
        <w:t>.</w:t>
      </w:r>
      <w:r>
        <w:rPr>
          <w:w w:val="85"/>
        </w:rPr>
        <w:t xml:space="preserve"> </w:t>
      </w:r>
      <w:r>
        <w:t>The lack of a central team currently results in very senior staff members writing the final Reserve Bank Board paper recommendation. This in turn results in some staff members feeling like it is difficult to be part of the real conversation about the policy approach</w:t>
      </w:r>
      <w:r w:rsidR="0068598E">
        <w:rPr>
          <w:spacing w:val="-23"/>
        </w:rPr>
        <w:t>.</w:t>
      </w:r>
      <w:r>
        <w:rPr>
          <w:w w:val="85"/>
        </w:rPr>
        <w:t xml:space="preserve"> </w:t>
      </w:r>
      <w:r>
        <w:t>Peer central banks, like the European Central Bank and Sveriges Riksbank, have a dedicated monetary policy strategy team (European Central Bank 2022, Sveriges Riksbank 2023)</w:t>
      </w:r>
      <w:r w:rsidR="0068598E">
        <w:rPr>
          <w:spacing w:val="-17"/>
        </w:rPr>
        <w:t>.</w:t>
      </w:r>
    </w:p>
    <w:p w14:paraId="7204F1F0" w14:textId="7C2AFF0E" w:rsidR="00931B34" w:rsidRDefault="00931B34" w:rsidP="00931B34">
      <w:r>
        <w:t>Many noted to the Review that there are no effective forums for questioning monetary policy strategy and too great a focus on descriptive analysis</w:t>
      </w:r>
      <w:r w:rsidR="0068598E">
        <w:rPr>
          <w:spacing w:val="-18"/>
        </w:rPr>
        <w:t>.</w:t>
      </w:r>
      <w:r>
        <w:rPr>
          <w:w w:val="85"/>
        </w:rPr>
        <w:t xml:space="preserve"> </w:t>
      </w:r>
      <w:r>
        <w:t>One comment that captures this sentiment is:</w:t>
      </w:r>
    </w:p>
    <w:p w14:paraId="3B804086" w14:textId="7C04DB58" w:rsidR="00931B34" w:rsidRPr="00931B34" w:rsidRDefault="00931B34" w:rsidP="00931B34">
      <w:pPr>
        <w:pStyle w:val="italicquote"/>
      </w:pPr>
      <w:r w:rsidRPr="00931B34">
        <w:t>‘Over the years there have been a lot of “policy” meetings, but they rarely engage in policy. Rather,</w:t>
      </w:r>
      <w:r w:rsidR="0068598E">
        <w:t xml:space="preserve"> </w:t>
      </w:r>
      <w:r w:rsidRPr="00931B34">
        <w:t>these meetings just summarise the facts.’</w:t>
      </w:r>
    </w:p>
    <w:p w14:paraId="423829F3" w14:textId="77777777" w:rsidR="00931B34" w:rsidRPr="00931B34" w:rsidRDefault="00931B34" w:rsidP="00931B34">
      <w:pPr>
        <w:pStyle w:val="italicquote"/>
      </w:pPr>
      <w:r w:rsidRPr="00931B34">
        <w:t>– RBA staff member</w:t>
      </w:r>
    </w:p>
    <w:p w14:paraId="7FAE1DE0" w14:textId="281EADC6" w:rsidR="00931B34" w:rsidRDefault="00931B34" w:rsidP="00931B34">
      <w:r>
        <w:t>A dedicated team would provide more scope to include technical analysis and relevant external economic research in Monetary Policy Board papers. It would have more capacity to draw on research that can help inform policy discussions and be well placed to help researchers identify topics of policy relevance</w:t>
      </w:r>
      <w:r w:rsidR="0068598E">
        <w:rPr>
          <w:spacing w:val="-9"/>
        </w:rPr>
        <w:t>.</w:t>
      </w:r>
    </w:p>
    <w:p w14:paraId="444D4C45" w14:textId="77777777" w:rsidR="001E7B26" w:rsidRDefault="001E7B26" w:rsidP="001E7B26">
      <w:pPr>
        <w:pStyle w:val="Heading4"/>
      </w:pPr>
      <w:r>
        <w:t>Greater</w:t>
      </w:r>
      <w:r>
        <w:rPr>
          <w:spacing w:val="1"/>
        </w:rPr>
        <w:t xml:space="preserve"> </w:t>
      </w:r>
      <w:r>
        <w:t>engagement</w:t>
      </w:r>
      <w:r>
        <w:rPr>
          <w:spacing w:val="1"/>
        </w:rPr>
        <w:t xml:space="preserve"> </w:t>
      </w:r>
      <w:r>
        <w:t>by</w:t>
      </w:r>
      <w:r>
        <w:rPr>
          <w:spacing w:val="2"/>
        </w:rPr>
        <w:t xml:space="preserve"> </w:t>
      </w:r>
      <w:r>
        <w:t>senior</w:t>
      </w:r>
      <w:r>
        <w:rPr>
          <w:spacing w:val="1"/>
        </w:rPr>
        <w:t xml:space="preserve"> </w:t>
      </w:r>
      <w:r>
        <w:t>leaders</w:t>
      </w:r>
      <w:r>
        <w:rPr>
          <w:spacing w:val="1"/>
        </w:rPr>
        <w:t xml:space="preserve"> </w:t>
      </w:r>
      <w:r>
        <w:t>in</w:t>
      </w:r>
      <w:r>
        <w:rPr>
          <w:spacing w:val="2"/>
        </w:rPr>
        <w:t xml:space="preserve"> </w:t>
      </w:r>
      <w:r>
        <w:t>research</w:t>
      </w:r>
      <w:r>
        <w:rPr>
          <w:spacing w:val="1"/>
        </w:rPr>
        <w:t xml:space="preserve"> </w:t>
      </w:r>
      <w:r>
        <w:t>findings</w:t>
      </w:r>
      <w:r>
        <w:rPr>
          <w:spacing w:val="2"/>
        </w:rPr>
        <w:t xml:space="preserve"> </w:t>
      </w:r>
      <w:r>
        <w:t>for</w:t>
      </w:r>
      <w:r>
        <w:rPr>
          <w:spacing w:val="1"/>
        </w:rPr>
        <w:t xml:space="preserve"> </w:t>
      </w:r>
      <w:r>
        <w:t>policy</w:t>
      </w:r>
      <w:r>
        <w:rPr>
          <w:spacing w:val="1"/>
        </w:rPr>
        <w:t xml:space="preserve"> </w:t>
      </w:r>
      <w:r>
        <w:rPr>
          <w:spacing w:val="-2"/>
        </w:rPr>
        <w:t>deliberation</w:t>
      </w:r>
    </w:p>
    <w:p w14:paraId="328BE91F" w14:textId="15AF35C5" w:rsidR="006D397E" w:rsidRDefault="006D397E" w:rsidP="006D397E">
      <w:r>
        <w:t>The Review heard strong feedback from staff members that research (both internal and external) does not appear to be valued as highly as it should be in policy deliberations</w:t>
      </w:r>
      <w:r w:rsidR="0068598E">
        <w:rPr>
          <w:spacing w:val="-24"/>
        </w:rPr>
        <w:t>.</w:t>
      </w:r>
      <w:r>
        <w:rPr>
          <w:w w:val="85"/>
        </w:rPr>
        <w:t xml:space="preserve"> </w:t>
      </w:r>
      <w:r>
        <w:t>A specialist Monetary Policy Board (see Recommendation 8</w:t>
      </w:r>
      <w:r w:rsidR="0068598E">
        <w:rPr>
          <w:spacing w:val="-22"/>
        </w:rPr>
        <w:t>.</w:t>
      </w:r>
      <w:r>
        <w:rPr>
          <w:w w:val="117"/>
        </w:rPr>
        <w:t>1)</w:t>
      </w:r>
      <w:r>
        <w:rPr>
          <w:w w:val="99"/>
        </w:rPr>
        <w:t xml:space="preserve"> </w:t>
      </w:r>
      <w:r>
        <w:t>would likely increase demand for research, especially that focused on informing policy decisions. It would also give the staff scope to share more technical analysis to inform policy deliberation</w:t>
      </w:r>
      <w:r w:rsidR="0068598E">
        <w:rPr>
          <w:spacing w:val="-8"/>
        </w:rPr>
        <w:t>.</w:t>
      </w:r>
    </w:p>
    <w:p w14:paraId="3C7B0874" w14:textId="2CF6A25B" w:rsidR="006D397E" w:rsidRDefault="006D397E" w:rsidP="006D397E">
      <w:r>
        <w:lastRenderedPageBreak/>
        <w:t>In the RBA Review Staff Survey when asked, ‘If you could change one thing to improve the effectiveness of your workplace, what would it be?’, some staff members said they would like to see greater engagement with research when deliberating on monetary policy strategy</w:t>
      </w:r>
      <w:r w:rsidR="0068598E">
        <w:rPr>
          <w:spacing w:val="-15"/>
        </w:rPr>
        <w:t>.</w:t>
      </w:r>
    </w:p>
    <w:p w14:paraId="57001AD6" w14:textId="77777777" w:rsidR="006D397E" w:rsidRDefault="006D397E" w:rsidP="006D397E">
      <w:r>
        <w:t>Similarly, when asked, ‘Thinking about the RBA’s culture, is there anything you would want to change and why?’, many staff members said improving the willingness of senior executives to listen to research, referencing the pre-pandemic low inflation period when rates were not cut further (also see Chapter 1). The Review heard that sometimes senior executives are at times openly dismissive</w:t>
      </w:r>
      <w:r>
        <w:rPr>
          <w:spacing w:val="40"/>
        </w:rPr>
        <w:t xml:space="preserve"> </w:t>
      </w:r>
      <w:r>
        <w:t>of views offered by academics in academic panel discussions.</w:t>
      </w:r>
    </w:p>
    <w:p w14:paraId="3A1275A2" w14:textId="1FA43333" w:rsidR="006D397E" w:rsidRDefault="006D397E" w:rsidP="006D397E">
      <w:r>
        <w:t>The Review heard research can be commissioned to rationalise and defend decisions rather than to inform them</w:t>
      </w:r>
      <w:r w:rsidR="0068598E">
        <w:rPr>
          <w:spacing w:val="-24"/>
        </w:rPr>
        <w:t>.</w:t>
      </w:r>
      <w:r>
        <w:rPr>
          <w:w w:val="85"/>
        </w:rPr>
        <w:t xml:space="preserve"> </w:t>
      </w:r>
      <w:r>
        <w:t>Several people indicated that analysis can be requested to support preconceived views, rather than undertaken to develop and inform views. Many people expressed a desire for research to play a stronger ex ante role in the policymaking process.</w:t>
      </w:r>
    </w:p>
    <w:p w14:paraId="7137A549" w14:textId="18051928" w:rsidR="006D397E" w:rsidRDefault="006D397E" w:rsidP="006D397E">
      <w:r>
        <w:t>The Review believes the RBA should develop a new research strategy and refreshed research agenda, overseen by the Monetary Policy Board, that leverages external collaboration. This would enhance the value of research as an input into policy deliberations</w:t>
      </w:r>
      <w:r w:rsidR="0068598E">
        <w:rPr>
          <w:spacing w:val="-17"/>
        </w:rPr>
        <w:t>.</w:t>
      </w:r>
    </w:p>
    <w:p w14:paraId="122508C0" w14:textId="77777777" w:rsidR="006D397E" w:rsidRDefault="006D397E" w:rsidP="006D397E">
      <w:pPr>
        <w:pStyle w:val="Heading4"/>
      </w:pPr>
      <w:r>
        <w:t>Research that</w:t>
      </w:r>
      <w:r>
        <w:rPr>
          <w:spacing w:val="1"/>
        </w:rPr>
        <w:t xml:space="preserve"> </w:t>
      </w:r>
      <w:r>
        <w:t>is objective</w:t>
      </w:r>
      <w:r>
        <w:rPr>
          <w:spacing w:val="1"/>
        </w:rPr>
        <w:t xml:space="preserve"> </w:t>
      </w:r>
      <w:r>
        <w:t>and</w:t>
      </w:r>
      <w:r>
        <w:rPr>
          <w:spacing w:val="1"/>
        </w:rPr>
        <w:t xml:space="preserve"> </w:t>
      </w:r>
      <w:r>
        <w:rPr>
          <w:spacing w:val="-2"/>
        </w:rPr>
        <w:t>forthright</w:t>
      </w:r>
    </w:p>
    <w:p w14:paraId="31CD759C" w14:textId="7CD373BE" w:rsidR="006D397E" w:rsidRDefault="006D397E" w:rsidP="006D397E">
      <w:r>
        <w:t>Researchers should be able to develop and present research that may disagree with the RBA’s public position. The Review heard several examples of research being edited to ensure it aligned with</w:t>
      </w:r>
      <w:r>
        <w:rPr>
          <w:spacing w:val="-1"/>
        </w:rPr>
        <w:t xml:space="preserve"> </w:t>
      </w:r>
      <w:r>
        <w:t>the</w:t>
      </w:r>
      <w:r>
        <w:rPr>
          <w:spacing w:val="-1"/>
        </w:rPr>
        <w:t xml:space="preserve"> </w:t>
      </w:r>
      <w:r>
        <w:t>RBA</w:t>
      </w:r>
      <w:r>
        <w:rPr>
          <w:spacing w:val="-1"/>
        </w:rPr>
        <w:t xml:space="preserve"> </w:t>
      </w:r>
      <w:r>
        <w:t>paradigm</w:t>
      </w:r>
      <w:r w:rsidR="0068598E">
        <w:rPr>
          <w:spacing w:val="-24"/>
        </w:rPr>
        <w:t>.</w:t>
      </w:r>
      <w:r>
        <w:rPr>
          <w:w w:val="85"/>
        </w:rPr>
        <w:t xml:space="preserve"> </w:t>
      </w:r>
      <w:r>
        <w:t>One</w:t>
      </w:r>
      <w:r>
        <w:rPr>
          <w:spacing w:val="-1"/>
        </w:rPr>
        <w:t xml:space="preserve"> </w:t>
      </w:r>
      <w:r>
        <w:t>person</w:t>
      </w:r>
      <w:r>
        <w:rPr>
          <w:spacing w:val="-1"/>
        </w:rPr>
        <w:t xml:space="preserve"> </w:t>
      </w:r>
      <w:r>
        <w:t>noted</w:t>
      </w:r>
      <w:r>
        <w:rPr>
          <w:spacing w:val="-1"/>
        </w:rPr>
        <w:t xml:space="preserve"> </w:t>
      </w:r>
      <w:r>
        <w:t>that</w:t>
      </w:r>
      <w:r>
        <w:rPr>
          <w:spacing w:val="-1"/>
        </w:rPr>
        <w:t xml:space="preserve"> </w:t>
      </w:r>
      <w:r>
        <w:t>in</w:t>
      </w:r>
      <w:r>
        <w:rPr>
          <w:spacing w:val="-1"/>
        </w:rPr>
        <w:t xml:space="preserve"> </w:t>
      </w:r>
      <w:r>
        <w:t>one</w:t>
      </w:r>
      <w:r>
        <w:rPr>
          <w:spacing w:val="-1"/>
        </w:rPr>
        <w:t xml:space="preserve"> </w:t>
      </w:r>
      <w:r>
        <w:t>case,</w:t>
      </w:r>
      <w:r>
        <w:rPr>
          <w:spacing w:val="-1"/>
        </w:rPr>
        <w:t xml:space="preserve"> </w:t>
      </w:r>
      <w:r>
        <w:t>the</w:t>
      </w:r>
      <w:r>
        <w:rPr>
          <w:spacing w:val="-1"/>
        </w:rPr>
        <w:t xml:space="preserve"> </w:t>
      </w:r>
      <w:r>
        <w:t>narrative</w:t>
      </w:r>
      <w:r>
        <w:rPr>
          <w:spacing w:val="-1"/>
        </w:rPr>
        <w:t xml:space="preserve"> </w:t>
      </w:r>
      <w:r>
        <w:t>of</w:t>
      </w:r>
      <w:r>
        <w:rPr>
          <w:spacing w:val="-1"/>
        </w:rPr>
        <w:t xml:space="preserve"> </w:t>
      </w:r>
      <w:r>
        <w:t>a</w:t>
      </w:r>
      <w:r>
        <w:rPr>
          <w:spacing w:val="-1"/>
        </w:rPr>
        <w:t xml:space="preserve"> </w:t>
      </w:r>
      <w:r>
        <w:t>research</w:t>
      </w:r>
      <w:r>
        <w:rPr>
          <w:spacing w:val="-1"/>
        </w:rPr>
        <w:t xml:space="preserve"> </w:t>
      </w:r>
      <w:r>
        <w:t>paper</w:t>
      </w:r>
      <w:r>
        <w:rPr>
          <w:spacing w:val="-1"/>
        </w:rPr>
        <w:t xml:space="preserve"> </w:t>
      </w:r>
      <w:r>
        <w:t>was almost reversed. In other cases, it was noted that if the findings are inconvenient, research is not released or no explicit response is provided so the research cannot be released.</w:t>
      </w:r>
    </w:p>
    <w:p w14:paraId="32259C91" w14:textId="09A19E7F" w:rsidR="006D397E" w:rsidRDefault="006D397E" w:rsidP="006D397E">
      <w:r>
        <w:t>Many people would like to see research playing a greater role in promoting healthy challenge and debate at the RBA. While staff members acknowledged that the Economic Research Department’s ‘challenge notes’ and quarterly ‘challenge meetings’ were a step in the right direction, these have been limited as of late</w:t>
      </w:r>
      <w:r w:rsidR="0068598E">
        <w:rPr>
          <w:spacing w:val="-9"/>
        </w:rPr>
        <w:t>.</w:t>
      </w:r>
    </w:p>
    <w:p w14:paraId="44A37192" w14:textId="556EEC3D" w:rsidR="00AB0B60" w:rsidRDefault="006D397E" w:rsidP="006D397E">
      <w:pPr>
        <w:rPr>
          <w:color w:val="231F20"/>
          <w:w w:val="85"/>
        </w:rPr>
      </w:pPr>
      <w:r>
        <w:rPr>
          <w:color w:val="231F20"/>
        </w:rPr>
        <w:t>Making</w:t>
      </w:r>
      <w:r>
        <w:rPr>
          <w:color w:val="231F20"/>
          <w:spacing w:val="-9"/>
        </w:rPr>
        <w:t xml:space="preserve"> </w:t>
      </w:r>
      <w:r>
        <w:rPr>
          <w:color w:val="231F20"/>
        </w:rPr>
        <w:t>progress</w:t>
      </w:r>
      <w:r>
        <w:rPr>
          <w:color w:val="231F20"/>
          <w:spacing w:val="-7"/>
        </w:rPr>
        <w:t xml:space="preserve"> </w:t>
      </w:r>
      <w:r>
        <w:rPr>
          <w:color w:val="231F20"/>
        </w:rPr>
        <w:t>on</w:t>
      </w:r>
      <w:r>
        <w:rPr>
          <w:color w:val="231F20"/>
          <w:spacing w:val="-7"/>
        </w:rPr>
        <w:t xml:space="preserve"> </w:t>
      </w:r>
      <w:r>
        <w:rPr>
          <w:color w:val="231F20"/>
        </w:rPr>
        <w:t>increasing</w:t>
      </w:r>
      <w:r>
        <w:rPr>
          <w:color w:val="231F20"/>
          <w:spacing w:val="-7"/>
        </w:rPr>
        <w:t xml:space="preserve"> </w:t>
      </w:r>
      <w:r>
        <w:rPr>
          <w:color w:val="231F20"/>
        </w:rPr>
        <w:t>challenge</w:t>
      </w:r>
      <w:r>
        <w:rPr>
          <w:color w:val="231F20"/>
          <w:spacing w:val="-7"/>
        </w:rPr>
        <w:t xml:space="preserve"> </w:t>
      </w:r>
      <w:r>
        <w:rPr>
          <w:color w:val="231F20"/>
        </w:rPr>
        <w:t>and</w:t>
      </w:r>
      <w:r>
        <w:rPr>
          <w:color w:val="231F20"/>
          <w:spacing w:val="-7"/>
        </w:rPr>
        <w:t xml:space="preserve"> </w:t>
      </w:r>
      <w:r>
        <w:rPr>
          <w:color w:val="231F20"/>
        </w:rPr>
        <w:t>debate</w:t>
      </w:r>
      <w:r>
        <w:rPr>
          <w:color w:val="231F20"/>
          <w:spacing w:val="-7"/>
        </w:rPr>
        <w:t xml:space="preserve"> </w:t>
      </w:r>
      <w:r>
        <w:rPr>
          <w:color w:val="231F20"/>
        </w:rPr>
        <w:t>(see</w:t>
      </w:r>
      <w:r>
        <w:rPr>
          <w:color w:val="231F20"/>
          <w:spacing w:val="-7"/>
        </w:rPr>
        <w:t xml:space="preserve"> </w:t>
      </w:r>
      <w:r>
        <w:rPr>
          <w:color w:val="231F20"/>
        </w:rPr>
        <w:t>Recommendation</w:t>
      </w:r>
      <w:r>
        <w:rPr>
          <w:color w:val="231F20"/>
          <w:spacing w:val="-7"/>
        </w:rPr>
        <w:t xml:space="preserve"> </w:t>
      </w:r>
      <w:r>
        <w:rPr>
          <w:color w:val="231F20"/>
        </w:rPr>
        <w:t>11</w:t>
      </w:r>
      <w:r w:rsidR="0068598E">
        <w:rPr>
          <w:color w:val="231F20"/>
          <w:spacing w:val="-25"/>
        </w:rPr>
        <w:t>.</w:t>
      </w:r>
      <w:r>
        <w:rPr>
          <w:color w:val="231F20"/>
          <w:w w:val="117"/>
        </w:rPr>
        <w:t>3)</w:t>
      </w:r>
      <w:r>
        <w:rPr>
          <w:color w:val="231F20"/>
          <w:spacing w:val="-6"/>
          <w:w w:val="99"/>
        </w:rPr>
        <w:t xml:space="preserve"> </w:t>
      </w:r>
      <w:r>
        <w:rPr>
          <w:color w:val="231F20"/>
        </w:rPr>
        <w:t>would</w:t>
      </w:r>
      <w:r>
        <w:rPr>
          <w:color w:val="231F20"/>
          <w:spacing w:val="-7"/>
        </w:rPr>
        <w:t xml:space="preserve"> </w:t>
      </w:r>
      <w:r>
        <w:rPr>
          <w:color w:val="231F20"/>
        </w:rPr>
        <w:t>help enable research that is more forthright</w:t>
      </w:r>
      <w:r w:rsidR="0068598E">
        <w:rPr>
          <w:color w:val="231F20"/>
          <w:spacing w:val="-10"/>
        </w:rPr>
        <w:t>.</w:t>
      </w:r>
    </w:p>
    <w:p w14:paraId="5BB76F50" w14:textId="77777777" w:rsidR="005A74A9" w:rsidRDefault="005A74A9" w:rsidP="005A74A9">
      <w:pPr>
        <w:pStyle w:val="Heading4"/>
      </w:pPr>
      <w:r>
        <w:t>A</w:t>
      </w:r>
      <w:r>
        <w:rPr>
          <w:spacing w:val="-1"/>
        </w:rPr>
        <w:t xml:space="preserve"> </w:t>
      </w:r>
      <w:r>
        <w:t>central</w:t>
      </w:r>
      <w:r>
        <w:rPr>
          <w:spacing w:val="1"/>
        </w:rPr>
        <w:t xml:space="preserve"> </w:t>
      </w:r>
      <w:r>
        <w:t>bank</w:t>
      </w:r>
      <w:r>
        <w:rPr>
          <w:spacing w:val="2"/>
        </w:rPr>
        <w:t xml:space="preserve"> </w:t>
      </w:r>
      <w:r>
        <w:t>that</w:t>
      </w:r>
      <w:r>
        <w:rPr>
          <w:spacing w:val="1"/>
        </w:rPr>
        <w:t xml:space="preserve"> </w:t>
      </w:r>
      <w:r>
        <w:t>attracts,</w:t>
      </w:r>
      <w:r>
        <w:rPr>
          <w:spacing w:val="1"/>
        </w:rPr>
        <w:t xml:space="preserve"> </w:t>
      </w:r>
      <w:r>
        <w:t>develops,</w:t>
      </w:r>
      <w:r>
        <w:rPr>
          <w:spacing w:val="2"/>
        </w:rPr>
        <w:t xml:space="preserve"> </w:t>
      </w:r>
      <w:r>
        <w:t>and</w:t>
      </w:r>
      <w:r>
        <w:rPr>
          <w:spacing w:val="1"/>
        </w:rPr>
        <w:t xml:space="preserve"> </w:t>
      </w:r>
      <w:r>
        <w:t>retains</w:t>
      </w:r>
      <w:r>
        <w:rPr>
          <w:spacing w:val="1"/>
        </w:rPr>
        <w:t xml:space="preserve"> </w:t>
      </w:r>
      <w:r>
        <w:t>technical</w:t>
      </w:r>
      <w:r>
        <w:rPr>
          <w:spacing w:val="2"/>
        </w:rPr>
        <w:t xml:space="preserve"> </w:t>
      </w:r>
      <w:r>
        <w:rPr>
          <w:spacing w:val="-2"/>
        </w:rPr>
        <w:t>expertise</w:t>
      </w:r>
    </w:p>
    <w:p w14:paraId="2736415B" w14:textId="797A294D" w:rsidR="005A74A9" w:rsidRDefault="005A74A9" w:rsidP="005A74A9">
      <w:r>
        <w:t>The Review heard that the RBA faces challenges in attracting, developing, and retaining technical expertise</w:t>
      </w:r>
      <w:r>
        <w:rPr>
          <w:spacing w:val="12"/>
        </w:rPr>
        <w:t xml:space="preserve"> </w:t>
      </w:r>
      <w:r>
        <w:t>at</w:t>
      </w:r>
      <w:r>
        <w:rPr>
          <w:spacing w:val="12"/>
        </w:rPr>
        <w:t xml:space="preserve"> </w:t>
      </w:r>
      <w:r>
        <w:t>the</w:t>
      </w:r>
      <w:r>
        <w:rPr>
          <w:spacing w:val="12"/>
        </w:rPr>
        <w:t xml:space="preserve"> </w:t>
      </w:r>
      <w:r>
        <w:t>RBA.</w:t>
      </w:r>
      <w:r>
        <w:rPr>
          <w:spacing w:val="12"/>
        </w:rPr>
        <w:t xml:space="preserve"> </w:t>
      </w:r>
      <w:r>
        <w:t>In</w:t>
      </w:r>
      <w:r>
        <w:rPr>
          <w:spacing w:val="12"/>
        </w:rPr>
        <w:t xml:space="preserve"> </w:t>
      </w:r>
      <w:r>
        <w:t>consultations,</w:t>
      </w:r>
      <w:r>
        <w:rPr>
          <w:spacing w:val="12"/>
        </w:rPr>
        <w:t xml:space="preserve"> </w:t>
      </w:r>
      <w:r>
        <w:t>several</w:t>
      </w:r>
      <w:r>
        <w:rPr>
          <w:spacing w:val="12"/>
        </w:rPr>
        <w:t xml:space="preserve"> </w:t>
      </w:r>
      <w:r>
        <w:t>people</w:t>
      </w:r>
      <w:r>
        <w:rPr>
          <w:spacing w:val="12"/>
        </w:rPr>
        <w:t xml:space="preserve"> </w:t>
      </w:r>
      <w:r>
        <w:t>noted</w:t>
      </w:r>
      <w:r>
        <w:rPr>
          <w:spacing w:val="12"/>
        </w:rPr>
        <w:t xml:space="preserve"> </w:t>
      </w:r>
      <w:r>
        <w:t>a</w:t>
      </w:r>
      <w:r>
        <w:rPr>
          <w:spacing w:val="12"/>
        </w:rPr>
        <w:t xml:space="preserve"> </w:t>
      </w:r>
      <w:r>
        <w:t>lot</w:t>
      </w:r>
      <w:r>
        <w:rPr>
          <w:spacing w:val="12"/>
        </w:rPr>
        <w:t xml:space="preserve"> </w:t>
      </w:r>
      <w:r>
        <w:t>of</w:t>
      </w:r>
      <w:r>
        <w:rPr>
          <w:spacing w:val="12"/>
        </w:rPr>
        <w:t xml:space="preserve"> </w:t>
      </w:r>
      <w:r>
        <w:t>basic</w:t>
      </w:r>
      <w:r>
        <w:rPr>
          <w:spacing w:val="12"/>
        </w:rPr>
        <w:t xml:space="preserve"> </w:t>
      </w:r>
      <w:r>
        <w:t>analysis</w:t>
      </w:r>
      <w:r>
        <w:rPr>
          <w:spacing w:val="12"/>
        </w:rPr>
        <w:t xml:space="preserve"> </w:t>
      </w:r>
      <w:r>
        <w:t>could</w:t>
      </w:r>
      <w:r>
        <w:rPr>
          <w:spacing w:val="12"/>
        </w:rPr>
        <w:t xml:space="preserve"> </w:t>
      </w:r>
      <w:r>
        <w:t>be further developed, but the lack of specialists prevents this occurring</w:t>
      </w:r>
      <w:r w:rsidR="0068598E">
        <w:rPr>
          <w:spacing w:val="-18"/>
        </w:rPr>
        <w:t>.</w:t>
      </w:r>
      <w:r>
        <w:rPr>
          <w:w w:val="85"/>
        </w:rPr>
        <w:t xml:space="preserve"> </w:t>
      </w:r>
      <w:r>
        <w:t>Of current employees who responded to the RBA Review Staff Survey, 48 per cent think there are skills or capability gaps in their current department, and a further 30 per cent are unsure</w:t>
      </w:r>
      <w:r w:rsidR="0068598E">
        <w:rPr>
          <w:spacing w:val="-19"/>
        </w:rPr>
        <w:t>.</w:t>
      </w:r>
      <w:r>
        <w:t xml:space="preserve"> This perception is much higher</w:t>
      </w:r>
      <w:r>
        <w:rPr>
          <w:spacing w:val="80"/>
        </w:rPr>
        <w:t xml:space="preserve"> </w:t>
      </w:r>
      <w:r>
        <w:t>for former employees, with 71 per cent believing there are capability gaps at the RBA</w:t>
      </w:r>
      <w:r w:rsidR="0068598E">
        <w:rPr>
          <w:spacing w:val="-24"/>
        </w:rPr>
        <w:t>.</w:t>
      </w:r>
      <w:r>
        <w:rPr>
          <w:w w:val="85"/>
        </w:rPr>
        <w:t xml:space="preserve"> </w:t>
      </w:r>
      <w:r>
        <w:t>When asked what skills or capabilities are below the level required for effective performance, staff members were most likely to report subject matter expertise and technical skills.</w:t>
      </w:r>
    </w:p>
    <w:p w14:paraId="67760C1C" w14:textId="3D222045" w:rsidR="005A74A9" w:rsidRDefault="005A74A9" w:rsidP="005A74A9">
      <w:r>
        <w:t>The Review heard greater encouragement to publish in research journals would help the RBA attract and retain technical expertise. Compared to some foreign central banks, such as the US Federal Reserve and the European Central Bank, the Review found there is less use of channels outside of the long-standing Bulletin and Research Discussion Paper series</w:t>
      </w:r>
      <w:r w:rsidR="0068598E">
        <w:rPr>
          <w:spacing w:val="-16"/>
        </w:rPr>
        <w:t>.</w:t>
      </w:r>
    </w:p>
    <w:p w14:paraId="36BB7606" w14:textId="27E89395" w:rsidR="005A74A9" w:rsidRDefault="005A74A9" w:rsidP="005A74A9">
      <w:r>
        <w:t>People</w:t>
      </w:r>
      <w:r>
        <w:rPr>
          <w:spacing w:val="-1"/>
        </w:rPr>
        <w:t xml:space="preserve"> </w:t>
      </w:r>
      <w:r>
        <w:t>told</w:t>
      </w:r>
      <w:r>
        <w:rPr>
          <w:spacing w:val="-1"/>
        </w:rPr>
        <w:t xml:space="preserve"> </w:t>
      </w:r>
      <w:r>
        <w:t>the</w:t>
      </w:r>
      <w:r>
        <w:rPr>
          <w:spacing w:val="-1"/>
        </w:rPr>
        <w:t xml:space="preserve"> </w:t>
      </w:r>
      <w:r>
        <w:t>Review</w:t>
      </w:r>
      <w:r>
        <w:rPr>
          <w:spacing w:val="-1"/>
        </w:rPr>
        <w:t xml:space="preserve"> </w:t>
      </w:r>
      <w:r>
        <w:t>there</w:t>
      </w:r>
      <w:r>
        <w:rPr>
          <w:spacing w:val="-1"/>
        </w:rPr>
        <w:t xml:space="preserve"> </w:t>
      </w:r>
      <w:r>
        <w:t>should</w:t>
      </w:r>
      <w:r>
        <w:rPr>
          <w:spacing w:val="-1"/>
        </w:rPr>
        <w:t xml:space="preserve"> </w:t>
      </w:r>
      <w:r>
        <w:t>be</w:t>
      </w:r>
      <w:r>
        <w:rPr>
          <w:spacing w:val="-1"/>
        </w:rPr>
        <w:t xml:space="preserve"> </w:t>
      </w:r>
      <w:r>
        <w:t>more</w:t>
      </w:r>
      <w:r>
        <w:rPr>
          <w:spacing w:val="-1"/>
        </w:rPr>
        <w:t xml:space="preserve"> </w:t>
      </w:r>
      <w:r>
        <w:t>incentives</w:t>
      </w:r>
      <w:r>
        <w:rPr>
          <w:spacing w:val="-1"/>
        </w:rPr>
        <w:t xml:space="preserve"> </w:t>
      </w:r>
      <w:r>
        <w:t>to</w:t>
      </w:r>
      <w:r>
        <w:rPr>
          <w:spacing w:val="-1"/>
        </w:rPr>
        <w:t xml:space="preserve"> </w:t>
      </w:r>
      <w:r>
        <w:t>publishing</w:t>
      </w:r>
      <w:r>
        <w:rPr>
          <w:spacing w:val="-1"/>
        </w:rPr>
        <w:t xml:space="preserve"> </w:t>
      </w:r>
      <w:r>
        <w:t>research</w:t>
      </w:r>
      <w:r>
        <w:rPr>
          <w:spacing w:val="-1"/>
        </w:rPr>
        <w:t xml:space="preserve"> </w:t>
      </w:r>
      <w:r>
        <w:t>in</w:t>
      </w:r>
      <w:r>
        <w:rPr>
          <w:spacing w:val="-1"/>
        </w:rPr>
        <w:t xml:space="preserve"> </w:t>
      </w:r>
      <w:r>
        <w:t>peer</w:t>
      </w:r>
      <w:r>
        <w:rPr>
          <w:spacing w:val="-1"/>
        </w:rPr>
        <w:t xml:space="preserve"> </w:t>
      </w:r>
      <w:r>
        <w:t>reviewed journals</w:t>
      </w:r>
      <w:r w:rsidR="0068598E">
        <w:rPr>
          <w:spacing w:val="-19"/>
        </w:rPr>
        <w:t>.</w:t>
      </w:r>
      <w:r>
        <w:rPr>
          <w:w w:val="85"/>
        </w:rPr>
        <w:t xml:space="preserve"> </w:t>
      </w:r>
      <w:r>
        <w:t>Peer reviewed publications are attractive for researchers as they are read by a wider audience, are internationally recognised, and help boost profile and reputation. They also boost interactions</w:t>
      </w:r>
      <w:r>
        <w:rPr>
          <w:spacing w:val="17"/>
        </w:rPr>
        <w:t xml:space="preserve"> </w:t>
      </w:r>
      <w:r>
        <w:t>with</w:t>
      </w:r>
      <w:r>
        <w:rPr>
          <w:spacing w:val="17"/>
        </w:rPr>
        <w:t xml:space="preserve"> </w:t>
      </w:r>
      <w:r>
        <w:t>academia</w:t>
      </w:r>
      <w:r>
        <w:rPr>
          <w:spacing w:val="17"/>
        </w:rPr>
        <w:t xml:space="preserve"> </w:t>
      </w:r>
      <w:r>
        <w:t>and</w:t>
      </w:r>
      <w:r>
        <w:rPr>
          <w:spacing w:val="17"/>
        </w:rPr>
        <w:t xml:space="preserve"> </w:t>
      </w:r>
      <w:r>
        <w:t>drive</w:t>
      </w:r>
      <w:r>
        <w:rPr>
          <w:spacing w:val="17"/>
        </w:rPr>
        <w:t xml:space="preserve"> </w:t>
      </w:r>
      <w:r>
        <w:t>constructive</w:t>
      </w:r>
      <w:r>
        <w:rPr>
          <w:spacing w:val="17"/>
        </w:rPr>
        <w:t xml:space="preserve"> </w:t>
      </w:r>
      <w:r>
        <w:t>challenge</w:t>
      </w:r>
      <w:r>
        <w:rPr>
          <w:spacing w:val="17"/>
        </w:rPr>
        <w:t xml:space="preserve"> </w:t>
      </w:r>
      <w:r>
        <w:t>and</w:t>
      </w:r>
      <w:r>
        <w:rPr>
          <w:spacing w:val="17"/>
        </w:rPr>
        <w:t xml:space="preserve"> </w:t>
      </w:r>
      <w:r>
        <w:t>debate,</w:t>
      </w:r>
      <w:r>
        <w:rPr>
          <w:spacing w:val="17"/>
        </w:rPr>
        <w:t xml:space="preserve"> </w:t>
      </w:r>
      <w:r>
        <w:t>and</w:t>
      </w:r>
      <w:r>
        <w:rPr>
          <w:spacing w:val="17"/>
        </w:rPr>
        <w:t xml:space="preserve"> </w:t>
      </w:r>
      <w:r>
        <w:t>ensure</w:t>
      </w:r>
      <w:r>
        <w:rPr>
          <w:spacing w:val="17"/>
        </w:rPr>
        <w:t xml:space="preserve"> </w:t>
      </w:r>
      <w:r>
        <w:t>research is objective</w:t>
      </w:r>
      <w:r w:rsidR="0068598E">
        <w:rPr>
          <w:spacing w:val="-24"/>
        </w:rPr>
        <w:t>.</w:t>
      </w:r>
      <w:r>
        <w:rPr>
          <w:w w:val="85"/>
        </w:rPr>
        <w:t xml:space="preserve"> </w:t>
      </w:r>
      <w:r>
        <w:t xml:space="preserve">Currently, around one quarter of Research Discussion Papers are published in peer reviewed </w:t>
      </w:r>
      <w:r>
        <w:lastRenderedPageBreak/>
        <w:t>journals</w:t>
      </w:r>
      <w:r w:rsidR="0068598E">
        <w:rPr>
          <w:spacing w:val="-18"/>
        </w:rPr>
        <w:t>.</w:t>
      </w:r>
      <w:r>
        <w:rPr>
          <w:w w:val="85"/>
        </w:rPr>
        <w:t xml:space="preserve"> </w:t>
      </w:r>
      <w:r>
        <w:t>The Review also found an appetite for less formal arrangements, such as external blog posts, which can reach a much wider audience, much more quickly, and so have a meaningful influence on policy debate.</w:t>
      </w:r>
    </w:p>
    <w:p w14:paraId="18503194" w14:textId="0E8B08F4" w:rsidR="005A74A9" w:rsidRDefault="005A74A9" w:rsidP="005A74A9">
      <w:r>
        <w:t>The Review heard that a lack of career progression opportunities for technical specialists is detracting from the RBA’s capabilities</w:t>
      </w:r>
      <w:r w:rsidR="0068598E">
        <w:rPr>
          <w:spacing w:val="-24"/>
        </w:rPr>
        <w:t>.</w:t>
      </w:r>
      <w:r>
        <w:rPr>
          <w:w w:val="85"/>
        </w:rPr>
        <w:t xml:space="preserve"> </w:t>
      </w:r>
      <w:r>
        <w:t>Currently, the promotion pathway for technical specialists is into management roles, even if they lack a desire and aptitude to manage and lead teams</w:t>
      </w:r>
      <w:r w:rsidR="0068598E">
        <w:rPr>
          <w:spacing w:val="-20"/>
        </w:rPr>
        <w:t>.</w:t>
      </w:r>
      <w:r>
        <w:t>The</w:t>
      </w:r>
      <w:r>
        <w:rPr>
          <w:spacing w:val="-1"/>
        </w:rPr>
        <w:t xml:space="preserve"> </w:t>
      </w:r>
      <w:r>
        <w:t>alternative</w:t>
      </w:r>
      <w:r>
        <w:rPr>
          <w:spacing w:val="2"/>
        </w:rPr>
        <w:t xml:space="preserve"> </w:t>
      </w:r>
      <w:r>
        <w:t>pathway</w:t>
      </w:r>
      <w:r>
        <w:rPr>
          <w:spacing w:val="2"/>
        </w:rPr>
        <w:t xml:space="preserve"> </w:t>
      </w:r>
      <w:r>
        <w:t>for</w:t>
      </w:r>
      <w:r>
        <w:rPr>
          <w:spacing w:val="2"/>
        </w:rPr>
        <w:t xml:space="preserve"> </w:t>
      </w:r>
      <w:r>
        <w:t>many</w:t>
      </w:r>
      <w:r>
        <w:rPr>
          <w:spacing w:val="2"/>
        </w:rPr>
        <w:t xml:space="preserve"> </w:t>
      </w:r>
      <w:r>
        <w:t>technical</w:t>
      </w:r>
      <w:r>
        <w:rPr>
          <w:spacing w:val="2"/>
        </w:rPr>
        <w:t xml:space="preserve"> </w:t>
      </w:r>
      <w:r>
        <w:t>specialists</w:t>
      </w:r>
      <w:r>
        <w:rPr>
          <w:spacing w:val="2"/>
        </w:rPr>
        <w:t xml:space="preserve"> </w:t>
      </w:r>
      <w:r>
        <w:t>is</w:t>
      </w:r>
      <w:r>
        <w:rPr>
          <w:spacing w:val="1"/>
        </w:rPr>
        <w:t xml:space="preserve"> </w:t>
      </w:r>
      <w:r>
        <w:t>to</w:t>
      </w:r>
      <w:r>
        <w:rPr>
          <w:spacing w:val="2"/>
        </w:rPr>
        <w:t xml:space="preserve"> </w:t>
      </w:r>
      <w:r>
        <w:t>leave</w:t>
      </w:r>
      <w:r>
        <w:rPr>
          <w:spacing w:val="2"/>
        </w:rPr>
        <w:t xml:space="preserve"> </w:t>
      </w:r>
      <w:r>
        <w:t>the</w:t>
      </w:r>
      <w:r>
        <w:rPr>
          <w:spacing w:val="2"/>
        </w:rPr>
        <w:t xml:space="preserve"> </w:t>
      </w:r>
      <w:r>
        <w:t>organisation,</w:t>
      </w:r>
      <w:r>
        <w:rPr>
          <w:spacing w:val="2"/>
        </w:rPr>
        <w:t xml:space="preserve"> </w:t>
      </w:r>
      <w:r>
        <w:t>resulting</w:t>
      </w:r>
      <w:r>
        <w:rPr>
          <w:spacing w:val="2"/>
        </w:rPr>
        <w:t xml:space="preserve"> </w:t>
      </w:r>
      <w:r>
        <w:t>in</w:t>
      </w:r>
      <w:r>
        <w:rPr>
          <w:spacing w:val="2"/>
        </w:rPr>
        <w:t xml:space="preserve"> </w:t>
      </w:r>
      <w:r>
        <w:rPr>
          <w:spacing w:val="-10"/>
        </w:rPr>
        <w:t xml:space="preserve">a </w:t>
      </w:r>
      <w:r>
        <w:rPr>
          <w:color w:val="231F20"/>
        </w:rPr>
        <w:t>significant</w:t>
      </w:r>
      <w:r>
        <w:rPr>
          <w:color w:val="231F20"/>
          <w:spacing w:val="5"/>
        </w:rPr>
        <w:t xml:space="preserve"> </w:t>
      </w:r>
      <w:r>
        <w:rPr>
          <w:color w:val="231F20"/>
        </w:rPr>
        <w:t>loss</w:t>
      </w:r>
      <w:r>
        <w:rPr>
          <w:color w:val="231F20"/>
          <w:spacing w:val="5"/>
        </w:rPr>
        <w:t xml:space="preserve"> </w:t>
      </w:r>
      <w:r>
        <w:rPr>
          <w:color w:val="231F20"/>
        </w:rPr>
        <w:t>of</w:t>
      </w:r>
      <w:r>
        <w:rPr>
          <w:color w:val="231F20"/>
          <w:spacing w:val="5"/>
        </w:rPr>
        <w:t xml:space="preserve"> </w:t>
      </w:r>
      <w:r>
        <w:rPr>
          <w:color w:val="231F20"/>
        </w:rPr>
        <w:t>expertise</w:t>
      </w:r>
      <w:r>
        <w:rPr>
          <w:color w:val="231F20"/>
          <w:spacing w:val="5"/>
        </w:rPr>
        <w:t xml:space="preserve"> </w:t>
      </w:r>
      <w:r>
        <w:rPr>
          <w:color w:val="231F20"/>
        </w:rPr>
        <w:t>and</w:t>
      </w:r>
      <w:r>
        <w:rPr>
          <w:color w:val="231F20"/>
          <w:spacing w:val="5"/>
        </w:rPr>
        <w:t xml:space="preserve"> </w:t>
      </w:r>
      <w:r>
        <w:rPr>
          <w:color w:val="231F20"/>
        </w:rPr>
        <w:t>institutional</w:t>
      </w:r>
      <w:r>
        <w:rPr>
          <w:color w:val="231F20"/>
          <w:spacing w:val="5"/>
        </w:rPr>
        <w:t xml:space="preserve"> </w:t>
      </w:r>
      <w:r>
        <w:rPr>
          <w:color w:val="231F20"/>
          <w:spacing w:val="-2"/>
        </w:rPr>
        <w:t>knowledge.</w:t>
      </w:r>
    </w:p>
    <w:p w14:paraId="578AC026" w14:textId="77777777" w:rsidR="005A74A9" w:rsidRDefault="005A74A9" w:rsidP="005A74A9">
      <w:pPr>
        <w:pStyle w:val="italicquote"/>
      </w:pPr>
      <w:r>
        <w:t>‘The career structure at the RBA means that there are no real progression opportunities for staff with</w:t>
      </w:r>
      <w:r>
        <w:rPr>
          <w:spacing w:val="-3"/>
        </w:rPr>
        <w:t xml:space="preserve"> </w:t>
      </w:r>
      <w:r>
        <w:t>strong</w:t>
      </w:r>
      <w:r>
        <w:rPr>
          <w:spacing w:val="-3"/>
        </w:rPr>
        <w:t xml:space="preserve"> </w:t>
      </w:r>
      <w:r>
        <w:t>technical</w:t>
      </w:r>
      <w:r>
        <w:rPr>
          <w:spacing w:val="-3"/>
        </w:rPr>
        <w:t xml:space="preserve"> </w:t>
      </w:r>
      <w:r>
        <w:t>skills</w:t>
      </w:r>
      <w:r>
        <w:rPr>
          <w:spacing w:val="-3"/>
        </w:rPr>
        <w:t xml:space="preserve"> </w:t>
      </w:r>
      <w:r>
        <w:t>but</w:t>
      </w:r>
      <w:r>
        <w:rPr>
          <w:spacing w:val="-3"/>
        </w:rPr>
        <w:t xml:space="preserve"> </w:t>
      </w:r>
      <w:r>
        <w:t>no</w:t>
      </w:r>
      <w:r>
        <w:rPr>
          <w:spacing w:val="-3"/>
        </w:rPr>
        <w:t xml:space="preserve"> </w:t>
      </w:r>
      <w:r>
        <w:t>desire</w:t>
      </w:r>
      <w:r>
        <w:rPr>
          <w:spacing w:val="-3"/>
        </w:rPr>
        <w:t xml:space="preserve"> </w:t>
      </w:r>
      <w:r>
        <w:t>or</w:t>
      </w:r>
      <w:r>
        <w:rPr>
          <w:spacing w:val="-3"/>
        </w:rPr>
        <w:t xml:space="preserve"> </w:t>
      </w:r>
      <w:r>
        <w:t>capability</w:t>
      </w:r>
      <w:r>
        <w:rPr>
          <w:spacing w:val="-3"/>
        </w:rPr>
        <w:t xml:space="preserve"> </w:t>
      </w:r>
      <w:r>
        <w:t>to</w:t>
      </w:r>
      <w:r>
        <w:rPr>
          <w:spacing w:val="-3"/>
        </w:rPr>
        <w:t xml:space="preserve"> </w:t>
      </w:r>
      <w:r>
        <w:t>be</w:t>
      </w:r>
      <w:r>
        <w:rPr>
          <w:spacing w:val="-3"/>
        </w:rPr>
        <w:t xml:space="preserve"> </w:t>
      </w:r>
      <w:r>
        <w:t>a</w:t>
      </w:r>
      <w:r>
        <w:rPr>
          <w:spacing w:val="-3"/>
        </w:rPr>
        <w:t xml:space="preserve"> </w:t>
      </w:r>
      <w:r>
        <w:t>people</w:t>
      </w:r>
      <w:r>
        <w:rPr>
          <w:spacing w:val="-3"/>
        </w:rPr>
        <w:t xml:space="preserve"> </w:t>
      </w:r>
      <w:r>
        <w:t>manager.</w:t>
      </w:r>
      <w:r>
        <w:rPr>
          <w:spacing w:val="-3"/>
        </w:rPr>
        <w:t xml:space="preserve"> </w:t>
      </w:r>
      <w:r>
        <w:t>The</w:t>
      </w:r>
      <w:r>
        <w:rPr>
          <w:spacing w:val="-3"/>
        </w:rPr>
        <w:t xml:space="preserve"> </w:t>
      </w:r>
      <w:r>
        <w:t>RBA</w:t>
      </w:r>
      <w:r>
        <w:rPr>
          <w:spacing w:val="-3"/>
        </w:rPr>
        <w:t xml:space="preserve"> </w:t>
      </w:r>
      <w:r>
        <w:t>therefore often faces a choice between losing staff with strong technical skills or promoting them into management roles for which they are not well-suited.’</w:t>
      </w:r>
    </w:p>
    <w:p w14:paraId="00FA534A" w14:textId="77777777" w:rsidR="005A74A9" w:rsidRDefault="005A74A9" w:rsidP="005A74A9">
      <w:pPr>
        <w:pStyle w:val="italicquote"/>
      </w:pPr>
      <w:r>
        <w:t>RBA</w:t>
      </w:r>
      <w:r>
        <w:rPr>
          <w:spacing w:val="3"/>
        </w:rPr>
        <w:t xml:space="preserve"> </w:t>
      </w:r>
      <w:r>
        <w:t>staff</w:t>
      </w:r>
      <w:r>
        <w:rPr>
          <w:spacing w:val="2"/>
        </w:rPr>
        <w:t xml:space="preserve"> </w:t>
      </w:r>
      <w:r>
        <w:rPr>
          <w:spacing w:val="-2"/>
        </w:rPr>
        <w:t>member</w:t>
      </w:r>
    </w:p>
    <w:p w14:paraId="7D5BF345" w14:textId="77777777" w:rsidR="005A74A9" w:rsidRDefault="005A74A9" w:rsidP="005A74A9">
      <w:r>
        <w:t>The APS</w:t>
      </w:r>
      <w:r>
        <w:rPr>
          <w:spacing w:val="2"/>
        </w:rPr>
        <w:t xml:space="preserve"> </w:t>
      </w:r>
      <w:r>
        <w:t>Hierarchy</w:t>
      </w:r>
      <w:r>
        <w:rPr>
          <w:spacing w:val="2"/>
        </w:rPr>
        <w:t xml:space="preserve"> </w:t>
      </w:r>
      <w:r>
        <w:t>and</w:t>
      </w:r>
      <w:r>
        <w:rPr>
          <w:spacing w:val="3"/>
        </w:rPr>
        <w:t xml:space="preserve"> </w:t>
      </w:r>
      <w:r>
        <w:t>Classification</w:t>
      </w:r>
      <w:r>
        <w:rPr>
          <w:spacing w:val="2"/>
        </w:rPr>
        <w:t xml:space="preserve"> </w:t>
      </w:r>
      <w:r>
        <w:t>Review</w:t>
      </w:r>
      <w:r>
        <w:rPr>
          <w:spacing w:val="2"/>
        </w:rPr>
        <w:t xml:space="preserve"> </w:t>
      </w:r>
      <w:r>
        <w:t>also</w:t>
      </w:r>
      <w:r>
        <w:rPr>
          <w:spacing w:val="2"/>
        </w:rPr>
        <w:t xml:space="preserve"> </w:t>
      </w:r>
      <w:r>
        <w:t>received</w:t>
      </w:r>
      <w:r>
        <w:rPr>
          <w:spacing w:val="3"/>
        </w:rPr>
        <w:t xml:space="preserve"> </w:t>
      </w:r>
      <w:r>
        <w:t>similar</w:t>
      </w:r>
      <w:r>
        <w:rPr>
          <w:spacing w:val="2"/>
        </w:rPr>
        <w:t xml:space="preserve"> </w:t>
      </w:r>
      <w:r>
        <w:t>feedback,</w:t>
      </w:r>
      <w:r>
        <w:rPr>
          <w:spacing w:val="2"/>
        </w:rPr>
        <w:t xml:space="preserve"> </w:t>
      </w:r>
      <w:r>
        <w:t>for</w:t>
      </w:r>
      <w:r>
        <w:rPr>
          <w:spacing w:val="3"/>
        </w:rPr>
        <w:t xml:space="preserve"> </w:t>
      </w:r>
      <w:r>
        <w:rPr>
          <w:spacing w:val="-2"/>
        </w:rPr>
        <w:t>example:</w:t>
      </w:r>
    </w:p>
    <w:p w14:paraId="060A7F3B" w14:textId="77777777" w:rsidR="005A74A9" w:rsidRDefault="005A74A9" w:rsidP="005A74A9">
      <w:pPr>
        <w:pStyle w:val="italicquote"/>
      </w:pPr>
      <w:r>
        <w:t>‘Many technical specialists do not want to manage employees but want to have a career path</w:t>
      </w:r>
      <w:r>
        <w:rPr>
          <w:spacing w:val="-3"/>
        </w:rPr>
        <w:t xml:space="preserve"> </w:t>
      </w:r>
      <w:r>
        <w:t>where</w:t>
      </w:r>
      <w:r>
        <w:rPr>
          <w:spacing w:val="-3"/>
        </w:rPr>
        <w:t xml:space="preserve"> </w:t>
      </w:r>
      <w:r>
        <w:t>the</w:t>
      </w:r>
      <w:r>
        <w:rPr>
          <w:spacing w:val="-3"/>
        </w:rPr>
        <w:t xml:space="preserve"> </w:t>
      </w:r>
      <w:r>
        <w:t>increased</w:t>
      </w:r>
      <w:r>
        <w:rPr>
          <w:spacing w:val="-3"/>
        </w:rPr>
        <w:t xml:space="preserve"> </w:t>
      </w:r>
      <w:r>
        <w:t>complexity</w:t>
      </w:r>
      <w:r>
        <w:rPr>
          <w:spacing w:val="-3"/>
        </w:rPr>
        <w:t xml:space="preserve"> </w:t>
      </w:r>
      <w:r>
        <w:t>of</w:t>
      </w:r>
      <w:r>
        <w:rPr>
          <w:spacing w:val="-3"/>
        </w:rPr>
        <w:t xml:space="preserve"> </w:t>
      </w:r>
      <w:r>
        <w:t>work</w:t>
      </w:r>
      <w:r>
        <w:rPr>
          <w:spacing w:val="-3"/>
        </w:rPr>
        <w:t xml:space="preserve"> </w:t>
      </w:r>
      <w:r>
        <w:t>can</w:t>
      </w:r>
      <w:r>
        <w:rPr>
          <w:spacing w:val="-3"/>
        </w:rPr>
        <w:t xml:space="preserve"> </w:t>
      </w:r>
      <w:r>
        <w:t>be</w:t>
      </w:r>
      <w:r>
        <w:rPr>
          <w:spacing w:val="-3"/>
        </w:rPr>
        <w:t xml:space="preserve"> </w:t>
      </w:r>
      <w:r>
        <w:t>recognised</w:t>
      </w:r>
      <w:r>
        <w:rPr>
          <w:spacing w:val="-3"/>
        </w:rPr>
        <w:t xml:space="preserve"> </w:t>
      </w:r>
      <w:r>
        <w:t>as</w:t>
      </w:r>
      <w:r>
        <w:rPr>
          <w:spacing w:val="-3"/>
        </w:rPr>
        <w:t xml:space="preserve"> </w:t>
      </w:r>
      <w:r>
        <w:t>they</w:t>
      </w:r>
      <w:r>
        <w:rPr>
          <w:spacing w:val="-3"/>
        </w:rPr>
        <w:t xml:space="preserve"> </w:t>
      </w:r>
      <w:r>
        <w:t>progress</w:t>
      </w:r>
      <w:r>
        <w:rPr>
          <w:spacing w:val="-3"/>
        </w:rPr>
        <w:t xml:space="preserve"> </w:t>
      </w:r>
      <w:r>
        <w:t>through</w:t>
      </w:r>
      <w:r>
        <w:rPr>
          <w:spacing w:val="-3"/>
        </w:rPr>
        <w:t xml:space="preserve"> </w:t>
      </w:r>
      <w:r>
        <w:t>the classification structure.’</w:t>
      </w:r>
    </w:p>
    <w:p w14:paraId="5BBFBF5E" w14:textId="257CBF28" w:rsidR="005A74A9" w:rsidRDefault="00B43BA5" w:rsidP="00B43BA5">
      <w:pPr>
        <w:pStyle w:val="italicquote"/>
      </w:pPr>
      <w:r w:rsidRPr="00B43BA5">
        <w:rPr>
          <w:i w:val="0"/>
          <w:iCs w:val="0"/>
        </w:rPr>
        <w:t>-</w:t>
      </w:r>
      <w:r>
        <w:t xml:space="preserve"> </w:t>
      </w:r>
      <w:r w:rsidR="005A74A9">
        <w:t>Public</w:t>
      </w:r>
      <w:r w:rsidR="005A74A9">
        <w:rPr>
          <w:spacing w:val="-3"/>
        </w:rPr>
        <w:t xml:space="preserve"> </w:t>
      </w:r>
      <w:r w:rsidR="005A74A9">
        <w:t>submission</w:t>
      </w:r>
      <w:r w:rsidR="005A74A9">
        <w:rPr>
          <w:spacing w:val="-3"/>
        </w:rPr>
        <w:t xml:space="preserve"> </w:t>
      </w:r>
      <w:r w:rsidR="005A74A9">
        <w:t>to</w:t>
      </w:r>
      <w:r w:rsidR="005A74A9">
        <w:rPr>
          <w:spacing w:val="-3"/>
        </w:rPr>
        <w:t xml:space="preserve"> </w:t>
      </w:r>
      <w:r w:rsidR="005A74A9">
        <w:t>the</w:t>
      </w:r>
      <w:r w:rsidR="005A74A9">
        <w:rPr>
          <w:spacing w:val="-3"/>
        </w:rPr>
        <w:t xml:space="preserve"> </w:t>
      </w:r>
      <w:r w:rsidR="005A74A9">
        <w:t>APS</w:t>
      </w:r>
      <w:r w:rsidR="005A74A9">
        <w:rPr>
          <w:spacing w:val="-3"/>
        </w:rPr>
        <w:t xml:space="preserve"> </w:t>
      </w:r>
      <w:r w:rsidR="005A74A9">
        <w:t>Hierarchy</w:t>
      </w:r>
      <w:r w:rsidR="005A74A9">
        <w:rPr>
          <w:spacing w:val="-3"/>
        </w:rPr>
        <w:t xml:space="preserve"> </w:t>
      </w:r>
      <w:r w:rsidR="005A74A9">
        <w:t>and</w:t>
      </w:r>
      <w:r w:rsidR="005A74A9">
        <w:rPr>
          <w:spacing w:val="-3"/>
        </w:rPr>
        <w:t xml:space="preserve"> </w:t>
      </w:r>
      <w:r w:rsidR="005A74A9">
        <w:t>Classification</w:t>
      </w:r>
      <w:r w:rsidR="005A74A9">
        <w:rPr>
          <w:spacing w:val="-3"/>
        </w:rPr>
        <w:t xml:space="preserve"> </w:t>
      </w:r>
      <w:r w:rsidR="005A74A9">
        <w:t>Review,</w:t>
      </w:r>
      <w:r w:rsidR="005A74A9">
        <w:rPr>
          <w:spacing w:val="-3"/>
        </w:rPr>
        <w:t xml:space="preserve"> </w:t>
      </w:r>
      <w:r w:rsidR="005A74A9">
        <w:rPr>
          <w:spacing w:val="-4"/>
        </w:rPr>
        <w:t>2022</w:t>
      </w:r>
    </w:p>
    <w:p w14:paraId="2B1CEFC4" w14:textId="70D7DCE2" w:rsidR="00C65A2C" w:rsidRDefault="00C65A2C" w:rsidP="00C65A2C">
      <w:r>
        <w:t>A significant proportion of those consulted thought increasing opportunities for technical specialists to progress would help the RBA attract and retain these skills. Ideally this would not be restricted to the Economic Research Department</w:t>
      </w:r>
      <w:r w:rsidR="0068598E">
        <w:rPr>
          <w:spacing w:val="-18"/>
        </w:rPr>
        <w:t>.</w:t>
      </w:r>
      <w:r>
        <w:rPr>
          <w:w w:val="85"/>
        </w:rPr>
        <w:t xml:space="preserve"> </w:t>
      </w:r>
      <w:r>
        <w:t>Rather, many people thought that increasing opportunities for technical specialists to progress across a variety of teams would instil a stronger organisation-wide research culture and give greater scope for research to be focused on bank- wide issues.</w:t>
      </w:r>
    </w:p>
    <w:p w14:paraId="1026EC47" w14:textId="0BA19C96" w:rsidR="00C65A2C" w:rsidRDefault="00C65A2C" w:rsidP="00C65A2C">
      <w:r>
        <w:t>Staff members reported that there could be greater opportunities to hire technical specialists at more senior levels, including international experts. It was noted that such staff members bring significant positive externalities to others, by sharing technical capability and the latest developments in academic literature</w:t>
      </w:r>
      <w:r w:rsidR="0068598E">
        <w:rPr>
          <w:spacing w:val="-9"/>
        </w:rPr>
        <w:t>.</w:t>
      </w:r>
    </w:p>
    <w:p w14:paraId="40430A81" w14:textId="7BA58728" w:rsidR="00C65A2C" w:rsidRDefault="00C65A2C" w:rsidP="00C65A2C">
      <w:r>
        <w:t>The Review heard from some staff members that the RBA could be encouraging more employees to take up PhDs in economics, including at internationally renowned institutions overseas</w:t>
      </w:r>
      <w:r w:rsidR="0068598E">
        <w:rPr>
          <w:spacing w:val="-21"/>
        </w:rPr>
        <w:t>.</w:t>
      </w:r>
      <w:r>
        <w:rPr>
          <w:w w:val="85"/>
        </w:rPr>
        <w:t xml:space="preserve"> </w:t>
      </w:r>
      <w:r>
        <w:t>There was a concern from some staff members that there had been a decline in the value placed upon such experience. This was resulting in a missed opportunity to boost links with academia, which could help foster a better research culture. The Review acknowledges this support is a significant investment and completion times for such degrees have increased over time (particularly overseas). Given the RBA’s ongoing need for research skills and the benefits these linkages can bring, it would be helpful to consider how best to support this type of study in the future</w:t>
      </w:r>
      <w:r w:rsidR="0068598E">
        <w:rPr>
          <w:spacing w:val="-20"/>
        </w:rPr>
        <w:t>.</w:t>
      </w:r>
    </w:p>
    <w:p w14:paraId="0888F992" w14:textId="02C1187B" w:rsidR="00105058" w:rsidRDefault="00105058">
      <w:pPr>
        <w:spacing w:before="0" w:after="160" w:line="259" w:lineRule="auto"/>
      </w:pPr>
      <w:r>
        <w:br w:type="page"/>
      </w:r>
    </w:p>
    <w:p w14:paraId="0BCAE44A" w14:textId="77777777" w:rsidR="00AB78D4" w:rsidRDefault="00AB78D4" w:rsidP="00AB78D4">
      <w:pPr>
        <w:pStyle w:val="Heading1"/>
      </w:pPr>
      <w:bookmarkStart w:id="57" w:name="_Toc134221027"/>
      <w:r>
        <w:lastRenderedPageBreak/>
        <w:t>Chapter</w:t>
      </w:r>
      <w:r>
        <w:rPr>
          <w:spacing w:val="-26"/>
        </w:rPr>
        <w:t xml:space="preserve"> </w:t>
      </w:r>
      <w:r>
        <w:t>5:</w:t>
      </w:r>
      <w:r>
        <w:rPr>
          <w:spacing w:val="-26"/>
        </w:rPr>
        <w:t xml:space="preserve"> </w:t>
      </w:r>
      <w:r>
        <w:t>More</w:t>
      </w:r>
      <w:r>
        <w:rPr>
          <w:spacing w:val="-26"/>
        </w:rPr>
        <w:t xml:space="preserve"> </w:t>
      </w:r>
      <w:r>
        <w:t>robust corporate</w:t>
      </w:r>
      <w:r>
        <w:rPr>
          <w:spacing w:val="-11"/>
        </w:rPr>
        <w:t xml:space="preserve"> </w:t>
      </w:r>
      <w:r>
        <w:t>governance</w:t>
      </w:r>
      <w:bookmarkEnd w:id="57"/>
    </w:p>
    <w:tbl>
      <w:tblPr>
        <w:tblStyle w:val="TableGrid"/>
        <w:tblW w:w="0" w:type="auto"/>
        <w:tblLook w:val="04A0" w:firstRow="1" w:lastRow="0" w:firstColumn="1" w:lastColumn="0" w:noHBand="0" w:noVBand="1"/>
      </w:tblPr>
      <w:tblGrid>
        <w:gridCol w:w="9060"/>
      </w:tblGrid>
      <w:tr w:rsidR="00216ABC" w14:paraId="747D8034" w14:textId="77777777" w:rsidTr="00D502B5">
        <w:trPr>
          <w:cnfStyle w:val="100000000000" w:firstRow="1" w:lastRow="0" w:firstColumn="0" w:lastColumn="0" w:oddVBand="0" w:evenVBand="0" w:oddHBand="0" w:evenHBand="0" w:firstRowFirstColumn="0" w:firstRowLastColumn="0" w:lastRowFirstColumn="0" w:lastRowLastColumn="0"/>
        </w:trPr>
        <w:tc>
          <w:tcPr>
            <w:tcW w:w="9060" w:type="dxa"/>
            <w:tcBorders>
              <w:top w:val="single" w:sz="4" w:space="0" w:color="auto"/>
              <w:left w:val="single" w:sz="4" w:space="0" w:color="auto"/>
              <w:bottom w:val="single" w:sz="4" w:space="0" w:color="auto"/>
              <w:right w:val="single" w:sz="4" w:space="0" w:color="auto"/>
            </w:tcBorders>
          </w:tcPr>
          <w:p w14:paraId="6C50D80E" w14:textId="65F2603A" w:rsidR="00216ABC" w:rsidRPr="00216ABC" w:rsidRDefault="00216ABC" w:rsidP="00216ABC">
            <w:pPr>
              <w:pStyle w:val="TableParagraph"/>
              <w:spacing w:before="181" w:after="240" w:line="225" w:lineRule="auto"/>
              <w:ind w:left="226" w:right="199"/>
              <w:rPr>
                <w:sz w:val="18"/>
              </w:rPr>
            </w:pPr>
            <w:r>
              <w:rPr>
                <w:b w:val="0"/>
                <w:color w:val="231F20"/>
                <w:sz w:val="18"/>
              </w:rPr>
              <w:t>This chapter outlines the RBA’s arrangements for corporate governance and assesses their appropriateness</w:t>
            </w:r>
            <w:r>
              <w:rPr>
                <w:b w:val="0"/>
                <w:color w:val="231F20"/>
                <w:spacing w:val="-4"/>
                <w:sz w:val="18"/>
              </w:rPr>
              <w:t xml:space="preserve"> </w:t>
            </w:r>
            <w:r>
              <w:rPr>
                <w:b w:val="0"/>
                <w:color w:val="231F20"/>
                <w:sz w:val="18"/>
              </w:rPr>
              <w:t>for</w:t>
            </w:r>
            <w:r>
              <w:rPr>
                <w:b w:val="0"/>
                <w:color w:val="231F20"/>
                <w:spacing w:val="-3"/>
                <w:sz w:val="18"/>
              </w:rPr>
              <w:t xml:space="preserve"> </w:t>
            </w:r>
            <w:r>
              <w:rPr>
                <w:b w:val="0"/>
                <w:color w:val="231F20"/>
                <w:sz w:val="18"/>
              </w:rPr>
              <w:t>the</w:t>
            </w:r>
            <w:r>
              <w:rPr>
                <w:b w:val="0"/>
                <w:color w:val="231F20"/>
                <w:spacing w:val="-3"/>
                <w:sz w:val="18"/>
              </w:rPr>
              <w:t xml:space="preserve"> </w:t>
            </w:r>
            <w:r>
              <w:rPr>
                <w:b w:val="0"/>
                <w:color w:val="231F20"/>
                <w:sz w:val="18"/>
              </w:rPr>
              <w:t>future</w:t>
            </w:r>
            <w:r w:rsidR="0068598E">
              <w:rPr>
                <w:b w:val="0"/>
                <w:color w:val="231F20"/>
                <w:spacing w:val="-25"/>
                <w:sz w:val="18"/>
              </w:rPr>
              <w:t>.</w:t>
            </w:r>
            <w:r>
              <w:rPr>
                <w:b w:val="0"/>
                <w:color w:val="231F20"/>
                <w:w w:val="85"/>
                <w:sz w:val="18"/>
              </w:rPr>
              <w:t xml:space="preserve"> </w:t>
            </w:r>
            <w:r>
              <w:rPr>
                <w:b w:val="0"/>
                <w:color w:val="231F20"/>
                <w:sz w:val="18"/>
              </w:rPr>
              <w:t>It</w:t>
            </w:r>
            <w:r>
              <w:rPr>
                <w:b w:val="0"/>
                <w:color w:val="231F20"/>
                <w:spacing w:val="-3"/>
                <w:sz w:val="18"/>
              </w:rPr>
              <w:t xml:space="preserve"> </w:t>
            </w:r>
            <w:r>
              <w:rPr>
                <w:b w:val="0"/>
                <w:color w:val="231F20"/>
                <w:sz w:val="18"/>
              </w:rPr>
              <w:t>contains</w:t>
            </w:r>
            <w:r>
              <w:rPr>
                <w:b w:val="0"/>
                <w:color w:val="231F20"/>
                <w:spacing w:val="-3"/>
                <w:sz w:val="18"/>
              </w:rPr>
              <w:t xml:space="preserve"> </w:t>
            </w:r>
            <w:r>
              <w:rPr>
                <w:b w:val="0"/>
                <w:color w:val="231F20"/>
                <w:sz w:val="18"/>
              </w:rPr>
              <w:t>a</w:t>
            </w:r>
            <w:r>
              <w:rPr>
                <w:b w:val="0"/>
                <w:color w:val="231F20"/>
                <w:spacing w:val="-3"/>
                <w:sz w:val="18"/>
              </w:rPr>
              <w:t xml:space="preserve"> </w:t>
            </w:r>
            <w:r>
              <w:rPr>
                <w:b w:val="0"/>
                <w:color w:val="231F20"/>
                <w:sz w:val="18"/>
              </w:rPr>
              <w:t>recommendation</w:t>
            </w:r>
            <w:r>
              <w:rPr>
                <w:b w:val="0"/>
                <w:color w:val="231F20"/>
                <w:spacing w:val="-3"/>
                <w:sz w:val="18"/>
              </w:rPr>
              <w:t xml:space="preserve"> </w:t>
            </w:r>
            <w:r>
              <w:rPr>
                <w:b w:val="0"/>
                <w:color w:val="231F20"/>
                <w:sz w:val="18"/>
              </w:rPr>
              <w:t>to</w:t>
            </w:r>
            <w:r>
              <w:rPr>
                <w:b w:val="0"/>
                <w:color w:val="231F20"/>
                <w:spacing w:val="-3"/>
                <w:sz w:val="18"/>
              </w:rPr>
              <w:t xml:space="preserve"> </w:t>
            </w:r>
            <w:r>
              <w:rPr>
                <w:b w:val="0"/>
                <w:color w:val="231F20"/>
                <w:sz w:val="18"/>
              </w:rPr>
              <w:t>create</w:t>
            </w:r>
            <w:r>
              <w:rPr>
                <w:b w:val="0"/>
                <w:color w:val="231F20"/>
                <w:spacing w:val="-3"/>
                <w:sz w:val="18"/>
              </w:rPr>
              <w:t xml:space="preserve"> </w:t>
            </w:r>
            <w:r>
              <w:rPr>
                <w:b w:val="0"/>
                <w:color w:val="231F20"/>
                <w:sz w:val="18"/>
              </w:rPr>
              <w:t>a</w:t>
            </w:r>
            <w:r>
              <w:rPr>
                <w:b w:val="0"/>
                <w:color w:val="231F20"/>
                <w:spacing w:val="-3"/>
                <w:sz w:val="18"/>
              </w:rPr>
              <w:t xml:space="preserve"> </w:t>
            </w:r>
            <w:r>
              <w:rPr>
                <w:b w:val="0"/>
                <w:color w:val="231F20"/>
                <w:sz w:val="18"/>
              </w:rPr>
              <w:t>Governance</w:t>
            </w:r>
            <w:r>
              <w:rPr>
                <w:b w:val="0"/>
                <w:color w:val="231F20"/>
                <w:spacing w:val="-3"/>
                <w:sz w:val="18"/>
              </w:rPr>
              <w:t xml:space="preserve"> </w:t>
            </w:r>
            <w:r>
              <w:rPr>
                <w:b w:val="0"/>
                <w:color w:val="231F20"/>
                <w:sz w:val="18"/>
              </w:rPr>
              <w:t>Board</w:t>
            </w:r>
            <w:r w:rsidR="0068598E">
              <w:rPr>
                <w:b w:val="0"/>
                <w:color w:val="231F20"/>
                <w:spacing w:val="-25"/>
                <w:sz w:val="18"/>
              </w:rPr>
              <w:t>.</w:t>
            </w:r>
            <w:r>
              <w:rPr>
                <w:b w:val="0"/>
                <w:color w:val="231F20"/>
                <w:sz w:val="18"/>
              </w:rPr>
              <w:t xml:space="preserve"> This recommendation will increase oversight and accountability on corporate governance matters at the RBA.</w:t>
            </w:r>
          </w:p>
        </w:tc>
      </w:tr>
    </w:tbl>
    <w:p w14:paraId="03BE5792" w14:textId="77777777" w:rsidR="00D502B5" w:rsidRDefault="00D502B5" w:rsidP="00D502B5">
      <w:pPr>
        <w:pStyle w:val="italicquote"/>
      </w:pPr>
      <w:r>
        <w:t>‘To</w:t>
      </w:r>
      <w:r>
        <w:rPr>
          <w:spacing w:val="-2"/>
        </w:rPr>
        <w:t xml:space="preserve"> </w:t>
      </w:r>
      <w:r>
        <w:t>ensure</w:t>
      </w:r>
      <w:r>
        <w:rPr>
          <w:spacing w:val="-2"/>
        </w:rPr>
        <w:t xml:space="preserve"> </w:t>
      </w:r>
      <w:r>
        <w:t>sound</w:t>
      </w:r>
      <w:r>
        <w:rPr>
          <w:spacing w:val="-2"/>
        </w:rPr>
        <w:t xml:space="preserve"> </w:t>
      </w:r>
      <w:r>
        <w:t>and</w:t>
      </w:r>
      <w:r>
        <w:rPr>
          <w:spacing w:val="-2"/>
        </w:rPr>
        <w:t xml:space="preserve"> </w:t>
      </w:r>
      <w:r>
        <w:t>effective</w:t>
      </w:r>
      <w:r>
        <w:rPr>
          <w:spacing w:val="-2"/>
        </w:rPr>
        <w:t xml:space="preserve"> </w:t>
      </w:r>
      <w:r>
        <w:t>decision-making,</w:t>
      </w:r>
      <w:r>
        <w:rPr>
          <w:spacing w:val="-2"/>
        </w:rPr>
        <w:t xml:space="preserve"> </w:t>
      </w:r>
      <w:r>
        <w:t>central</w:t>
      </w:r>
      <w:r>
        <w:rPr>
          <w:spacing w:val="-2"/>
        </w:rPr>
        <w:t xml:space="preserve"> </w:t>
      </w:r>
      <w:r>
        <w:t>banks</w:t>
      </w:r>
      <w:r>
        <w:rPr>
          <w:spacing w:val="-2"/>
        </w:rPr>
        <w:t xml:space="preserve"> </w:t>
      </w:r>
      <w:r>
        <w:t>need</w:t>
      </w:r>
      <w:r>
        <w:rPr>
          <w:spacing w:val="-2"/>
        </w:rPr>
        <w:t xml:space="preserve"> </w:t>
      </w:r>
      <w:r>
        <w:t>to</w:t>
      </w:r>
      <w:r>
        <w:rPr>
          <w:spacing w:val="-2"/>
        </w:rPr>
        <w:t xml:space="preserve"> </w:t>
      </w:r>
      <w:r>
        <w:t>have</w:t>
      </w:r>
      <w:r>
        <w:rPr>
          <w:spacing w:val="-2"/>
        </w:rPr>
        <w:t xml:space="preserve"> </w:t>
      </w:r>
      <w:r>
        <w:t>robust governance arrangements.’</w:t>
      </w:r>
    </w:p>
    <w:p w14:paraId="3832245A" w14:textId="77777777" w:rsidR="00D502B5" w:rsidRDefault="00D502B5" w:rsidP="00D502B5">
      <w:pPr>
        <w:pStyle w:val="italicquote"/>
      </w:pPr>
      <w:r>
        <w:t>–</w:t>
      </w:r>
      <w:r>
        <w:rPr>
          <w:spacing w:val="-6"/>
        </w:rPr>
        <w:t xml:space="preserve"> </w:t>
      </w:r>
      <w:r>
        <w:t>Bossu</w:t>
      </w:r>
      <w:r>
        <w:rPr>
          <w:spacing w:val="-3"/>
        </w:rPr>
        <w:t xml:space="preserve"> </w:t>
      </w:r>
      <w:r>
        <w:t>W</w:t>
      </w:r>
      <w:r>
        <w:rPr>
          <w:spacing w:val="-3"/>
        </w:rPr>
        <w:t xml:space="preserve"> </w:t>
      </w:r>
      <w:r>
        <w:t>and</w:t>
      </w:r>
      <w:r>
        <w:rPr>
          <w:spacing w:val="-3"/>
        </w:rPr>
        <w:t xml:space="preserve"> </w:t>
      </w:r>
      <w:r>
        <w:t>Rossi</w:t>
      </w:r>
      <w:r>
        <w:rPr>
          <w:spacing w:val="-3"/>
        </w:rPr>
        <w:t xml:space="preserve"> </w:t>
      </w:r>
      <w:r>
        <w:t>A</w:t>
      </w:r>
      <w:r>
        <w:rPr>
          <w:spacing w:val="-3"/>
        </w:rPr>
        <w:t xml:space="preserve"> </w:t>
      </w:r>
      <w:r>
        <w:t>(2019),</w:t>
      </w:r>
      <w:r>
        <w:rPr>
          <w:spacing w:val="-3"/>
        </w:rPr>
        <w:t xml:space="preserve"> </w:t>
      </w:r>
      <w:r>
        <w:t>The</w:t>
      </w:r>
      <w:r>
        <w:rPr>
          <w:spacing w:val="-4"/>
        </w:rPr>
        <w:t xml:space="preserve"> </w:t>
      </w:r>
      <w:r>
        <w:t>Role</w:t>
      </w:r>
      <w:r>
        <w:rPr>
          <w:spacing w:val="-3"/>
        </w:rPr>
        <w:t xml:space="preserve"> </w:t>
      </w:r>
      <w:r>
        <w:t>of</w:t>
      </w:r>
      <w:r>
        <w:rPr>
          <w:spacing w:val="-3"/>
        </w:rPr>
        <w:t xml:space="preserve"> </w:t>
      </w:r>
      <w:r>
        <w:t>Board</w:t>
      </w:r>
      <w:r>
        <w:rPr>
          <w:spacing w:val="-3"/>
        </w:rPr>
        <w:t xml:space="preserve"> </w:t>
      </w:r>
      <w:r>
        <w:t>Oversight</w:t>
      </w:r>
      <w:r>
        <w:rPr>
          <w:spacing w:val="-3"/>
        </w:rPr>
        <w:t xml:space="preserve"> </w:t>
      </w:r>
      <w:r>
        <w:t>in</w:t>
      </w:r>
      <w:r>
        <w:rPr>
          <w:spacing w:val="-3"/>
        </w:rPr>
        <w:t xml:space="preserve"> </w:t>
      </w:r>
      <w:r>
        <w:t>Central</w:t>
      </w:r>
      <w:r>
        <w:rPr>
          <w:spacing w:val="-3"/>
        </w:rPr>
        <w:t xml:space="preserve"> </w:t>
      </w:r>
      <w:r>
        <w:t>Bank</w:t>
      </w:r>
      <w:r>
        <w:rPr>
          <w:spacing w:val="-3"/>
        </w:rPr>
        <w:t xml:space="preserve"> </w:t>
      </w:r>
      <w:r>
        <w:rPr>
          <w:spacing w:val="-2"/>
        </w:rPr>
        <w:t>Governance</w:t>
      </w:r>
    </w:p>
    <w:p w14:paraId="76A95FE4" w14:textId="77777777" w:rsidR="00D502B5" w:rsidRDefault="00D502B5" w:rsidP="00D502B5">
      <w:pPr>
        <w:pStyle w:val="BodyText"/>
        <w:spacing w:before="7"/>
        <w:rPr>
          <w:i/>
          <w:sz w:val="20"/>
        </w:rPr>
      </w:pPr>
    </w:p>
    <w:p w14:paraId="5AD0ADCE" w14:textId="5CBC24CF" w:rsidR="00D502B5" w:rsidRDefault="00D502B5" w:rsidP="00D502B5">
      <w:r>
        <w:t>The corporate governance arrangements of an organisation are crucial for ensuring good institutional performance and accountability</w:t>
      </w:r>
      <w:r w:rsidR="0068598E">
        <w:rPr>
          <w:spacing w:val="-20"/>
        </w:rPr>
        <w:t>.</w:t>
      </w:r>
      <w:r>
        <w:rPr>
          <w:w w:val="85"/>
        </w:rPr>
        <w:t xml:space="preserve"> </w:t>
      </w:r>
      <w:r>
        <w:t>These arrangements cover ‘the framework of rules, relationships, systems and processes within and by which authority is exercised and controlled in corporations’ (Owen 2003)</w:t>
      </w:r>
      <w:r w:rsidR="0068598E">
        <w:rPr>
          <w:spacing w:val="-18"/>
        </w:rPr>
        <w:t>.</w:t>
      </w:r>
      <w:r>
        <w:rPr>
          <w:w w:val="85"/>
        </w:rPr>
        <w:t xml:space="preserve"> </w:t>
      </w:r>
      <w:r>
        <w:t>Corporate governance arrangements also cover the mechanisms by which those in control are held to account</w:t>
      </w:r>
      <w:r w:rsidR="0068598E">
        <w:rPr>
          <w:spacing w:val="-15"/>
        </w:rPr>
        <w:t>.</w:t>
      </w:r>
    </w:p>
    <w:p w14:paraId="12A89AF8" w14:textId="1369AA02" w:rsidR="00D502B5" w:rsidRDefault="00D502B5" w:rsidP="00D502B5">
      <w:r>
        <w:t>Strong corporate governance is fundamental for the effective functioning of the RBA as it builds trust, transparency and accountability in the institution. It affects the quality of the RBA’s policy making because of its impact on decisions related to resourcing, succession planning, risk management and technology</w:t>
      </w:r>
      <w:r w:rsidR="0068598E">
        <w:rPr>
          <w:spacing w:val="-11"/>
        </w:rPr>
        <w:t>.</w:t>
      </w:r>
    </w:p>
    <w:p w14:paraId="694DDB7B" w14:textId="3E31DDD8" w:rsidR="00D502B5" w:rsidRDefault="00D502B5" w:rsidP="00D502B5">
      <w:r>
        <w:t>Over recent decades, consensus on what constitutes best-practice corporate governance has evolved significantly, including for government corporate entities (see Tricker 2015). Institutions have moved away from reliance on a single individual towards group-based decision making that draws on professional corporate expertise</w:t>
      </w:r>
      <w:r w:rsidR="0068598E">
        <w:rPr>
          <w:spacing w:val="-24"/>
        </w:rPr>
        <w:t>.</w:t>
      </w:r>
      <w:r>
        <w:rPr>
          <w:w w:val="85"/>
        </w:rPr>
        <w:t xml:space="preserve"> </w:t>
      </w:r>
      <w:r>
        <w:t>Best practice corporate governance today emphasises the role of boards with non-executive directors setting the strategic objectives and overseeing management’s implementation of those objectives</w:t>
      </w:r>
      <w:r w:rsidR="0068598E">
        <w:rPr>
          <w:spacing w:val="-18"/>
        </w:rPr>
        <w:t>.</w:t>
      </w:r>
      <w:r>
        <w:rPr>
          <w:w w:val="85"/>
        </w:rPr>
        <w:t xml:space="preserve"> </w:t>
      </w:r>
      <w:r>
        <w:t>In the private sector, the board chair is generally not the same individual as the CEO (Blanchflower and Levin 2023).</w:t>
      </w:r>
    </w:p>
    <w:p w14:paraId="6AE9F125" w14:textId="413DBA20" w:rsidR="00D502B5" w:rsidRDefault="00D502B5" w:rsidP="00D502B5">
      <w:r>
        <w:t>Management structures and practices at the RBA have changed significantly in the past decade or so</w:t>
      </w:r>
      <w:r w:rsidR="0068598E">
        <w:rPr>
          <w:spacing w:val="-24"/>
        </w:rPr>
        <w:t>.</w:t>
      </w:r>
      <w:r>
        <w:rPr>
          <w:w w:val="85"/>
        </w:rPr>
        <w:t xml:space="preserve"> </w:t>
      </w:r>
      <w:r>
        <w:t>The RBA also increased external recruitment and the professionalisation of corporate and enabling functions</w:t>
      </w:r>
      <w:r w:rsidR="0068598E">
        <w:rPr>
          <w:spacing w:val="-17"/>
        </w:rPr>
        <w:t>.</w:t>
      </w:r>
    </w:p>
    <w:p w14:paraId="44D4D4EA" w14:textId="117DDB9D" w:rsidR="005A74A9" w:rsidRDefault="00D502B5" w:rsidP="00D502B5">
      <w:pPr>
        <w:rPr>
          <w:color w:val="231F20"/>
        </w:rPr>
      </w:pPr>
      <w:r>
        <w:t>At the same time, corporate governance oversight has been relatively unchanged since the establishment of the RBA and falls short of contemporary best practice</w:t>
      </w:r>
      <w:r w:rsidR="0068598E">
        <w:rPr>
          <w:spacing w:val="-18"/>
        </w:rPr>
        <w:t>.</w:t>
      </w:r>
      <w:r>
        <w:rPr>
          <w:w w:val="85"/>
        </w:rPr>
        <w:t xml:space="preserve"> </w:t>
      </w:r>
      <w:r>
        <w:t>Under the RBA Act the</w:t>
      </w:r>
      <w:r>
        <w:rPr>
          <w:spacing w:val="-1"/>
        </w:rPr>
        <w:t xml:space="preserve"> </w:t>
      </w:r>
      <w:r>
        <w:t>Governor</w:t>
      </w:r>
      <w:r>
        <w:rPr>
          <w:spacing w:val="-1"/>
        </w:rPr>
        <w:t xml:space="preserve"> </w:t>
      </w:r>
      <w:r>
        <w:t>is</w:t>
      </w:r>
      <w:r>
        <w:rPr>
          <w:spacing w:val="-1"/>
        </w:rPr>
        <w:t xml:space="preserve"> </w:t>
      </w:r>
      <w:r>
        <w:t>responsible</w:t>
      </w:r>
      <w:r>
        <w:rPr>
          <w:spacing w:val="-1"/>
        </w:rPr>
        <w:t xml:space="preserve"> </w:t>
      </w:r>
      <w:r>
        <w:t>for</w:t>
      </w:r>
      <w:r>
        <w:rPr>
          <w:spacing w:val="-1"/>
        </w:rPr>
        <w:t xml:space="preserve"> </w:t>
      </w:r>
      <w:r>
        <w:t>the</w:t>
      </w:r>
      <w:r>
        <w:rPr>
          <w:spacing w:val="-1"/>
        </w:rPr>
        <w:t xml:space="preserve"> </w:t>
      </w:r>
      <w:r>
        <w:t>management</w:t>
      </w:r>
      <w:r>
        <w:rPr>
          <w:spacing w:val="-1"/>
        </w:rPr>
        <w:t xml:space="preserve"> </w:t>
      </w:r>
      <w:r>
        <w:t>of</w:t>
      </w:r>
      <w:r>
        <w:rPr>
          <w:spacing w:val="-1"/>
        </w:rPr>
        <w:t xml:space="preserve"> </w:t>
      </w:r>
      <w:r>
        <w:t>the</w:t>
      </w:r>
      <w:r>
        <w:rPr>
          <w:spacing w:val="-1"/>
        </w:rPr>
        <w:t xml:space="preserve"> </w:t>
      </w:r>
      <w:r>
        <w:t>RBA</w:t>
      </w:r>
      <w:r>
        <w:rPr>
          <w:spacing w:val="-1"/>
        </w:rPr>
        <w:t xml:space="preserve"> </w:t>
      </w:r>
      <w:r>
        <w:t>and</w:t>
      </w:r>
      <w:r>
        <w:rPr>
          <w:spacing w:val="-1"/>
        </w:rPr>
        <w:t xml:space="preserve"> </w:t>
      </w:r>
      <w:r>
        <w:t>is</w:t>
      </w:r>
      <w:r>
        <w:rPr>
          <w:spacing w:val="-1"/>
        </w:rPr>
        <w:t xml:space="preserve"> </w:t>
      </w:r>
      <w:r>
        <w:t>the</w:t>
      </w:r>
      <w:r>
        <w:rPr>
          <w:spacing w:val="-1"/>
        </w:rPr>
        <w:t xml:space="preserve"> </w:t>
      </w:r>
      <w:r>
        <w:t>key</w:t>
      </w:r>
      <w:r>
        <w:rPr>
          <w:spacing w:val="-1"/>
        </w:rPr>
        <w:t xml:space="preserve"> </w:t>
      </w:r>
      <w:r>
        <w:t>decision</w:t>
      </w:r>
      <w:r>
        <w:rPr>
          <w:spacing w:val="-1"/>
        </w:rPr>
        <w:t xml:space="preserve"> </w:t>
      </w:r>
      <w:r>
        <w:t>maker</w:t>
      </w:r>
      <w:r>
        <w:rPr>
          <w:spacing w:val="-1"/>
        </w:rPr>
        <w:t xml:space="preserve"> </w:t>
      </w:r>
      <w:r>
        <w:t>on corporate matters</w:t>
      </w:r>
      <w:r w:rsidR="0068598E">
        <w:rPr>
          <w:spacing w:val="-19"/>
        </w:rPr>
        <w:t>.</w:t>
      </w:r>
      <w:r>
        <w:rPr>
          <w:w w:val="85"/>
        </w:rPr>
        <w:t xml:space="preserve"> </w:t>
      </w:r>
      <w:r>
        <w:t>The Reserve Bank Board provides little oversight of management</w:t>
      </w:r>
      <w:r w:rsidR="0068598E">
        <w:rPr>
          <w:spacing w:val="-19"/>
        </w:rPr>
        <w:t>.</w:t>
      </w:r>
      <w:r>
        <w:rPr>
          <w:w w:val="85"/>
        </w:rPr>
        <w:t xml:space="preserve"> </w:t>
      </w:r>
      <w:r>
        <w:t>These arrangements concentrate responsibility (perhaps unfairly) on one individual and create risk</w:t>
      </w:r>
      <w:r w:rsidR="0068598E">
        <w:rPr>
          <w:spacing w:val="-21"/>
        </w:rPr>
        <w:t>.</w:t>
      </w:r>
      <w:r w:rsidR="00F44C71">
        <w:rPr>
          <w:w w:val="85"/>
        </w:rPr>
        <w:t xml:space="preserve"> </w:t>
      </w:r>
      <w:r>
        <w:rPr>
          <w:color w:val="231F20"/>
        </w:rPr>
        <w:t>They do not allow sufficient scope for outside expertise to support the executive and help guide the management of the institution, and they may unintentionally create conditions where debate and challenge are less likely to flourish.</w:t>
      </w:r>
    </w:p>
    <w:p w14:paraId="1A995EE0" w14:textId="0ECECED9" w:rsidR="00161F85" w:rsidRDefault="00161F85" w:rsidP="00161F85">
      <w:r>
        <w:t>More robust corporate governance would better position the RBA to adapt to future challenges</w:t>
      </w:r>
      <w:r w:rsidR="0068598E">
        <w:rPr>
          <w:spacing w:val="-19"/>
        </w:rPr>
        <w:t>.</w:t>
      </w:r>
      <w:r>
        <w:t xml:space="preserve"> The Review has identified a significant agenda for further strengthening the culture and processes of the RBA</w:t>
      </w:r>
      <w:r w:rsidR="0068598E">
        <w:rPr>
          <w:spacing w:val="-24"/>
        </w:rPr>
        <w:t>.</w:t>
      </w:r>
      <w:r>
        <w:rPr>
          <w:w w:val="85"/>
        </w:rPr>
        <w:t xml:space="preserve"> </w:t>
      </w:r>
      <w:r>
        <w:t>Stronger corporate governance is a critical lever to drive sustained cultural change and operational excellence</w:t>
      </w:r>
      <w:r w:rsidR="0068598E">
        <w:rPr>
          <w:spacing w:val="-17"/>
        </w:rPr>
        <w:t>.</w:t>
      </w:r>
    </w:p>
    <w:p w14:paraId="08D9872D" w14:textId="69761C13" w:rsidR="00161F85" w:rsidRDefault="00161F85" w:rsidP="00161F85">
      <w:r>
        <w:t>The</w:t>
      </w:r>
      <w:r>
        <w:rPr>
          <w:spacing w:val="-2"/>
        </w:rPr>
        <w:t xml:space="preserve"> </w:t>
      </w:r>
      <w:r>
        <w:t>recommendations in</w:t>
      </w:r>
      <w:r>
        <w:rPr>
          <w:spacing w:val="1"/>
        </w:rPr>
        <w:t xml:space="preserve"> </w:t>
      </w:r>
      <w:r>
        <w:t>this chapter focus</w:t>
      </w:r>
      <w:r>
        <w:rPr>
          <w:spacing w:val="1"/>
        </w:rPr>
        <w:t xml:space="preserve"> </w:t>
      </w:r>
      <w:r>
        <w:t>on strengthening the</w:t>
      </w:r>
      <w:r>
        <w:rPr>
          <w:spacing w:val="1"/>
        </w:rPr>
        <w:t xml:space="preserve"> </w:t>
      </w:r>
      <w:r>
        <w:t>RBA’s corporate governance</w:t>
      </w:r>
      <w:r>
        <w:rPr>
          <w:spacing w:val="1"/>
        </w:rPr>
        <w:t xml:space="preserve"> </w:t>
      </w:r>
      <w:r>
        <w:rPr>
          <w:spacing w:val="-5"/>
        </w:rPr>
        <w:t>to</w:t>
      </w:r>
      <w:r w:rsidR="005E7378">
        <w:rPr>
          <w:spacing w:val="-5"/>
        </w:rPr>
        <w:t xml:space="preserve"> </w:t>
      </w:r>
      <w:r w:rsidR="005E7378" w:rsidRPr="005E7378">
        <w:rPr>
          <w:spacing w:val="-5"/>
        </w:rPr>
        <w:t>ensure sufficient focus and oversight.</w:t>
      </w:r>
    </w:p>
    <w:p w14:paraId="1C238DFC" w14:textId="13D7CDFA" w:rsidR="00161F85" w:rsidRDefault="00161F85" w:rsidP="00161F85">
      <w:pPr>
        <w:pStyle w:val="BodyText"/>
        <w:spacing w:line="238" w:lineRule="exact"/>
        <w:ind w:left="160"/>
      </w:pP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ED2665" w14:paraId="614B1821" w14:textId="77777777" w:rsidTr="004C7D9B">
        <w:tc>
          <w:tcPr>
            <w:tcW w:w="5000" w:type="pct"/>
            <w:tcBorders>
              <w:top w:val="nil"/>
              <w:left w:val="nil"/>
              <w:bottom w:val="nil"/>
              <w:right w:val="nil"/>
            </w:tcBorders>
            <w:shd w:val="clear" w:color="auto" w:fill="F9EEDB" w:themeFill="accent6"/>
          </w:tcPr>
          <w:p w14:paraId="073CA910" w14:textId="77777777" w:rsidR="00ED2665" w:rsidRDefault="00ED2665" w:rsidP="00ED2665">
            <w:pPr>
              <w:pStyle w:val="BoxText"/>
              <w:rPr>
                <w:rFonts w:ascii="Open Sans"/>
                <w:b/>
                <w:color w:val="1F4060"/>
                <w:spacing w:val="-2"/>
                <w:sz w:val="18"/>
              </w:rPr>
            </w:pPr>
            <w:r>
              <w:rPr>
                <w:rFonts w:ascii="Open Sans"/>
                <w:b/>
                <w:color w:val="1F4060"/>
                <w:sz w:val="18"/>
              </w:rPr>
              <w:lastRenderedPageBreak/>
              <w:t>Box</w:t>
            </w:r>
            <w:r>
              <w:rPr>
                <w:rFonts w:ascii="Open Sans"/>
                <w:b/>
                <w:color w:val="1F4060"/>
                <w:spacing w:val="-3"/>
                <w:sz w:val="18"/>
              </w:rPr>
              <w:t xml:space="preserve"> </w:t>
            </w:r>
            <w:r>
              <w:rPr>
                <w:rFonts w:ascii="Open Sans"/>
                <w:b/>
                <w:color w:val="1F4060"/>
                <w:sz w:val="18"/>
              </w:rPr>
              <w:t>5.1:</w:t>
            </w:r>
            <w:r>
              <w:rPr>
                <w:rFonts w:ascii="Open Sans"/>
                <w:b/>
                <w:color w:val="1F4060"/>
                <w:spacing w:val="-2"/>
                <w:sz w:val="18"/>
              </w:rPr>
              <w:t xml:space="preserve"> </w:t>
            </w:r>
            <w:r>
              <w:rPr>
                <w:rFonts w:ascii="Open Sans"/>
                <w:b/>
                <w:color w:val="1F4060"/>
                <w:sz w:val="18"/>
              </w:rPr>
              <w:t>Best</w:t>
            </w:r>
            <w:r>
              <w:rPr>
                <w:rFonts w:ascii="Open Sans"/>
                <w:b/>
                <w:color w:val="1F4060"/>
                <w:spacing w:val="-3"/>
                <w:sz w:val="18"/>
              </w:rPr>
              <w:t xml:space="preserve"> </w:t>
            </w:r>
            <w:r>
              <w:rPr>
                <w:rFonts w:ascii="Open Sans"/>
                <w:b/>
                <w:color w:val="1F4060"/>
                <w:sz w:val="18"/>
              </w:rPr>
              <w:t>practice</w:t>
            </w:r>
            <w:r>
              <w:rPr>
                <w:rFonts w:ascii="Open Sans"/>
                <w:b/>
                <w:color w:val="1F4060"/>
                <w:spacing w:val="-2"/>
                <w:sz w:val="18"/>
              </w:rPr>
              <w:t xml:space="preserve"> </w:t>
            </w:r>
            <w:r>
              <w:rPr>
                <w:rFonts w:ascii="Open Sans"/>
                <w:b/>
                <w:color w:val="1F4060"/>
                <w:sz w:val="18"/>
              </w:rPr>
              <w:t>corporate</w:t>
            </w:r>
            <w:r>
              <w:rPr>
                <w:rFonts w:ascii="Open Sans"/>
                <w:b/>
                <w:color w:val="1F4060"/>
                <w:spacing w:val="-3"/>
                <w:sz w:val="18"/>
              </w:rPr>
              <w:t xml:space="preserve"> </w:t>
            </w:r>
            <w:r>
              <w:rPr>
                <w:rFonts w:ascii="Open Sans"/>
                <w:b/>
                <w:color w:val="1F4060"/>
                <w:sz w:val="18"/>
              </w:rPr>
              <w:t>governance</w:t>
            </w:r>
            <w:r>
              <w:rPr>
                <w:rFonts w:ascii="Open Sans"/>
                <w:b/>
                <w:color w:val="1F4060"/>
                <w:spacing w:val="-2"/>
                <w:sz w:val="18"/>
              </w:rPr>
              <w:t xml:space="preserve"> </w:t>
            </w:r>
            <w:r>
              <w:rPr>
                <w:rFonts w:ascii="Open Sans"/>
                <w:b/>
                <w:color w:val="1F4060"/>
                <w:sz w:val="18"/>
              </w:rPr>
              <w:t>of</w:t>
            </w:r>
            <w:r>
              <w:rPr>
                <w:rFonts w:ascii="Open Sans"/>
                <w:b/>
                <w:color w:val="1F4060"/>
                <w:spacing w:val="-3"/>
                <w:sz w:val="18"/>
              </w:rPr>
              <w:t xml:space="preserve"> </w:t>
            </w:r>
            <w:r>
              <w:rPr>
                <w:rFonts w:ascii="Open Sans"/>
                <w:b/>
                <w:color w:val="1F4060"/>
                <w:sz w:val="18"/>
              </w:rPr>
              <w:t>central</w:t>
            </w:r>
            <w:r>
              <w:rPr>
                <w:rFonts w:ascii="Open Sans"/>
                <w:b/>
                <w:color w:val="1F4060"/>
                <w:spacing w:val="-2"/>
                <w:sz w:val="18"/>
              </w:rPr>
              <w:t xml:space="preserve"> banks</w:t>
            </w:r>
          </w:p>
          <w:p w14:paraId="4E686B66" w14:textId="3280C078" w:rsidR="004C7D9B" w:rsidRDefault="004C7D9B" w:rsidP="004C7D9B">
            <w:pPr>
              <w:pStyle w:val="BoxText"/>
            </w:pPr>
            <w:r>
              <w:t>Strong</w:t>
            </w:r>
            <w:r>
              <w:rPr>
                <w:spacing w:val="-1"/>
              </w:rPr>
              <w:t xml:space="preserve"> </w:t>
            </w:r>
            <w:r>
              <w:t>corporate governance</w:t>
            </w:r>
            <w:r>
              <w:rPr>
                <w:spacing w:val="-1"/>
              </w:rPr>
              <w:t xml:space="preserve"> </w:t>
            </w:r>
            <w:r>
              <w:t>requires both robust</w:t>
            </w:r>
            <w:r>
              <w:rPr>
                <w:spacing w:val="-1"/>
              </w:rPr>
              <w:t xml:space="preserve"> </w:t>
            </w:r>
            <w:r>
              <w:t>internal governance</w:t>
            </w:r>
            <w:r>
              <w:rPr>
                <w:spacing w:val="-1"/>
              </w:rPr>
              <w:t xml:space="preserve"> </w:t>
            </w:r>
            <w:r>
              <w:t xml:space="preserve">processes and </w:t>
            </w:r>
            <w:r>
              <w:rPr>
                <w:spacing w:val="-2"/>
              </w:rPr>
              <w:t xml:space="preserve">board </w:t>
            </w:r>
            <w:r>
              <w:t>oversight</w:t>
            </w:r>
            <w:r>
              <w:rPr>
                <w:spacing w:val="2"/>
              </w:rPr>
              <w:t xml:space="preserve"> </w:t>
            </w:r>
            <w:r>
              <w:t>of</w:t>
            </w:r>
            <w:r>
              <w:rPr>
                <w:spacing w:val="3"/>
              </w:rPr>
              <w:t xml:space="preserve"> </w:t>
            </w:r>
            <w:r>
              <w:t>these</w:t>
            </w:r>
            <w:r>
              <w:rPr>
                <w:spacing w:val="3"/>
              </w:rPr>
              <w:t xml:space="preserve"> </w:t>
            </w:r>
            <w:r>
              <w:t>processes</w:t>
            </w:r>
            <w:r w:rsidR="0068598E">
              <w:rPr>
                <w:spacing w:val="-22"/>
              </w:rPr>
              <w:t>.</w:t>
            </w:r>
          </w:p>
          <w:p w14:paraId="16ECF4DC" w14:textId="2DE756E7" w:rsidR="004C7D9B" w:rsidRDefault="004C7D9B" w:rsidP="004C7D9B">
            <w:pPr>
              <w:pStyle w:val="BoxText"/>
            </w:pPr>
            <w:r>
              <w:t>Good corporate governance design for central banks differs from both corporations and other public institutions</w:t>
            </w:r>
            <w:r w:rsidR="0068598E">
              <w:rPr>
                <w:spacing w:val="-20"/>
              </w:rPr>
              <w:t>.</w:t>
            </w:r>
            <w:r>
              <w:rPr>
                <w:w w:val="85"/>
              </w:rPr>
              <w:t xml:space="preserve"> </w:t>
            </w:r>
            <w:r>
              <w:t>Central banks are predisposed to many of the problems inherent in public institutions: weak incentives to innovate and reduce costs, diluted monitoring incentives driven by multiple layers of delegation and political distortions (Frisell and others 2008)</w:t>
            </w:r>
            <w:r w:rsidR="0068598E">
              <w:rPr>
                <w:spacing w:val="-19"/>
              </w:rPr>
              <w:t>.</w:t>
            </w:r>
            <w:r>
              <w:rPr>
                <w:w w:val="85"/>
              </w:rPr>
              <w:t xml:space="preserve"> </w:t>
            </w:r>
            <w:r>
              <w:t>However, their independence means central banks face less parliamentary scrutiny over internal processes and budgets</w:t>
            </w:r>
            <w:r w:rsidR="0068598E">
              <w:rPr>
                <w:spacing w:val="-8"/>
              </w:rPr>
              <w:t>.</w:t>
            </w:r>
          </w:p>
          <w:p w14:paraId="1B7A565E" w14:textId="77777777" w:rsidR="004C7D9B" w:rsidRDefault="004C7D9B" w:rsidP="004C7D9B">
            <w:pPr>
              <w:pStyle w:val="BoxText"/>
            </w:pPr>
            <w:r>
              <w:t>Drawing on the Australian Securities Exchange Corporate Governance Principles and Recommendations, the Review identified 4 best practice components that helped guide the Review’s recommendations in this chapter:</w:t>
            </w:r>
          </w:p>
          <w:p w14:paraId="3F5021B3" w14:textId="04F67361" w:rsidR="004C7D9B" w:rsidRDefault="004C7D9B" w:rsidP="0000278A">
            <w:pPr>
              <w:pStyle w:val="Boxbullet"/>
            </w:pPr>
            <w:r>
              <w:t>The respective roles and responsibilities of boards and management should be clearly delineated</w:t>
            </w:r>
            <w:r w:rsidR="0068598E">
              <w:rPr>
                <w:spacing w:val="-25"/>
              </w:rPr>
              <w:t>.</w:t>
            </w:r>
          </w:p>
          <w:p w14:paraId="0029A9CC" w14:textId="233CE216" w:rsidR="004C7D9B" w:rsidRDefault="004C7D9B" w:rsidP="0000278A">
            <w:pPr>
              <w:pStyle w:val="Boxbullet"/>
            </w:pPr>
            <w:r>
              <w:t>The Governance Board should be an appropriate size and collectively have the skills, commitment and knowledge to enable it to discharge its duties and add value</w:t>
            </w:r>
            <w:r w:rsidR="0068598E">
              <w:rPr>
                <w:spacing w:val="-19"/>
              </w:rPr>
              <w:t>.</w:t>
            </w:r>
          </w:p>
          <w:p w14:paraId="00C7DD8F" w14:textId="77777777" w:rsidR="005E7378" w:rsidRPr="005E7378" w:rsidRDefault="004C7D9B" w:rsidP="004C7D9B">
            <w:pPr>
              <w:pStyle w:val="Boxbullet"/>
            </w:pPr>
            <w:r>
              <w:t>A majority of the Governance Board should be independent directors, the chair of the board</w:t>
            </w:r>
            <w:r>
              <w:rPr>
                <w:spacing w:val="-2"/>
              </w:rPr>
              <w:t xml:space="preserve"> </w:t>
            </w:r>
            <w:r>
              <w:t>should</w:t>
            </w:r>
            <w:r>
              <w:rPr>
                <w:spacing w:val="-2"/>
              </w:rPr>
              <w:t xml:space="preserve"> </w:t>
            </w:r>
            <w:r>
              <w:t>be</w:t>
            </w:r>
            <w:r>
              <w:rPr>
                <w:spacing w:val="-2"/>
              </w:rPr>
              <w:t xml:space="preserve"> </w:t>
            </w:r>
            <w:r>
              <w:t>independent</w:t>
            </w:r>
            <w:r>
              <w:rPr>
                <w:spacing w:val="-2"/>
              </w:rPr>
              <w:t xml:space="preserve"> </w:t>
            </w:r>
            <w:r>
              <w:t>and</w:t>
            </w:r>
            <w:r>
              <w:rPr>
                <w:spacing w:val="-2"/>
              </w:rPr>
              <w:t xml:space="preserve"> </w:t>
            </w:r>
            <w:r>
              <w:t>separate</w:t>
            </w:r>
            <w:r>
              <w:rPr>
                <w:spacing w:val="-2"/>
              </w:rPr>
              <w:t xml:space="preserve"> </w:t>
            </w:r>
            <w:r>
              <w:t>from</w:t>
            </w:r>
            <w:r>
              <w:rPr>
                <w:spacing w:val="-2"/>
              </w:rPr>
              <w:t xml:space="preserve"> </w:t>
            </w:r>
            <w:r>
              <w:t>the</w:t>
            </w:r>
            <w:r>
              <w:rPr>
                <w:spacing w:val="-2"/>
              </w:rPr>
              <w:t xml:space="preserve"> </w:t>
            </w:r>
            <w:r>
              <w:t>CEO</w:t>
            </w:r>
            <w:r>
              <w:rPr>
                <w:spacing w:val="-2"/>
              </w:rPr>
              <w:t xml:space="preserve"> </w:t>
            </w:r>
            <w:r>
              <w:t>–</w:t>
            </w:r>
            <w:r>
              <w:rPr>
                <w:spacing w:val="-2"/>
              </w:rPr>
              <w:t xml:space="preserve"> </w:t>
            </w:r>
            <w:r>
              <w:t>in</w:t>
            </w:r>
            <w:r>
              <w:rPr>
                <w:spacing w:val="-2"/>
              </w:rPr>
              <w:t xml:space="preserve"> </w:t>
            </w:r>
            <w:r>
              <w:t>this</w:t>
            </w:r>
            <w:r>
              <w:rPr>
                <w:spacing w:val="-2"/>
              </w:rPr>
              <w:t xml:space="preserve"> </w:t>
            </w:r>
            <w:r>
              <w:t>case</w:t>
            </w:r>
            <w:r>
              <w:rPr>
                <w:spacing w:val="-2"/>
              </w:rPr>
              <w:t xml:space="preserve"> </w:t>
            </w:r>
            <w:r>
              <w:t>the</w:t>
            </w:r>
            <w:r>
              <w:rPr>
                <w:spacing w:val="-2"/>
              </w:rPr>
              <w:t xml:space="preserve"> </w:t>
            </w:r>
            <w:r>
              <w:t>Governor</w:t>
            </w:r>
            <w:r w:rsidR="0068598E">
              <w:rPr>
                <w:spacing w:val="-25"/>
              </w:rPr>
              <w:t>.</w:t>
            </w:r>
          </w:p>
          <w:p w14:paraId="45E79BA6" w14:textId="69BC885A" w:rsidR="00ED2665" w:rsidRPr="005073DA" w:rsidRDefault="004C7D9B" w:rsidP="004C7D9B">
            <w:pPr>
              <w:pStyle w:val="Boxbullet"/>
            </w:pPr>
            <w:r>
              <w:t>The</w:t>
            </w:r>
            <w:r w:rsidRPr="005E7378">
              <w:rPr>
                <w:spacing w:val="-1"/>
              </w:rPr>
              <w:t xml:space="preserve"> </w:t>
            </w:r>
            <w:r>
              <w:t>Governance</w:t>
            </w:r>
            <w:r w:rsidRPr="005E7378">
              <w:rPr>
                <w:spacing w:val="-1"/>
              </w:rPr>
              <w:t xml:space="preserve"> </w:t>
            </w:r>
            <w:r>
              <w:t>Board</w:t>
            </w:r>
            <w:r w:rsidRPr="005E7378">
              <w:rPr>
                <w:spacing w:val="-1"/>
              </w:rPr>
              <w:t xml:space="preserve"> </w:t>
            </w:r>
            <w:r>
              <w:t>should</w:t>
            </w:r>
            <w:r w:rsidRPr="005E7378">
              <w:rPr>
                <w:spacing w:val="-1"/>
              </w:rPr>
              <w:t xml:space="preserve"> </w:t>
            </w:r>
            <w:r>
              <w:t>convene</w:t>
            </w:r>
            <w:r w:rsidRPr="005E7378">
              <w:rPr>
                <w:spacing w:val="-1"/>
              </w:rPr>
              <w:t xml:space="preserve"> </w:t>
            </w:r>
            <w:r>
              <w:t>an</w:t>
            </w:r>
            <w:r w:rsidRPr="005E7378">
              <w:rPr>
                <w:spacing w:val="-1"/>
              </w:rPr>
              <w:t xml:space="preserve"> </w:t>
            </w:r>
            <w:r>
              <w:t>audit</w:t>
            </w:r>
            <w:r w:rsidRPr="005E7378">
              <w:rPr>
                <w:spacing w:val="-1"/>
              </w:rPr>
              <w:t xml:space="preserve"> </w:t>
            </w:r>
            <w:r>
              <w:t>and</w:t>
            </w:r>
            <w:r w:rsidRPr="005E7378">
              <w:rPr>
                <w:spacing w:val="-1"/>
              </w:rPr>
              <w:t xml:space="preserve"> </w:t>
            </w:r>
            <w:r>
              <w:t>risk</w:t>
            </w:r>
            <w:r w:rsidRPr="005E7378">
              <w:rPr>
                <w:spacing w:val="-1"/>
              </w:rPr>
              <w:t xml:space="preserve"> </w:t>
            </w:r>
            <w:r>
              <w:t>committee,</w:t>
            </w:r>
            <w:r w:rsidRPr="005E7378">
              <w:rPr>
                <w:spacing w:val="-1"/>
              </w:rPr>
              <w:t xml:space="preserve"> </w:t>
            </w:r>
            <w:r>
              <w:t>chaired</w:t>
            </w:r>
            <w:r w:rsidRPr="005E7378">
              <w:rPr>
                <w:spacing w:val="-1"/>
              </w:rPr>
              <w:t xml:space="preserve"> </w:t>
            </w:r>
            <w:r>
              <w:t>by</w:t>
            </w:r>
            <w:r w:rsidRPr="005E7378">
              <w:rPr>
                <w:spacing w:val="-1"/>
              </w:rPr>
              <w:t xml:space="preserve"> </w:t>
            </w:r>
            <w:r>
              <w:t>an independent director</w:t>
            </w:r>
            <w:r w:rsidR="0068598E" w:rsidRPr="005E7378">
              <w:rPr>
                <w:spacing w:val="-17"/>
              </w:rPr>
              <w:t>.</w:t>
            </w:r>
          </w:p>
        </w:tc>
      </w:tr>
    </w:tbl>
    <w:p w14:paraId="7765DBC9" w14:textId="4C51ADDA" w:rsidR="004C7D9B" w:rsidRDefault="004C7D9B" w:rsidP="00D502B5"/>
    <w:p w14:paraId="74876FB7" w14:textId="77777777" w:rsidR="004C7D9B" w:rsidRDefault="004C7D9B">
      <w:pPr>
        <w:spacing w:before="0" w:after="160" w:line="259" w:lineRule="auto"/>
      </w:pPr>
      <w:r>
        <w:br w:type="page"/>
      </w:r>
    </w:p>
    <w:p w14:paraId="6640E278" w14:textId="1112696C" w:rsidR="001D5BFC" w:rsidRDefault="001D5BFC" w:rsidP="001D5BFC">
      <w:pPr>
        <w:pStyle w:val="Heading2"/>
      </w:pPr>
      <w:bookmarkStart w:id="58" w:name="_Toc134221028"/>
      <w:r>
        <w:lastRenderedPageBreak/>
        <w:t>Recommendation</w:t>
      </w:r>
      <w:r>
        <w:rPr>
          <w:spacing w:val="-12"/>
        </w:rPr>
        <w:t xml:space="preserve"> </w:t>
      </w:r>
      <w:r>
        <w:t>in</w:t>
      </w:r>
      <w:r>
        <w:rPr>
          <w:spacing w:val="-11"/>
        </w:rPr>
        <w:t xml:space="preserve"> </w:t>
      </w:r>
      <w:r>
        <w:t>this</w:t>
      </w:r>
      <w:r>
        <w:rPr>
          <w:spacing w:val="-11"/>
        </w:rPr>
        <w:t xml:space="preserve"> </w:t>
      </w:r>
      <w:r>
        <w:t>chapter</w:t>
      </w:r>
      <w:bookmarkEnd w:id="58"/>
    </w:p>
    <w:tbl>
      <w:tblPr>
        <w:tblW w:w="5000" w:type="pct"/>
        <w:tblCellMar>
          <w:left w:w="0" w:type="dxa"/>
          <w:right w:w="0" w:type="dxa"/>
        </w:tblCellMar>
        <w:tblLook w:val="01E0" w:firstRow="1" w:lastRow="1" w:firstColumn="1" w:lastColumn="1" w:noHBand="0" w:noVBand="0"/>
      </w:tblPr>
      <w:tblGrid>
        <w:gridCol w:w="845"/>
        <w:gridCol w:w="8225"/>
      </w:tblGrid>
      <w:tr w:rsidR="001D5BFC" w14:paraId="76F5455A" w14:textId="77777777" w:rsidTr="00F22AE5">
        <w:trPr>
          <w:trHeight w:val="820"/>
        </w:trPr>
        <w:tc>
          <w:tcPr>
            <w:tcW w:w="5000" w:type="pct"/>
            <w:gridSpan w:val="2"/>
            <w:tcBorders>
              <w:bottom w:val="single" w:sz="8" w:space="0" w:color="ECEDE9"/>
            </w:tcBorders>
          </w:tcPr>
          <w:p w14:paraId="2B690518" w14:textId="77777777" w:rsidR="001D5BFC" w:rsidRDefault="001D5BFC" w:rsidP="00F22AE5">
            <w:pPr>
              <w:pStyle w:val="Heading4"/>
              <w:keepLines/>
            </w:pPr>
            <w:r>
              <w:t>Recommendation</w:t>
            </w:r>
            <w:r>
              <w:rPr>
                <w:spacing w:val="-2"/>
              </w:rPr>
              <w:t xml:space="preserve"> </w:t>
            </w:r>
            <w:r>
              <w:t>12:</w:t>
            </w:r>
            <w:r>
              <w:rPr>
                <w:spacing w:val="1"/>
              </w:rPr>
              <w:t xml:space="preserve"> </w:t>
            </w:r>
            <w:r>
              <w:t>Update RBA</w:t>
            </w:r>
            <w:r>
              <w:rPr>
                <w:spacing w:val="1"/>
              </w:rPr>
              <w:t xml:space="preserve"> </w:t>
            </w:r>
            <w:r>
              <w:t>oversight and</w:t>
            </w:r>
            <w:r>
              <w:rPr>
                <w:spacing w:val="1"/>
              </w:rPr>
              <w:t xml:space="preserve"> </w:t>
            </w:r>
            <w:r>
              <w:t>accountability by</w:t>
            </w:r>
            <w:r>
              <w:rPr>
                <w:spacing w:val="1"/>
              </w:rPr>
              <w:t xml:space="preserve"> </w:t>
            </w:r>
            <w:r>
              <w:rPr>
                <w:spacing w:val="-2"/>
              </w:rPr>
              <w:t xml:space="preserve">establishing </w:t>
            </w:r>
            <w:r>
              <w:t>a</w:t>
            </w:r>
            <w:r>
              <w:rPr>
                <w:spacing w:val="-2"/>
              </w:rPr>
              <w:t xml:space="preserve"> </w:t>
            </w:r>
            <w:r>
              <w:t>Governance</w:t>
            </w:r>
            <w:r>
              <w:rPr>
                <w:spacing w:val="-1"/>
              </w:rPr>
              <w:t xml:space="preserve"> </w:t>
            </w:r>
            <w:r>
              <w:rPr>
                <w:spacing w:val="-4"/>
              </w:rPr>
              <w:t>Board</w:t>
            </w:r>
          </w:p>
        </w:tc>
      </w:tr>
      <w:tr w:rsidR="001D5BFC" w14:paraId="77C989FF" w14:textId="77777777" w:rsidTr="00F22AE5">
        <w:trPr>
          <w:trHeight w:val="1237"/>
        </w:trPr>
        <w:tc>
          <w:tcPr>
            <w:tcW w:w="466" w:type="pct"/>
            <w:tcBorders>
              <w:top w:val="single" w:sz="8" w:space="0" w:color="ECEDE9"/>
              <w:bottom w:val="single" w:sz="8" w:space="0" w:color="ECEDE9"/>
            </w:tcBorders>
          </w:tcPr>
          <w:p w14:paraId="3A729385" w14:textId="77777777" w:rsidR="001D5BFC" w:rsidRDefault="001D5BFC" w:rsidP="00F22AE5">
            <w:r>
              <w:t>12.1</w:t>
            </w:r>
          </w:p>
        </w:tc>
        <w:tc>
          <w:tcPr>
            <w:tcW w:w="4534" w:type="pct"/>
            <w:tcBorders>
              <w:top w:val="single" w:sz="8" w:space="0" w:color="ECEDE9"/>
              <w:bottom w:val="single" w:sz="8" w:space="0" w:color="ECEDE9"/>
            </w:tcBorders>
          </w:tcPr>
          <w:p w14:paraId="589218AD" w14:textId="77777777" w:rsidR="001D5BFC" w:rsidRDefault="001D5BFC" w:rsidP="00F22AE5">
            <w:r>
              <w:t>The Government should establish a Governance Board with responsibility for overseeing the management of the organisation, including organisational strategy, performance, finances, large projects, resourcing, remuneration, succession planning, risk (such as cyber risk), and delivery of banking and banknote services.</w:t>
            </w:r>
          </w:p>
        </w:tc>
      </w:tr>
      <w:tr w:rsidR="001D5BFC" w14:paraId="352C6387" w14:textId="77777777" w:rsidTr="00F22AE5">
        <w:trPr>
          <w:trHeight w:val="793"/>
        </w:trPr>
        <w:tc>
          <w:tcPr>
            <w:tcW w:w="466" w:type="pct"/>
            <w:tcBorders>
              <w:top w:val="single" w:sz="8" w:space="0" w:color="ECEDE9"/>
              <w:bottom w:val="single" w:sz="8" w:space="0" w:color="ECEDE9"/>
            </w:tcBorders>
          </w:tcPr>
          <w:p w14:paraId="09C00416" w14:textId="77777777" w:rsidR="001D5BFC" w:rsidRDefault="001D5BFC" w:rsidP="00F22AE5">
            <w:r>
              <w:t>12.2</w:t>
            </w:r>
          </w:p>
        </w:tc>
        <w:tc>
          <w:tcPr>
            <w:tcW w:w="4534" w:type="pct"/>
            <w:tcBorders>
              <w:top w:val="single" w:sz="8" w:space="0" w:color="ECEDE9"/>
              <w:bottom w:val="single" w:sz="8" w:space="0" w:color="ECEDE9"/>
            </w:tcBorders>
          </w:tcPr>
          <w:p w14:paraId="26696AA1" w14:textId="77777777" w:rsidR="001D5BFC" w:rsidRDefault="001D5BFC" w:rsidP="00F22AE5">
            <w:r>
              <w:t>The Governance Board should be the accountable authority in respect of the PGPA Act and expand the Audit Committee to be an Audit and Risk Committee.</w:t>
            </w:r>
          </w:p>
        </w:tc>
      </w:tr>
      <w:tr w:rsidR="001D5BFC" w14:paraId="46BD9621" w14:textId="77777777" w:rsidTr="00F22AE5">
        <w:trPr>
          <w:trHeight w:val="793"/>
        </w:trPr>
        <w:tc>
          <w:tcPr>
            <w:tcW w:w="466" w:type="pct"/>
            <w:tcBorders>
              <w:top w:val="single" w:sz="8" w:space="0" w:color="ECEDE9"/>
              <w:bottom w:val="single" w:sz="8" w:space="0" w:color="ECEDE9"/>
            </w:tcBorders>
          </w:tcPr>
          <w:p w14:paraId="02F2FF00" w14:textId="77777777" w:rsidR="001D5BFC" w:rsidRDefault="001D5BFC" w:rsidP="00F22AE5">
            <w:r>
              <w:t>12.3</w:t>
            </w:r>
          </w:p>
        </w:tc>
        <w:tc>
          <w:tcPr>
            <w:tcW w:w="4534" w:type="pct"/>
            <w:tcBorders>
              <w:top w:val="single" w:sz="8" w:space="0" w:color="ECEDE9"/>
              <w:bottom w:val="single" w:sz="8" w:space="0" w:color="ECEDE9"/>
            </w:tcBorders>
          </w:tcPr>
          <w:p w14:paraId="3F2D4505" w14:textId="77777777" w:rsidR="001D5BFC" w:rsidRDefault="001D5BFC" w:rsidP="00F22AE5">
            <w:r>
              <w:t>The Governance Board’s membership should comprise the Governor, Chief Operating</w:t>
            </w:r>
            <w:r>
              <w:rPr>
                <w:spacing w:val="-1"/>
              </w:rPr>
              <w:t xml:space="preserve"> </w:t>
            </w:r>
            <w:r>
              <w:t>Officer</w:t>
            </w:r>
            <w:r>
              <w:rPr>
                <w:spacing w:val="-1"/>
              </w:rPr>
              <w:t xml:space="preserve"> </w:t>
            </w:r>
            <w:r>
              <w:t>and</w:t>
            </w:r>
            <w:r>
              <w:rPr>
                <w:spacing w:val="-1"/>
              </w:rPr>
              <w:t xml:space="preserve"> </w:t>
            </w:r>
            <w:r>
              <w:t>5</w:t>
            </w:r>
            <w:r>
              <w:rPr>
                <w:spacing w:val="-1"/>
              </w:rPr>
              <w:t xml:space="preserve"> </w:t>
            </w:r>
            <w:r>
              <w:t>external</w:t>
            </w:r>
            <w:r>
              <w:rPr>
                <w:spacing w:val="-1"/>
              </w:rPr>
              <w:t xml:space="preserve"> </w:t>
            </w:r>
            <w:r>
              <w:t>members.</w:t>
            </w:r>
            <w:r>
              <w:rPr>
                <w:spacing w:val="-1"/>
              </w:rPr>
              <w:t xml:space="preserve"> </w:t>
            </w:r>
            <w:r>
              <w:t>An</w:t>
            </w:r>
            <w:r>
              <w:rPr>
                <w:spacing w:val="-1"/>
              </w:rPr>
              <w:t xml:space="preserve"> </w:t>
            </w:r>
            <w:r>
              <w:t>external</w:t>
            </w:r>
            <w:r>
              <w:rPr>
                <w:spacing w:val="-1"/>
              </w:rPr>
              <w:t xml:space="preserve"> </w:t>
            </w:r>
            <w:r>
              <w:t>member</w:t>
            </w:r>
            <w:r>
              <w:rPr>
                <w:spacing w:val="-1"/>
              </w:rPr>
              <w:t xml:space="preserve"> </w:t>
            </w:r>
            <w:r>
              <w:t>should</w:t>
            </w:r>
            <w:r>
              <w:rPr>
                <w:spacing w:val="-1"/>
              </w:rPr>
              <w:t xml:space="preserve"> </w:t>
            </w:r>
            <w:r>
              <w:t>be</w:t>
            </w:r>
            <w:r>
              <w:rPr>
                <w:spacing w:val="-1"/>
              </w:rPr>
              <w:t xml:space="preserve"> </w:t>
            </w:r>
            <w:r>
              <w:t>chair.</w:t>
            </w:r>
          </w:p>
        </w:tc>
      </w:tr>
      <w:tr w:rsidR="001D5BFC" w14:paraId="246FF5E9" w14:textId="77777777" w:rsidTr="00F22AE5">
        <w:trPr>
          <w:trHeight w:val="1237"/>
        </w:trPr>
        <w:tc>
          <w:tcPr>
            <w:tcW w:w="466" w:type="pct"/>
            <w:tcBorders>
              <w:top w:val="single" w:sz="8" w:space="0" w:color="ECEDE9"/>
              <w:bottom w:val="single" w:sz="8" w:space="0" w:color="ECEDE9"/>
            </w:tcBorders>
          </w:tcPr>
          <w:p w14:paraId="72353B23" w14:textId="77777777" w:rsidR="001D5BFC" w:rsidRDefault="001D5BFC" w:rsidP="00F22AE5">
            <w:r>
              <w:t>12.4</w:t>
            </w:r>
          </w:p>
        </w:tc>
        <w:tc>
          <w:tcPr>
            <w:tcW w:w="4534" w:type="pct"/>
            <w:tcBorders>
              <w:top w:val="single" w:sz="8" w:space="0" w:color="ECEDE9"/>
              <w:bottom w:val="single" w:sz="8" w:space="0" w:color="ECEDE9"/>
            </w:tcBorders>
          </w:tcPr>
          <w:p w14:paraId="7F2AB508" w14:textId="77777777" w:rsidR="001D5BFC" w:rsidRDefault="001D5BFC" w:rsidP="00F22AE5">
            <w:r>
              <w:t>External Governance Board members should be appointed through a transparent process. Positions should be advertised for expressions of interest drawing on a matrix of required skills and experience. The process should be managed by the Secretary to the Treasury, the Governor and a third party.</w:t>
            </w:r>
          </w:p>
        </w:tc>
      </w:tr>
      <w:tr w:rsidR="001D5BFC" w14:paraId="4394CF0E" w14:textId="77777777" w:rsidTr="00F22AE5">
        <w:trPr>
          <w:trHeight w:val="1015"/>
        </w:trPr>
        <w:tc>
          <w:tcPr>
            <w:tcW w:w="466" w:type="pct"/>
            <w:tcBorders>
              <w:top w:val="single" w:sz="8" w:space="0" w:color="ECEDE9"/>
              <w:bottom w:val="single" w:sz="8" w:space="0" w:color="ECEDE9"/>
            </w:tcBorders>
          </w:tcPr>
          <w:p w14:paraId="7639A4D0" w14:textId="77777777" w:rsidR="001D5BFC" w:rsidRDefault="001D5BFC" w:rsidP="00F22AE5">
            <w:r>
              <w:t>12.5</w:t>
            </w:r>
          </w:p>
        </w:tc>
        <w:tc>
          <w:tcPr>
            <w:tcW w:w="4534" w:type="pct"/>
            <w:tcBorders>
              <w:top w:val="single" w:sz="8" w:space="0" w:color="ECEDE9"/>
              <w:bottom w:val="single" w:sz="8" w:space="0" w:color="ECEDE9"/>
            </w:tcBorders>
          </w:tcPr>
          <w:p w14:paraId="1C74B01B" w14:textId="77777777" w:rsidR="001D5BFC" w:rsidRDefault="001D5BFC" w:rsidP="00F22AE5">
            <w:r>
              <w:t>External members of the Governance Board should be appointed for a term of 5 years, with the possibility of reappointment for up to one year, if flexibility is needed. End dates should be staggered.</w:t>
            </w:r>
          </w:p>
        </w:tc>
      </w:tr>
      <w:tr w:rsidR="001D5BFC" w14:paraId="2C958600" w14:textId="77777777" w:rsidTr="00F22AE5">
        <w:trPr>
          <w:trHeight w:val="851"/>
        </w:trPr>
        <w:tc>
          <w:tcPr>
            <w:tcW w:w="466" w:type="pct"/>
            <w:tcBorders>
              <w:top w:val="single" w:sz="8" w:space="0" w:color="ECEDE9"/>
            </w:tcBorders>
          </w:tcPr>
          <w:p w14:paraId="3ED81E5C" w14:textId="77777777" w:rsidR="001D5BFC" w:rsidRDefault="001D5BFC" w:rsidP="00F22AE5">
            <w:r>
              <w:t>12.6</w:t>
            </w:r>
          </w:p>
        </w:tc>
        <w:tc>
          <w:tcPr>
            <w:tcW w:w="4534" w:type="pct"/>
            <w:tcBorders>
              <w:top w:val="single" w:sz="8" w:space="0" w:color="ECEDE9"/>
            </w:tcBorders>
          </w:tcPr>
          <w:p w14:paraId="041173D6" w14:textId="77777777" w:rsidR="001D5BFC" w:rsidRDefault="001D5BFC" w:rsidP="00F22AE5">
            <w:r>
              <w:t>The</w:t>
            </w:r>
            <w:r>
              <w:rPr>
                <w:spacing w:val="19"/>
              </w:rPr>
              <w:t xml:space="preserve"> </w:t>
            </w:r>
            <w:r>
              <w:t>RBA</w:t>
            </w:r>
            <w:r>
              <w:rPr>
                <w:spacing w:val="19"/>
              </w:rPr>
              <w:t xml:space="preserve"> </w:t>
            </w:r>
            <w:r>
              <w:t>Boards</w:t>
            </w:r>
            <w:r>
              <w:rPr>
                <w:spacing w:val="19"/>
              </w:rPr>
              <w:t xml:space="preserve"> </w:t>
            </w:r>
            <w:r>
              <w:t>should</w:t>
            </w:r>
            <w:r>
              <w:rPr>
                <w:spacing w:val="19"/>
              </w:rPr>
              <w:t xml:space="preserve"> </w:t>
            </w:r>
            <w:r>
              <w:t>establish</w:t>
            </w:r>
            <w:r>
              <w:rPr>
                <w:spacing w:val="19"/>
              </w:rPr>
              <w:t xml:space="preserve"> </w:t>
            </w:r>
            <w:r>
              <w:t>charters</w:t>
            </w:r>
            <w:r>
              <w:rPr>
                <w:spacing w:val="19"/>
              </w:rPr>
              <w:t xml:space="preserve"> </w:t>
            </w:r>
            <w:r>
              <w:t>setting</w:t>
            </w:r>
            <w:r>
              <w:rPr>
                <w:spacing w:val="19"/>
              </w:rPr>
              <w:t xml:space="preserve"> </w:t>
            </w:r>
            <w:r>
              <w:t>out</w:t>
            </w:r>
            <w:r>
              <w:rPr>
                <w:spacing w:val="19"/>
              </w:rPr>
              <w:t xml:space="preserve"> </w:t>
            </w:r>
            <w:r>
              <w:t>their</w:t>
            </w:r>
            <w:r>
              <w:rPr>
                <w:spacing w:val="19"/>
              </w:rPr>
              <w:t xml:space="preserve"> </w:t>
            </w:r>
            <w:r>
              <w:t>responsibilities</w:t>
            </w:r>
            <w:r>
              <w:rPr>
                <w:spacing w:val="19"/>
              </w:rPr>
              <w:t xml:space="preserve"> </w:t>
            </w:r>
            <w:r>
              <w:t>and those of the RBA executive. A memorandum of understanding should be established between the 3 RBA Boards.</w:t>
            </w:r>
          </w:p>
        </w:tc>
      </w:tr>
    </w:tbl>
    <w:p w14:paraId="450E2FEF" w14:textId="682846CE" w:rsidR="00207B25" w:rsidRDefault="00207B25" w:rsidP="00D502B5"/>
    <w:p w14:paraId="6C313549" w14:textId="77777777" w:rsidR="00207B25" w:rsidRDefault="00207B25">
      <w:pPr>
        <w:spacing w:before="0" w:after="160" w:line="259" w:lineRule="auto"/>
      </w:pPr>
      <w:r>
        <w:br w:type="page"/>
      </w:r>
    </w:p>
    <w:p w14:paraId="3467BEBA" w14:textId="77777777" w:rsidR="003F0C01" w:rsidRDefault="003F0C01" w:rsidP="00223137">
      <w:pPr>
        <w:pStyle w:val="Heading2"/>
      </w:pPr>
      <w:bookmarkStart w:id="59" w:name="_Toc134221029"/>
      <w:r>
        <w:lastRenderedPageBreak/>
        <w:t>The</w:t>
      </w:r>
      <w:r>
        <w:rPr>
          <w:spacing w:val="-13"/>
        </w:rPr>
        <w:t xml:space="preserve"> </w:t>
      </w:r>
      <w:r>
        <w:t>RBA’s</w:t>
      </w:r>
      <w:r>
        <w:rPr>
          <w:spacing w:val="-12"/>
        </w:rPr>
        <w:t xml:space="preserve"> </w:t>
      </w:r>
      <w:r>
        <w:t>corporate</w:t>
      </w:r>
      <w:r>
        <w:rPr>
          <w:spacing w:val="-13"/>
        </w:rPr>
        <w:t xml:space="preserve"> </w:t>
      </w:r>
      <w:r>
        <w:t>governance</w:t>
      </w:r>
      <w:r>
        <w:rPr>
          <w:spacing w:val="-12"/>
        </w:rPr>
        <w:t xml:space="preserve"> </w:t>
      </w:r>
      <w:r>
        <w:t>arrangements</w:t>
      </w:r>
      <w:bookmarkEnd w:id="59"/>
    </w:p>
    <w:p w14:paraId="02DB9389" w14:textId="5FE2CD39" w:rsidR="003F0C01" w:rsidRDefault="003F0C01" w:rsidP="002E7E2A">
      <w:r>
        <w:t>The RBA is a Corporate Commonwealth Entity established under the RBA Act</w:t>
      </w:r>
      <w:r w:rsidR="0068598E">
        <w:rPr>
          <w:spacing w:val="-24"/>
        </w:rPr>
        <w:t>.</w:t>
      </w:r>
      <w:r>
        <w:rPr>
          <w:w w:val="85"/>
        </w:rPr>
        <w:t xml:space="preserve"> </w:t>
      </w:r>
      <w:r>
        <w:t>A Corporate Commonwealth Entity is a body corporate with a separate legal personality from the Commonwealth Government</w:t>
      </w:r>
      <w:r w:rsidR="0068598E">
        <w:rPr>
          <w:spacing w:val="-17"/>
        </w:rPr>
        <w:t>.</w:t>
      </w:r>
    </w:p>
    <w:p w14:paraId="3CB7AB9D" w14:textId="000060FA" w:rsidR="003F0C01" w:rsidRDefault="003F0C01" w:rsidP="002E7E2A">
      <w:r>
        <w:t>The</w:t>
      </w:r>
      <w:r>
        <w:rPr>
          <w:spacing w:val="9"/>
        </w:rPr>
        <w:t xml:space="preserve"> </w:t>
      </w:r>
      <w:r>
        <w:t>specific</w:t>
      </w:r>
      <w:r>
        <w:rPr>
          <w:spacing w:val="9"/>
        </w:rPr>
        <w:t xml:space="preserve"> </w:t>
      </w:r>
      <w:r>
        <w:t>governance</w:t>
      </w:r>
      <w:r>
        <w:rPr>
          <w:spacing w:val="9"/>
        </w:rPr>
        <w:t xml:space="preserve"> </w:t>
      </w:r>
      <w:r>
        <w:t>arrangements</w:t>
      </w:r>
      <w:r>
        <w:rPr>
          <w:spacing w:val="9"/>
        </w:rPr>
        <w:t xml:space="preserve"> </w:t>
      </w:r>
      <w:r>
        <w:t>of</w:t>
      </w:r>
      <w:r>
        <w:rPr>
          <w:spacing w:val="9"/>
        </w:rPr>
        <w:t xml:space="preserve"> </w:t>
      </w:r>
      <w:r>
        <w:t>the</w:t>
      </w:r>
      <w:r>
        <w:rPr>
          <w:spacing w:val="9"/>
        </w:rPr>
        <w:t xml:space="preserve"> </w:t>
      </w:r>
      <w:r>
        <w:t>RBA</w:t>
      </w:r>
      <w:r>
        <w:rPr>
          <w:spacing w:val="9"/>
        </w:rPr>
        <w:t xml:space="preserve"> </w:t>
      </w:r>
      <w:r>
        <w:t>are</w:t>
      </w:r>
      <w:r>
        <w:rPr>
          <w:spacing w:val="9"/>
        </w:rPr>
        <w:t xml:space="preserve"> </w:t>
      </w:r>
      <w:r>
        <w:t>set</w:t>
      </w:r>
      <w:r>
        <w:rPr>
          <w:spacing w:val="9"/>
        </w:rPr>
        <w:t xml:space="preserve"> </w:t>
      </w:r>
      <w:r>
        <w:t>out</w:t>
      </w:r>
      <w:r>
        <w:rPr>
          <w:spacing w:val="9"/>
        </w:rPr>
        <w:t xml:space="preserve"> </w:t>
      </w:r>
      <w:r>
        <w:t>in</w:t>
      </w:r>
      <w:r>
        <w:rPr>
          <w:spacing w:val="9"/>
        </w:rPr>
        <w:t xml:space="preserve"> </w:t>
      </w:r>
      <w:r>
        <w:t>2</w:t>
      </w:r>
      <w:r>
        <w:rPr>
          <w:spacing w:val="9"/>
        </w:rPr>
        <w:t xml:space="preserve"> </w:t>
      </w:r>
      <w:r>
        <w:t>pieces</w:t>
      </w:r>
      <w:r>
        <w:rPr>
          <w:spacing w:val="9"/>
        </w:rPr>
        <w:t xml:space="preserve"> </w:t>
      </w:r>
      <w:r>
        <w:t>of</w:t>
      </w:r>
      <w:r>
        <w:rPr>
          <w:spacing w:val="9"/>
        </w:rPr>
        <w:t xml:space="preserve"> </w:t>
      </w:r>
      <w:r>
        <w:t>legislation</w:t>
      </w:r>
      <w:r>
        <w:rPr>
          <w:spacing w:val="9"/>
        </w:rPr>
        <w:t xml:space="preserve"> </w:t>
      </w:r>
      <w:r>
        <w:t>–</w:t>
      </w:r>
      <w:r>
        <w:rPr>
          <w:spacing w:val="9"/>
        </w:rPr>
        <w:t xml:space="preserve"> </w:t>
      </w:r>
      <w:r>
        <w:t>the</w:t>
      </w:r>
      <w:r>
        <w:rPr>
          <w:spacing w:val="9"/>
        </w:rPr>
        <w:t xml:space="preserve"> </w:t>
      </w:r>
      <w:r>
        <w:t>RBA Act and the PGPA Act</w:t>
      </w:r>
      <w:r w:rsidR="0068598E">
        <w:rPr>
          <w:spacing w:val="-20"/>
        </w:rPr>
        <w:t>.</w:t>
      </w:r>
      <w:r>
        <w:rPr>
          <w:w w:val="85"/>
        </w:rPr>
        <w:t xml:space="preserve"> </w:t>
      </w:r>
      <w:r>
        <w:t>The RBA Act sets out the responsibilities of the Governor, the Reserve Bank Board, and the Payments System Board</w:t>
      </w:r>
      <w:r w:rsidR="0068598E">
        <w:rPr>
          <w:spacing w:val="-20"/>
        </w:rPr>
        <w:t>.</w:t>
      </w:r>
      <w:r>
        <w:rPr>
          <w:w w:val="85"/>
        </w:rPr>
        <w:t xml:space="preserve"> </w:t>
      </w:r>
      <w:r>
        <w:t>The PGPA Act sets out the duties that apply to the RBA’s accountable authority and officials. It deals with planning by, performance and accountability of, the RBA (including a corporate plan, annual report, financial statements, and performance statements) and the proper use and management of public resources by the RBA</w:t>
      </w:r>
      <w:r w:rsidR="0068598E">
        <w:rPr>
          <w:spacing w:val="-20"/>
        </w:rPr>
        <w:t>.</w:t>
      </w:r>
      <w:r>
        <w:rPr>
          <w:w w:val="85"/>
        </w:rPr>
        <w:t xml:space="preserve"> </w:t>
      </w:r>
      <w:r>
        <w:t>As an independent central bank, the RBA has some specific exemptions from the PGPA Act relating to budget estimates, banking, and investment</w:t>
      </w:r>
      <w:r w:rsidR="0068598E">
        <w:rPr>
          <w:spacing w:val="-11"/>
        </w:rPr>
        <w:t>.</w:t>
      </w:r>
    </w:p>
    <w:p w14:paraId="6D3F6C65" w14:textId="6ECF9883" w:rsidR="003F0C01" w:rsidRDefault="003F0C01" w:rsidP="002E7E2A">
      <w:r>
        <w:t>The RBA is a large and diverse institution with over 1,400 staff members in 2022. It is an institution with complex operations and risks, many of which are essential to the sound functioning of the Australian economy but are much less visible to the public than monetary policy</w:t>
      </w:r>
      <w:r w:rsidR="0068598E">
        <w:rPr>
          <w:spacing w:val="-23"/>
        </w:rPr>
        <w:t>.</w:t>
      </w:r>
      <w:r>
        <w:rPr>
          <w:w w:val="85"/>
        </w:rPr>
        <w:t xml:space="preserve"> </w:t>
      </w:r>
      <w:r>
        <w:t>In addition to its responsibilities around monetary policy and payments policy, the RBA is responsible for providing banking services to the Government, managing Australia’s foreign exchange reserves, banknote provision and running critical national payments infrastructure</w:t>
      </w:r>
      <w:r w:rsidR="0068598E">
        <w:rPr>
          <w:spacing w:val="-21"/>
        </w:rPr>
        <w:t>.</w:t>
      </w:r>
      <w:r>
        <w:t xml:space="preserve"> Only around 375 people (around 25</w:t>
      </w:r>
      <w:r w:rsidR="002E7E2A">
        <w:t> </w:t>
      </w:r>
      <w:r>
        <w:t>per cent of RBA staff members) work in core policy roles, including monetary and payments policies</w:t>
      </w:r>
      <w:r w:rsidR="0068598E">
        <w:rPr>
          <w:spacing w:val="-8"/>
        </w:rPr>
        <w:t>.</w:t>
      </w:r>
    </w:p>
    <w:p w14:paraId="4A27408C" w14:textId="794A7C1D" w:rsidR="003F0C01" w:rsidRDefault="003F0C01" w:rsidP="002E7E2A">
      <w:r>
        <w:t>The operations of the RBA have become more complex over time</w:t>
      </w:r>
      <w:r w:rsidR="0068598E">
        <w:rPr>
          <w:spacing w:val="-21"/>
        </w:rPr>
        <w:t>.</w:t>
      </w:r>
      <w:r>
        <w:rPr>
          <w:w w:val="85"/>
        </w:rPr>
        <w:t xml:space="preserve"> </w:t>
      </w:r>
      <w:r>
        <w:t>Most notably, technology and related cyber risks are increasingly important in the RBA’s operations. Reflecting this, the number of staff employed in IT has almost doubled in the past decade to around 420 staff members.</w:t>
      </w:r>
      <w:r w:rsidR="002E7E2A">
        <w:t xml:space="preserve"> </w:t>
      </w:r>
      <w:r>
        <w:t>Around</w:t>
      </w:r>
      <w:r>
        <w:rPr>
          <w:spacing w:val="-4"/>
        </w:rPr>
        <w:t xml:space="preserve"> </w:t>
      </w:r>
      <w:r>
        <w:t>30</w:t>
      </w:r>
      <w:r w:rsidR="002E7E2A">
        <w:rPr>
          <w:spacing w:val="-1"/>
        </w:rPr>
        <w:t> </w:t>
      </w:r>
      <w:r>
        <w:t>per</w:t>
      </w:r>
      <w:r>
        <w:rPr>
          <w:spacing w:val="-1"/>
        </w:rPr>
        <w:t xml:space="preserve"> </w:t>
      </w:r>
      <w:r>
        <w:t>cent</w:t>
      </w:r>
      <w:r>
        <w:rPr>
          <w:spacing w:val="-2"/>
        </w:rPr>
        <w:t xml:space="preserve"> </w:t>
      </w:r>
      <w:r>
        <w:t>of</w:t>
      </w:r>
      <w:r>
        <w:rPr>
          <w:spacing w:val="-1"/>
        </w:rPr>
        <w:t xml:space="preserve"> </w:t>
      </w:r>
      <w:r>
        <w:t>RBA</w:t>
      </w:r>
      <w:r>
        <w:rPr>
          <w:spacing w:val="-1"/>
        </w:rPr>
        <w:t xml:space="preserve"> </w:t>
      </w:r>
      <w:r>
        <w:t>staff</w:t>
      </w:r>
      <w:r>
        <w:rPr>
          <w:spacing w:val="-2"/>
        </w:rPr>
        <w:t xml:space="preserve"> </w:t>
      </w:r>
      <w:r>
        <w:t>are</w:t>
      </w:r>
      <w:r>
        <w:rPr>
          <w:spacing w:val="-1"/>
        </w:rPr>
        <w:t xml:space="preserve"> </w:t>
      </w:r>
      <w:r>
        <w:t>now</w:t>
      </w:r>
      <w:r>
        <w:rPr>
          <w:spacing w:val="-1"/>
        </w:rPr>
        <w:t xml:space="preserve"> </w:t>
      </w:r>
      <w:r>
        <w:t>employed</w:t>
      </w:r>
      <w:r>
        <w:rPr>
          <w:spacing w:val="-2"/>
        </w:rPr>
        <w:t xml:space="preserve"> </w:t>
      </w:r>
      <w:r>
        <w:t>in</w:t>
      </w:r>
      <w:r>
        <w:rPr>
          <w:spacing w:val="-1"/>
        </w:rPr>
        <w:t xml:space="preserve"> </w:t>
      </w:r>
      <w:r>
        <w:t>IT,</w:t>
      </w:r>
      <w:r>
        <w:rPr>
          <w:spacing w:val="-1"/>
        </w:rPr>
        <w:t xml:space="preserve"> </w:t>
      </w:r>
      <w:r>
        <w:t>up</w:t>
      </w:r>
      <w:r>
        <w:rPr>
          <w:spacing w:val="-2"/>
        </w:rPr>
        <w:t xml:space="preserve"> </w:t>
      </w:r>
      <w:r>
        <w:t>from</w:t>
      </w:r>
      <w:r>
        <w:rPr>
          <w:spacing w:val="-1"/>
        </w:rPr>
        <w:t xml:space="preserve"> </w:t>
      </w:r>
      <w:r>
        <w:t>around</w:t>
      </w:r>
      <w:r>
        <w:rPr>
          <w:spacing w:val="-1"/>
        </w:rPr>
        <w:t xml:space="preserve"> </w:t>
      </w:r>
      <w:r>
        <w:t>20</w:t>
      </w:r>
      <w:r>
        <w:rPr>
          <w:spacing w:val="-2"/>
        </w:rPr>
        <w:t xml:space="preserve"> </w:t>
      </w:r>
      <w:r>
        <w:t>per</w:t>
      </w:r>
      <w:r>
        <w:rPr>
          <w:spacing w:val="-1"/>
        </w:rPr>
        <w:t xml:space="preserve"> </w:t>
      </w:r>
      <w:r>
        <w:t>cent</w:t>
      </w:r>
      <w:r>
        <w:rPr>
          <w:spacing w:val="-1"/>
        </w:rPr>
        <w:t xml:space="preserve"> </w:t>
      </w:r>
      <w:r>
        <w:t>in</w:t>
      </w:r>
      <w:r>
        <w:rPr>
          <w:spacing w:val="-1"/>
        </w:rPr>
        <w:t xml:space="preserve"> </w:t>
      </w:r>
      <w:r>
        <w:rPr>
          <w:spacing w:val="-2"/>
        </w:rPr>
        <w:t>2012.</w:t>
      </w:r>
    </w:p>
    <w:p w14:paraId="14359F2D" w14:textId="7482078A" w:rsidR="002E7E2A" w:rsidRDefault="002E7E2A">
      <w:pPr>
        <w:spacing w:before="0" w:after="160" w:line="259" w:lineRule="auto"/>
      </w:pPr>
      <w:r>
        <w:br w:type="page"/>
      </w:r>
    </w:p>
    <w:p w14:paraId="3B683D4F" w14:textId="61E8D2EF" w:rsidR="002E7E2A" w:rsidRDefault="002E7E2A" w:rsidP="002E7E2A">
      <w:pPr>
        <w:pStyle w:val="BoxHeading"/>
      </w:pPr>
      <w:r>
        <w:lastRenderedPageBreak/>
        <w:t>Figure 5.1 RBA governance structure</w:t>
      </w:r>
    </w:p>
    <w:p w14:paraId="3BF0FF61" w14:textId="17C73879" w:rsidR="002E7E2A" w:rsidRDefault="009326AD" w:rsidP="00226263">
      <w:pPr>
        <w:spacing w:before="0" w:after="160" w:line="259" w:lineRule="auto"/>
        <w:jc w:val="center"/>
        <w:rPr>
          <w:b/>
          <w:color w:val="204060" w:themeColor="accent1"/>
          <w:sz w:val="26"/>
          <w:szCs w:val="26"/>
        </w:rPr>
      </w:pPr>
      <w:r>
        <w:rPr>
          <w:noProof/>
        </w:rPr>
        <w:drawing>
          <wp:inline distT="0" distB="0" distL="0" distR="0" wp14:anchorId="50CE445C" wp14:editId="65E681D0">
            <wp:extent cx="4893574" cy="6225553"/>
            <wp:effectExtent l="0" t="0" r="2540" b="3810"/>
            <wp:docPr id="55" name="Picture 55" descr="A chart of the RBA’s current governance structure. The Reserve Bank Board is responsible for Note Printing Australia, the Remuneration Committee, and the Audit Committee. The Payments System Board is separate in its responsibilities to the Reserve Bank Board. The Chart notes that the Governor’s responsibilities include the Executive Committee, while also chairing the Reserve Bank Board and Payments System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chart of the RBA’s current governance structure. The Reserve Bank Board is responsible for Note Printing Australia, the Remuneration Committee, and the Audit Committee. The Payments System Board is separate in its responsibilities to the Reserve Bank Board. The Chart notes that the Governor’s responsibilities include the Executive Committee, while also chairing the Reserve Bank Board and Payments System Boar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93574" cy="6225553"/>
                    </a:xfrm>
                    <a:prstGeom prst="rect">
                      <a:avLst/>
                    </a:prstGeom>
                  </pic:spPr>
                </pic:pic>
              </a:graphicData>
            </a:graphic>
          </wp:inline>
        </w:drawing>
      </w:r>
      <w:r w:rsidR="002E7E2A">
        <w:br w:type="page"/>
      </w:r>
    </w:p>
    <w:p w14:paraId="4898A781" w14:textId="77777777" w:rsidR="00992D21" w:rsidRDefault="00992D21" w:rsidP="00266B8C">
      <w:pPr>
        <w:pStyle w:val="Heading3"/>
      </w:pPr>
      <w:r>
        <w:lastRenderedPageBreak/>
        <w:t>The</w:t>
      </w:r>
      <w:r>
        <w:rPr>
          <w:spacing w:val="-4"/>
        </w:rPr>
        <w:t xml:space="preserve"> </w:t>
      </w:r>
      <w:r>
        <w:t>Governor</w:t>
      </w:r>
    </w:p>
    <w:p w14:paraId="068B1A52" w14:textId="230C1C80" w:rsidR="00992D21" w:rsidRDefault="00992D21" w:rsidP="00992D21">
      <w:r>
        <w:t>The Governor is responsible for managing the RBA and has a duty, as a member, to perform the functions of the Reserve Bank Board and the Payments System Board</w:t>
      </w:r>
      <w:r w:rsidR="0068598E">
        <w:rPr>
          <w:spacing w:val="-18"/>
        </w:rPr>
        <w:t>.</w:t>
      </w:r>
      <w:r>
        <w:t xml:space="preserve"> The Governor is</w:t>
      </w:r>
      <w:r>
        <w:rPr>
          <w:spacing w:val="40"/>
        </w:rPr>
        <w:t xml:space="preserve"> </w:t>
      </w:r>
      <w:r>
        <w:t>the</w:t>
      </w:r>
      <w:r>
        <w:rPr>
          <w:spacing w:val="-1"/>
        </w:rPr>
        <w:t xml:space="preserve"> </w:t>
      </w:r>
      <w:r>
        <w:t>accountable</w:t>
      </w:r>
      <w:r>
        <w:rPr>
          <w:spacing w:val="-1"/>
        </w:rPr>
        <w:t xml:space="preserve"> </w:t>
      </w:r>
      <w:r>
        <w:t>authority</w:t>
      </w:r>
      <w:r>
        <w:rPr>
          <w:spacing w:val="-1"/>
        </w:rPr>
        <w:t xml:space="preserve"> </w:t>
      </w:r>
      <w:r>
        <w:t>under</w:t>
      </w:r>
      <w:r>
        <w:rPr>
          <w:spacing w:val="-1"/>
        </w:rPr>
        <w:t xml:space="preserve"> </w:t>
      </w:r>
      <w:r>
        <w:t>the</w:t>
      </w:r>
      <w:r>
        <w:rPr>
          <w:spacing w:val="-1"/>
        </w:rPr>
        <w:t xml:space="preserve"> </w:t>
      </w:r>
      <w:r>
        <w:t>PGPA</w:t>
      </w:r>
      <w:r>
        <w:rPr>
          <w:spacing w:val="-1"/>
        </w:rPr>
        <w:t xml:space="preserve"> </w:t>
      </w:r>
      <w:r>
        <w:t>Act</w:t>
      </w:r>
      <w:r w:rsidR="0068598E">
        <w:rPr>
          <w:spacing w:val="-24"/>
        </w:rPr>
        <w:t>.</w:t>
      </w:r>
      <w:r>
        <w:rPr>
          <w:w w:val="85"/>
        </w:rPr>
        <w:t xml:space="preserve"> </w:t>
      </w:r>
      <w:r>
        <w:t>This</w:t>
      </w:r>
      <w:r>
        <w:rPr>
          <w:spacing w:val="-1"/>
        </w:rPr>
        <w:t xml:space="preserve"> </w:t>
      </w:r>
      <w:r>
        <w:t>means</w:t>
      </w:r>
      <w:r>
        <w:rPr>
          <w:spacing w:val="-1"/>
        </w:rPr>
        <w:t xml:space="preserve"> </w:t>
      </w:r>
      <w:r>
        <w:t>the</w:t>
      </w:r>
      <w:r>
        <w:rPr>
          <w:spacing w:val="-1"/>
        </w:rPr>
        <w:t xml:space="preserve"> </w:t>
      </w:r>
      <w:r>
        <w:t>Governor</w:t>
      </w:r>
      <w:r>
        <w:rPr>
          <w:spacing w:val="-1"/>
        </w:rPr>
        <w:t xml:space="preserve"> </w:t>
      </w:r>
      <w:r>
        <w:t>has</w:t>
      </w:r>
      <w:r>
        <w:rPr>
          <w:spacing w:val="-1"/>
        </w:rPr>
        <w:t xml:space="preserve"> </w:t>
      </w:r>
      <w:r>
        <w:t>a</w:t>
      </w:r>
      <w:r>
        <w:rPr>
          <w:spacing w:val="-1"/>
        </w:rPr>
        <w:t xml:space="preserve"> </w:t>
      </w:r>
      <w:r>
        <w:t>broad</w:t>
      </w:r>
      <w:r>
        <w:rPr>
          <w:spacing w:val="-1"/>
        </w:rPr>
        <w:t xml:space="preserve"> </w:t>
      </w:r>
      <w:r>
        <w:t>range</w:t>
      </w:r>
      <w:r>
        <w:rPr>
          <w:spacing w:val="-1"/>
        </w:rPr>
        <w:t xml:space="preserve"> </w:t>
      </w:r>
      <w:r>
        <w:t xml:space="preserve">of </w:t>
      </w:r>
      <w:r>
        <w:rPr>
          <w:color w:val="231F20"/>
        </w:rPr>
        <w:t>statutory obligations and duties</w:t>
      </w:r>
      <w:r w:rsidR="0068598E">
        <w:rPr>
          <w:color w:val="231F20"/>
          <w:spacing w:val="-22"/>
        </w:rPr>
        <w:t>.</w:t>
      </w:r>
      <w:r>
        <w:rPr>
          <w:color w:val="231F20"/>
          <w:w w:val="85"/>
        </w:rPr>
        <w:t xml:space="preserve"> </w:t>
      </w:r>
      <w:r>
        <w:rPr>
          <w:color w:val="231F20"/>
        </w:rPr>
        <w:t>These include a duty to govern the RBA, establish and maintain systems relating to risk and control, encour</w:t>
      </w:r>
      <w:r w:rsidR="0068598E">
        <w:rPr>
          <w:color w:val="231F20"/>
        </w:rPr>
        <w:t>a</w:t>
      </w:r>
      <w:r>
        <w:rPr>
          <w:color w:val="231F20"/>
        </w:rPr>
        <w:t>ge cooperation with others, promote proper and efficient use of public resources and measure and report on the achievement of the RBA’s purposes</w:t>
      </w:r>
      <w:r w:rsidR="0068598E">
        <w:rPr>
          <w:color w:val="231F20"/>
          <w:spacing w:val="-20"/>
        </w:rPr>
        <w:t>.</w:t>
      </w:r>
      <w:r>
        <w:rPr>
          <w:color w:val="231F20"/>
          <w:w w:val="85"/>
        </w:rPr>
        <w:t xml:space="preserve"> </w:t>
      </w:r>
      <w:r>
        <w:rPr>
          <w:color w:val="231F20"/>
        </w:rPr>
        <w:t>The RBA’s purposes under the PGPA Act are to promote the economic welfare of the people of Australia through monetary and financial policies and operations. The Governor is also required to ensure the RBA’s corporate plan and annual report provide meaningful planning and performance reporting to Parliament and the public</w:t>
      </w:r>
      <w:r w:rsidR="0068598E">
        <w:rPr>
          <w:color w:val="231F20"/>
          <w:spacing w:val="-12"/>
        </w:rPr>
        <w:t>.</w:t>
      </w:r>
    </w:p>
    <w:p w14:paraId="217D6766" w14:textId="17C2C69F" w:rsidR="00992D21" w:rsidRDefault="00992D21" w:rsidP="00992D21">
      <w:r>
        <w:t>The Governor’s role as the sole accountable authority is unusual among Corporate Commonwealth Entities</w:t>
      </w:r>
      <w:r w:rsidR="0068598E">
        <w:rPr>
          <w:spacing w:val="-17"/>
        </w:rPr>
        <w:t>.</w:t>
      </w:r>
      <w:r>
        <w:rPr>
          <w:w w:val="85"/>
        </w:rPr>
        <w:t xml:space="preserve"> </w:t>
      </w:r>
      <w:r>
        <w:t>Of the current 72 Corporate Commonwealth Entities, only 7 have single-person accountable authorities, including the RBA</w:t>
      </w:r>
      <w:r w:rsidR="0068598E">
        <w:rPr>
          <w:spacing w:val="-23"/>
        </w:rPr>
        <w:t>.</w:t>
      </w:r>
      <w:r>
        <w:rPr>
          <w:w w:val="85"/>
        </w:rPr>
        <w:t xml:space="preserve"> </w:t>
      </w:r>
      <w:r>
        <w:t>A board is the accountable authority for most Corporate Commonwealth Entities</w:t>
      </w:r>
      <w:r w:rsidR="0068598E">
        <w:rPr>
          <w:spacing w:val="-14"/>
        </w:rPr>
        <w:t>.</w:t>
      </w:r>
      <w:r>
        <w:rPr>
          <w:w w:val="85"/>
        </w:rPr>
        <w:t xml:space="preserve"> </w:t>
      </w:r>
      <w:r>
        <w:t>Some comparable Australian policy-making entities, most notably APRA and the Australian Securities and Investments Commission, are Non-Corporate Commonwealth Entities and have individuals as their accountable authority</w:t>
      </w:r>
      <w:r w:rsidR="0068598E">
        <w:rPr>
          <w:spacing w:val="-15"/>
        </w:rPr>
        <w:t>.</w:t>
      </w:r>
    </w:p>
    <w:p w14:paraId="62F482F4" w14:textId="77777777" w:rsidR="00992D21" w:rsidRDefault="00992D21" w:rsidP="00992D21">
      <w:r>
        <w:t>In practice, the Governor manages corporate governance obligations through internal processes with assistance from the Deputy Governor, the Executive Committee and the Risk Management Committee.</w:t>
      </w:r>
    </w:p>
    <w:p w14:paraId="5950AEBE" w14:textId="10F95CEA" w:rsidR="00992D21" w:rsidRPr="00743DBA" w:rsidRDefault="00992D21" w:rsidP="0000278A">
      <w:pPr>
        <w:pStyle w:val="Bullet"/>
        <w:rPr>
          <w:rFonts w:cs="Calibri Light"/>
        </w:rPr>
      </w:pPr>
      <w:r w:rsidRPr="00743DBA">
        <w:rPr>
          <w:rFonts w:cs="Calibri Light"/>
          <w:b/>
        </w:rPr>
        <w:t xml:space="preserve">Deputy Governor: </w:t>
      </w:r>
      <w:r w:rsidRPr="00743DBA">
        <w:rPr>
          <w:rFonts w:cs="Calibri Light"/>
        </w:rPr>
        <w:t>by custom, is in charge of the day-to-day operations of the RBA</w:t>
      </w:r>
      <w:r w:rsidR="0068598E" w:rsidRPr="00743DBA">
        <w:rPr>
          <w:rFonts w:cs="Calibri Light"/>
          <w:spacing w:val="-24"/>
        </w:rPr>
        <w:t>.</w:t>
      </w:r>
      <w:r w:rsidRPr="00743DBA">
        <w:rPr>
          <w:rFonts w:cs="Calibri Light"/>
          <w:w w:val="85"/>
        </w:rPr>
        <w:t xml:space="preserve"> </w:t>
      </w:r>
      <w:r w:rsidRPr="00743DBA">
        <w:rPr>
          <w:rFonts w:cs="Calibri Light"/>
        </w:rPr>
        <w:t>The Deputy Governor oversees six executive support departments: Finance, Audit, Human Resources, Risk and Compliance, Information, and the Secretary’s Department (which includes Legal).</w:t>
      </w:r>
    </w:p>
    <w:p w14:paraId="074CA2A4" w14:textId="13D8DF07" w:rsidR="00992D21" w:rsidRPr="00743DBA" w:rsidRDefault="00992D21" w:rsidP="0000278A">
      <w:pPr>
        <w:pStyle w:val="Bullet"/>
        <w:rPr>
          <w:rFonts w:cs="Calibri Light"/>
        </w:rPr>
      </w:pPr>
      <w:r w:rsidRPr="00743DBA">
        <w:rPr>
          <w:rFonts w:cs="Calibri Light"/>
          <w:b/>
        </w:rPr>
        <w:t xml:space="preserve">Executive Committee: </w:t>
      </w:r>
      <w:r w:rsidRPr="00743DBA">
        <w:rPr>
          <w:rFonts w:cs="Calibri Light"/>
        </w:rPr>
        <w:t>is the key internal decision-making body and comprises the Governor (Chair), Deputy Governor and Assistant Governors</w:t>
      </w:r>
      <w:r w:rsidR="0068598E" w:rsidRPr="00743DBA">
        <w:rPr>
          <w:rFonts w:cs="Calibri Light"/>
          <w:spacing w:val="-16"/>
        </w:rPr>
        <w:t>.</w:t>
      </w:r>
      <w:r w:rsidRPr="00743DBA">
        <w:rPr>
          <w:rFonts w:cs="Calibri Light"/>
          <w:w w:val="85"/>
        </w:rPr>
        <w:t xml:space="preserve"> </w:t>
      </w:r>
      <w:r w:rsidRPr="00743DBA">
        <w:rPr>
          <w:rFonts w:cs="Calibri Light"/>
        </w:rPr>
        <w:t>The Deputy Governor is responsible for representing each of the 6 executive support departments within their remit</w:t>
      </w:r>
      <w:r w:rsidR="0068598E" w:rsidRPr="00743DBA">
        <w:rPr>
          <w:rFonts w:cs="Calibri Light"/>
          <w:spacing w:val="-23"/>
        </w:rPr>
        <w:t>.</w:t>
      </w:r>
      <w:r w:rsidRPr="00743DBA">
        <w:rPr>
          <w:rFonts w:cs="Calibri Light"/>
          <w:w w:val="85"/>
        </w:rPr>
        <w:t xml:space="preserve"> </w:t>
      </w:r>
      <w:r w:rsidRPr="00743DBA">
        <w:rPr>
          <w:rFonts w:cs="Calibri Light"/>
        </w:rPr>
        <w:t>It meets regularly to advise on matters of strategic or institution-wide significance. For instance, the RBA’s annual budget, projects, and operational and staffing matters are discussed in this committee. The Governor seeks to achieve a consensus view on matters</w:t>
      </w:r>
      <w:r w:rsidR="0068598E" w:rsidRPr="00743DBA">
        <w:rPr>
          <w:rFonts w:cs="Calibri Light"/>
          <w:spacing w:val="-19"/>
        </w:rPr>
        <w:t>.</w:t>
      </w:r>
      <w:r w:rsidRPr="00743DBA">
        <w:rPr>
          <w:rFonts w:cs="Calibri Light"/>
          <w:w w:val="85"/>
        </w:rPr>
        <w:t xml:space="preserve"> </w:t>
      </w:r>
      <w:r w:rsidRPr="00743DBA">
        <w:rPr>
          <w:rFonts w:cs="Calibri Light"/>
        </w:rPr>
        <w:t>In cases where no consensus is reached, the Governor makes the final decision.</w:t>
      </w:r>
    </w:p>
    <w:p w14:paraId="22082B79" w14:textId="2D59E540" w:rsidR="00992D21" w:rsidRDefault="00992D21" w:rsidP="0000278A">
      <w:pPr>
        <w:pStyle w:val="Bullet"/>
      </w:pPr>
      <w:r w:rsidRPr="00743DBA">
        <w:rPr>
          <w:rFonts w:cs="Calibri Light"/>
          <w:b/>
        </w:rPr>
        <w:t xml:space="preserve">Risk Management Committee: </w:t>
      </w:r>
      <w:r w:rsidRPr="00743DBA">
        <w:rPr>
          <w:rFonts w:cs="Calibri Light"/>
        </w:rPr>
        <w:t>is responsible for ensuring that operational and financial</w:t>
      </w:r>
      <w:r w:rsidRPr="00743DBA">
        <w:rPr>
          <w:rFonts w:cs="Calibri Light"/>
          <w:spacing w:val="80"/>
        </w:rPr>
        <w:t xml:space="preserve"> </w:t>
      </w:r>
      <w:r w:rsidRPr="00743DBA">
        <w:rPr>
          <w:rFonts w:cs="Calibri Light"/>
        </w:rPr>
        <w:t>risks are identified, assessed, and properly managed</w:t>
      </w:r>
      <w:r>
        <w:t xml:space="preserve"> across the RBA. It is chaired by the Deputy Governor and comprised of senior representatives from the operational areas of the RBA</w:t>
      </w:r>
      <w:r w:rsidR="0068598E">
        <w:rPr>
          <w:spacing w:val="-18"/>
        </w:rPr>
        <w:t>.</w:t>
      </w:r>
      <w:r>
        <w:rPr>
          <w:w w:val="85"/>
        </w:rPr>
        <w:t xml:space="preserve"> </w:t>
      </w:r>
      <w:r>
        <w:t>It meets at least 6 times a year and informs the Executive Committee and the Audit Committee of its activities</w:t>
      </w:r>
      <w:r w:rsidR="0068598E">
        <w:rPr>
          <w:spacing w:val="-17"/>
        </w:rPr>
        <w:t>.</w:t>
      </w:r>
    </w:p>
    <w:p w14:paraId="5E4B55AB" w14:textId="77777777" w:rsidR="00992D21" w:rsidRDefault="00992D21" w:rsidP="00266B8C">
      <w:pPr>
        <w:pStyle w:val="Heading3"/>
      </w:pPr>
      <w:r>
        <w:t>The</w:t>
      </w:r>
      <w:r>
        <w:rPr>
          <w:spacing w:val="-7"/>
        </w:rPr>
        <w:t xml:space="preserve"> </w:t>
      </w:r>
      <w:r w:rsidRPr="005E15D7">
        <w:t>Reserve</w:t>
      </w:r>
      <w:r>
        <w:rPr>
          <w:spacing w:val="-4"/>
        </w:rPr>
        <w:t xml:space="preserve"> </w:t>
      </w:r>
      <w:r>
        <w:t>Bank</w:t>
      </w:r>
      <w:r>
        <w:rPr>
          <w:spacing w:val="-4"/>
        </w:rPr>
        <w:t xml:space="preserve"> Board</w:t>
      </w:r>
    </w:p>
    <w:p w14:paraId="0B225D10" w14:textId="1A4A2D8D" w:rsidR="00992D21" w:rsidRDefault="00992D21" w:rsidP="005E15D7">
      <w:r>
        <w:t>The Reserve Bank Board’s role in the corporate governance of the RBA is both limited and unclear under current arrangements</w:t>
      </w:r>
      <w:r w:rsidR="0068598E">
        <w:rPr>
          <w:spacing w:val="-11"/>
        </w:rPr>
        <w:t>.</w:t>
      </w:r>
    </w:p>
    <w:p w14:paraId="4058DD6B" w14:textId="77777777" w:rsidR="00992D21" w:rsidRDefault="00992D21" w:rsidP="005E15D7">
      <w:r>
        <w:t>The</w:t>
      </w:r>
      <w:r>
        <w:rPr>
          <w:spacing w:val="4"/>
        </w:rPr>
        <w:t xml:space="preserve"> </w:t>
      </w:r>
      <w:r>
        <w:t>Reserve</w:t>
      </w:r>
      <w:r>
        <w:rPr>
          <w:spacing w:val="5"/>
        </w:rPr>
        <w:t xml:space="preserve"> </w:t>
      </w:r>
      <w:r>
        <w:t>Bank</w:t>
      </w:r>
      <w:r>
        <w:rPr>
          <w:spacing w:val="4"/>
        </w:rPr>
        <w:t xml:space="preserve"> </w:t>
      </w:r>
      <w:r>
        <w:t>Board</w:t>
      </w:r>
      <w:r>
        <w:rPr>
          <w:spacing w:val="5"/>
        </w:rPr>
        <w:t xml:space="preserve"> </w:t>
      </w:r>
      <w:r>
        <w:t>has</w:t>
      </w:r>
      <w:r>
        <w:rPr>
          <w:spacing w:val="4"/>
        </w:rPr>
        <w:t xml:space="preserve"> </w:t>
      </w:r>
      <w:r>
        <w:t>a</w:t>
      </w:r>
      <w:r>
        <w:rPr>
          <w:spacing w:val="5"/>
        </w:rPr>
        <w:t xml:space="preserve"> </w:t>
      </w:r>
      <w:r>
        <w:t>statutory</w:t>
      </w:r>
      <w:r>
        <w:rPr>
          <w:spacing w:val="4"/>
        </w:rPr>
        <w:t xml:space="preserve"> </w:t>
      </w:r>
      <w:r>
        <w:t>obligation</w:t>
      </w:r>
      <w:r>
        <w:rPr>
          <w:spacing w:val="5"/>
        </w:rPr>
        <w:t xml:space="preserve"> </w:t>
      </w:r>
      <w:r>
        <w:rPr>
          <w:spacing w:val="-5"/>
        </w:rPr>
        <w:t>to:</w:t>
      </w:r>
    </w:p>
    <w:p w14:paraId="4203F815" w14:textId="4696F3FC" w:rsidR="00992D21" w:rsidRDefault="00992D21" w:rsidP="0000278A">
      <w:pPr>
        <w:pStyle w:val="Bullet"/>
      </w:pPr>
      <w:r w:rsidRPr="005E15D7">
        <w:t>approve</w:t>
      </w:r>
      <w:r w:rsidRPr="005E15D7">
        <w:rPr>
          <w:spacing w:val="1"/>
        </w:rPr>
        <w:t xml:space="preserve"> </w:t>
      </w:r>
      <w:r w:rsidRPr="005E15D7">
        <w:t>the</w:t>
      </w:r>
      <w:r w:rsidRPr="005E15D7">
        <w:rPr>
          <w:spacing w:val="2"/>
        </w:rPr>
        <w:t xml:space="preserve"> </w:t>
      </w:r>
      <w:r w:rsidRPr="005E15D7">
        <w:t>RBA’s</w:t>
      </w:r>
      <w:r w:rsidRPr="005E15D7">
        <w:rPr>
          <w:spacing w:val="2"/>
        </w:rPr>
        <w:t xml:space="preserve"> </w:t>
      </w:r>
      <w:r w:rsidRPr="005E15D7">
        <w:t>annual</w:t>
      </w:r>
      <w:r w:rsidRPr="005E15D7">
        <w:rPr>
          <w:spacing w:val="2"/>
        </w:rPr>
        <w:t xml:space="preserve"> </w:t>
      </w:r>
      <w:r w:rsidRPr="005E15D7">
        <w:t>financial</w:t>
      </w:r>
      <w:r w:rsidRPr="005E15D7">
        <w:rPr>
          <w:spacing w:val="2"/>
        </w:rPr>
        <w:t xml:space="preserve"> </w:t>
      </w:r>
      <w:r w:rsidRPr="005E15D7">
        <w:t>statements</w:t>
      </w:r>
      <w:r w:rsidRPr="005E15D7">
        <w:rPr>
          <w:spacing w:val="2"/>
        </w:rPr>
        <w:t xml:space="preserve"> </w:t>
      </w:r>
      <w:r w:rsidRPr="005E15D7">
        <w:t>before</w:t>
      </w:r>
      <w:r w:rsidRPr="005E15D7">
        <w:rPr>
          <w:spacing w:val="2"/>
        </w:rPr>
        <w:t xml:space="preserve"> </w:t>
      </w:r>
      <w:r w:rsidRPr="005E15D7">
        <w:t>the</w:t>
      </w:r>
      <w:r w:rsidRPr="005E15D7">
        <w:rPr>
          <w:spacing w:val="2"/>
        </w:rPr>
        <w:t xml:space="preserve"> </w:t>
      </w:r>
      <w:r w:rsidRPr="005E15D7">
        <w:t>Governor</w:t>
      </w:r>
      <w:r w:rsidRPr="005E15D7">
        <w:rPr>
          <w:spacing w:val="2"/>
        </w:rPr>
        <w:t xml:space="preserve"> </w:t>
      </w:r>
      <w:r w:rsidRPr="005E15D7">
        <w:t>gives</w:t>
      </w:r>
      <w:r w:rsidRPr="005E15D7">
        <w:rPr>
          <w:spacing w:val="2"/>
        </w:rPr>
        <w:t xml:space="preserve"> </w:t>
      </w:r>
      <w:r w:rsidRPr="005E15D7">
        <w:t>the</w:t>
      </w:r>
      <w:r w:rsidRPr="005E15D7">
        <w:rPr>
          <w:spacing w:val="2"/>
        </w:rPr>
        <w:t xml:space="preserve"> </w:t>
      </w:r>
      <w:r w:rsidRPr="005E15D7">
        <w:t>statements</w:t>
      </w:r>
      <w:r w:rsidRPr="005E15D7">
        <w:rPr>
          <w:spacing w:val="2"/>
        </w:rPr>
        <w:t xml:space="preserve"> </w:t>
      </w:r>
      <w:r w:rsidRPr="005E15D7">
        <w:t>to</w:t>
      </w:r>
      <w:r w:rsidRPr="005E15D7">
        <w:rPr>
          <w:spacing w:val="2"/>
        </w:rPr>
        <w:t xml:space="preserve"> </w:t>
      </w:r>
      <w:r w:rsidRPr="005E15D7">
        <w:rPr>
          <w:spacing w:val="-5"/>
        </w:rPr>
        <w:t>the</w:t>
      </w:r>
      <w:r w:rsidR="005E15D7">
        <w:rPr>
          <w:spacing w:val="-5"/>
        </w:rPr>
        <w:t xml:space="preserve"> </w:t>
      </w:r>
      <w:r w:rsidRPr="005E15D7">
        <w:rPr>
          <w:spacing w:val="-2"/>
        </w:rPr>
        <w:t>Auditor-General</w:t>
      </w:r>
    </w:p>
    <w:p w14:paraId="1B5A2421" w14:textId="7DAF6899" w:rsidR="00992D21" w:rsidRPr="005E15D7" w:rsidRDefault="00992D21" w:rsidP="0000278A">
      <w:pPr>
        <w:pStyle w:val="Bullet"/>
        <w:rPr>
          <w:szCs w:val="22"/>
        </w:rPr>
      </w:pPr>
      <w:r w:rsidRPr="005E15D7">
        <w:rPr>
          <w:szCs w:val="22"/>
        </w:rPr>
        <w:t>determine</w:t>
      </w:r>
      <w:r w:rsidRPr="005E15D7">
        <w:rPr>
          <w:spacing w:val="3"/>
          <w:szCs w:val="22"/>
        </w:rPr>
        <w:t xml:space="preserve"> </w:t>
      </w:r>
      <w:r w:rsidRPr="005E15D7">
        <w:rPr>
          <w:szCs w:val="22"/>
        </w:rPr>
        <w:t>the</w:t>
      </w:r>
      <w:r w:rsidRPr="005E15D7">
        <w:rPr>
          <w:spacing w:val="4"/>
          <w:szCs w:val="22"/>
        </w:rPr>
        <w:t xml:space="preserve"> </w:t>
      </w:r>
      <w:r w:rsidRPr="005E15D7">
        <w:rPr>
          <w:szCs w:val="22"/>
        </w:rPr>
        <w:t>Governor</w:t>
      </w:r>
      <w:r w:rsidRPr="005E15D7">
        <w:rPr>
          <w:spacing w:val="3"/>
          <w:szCs w:val="22"/>
        </w:rPr>
        <w:t xml:space="preserve"> </w:t>
      </w:r>
      <w:r w:rsidRPr="005E15D7">
        <w:rPr>
          <w:szCs w:val="22"/>
        </w:rPr>
        <w:t>and</w:t>
      </w:r>
      <w:r w:rsidRPr="005E15D7">
        <w:rPr>
          <w:spacing w:val="4"/>
          <w:szCs w:val="22"/>
        </w:rPr>
        <w:t xml:space="preserve"> </w:t>
      </w:r>
      <w:r w:rsidRPr="005E15D7">
        <w:rPr>
          <w:szCs w:val="22"/>
        </w:rPr>
        <w:t>Deputy</w:t>
      </w:r>
      <w:r w:rsidRPr="005E15D7">
        <w:rPr>
          <w:spacing w:val="3"/>
          <w:szCs w:val="22"/>
        </w:rPr>
        <w:t xml:space="preserve"> </w:t>
      </w:r>
      <w:r w:rsidRPr="005E15D7">
        <w:rPr>
          <w:szCs w:val="22"/>
        </w:rPr>
        <w:t>Governor’s</w:t>
      </w:r>
      <w:r w:rsidRPr="005E15D7">
        <w:rPr>
          <w:spacing w:val="4"/>
          <w:szCs w:val="22"/>
        </w:rPr>
        <w:t xml:space="preserve"> </w:t>
      </w:r>
      <w:r w:rsidRPr="005E15D7">
        <w:rPr>
          <w:szCs w:val="22"/>
        </w:rPr>
        <w:t>remuneration</w:t>
      </w:r>
      <w:r w:rsidRPr="005E15D7">
        <w:rPr>
          <w:spacing w:val="3"/>
          <w:szCs w:val="22"/>
        </w:rPr>
        <w:t xml:space="preserve"> </w:t>
      </w:r>
      <w:r w:rsidRPr="005E15D7">
        <w:rPr>
          <w:szCs w:val="22"/>
        </w:rPr>
        <w:t>(with</w:t>
      </w:r>
      <w:r w:rsidRPr="005E15D7">
        <w:rPr>
          <w:spacing w:val="4"/>
          <w:szCs w:val="22"/>
        </w:rPr>
        <w:t xml:space="preserve"> </w:t>
      </w:r>
      <w:r w:rsidRPr="005E15D7">
        <w:rPr>
          <w:szCs w:val="22"/>
        </w:rPr>
        <w:t>advice</w:t>
      </w:r>
      <w:r w:rsidRPr="005E15D7">
        <w:rPr>
          <w:spacing w:val="3"/>
          <w:szCs w:val="22"/>
        </w:rPr>
        <w:t xml:space="preserve"> </w:t>
      </w:r>
      <w:r w:rsidRPr="005E15D7">
        <w:rPr>
          <w:szCs w:val="22"/>
        </w:rPr>
        <w:t>from</w:t>
      </w:r>
      <w:r w:rsidRPr="005E15D7">
        <w:rPr>
          <w:spacing w:val="4"/>
          <w:szCs w:val="22"/>
        </w:rPr>
        <w:t xml:space="preserve"> </w:t>
      </w:r>
      <w:r w:rsidRPr="005E15D7">
        <w:rPr>
          <w:spacing w:val="-10"/>
          <w:szCs w:val="22"/>
        </w:rPr>
        <w:t>a</w:t>
      </w:r>
      <w:r w:rsidR="005E15D7" w:rsidRPr="005E15D7">
        <w:rPr>
          <w:spacing w:val="-10"/>
          <w:szCs w:val="22"/>
        </w:rPr>
        <w:t xml:space="preserve"> </w:t>
      </w:r>
      <w:r w:rsidRPr="005E15D7">
        <w:rPr>
          <w:szCs w:val="22"/>
        </w:rPr>
        <w:t>Remuneration Committee</w:t>
      </w:r>
      <w:r w:rsidRPr="005E15D7">
        <w:rPr>
          <w:spacing w:val="2"/>
          <w:szCs w:val="22"/>
        </w:rPr>
        <w:t xml:space="preserve"> </w:t>
      </w:r>
      <w:r w:rsidRPr="005E15D7">
        <w:rPr>
          <w:szCs w:val="22"/>
        </w:rPr>
        <w:t>comprised</w:t>
      </w:r>
      <w:r w:rsidRPr="005E15D7">
        <w:rPr>
          <w:spacing w:val="2"/>
          <w:szCs w:val="22"/>
        </w:rPr>
        <w:t xml:space="preserve"> </w:t>
      </w:r>
      <w:r w:rsidRPr="005E15D7">
        <w:rPr>
          <w:szCs w:val="22"/>
        </w:rPr>
        <w:t>of</w:t>
      </w:r>
      <w:r w:rsidRPr="005E15D7">
        <w:rPr>
          <w:spacing w:val="2"/>
          <w:szCs w:val="22"/>
        </w:rPr>
        <w:t xml:space="preserve"> </w:t>
      </w:r>
      <w:r w:rsidRPr="005E15D7">
        <w:rPr>
          <w:szCs w:val="22"/>
        </w:rPr>
        <w:t>3</w:t>
      </w:r>
      <w:r w:rsidRPr="005E15D7">
        <w:rPr>
          <w:spacing w:val="2"/>
          <w:szCs w:val="22"/>
        </w:rPr>
        <w:t xml:space="preserve"> </w:t>
      </w:r>
      <w:r w:rsidRPr="005E15D7">
        <w:rPr>
          <w:szCs w:val="22"/>
        </w:rPr>
        <w:t>external</w:t>
      </w:r>
      <w:r w:rsidRPr="005E15D7">
        <w:rPr>
          <w:spacing w:val="2"/>
          <w:szCs w:val="22"/>
        </w:rPr>
        <w:t xml:space="preserve"> </w:t>
      </w:r>
      <w:r w:rsidRPr="005E15D7">
        <w:rPr>
          <w:szCs w:val="22"/>
        </w:rPr>
        <w:t>members</w:t>
      </w:r>
      <w:r w:rsidRPr="005E15D7">
        <w:rPr>
          <w:spacing w:val="2"/>
          <w:szCs w:val="22"/>
        </w:rPr>
        <w:t xml:space="preserve"> </w:t>
      </w:r>
      <w:r w:rsidRPr="005E15D7">
        <w:rPr>
          <w:szCs w:val="22"/>
        </w:rPr>
        <w:t>of</w:t>
      </w:r>
      <w:r w:rsidRPr="005E15D7">
        <w:rPr>
          <w:spacing w:val="2"/>
          <w:szCs w:val="22"/>
        </w:rPr>
        <w:t xml:space="preserve"> </w:t>
      </w:r>
      <w:r w:rsidRPr="005E15D7">
        <w:rPr>
          <w:szCs w:val="22"/>
        </w:rPr>
        <w:t>the</w:t>
      </w:r>
      <w:r w:rsidRPr="005E15D7">
        <w:rPr>
          <w:spacing w:val="2"/>
          <w:szCs w:val="22"/>
        </w:rPr>
        <w:t xml:space="preserve"> </w:t>
      </w:r>
      <w:r w:rsidRPr="005E15D7">
        <w:rPr>
          <w:szCs w:val="22"/>
        </w:rPr>
        <w:t>Reserve</w:t>
      </w:r>
      <w:r w:rsidRPr="005E15D7">
        <w:rPr>
          <w:spacing w:val="2"/>
          <w:szCs w:val="22"/>
        </w:rPr>
        <w:t xml:space="preserve"> </w:t>
      </w:r>
      <w:r w:rsidRPr="005E15D7">
        <w:rPr>
          <w:szCs w:val="22"/>
        </w:rPr>
        <w:t>Bank</w:t>
      </w:r>
      <w:r w:rsidRPr="005E15D7">
        <w:rPr>
          <w:spacing w:val="3"/>
          <w:szCs w:val="22"/>
        </w:rPr>
        <w:t xml:space="preserve"> </w:t>
      </w:r>
      <w:r w:rsidRPr="005E15D7">
        <w:rPr>
          <w:spacing w:val="-2"/>
          <w:szCs w:val="22"/>
        </w:rPr>
        <w:t>Board)</w:t>
      </w:r>
    </w:p>
    <w:p w14:paraId="09F04738" w14:textId="75B38575" w:rsidR="00161F85" w:rsidRDefault="00992D21" w:rsidP="0000278A">
      <w:pPr>
        <w:pStyle w:val="Bullet"/>
      </w:pPr>
      <w:r>
        <w:t>approve the Audit Committee’s charter, which sets out the objectives and responsibilities of this committee</w:t>
      </w:r>
      <w:r w:rsidR="0068598E">
        <w:rPr>
          <w:spacing w:val="-25"/>
        </w:rPr>
        <w:t>.</w:t>
      </w:r>
    </w:p>
    <w:p w14:paraId="23126C72" w14:textId="28522C02" w:rsidR="00D52BD8" w:rsidRDefault="00D52BD8" w:rsidP="006748ED">
      <w:r w:rsidRPr="00D52BD8">
        <w:lastRenderedPageBreak/>
        <w:t>The Audit Committee must be established under s 45 of the PGPA Act and comprises a subset of external members of the Reserve Bank Board and at least one external appointment. It assists the Governor (as the RBA’s accountable authority) and the Reserve Bank Board by reviewing the</w:t>
      </w:r>
      <w:r w:rsidR="006748ED">
        <w:t xml:space="preserve"> </w:t>
      </w:r>
      <w:r w:rsidRPr="00D52BD8">
        <w:t>appropriateness of</w:t>
      </w:r>
      <w:r w:rsidRPr="00D52BD8">
        <w:rPr>
          <w:spacing w:val="2"/>
        </w:rPr>
        <w:t xml:space="preserve"> </w:t>
      </w:r>
      <w:r w:rsidRPr="00D52BD8">
        <w:t>the</w:t>
      </w:r>
      <w:r w:rsidRPr="00D52BD8">
        <w:rPr>
          <w:spacing w:val="2"/>
        </w:rPr>
        <w:t xml:space="preserve"> </w:t>
      </w:r>
      <w:r w:rsidRPr="00D52BD8">
        <w:t>RBA’s</w:t>
      </w:r>
      <w:r w:rsidRPr="00D52BD8">
        <w:rPr>
          <w:spacing w:val="2"/>
        </w:rPr>
        <w:t xml:space="preserve"> </w:t>
      </w:r>
      <w:r w:rsidRPr="00D52BD8">
        <w:t>financial</w:t>
      </w:r>
      <w:r w:rsidRPr="00D52BD8">
        <w:rPr>
          <w:spacing w:val="2"/>
        </w:rPr>
        <w:t xml:space="preserve"> </w:t>
      </w:r>
      <w:r w:rsidRPr="00D52BD8">
        <w:t>and</w:t>
      </w:r>
      <w:r w:rsidRPr="00D52BD8">
        <w:rPr>
          <w:spacing w:val="3"/>
        </w:rPr>
        <w:t xml:space="preserve"> </w:t>
      </w:r>
      <w:r w:rsidRPr="00D52BD8">
        <w:t>performance</w:t>
      </w:r>
      <w:r w:rsidRPr="00D52BD8">
        <w:rPr>
          <w:spacing w:val="2"/>
        </w:rPr>
        <w:t xml:space="preserve"> </w:t>
      </w:r>
      <w:r w:rsidRPr="00D52BD8">
        <w:t>reporting,</w:t>
      </w:r>
      <w:r w:rsidRPr="00D52BD8">
        <w:rPr>
          <w:spacing w:val="2"/>
        </w:rPr>
        <w:t xml:space="preserve"> </w:t>
      </w:r>
      <w:r w:rsidRPr="00D52BD8">
        <w:t>risk</w:t>
      </w:r>
      <w:r w:rsidRPr="00D52BD8">
        <w:rPr>
          <w:spacing w:val="2"/>
        </w:rPr>
        <w:t xml:space="preserve"> </w:t>
      </w:r>
      <w:r w:rsidRPr="00D52BD8">
        <w:t>oversight</w:t>
      </w:r>
      <w:r w:rsidRPr="00D52BD8">
        <w:rPr>
          <w:spacing w:val="2"/>
        </w:rPr>
        <w:t xml:space="preserve"> </w:t>
      </w:r>
      <w:r w:rsidRPr="00D52BD8">
        <w:t>and</w:t>
      </w:r>
      <w:r w:rsidRPr="00D52BD8">
        <w:rPr>
          <w:spacing w:val="3"/>
        </w:rPr>
        <w:t xml:space="preserve"> </w:t>
      </w:r>
      <w:r w:rsidRPr="00D52BD8">
        <w:rPr>
          <w:spacing w:val="-2"/>
        </w:rPr>
        <w:t>management</w:t>
      </w:r>
      <w:r>
        <w:rPr>
          <w:spacing w:val="-2"/>
        </w:rPr>
        <w:t xml:space="preserve"> </w:t>
      </w:r>
      <w:r w:rsidRPr="00D52BD8">
        <w:t>systems,</w:t>
      </w:r>
      <w:r w:rsidRPr="00D52BD8">
        <w:rPr>
          <w:spacing w:val="5"/>
        </w:rPr>
        <w:t xml:space="preserve"> </w:t>
      </w:r>
      <w:r w:rsidRPr="00D52BD8">
        <w:t>and</w:t>
      </w:r>
      <w:r w:rsidRPr="00D52BD8">
        <w:rPr>
          <w:spacing w:val="5"/>
        </w:rPr>
        <w:t xml:space="preserve"> </w:t>
      </w:r>
      <w:r w:rsidRPr="00D52BD8">
        <w:t>internal</w:t>
      </w:r>
      <w:r w:rsidRPr="00D52BD8">
        <w:rPr>
          <w:spacing w:val="6"/>
        </w:rPr>
        <w:t xml:space="preserve"> </w:t>
      </w:r>
      <w:r w:rsidRPr="00D52BD8">
        <w:t>control</w:t>
      </w:r>
      <w:r w:rsidRPr="00D52BD8">
        <w:rPr>
          <w:spacing w:val="5"/>
        </w:rPr>
        <w:t xml:space="preserve"> </w:t>
      </w:r>
      <w:r w:rsidRPr="00D52BD8">
        <w:t>systems</w:t>
      </w:r>
      <w:r w:rsidR="0068598E">
        <w:rPr>
          <w:spacing w:val="-21"/>
        </w:rPr>
        <w:t>.</w:t>
      </w:r>
    </w:p>
    <w:p w14:paraId="14D71288" w14:textId="79E3363E" w:rsidR="00D52BD8" w:rsidRDefault="00D52BD8" w:rsidP="006748ED">
      <w:r w:rsidRPr="00D52BD8">
        <w:t>In addition to these statutory obligations, the Reserve Bank Board also has the ‘power to determine the policy of the Bank in relation to any matter, other than its payments system policy’ (s 10(1) RBA Act)</w:t>
      </w:r>
      <w:r w:rsidR="0068598E">
        <w:rPr>
          <w:spacing w:val="-22"/>
        </w:rPr>
        <w:t>.</w:t>
      </w:r>
      <w:r w:rsidRPr="00D52BD8">
        <w:rPr>
          <w:w w:val="85"/>
        </w:rPr>
        <w:t xml:space="preserve"> </w:t>
      </w:r>
      <w:r w:rsidRPr="00D52BD8">
        <w:t>It is ‘responsible for the Bank’s monetary and banking policy, and the Bank’s policy on all other matters, except for payments system policy’ (s 8A(2) RBA Act)</w:t>
      </w:r>
      <w:r w:rsidR="0068598E">
        <w:rPr>
          <w:spacing w:val="-14"/>
        </w:rPr>
        <w:t>.</w:t>
      </w:r>
    </w:p>
    <w:p w14:paraId="716EFFFD" w14:textId="79EEBD1A" w:rsidR="00D52BD8" w:rsidRDefault="00D52BD8" w:rsidP="006748ED">
      <w:r w:rsidRPr="00D52BD8">
        <w:t>There is ambiguity around whether ‘any matters’ and ‘all other matters’ include corporate governance responsibilities and powers</w:t>
      </w:r>
      <w:r w:rsidR="0068598E">
        <w:rPr>
          <w:spacing w:val="-17"/>
        </w:rPr>
        <w:t>.</w:t>
      </w:r>
      <w:r w:rsidRPr="00D52BD8">
        <w:rPr>
          <w:w w:val="85"/>
        </w:rPr>
        <w:t xml:space="preserve"> </w:t>
      </w:r>
      <w:r w:rsidRPr="00D52BD8">
        <w:t>Since the early 2000s the Reserve Bank Board has received, or been made aware of, differing legal advice on the powers and responsibilities of the Reserve Bank Board</w:t>
      </w:r>
      <w:r w:rsidR="0068598E">
        <w:rPr>
          <w:spacing w:val="-20"/>
        </w:rPr>
        <w:t>.</w:t>
      </w:r>
      <w:r w:rsidRPr="00D52BD8">
        <w:rPr>
          <w:w w:val="85"/>
        </w:rPr>
        <w:t xml:space="preserve"> </w:t>
      </w:r>
      <w:r w:rsidRPr="00D52BD8">
        <w:t>Until December 2012, the Reserve Bank Board took the view that it had</w:t>
      </w:r>
      <w:r w:rsidR="006748ED">
        <w:t xml:space="preserve"> </w:t>
      </w:r>
      <w:r w:rsidRPr="00D52BD8">
        <w:rPr>
          <w:color w:val="231F20"/>
        </w:rPr>
        <w:t>no positive duty to determine policies beyond those going to the monetary policy and financial stability mandates and certain other aspects of its central banking business.</w:t>
      </w:r>
    </w:p>
    <w:p w14:paraId="4A5F78F5" w14:textId="731CE9CE" w:rsidR="00D52BD8" w:rsidRDefault="00D52BD8" w:rsidP="006748ED">
      <w:r w:rsidRPr="00D52BD8">
        <w:t>In December 2012, the Reserve Bank Board settled on an approach whereby the Governor provides a report to the Reserve Bank Board each year listing policies that set a strategic direction (or articulate a framework for decision making) in the areas of governance, risk, human resources, health and safety, and major assets and resources. The report also covers significant changes to these policies over the preceding year and details their compliance arrangements (RBA 2022g)</w:t>
      </w:r>
      <w:r w:rsidR="0068598E">
        <w:rPr>
          <w:spacing w:val="-18"/>
        </w:rPr>
        <w:t>.</w:t>
      </w:r>
    </w:p>
    <w:p w14:paraId="4BB02625" w14:textId="60F8096B" w:rsidR="00D52BD8" w:rsidRDefault="00D52BD8" w:rsidP="006748ED">
      <w:r w:rsidRPr="00D52BD8">
        <w:t xml:space="preserve">Since the introduction of the </w:t>
      </w:r>
      <w:r w:rsidRPr="00D52BD8">
        <w:rPr>
          <w:i/>
        </w:rPr>
        <w:t>Work Health and Safety Act 2011</w:t>
      </w:r>
      <w:r w:rsidRPr="00D52BD8">
        <w:t>, the Reserve Bank Board has received and discussed a report on workplace health and safety matters at least once a year</w:t>
      </w:r>
      <w:r w:rsidR="0068598E">
        <w:rPr>
          <w:spacing w:val="-19"/>
        </w:rPr>
        <w:t>.</w:t>
      </w:r>
      <w:r w:rsidRPr="00D52BD8">
        <w:rPr>
          <w:w w:val="85"/>
        </w:rPr>
        <w:t xml:space="preserve"> </w:t>
      </w:r>
      <w:r w:rsidRPr="00D52BD8">
        <w:t>The Reserve Bank Board does not approve individual policies at the RBA or the RBA’s budget</w:t>
      </w:r>
      <w:r w:rsidR="0068598E">
        <w:rPr>
          <w:spacing w:val="-22"/>
        </w:rPr>
        <w:t>.</w:t>
      </w:r>
      <w:r w:rsidRPr="00D52BD8">
        <w:rPr>
          <w:w w:val="85"/>
        </w:rPr>
        <w:t xml:space="preserve"> </w:t>
      </w:r>
      <w:r w:rsidRPr="00D52BD8">
        <w:t>These are seen as decisions made by the Governor, consistent with the Governor’s responsibility under the RBA Act to manage the RBA. Despite the apparent ambiguity, Reserve Bank Board surveys from 2017 to 2022 found that in all but one case, Reserve Bank Board members either agreed or strongly agreed that ‘the Board’s role and responsibilities are well defined and understood by members’.</w:t>
      </w:r>
    </w:p>
    <w:p w14:paraId="3FB43CCC" w14:textId="2EB3C5A9" w:rsidR="00D52BD8" w:rsidRDefault="00D52BD8" w:rsidP="006748ED">
      <w:r w:rsidRPr="00D52BD8">
        <w:t>Analysis of Reserve Bank Board agendas confirms that meetings are almost entirely focused on monetary policy, with corporate governance matters appearing only occasionally</w:t>
      </w:r>
      <w:r w:rsidR="0068598E">
        <w:rPr>
          <w:spacing w:val="-15"/>
        </w:rPr>
        <w:t>.</w:t>
      </w:r>
      <w:r w:rsidRPr="00D52BD8">
        <w:rPr>
          <w:w w:val="85"/>
        </w:rPr>
        <w:t xml:space="preserve"> </w:t>
      </w:r>
      <w:r w:rsidRPr="00D52BD8">
        <w:t>Consultations with past and current Reserve Bank Board members found that most members viewed the Board as a monetary policy making body, with corporate governance largely falling outside their remit</w:t>
      </w:r>
      <w:r w:rsidR="0068598E">
        <w:rPr>
          <w:spacing w:val="-18"/>
        </w:rPr>
        <w:t>.</w:t>
      </w:r>
    </w:p>
    <w:p w14:paraId="43D38085" w14:textId="77777777" w:rsidR="00D52BD8" w:rsidRDefault="00D52BD8" w:rsidP="00266B8C">
      <w:pPr>
        <w:pStyle w:val="Heading3"/>
      </w:pPr>
      <w:r w:rsidRPr="00D52BD8">
        <w:t>Risk</w:t>
      </w:r>
      <w:r w:rsidRPr="00D52BD8">
        <w:rPr>
          <w:spacing w:val="-11"/>
        </w:rPr>
        <w:t xml:space="preserve"> </w:t>
      </w:r>
      <w:r w:rsidRPr="00D52BD8">
        <w:t>governance</w:t>
      </w:r>
      <w:r w:rsidRPr="00D52BD8">
        <w:rPr>
          <w:spacing w:val="-11"/>
        </w:rPr>
        <w:t xml:space="preserve"> </w:t>
      </w:r>
      <w:r w:rsidRPr="00D52BD8">
        <w:t>responsibilities</w:t>
      </w:r>
    </w:p>
    <w:p w14:paraId="23F645C3" w14:textId="77777777" w:rsidR="00D52BD8" w:rsidRDefault="00D52BD8" w:rsidP="006748ED">
      <w:r w:rsidRPr="00D52BD8">
        <w:t>The formal roles and responsibilities relating to risk governance are somewhat unclear, with responsibility split between the Governor, the Reserve Bank Board and the Payments System Board.</w:t>
      </w:r>
    </w:p>
    <w:p w14:paraId="3C3B4BFE" w14:textId="7D4AC2BB" w:rsidR="00D52BD8" w:rsidRDefault="00D52BD8" w:rsidP="006748ED">
      <w:r w:rsidRPr="00D52BD8">
        <w:t>As the accountable authority, the Governor has a duty to establish and maintain risk management systems at the RBA</w:t>
      </w:r>
      <w:r w:rsidR="0068598E">
        <w:rPr>
          <w:spacing w:val="-17"/>
        </w:rPr>
        <w:t>.</w:t>
      </w:r>
      <w:r w:rsidRPr="00D52BD8">
        <w:rPr>
          <w:w w:val="85"/>
        </w:rPr>
        <w:t xml:space="preserve"> </w:t>
      </w:r>
      <w:r w:rsidRPr="00D52BD8">
        <w:t>The Reserve Bank Board does not have an explicit statutory responsibility</w:t>
      </w:r>
      <w:r w:rsidR="006748ED">
        <w:t xml:space="preserve"> </w:t>
      </w:r>
      <w:r w:rsidRPr="00D52BD8">
        <w:rPr>
          <w:color w:val="231F20"/>
        </w:rPr>
        <w:t>for</w:t>
      </w:r>
      <w:r w:rsidRPr="00D52BD8">
        <w:rPr>
          <w:color w:val="231F20"/>
          <w:spacing w:val="-1"/>
        </w:rPr>
        <w:t xml:space="preserve"> </w:t>
      </w:r>
      <w:r w:rsidRPr="00D52BD8">
        <w:rPr>
          <w:color w:val="231F20"/>
          <w:spacing w:val="-4"/>
        </w:rPr>
        <w:t>risk.</w:t>
      </w:r>
    </w:p>
    <w:p w14:paraId="49DF272A" w14:textId="6EC9132F" w:rsidR="00D52BD8" w:rsidRDefault="00D52BD8" w:rsidP="006748ED">
      <w:r w:rsidRPr="00D52BD8">
        <w:t>The Governor sets the Risk Management Policy, which includes the Risk Appetite Statement</w:t>
      </w:r>
      <w:r w:rsidR="0068598E">
        <w:rPr>
          <w:spacing w:val="-18"/>
        </w:rPr>
        <w:t>.</w:t>
      </w:r>
      <w:r w:rsidRPr="00D52BD8">
        <w:rPr>
          <w:spacing w:val="40"/>
        </w:rPr>
        <w:t xml:space="preserve"> </w:t>
      </w:r>
      <w:r w:rsidRPr="00D52BD8">
        <w:t>The Deputy Governor chairs the executive Risk Management Committee, which assists with the implementation of the Risk Management Policy</w:t>
      </w:r>
      <w:r w:rsidR="0068598E">
        <w:rPr>
          <w:spacing w:val="-11"/>
        </w:rPr>
        <w:t>.</w:t>
      </w:r>
    </w:p>
    <w:p w14:paraId="688B351F" w14:textId="0780B89D" w:rsidR="00D52BD8" w:rsidRPr="00D52BD8" w:rsidRDefault="00D52BD8" w:rsidP="006748ED">
      <w:r w:rsidRPr="00D52BD8">
        <w:t>The Audit Committee assists the Governor in fulfilling their risk governance duties by reviewing</w:t>
      </w:r>
      <w:r w:rsidRPr="00D52BD8">
        <w:rPr>
          <w:spacing w:val="80"/>
        </w:rPr>
        <w:t xml:space="preserve"> </w:t>
      </w:r>
      <w:r w:rsidRPr="00D52BD8">
        <w:t>the appropriateness of the RBA’s systems</w:t>
      </w:r>
      <w:r w:rsidR="0068598E">
        <w:rPr>
          <w:spacing w:val="-18"/>
        </w:rPr>
        <w:t>.</w:t>
      </w:r>
      <w:r w:rsidRPr="00D52BD8">
        <w:rPr>
          <w:w w:val="85"/>
        </w:rPr>
        <w:t xml:space="preserve"> </w:t>
      </w:r>
      <w:r w:rsidRPr="00D52BD8">
        <w:t>The Reserve Bank Board sets the charter of the Audit Committee, and as noted, the Audit Committee also reports to the Reserve Bank Board on related matters, such as financial reporting.</w:t>
      </w:r>
    </w:p>
    <w:p w14:paraId="74B00FE8" w14:textId="0D8009BD" w:rsidR="00CF00E8" w:rsidRDefault="00CF00E8" w:rsidP="00CF00E8">
      <w:r>
        <w:t>The Charter of the Audit Committee includes a comprehensive approach to reviewing risk controls and aligns with the suggested content in the model audit committee charter published by the Department of Finance</w:t>
      </w:r>
      <w:r w:rsidR="0068598E">
        <w:rPr>
          <w:spacing w:val="-11"/>
        </w:rPr>
        <w:t>.</w:t>
      </w:r>
    </w:p>
    <w:p w14:paraId="215F2CC5" w14:textId="4198135C" w:rsidR="00CF00E8" w:rsidRDefault="00CF00E8" w:rsidP="00CF00E8">
      <w:r>
        <w:lastRenderedPageBreak/>
        <w:t>According</w:t>
      </w:r>
      <w:r>
        <w:rPr>
          <w:spacing w:val="14"/>
        </w:rPr>
        <w:t xml:space="preserve"> </w:t>
      </w:r>
      <w:r>
        <w:t>to</w:t>
      </w:r>
      <w:r>
        <w:rPr>
          <w:spacing w:val="14"/>
        </w:rPr>
        <w:t xml:space="preserve"> </w:t>
      </w:r>
      <w:r>
        <w:t>the</w:t>
      </w:r>
      <w:r>
        <w:rPr>
          <w:spacing w:val="14"/>
        </w:rPr>
        <w:t xml:space="preserve"> </w:t>
      </w:r>
      <w:r>
        <w:t>RBA’s</w:t>
      </w:r>
      <w:r>
        <w:rPr>
          <w:spacing w:val="14"/>
        </w:rPr>
        <w:t xml:space="preserve"> </w:t>
      </w:r>
      <w:r>
        <w:t>2022</w:t>
      </w:r>
      <w:r>
        <w:rPr>
          <w:spacing w:val="14"/>
        </w:rPr>
        <w:t xml:space="preserve"> </w:t>
      </w:r>
      <w:r>
        <w:t>Annual</w:t>
      </w:r>
      <w:r>
        <w:rPr>
          <w:spacing w:val="14"/>
        </w:rPr>
        <w:t xml:space="preserve"> </w:t>
      </w:r>
      <w:r>
        <w:t>Report,</w:t>
      </w:r>
      <w:r>
        <w:rPr>
          <w:spacing w:val="14"/>
        </w:rPr>
        <w:t xml:space="preserve"> </w:t>
      </w:r>
      <w:r>
        <w:t>risks</w:t>
      </w:r>
      <w:r>
        <w:rPr>
          <w:spacing w:val="14"/>
        </w:rPr>
        <w:t xml:space="preserve"> </w:t>
      </w:r>
      <w:r>
        <w:t>associated</w:t>
      </w:r>
      <w:r>
        <w:rPr>
          <w:spacing w:val="14"/>
        </w:rPr>
        <w:t xml:space="preserve"> </w:t>
      </w:r>
      <w:r>
        <w:t>with</w:t>
      </w:r>
      <w:r>
        <w:rPr>
          <w:spacing w:val="14"/>
        </w:rPr>
        <w:t xml:space="preserve"> </w:t>
      </w:r>
      <w:r>
        <w:t>the</w:t>
      </w:r>
      <w:r>
        <w:rPr>
          <w:spacing w:val="14"/>
        </w:rPr>
        <w:t xml:space="preserve"> </w:t>
      </w:r>
      <w:r>
        <w:t>formulation</w:t>
      </w:r>
      <w:r>
        <w:rPr>
          <w:spacing w:val="14"/>
        </w:rPr>
        <w:t xml:space="preserve"> </w:t>
      </w:r>
      <w:r>
        <w:t>of</w:t>
      </w:r>
      <w:r>
        <w:rPr>
          <w:spacing w:val="14"/>
        </w:rPr>
        <w:t xml:space="preserve"> </w:t>
      </w:r>
      <w:r>
        <w:t>monetary and payments policies are the direct responsibility of the Reserve Bank Board and the Payments System Board</w:t>
      </w:r>
      <w:r w:rsidR="0068598E">
        <w:rPr>
          <w:spacing w:val="-19"/>
        </w:rPr>
        <w:t>.</w:t>
      </w:r>
      <w:r>
        <w:rPr>
          <w:w w:val="85"/>
        </w:rPr>
        <w:t xml:space="preserve"> </w:t>
      </w:r>
      <w:r>
        <w:t>The 2022 Annual Report also notes that the boards review the management of these risks annually and as part of their regular decision-making processes</w:t>
      </w:r>
      <w:r w:rsidR="0068598E">
        <w:rPr>
          <w:spacing w:val="-24"/>
        </w:rPr>
        <w:t>.</w:t>
      </w:r>
      <w:r>
        <w:rPr>
          <w:w w:val="85"/>
        </w:rPr>
        <w:t xml:space="preserve"> </w:t>
      </w:r>
      <w:r>
        <w:t>According to the Audit Committee charter, the Audit Committee does not specifically consider these policy risks.</w:t>
      </w:r>
    </w:p>
    <w:p w14:paraId="0DBC82DF" w14:textId="77777777" w:rsidR="00CF00E8" w:rsidRDefault="00CF00E8" w:rsidP="00266B8C">
      <w:pPr>
        <w:pStyle w:val="Heading3"/>
      </w:pPr>
      <w:r>
        <w:t>Public</w:t>
      </w:r>
      <w:r>
        <w:rPr>
          <w:spacing w:val="-14"/>
        </w:rPr>
        <w:t xml:space="preserve"> </w:t>
      </w:r>
      <w:r>
        <w:t>accountability</w:t>
      </w:r>
      <w:r>
        <w:rPr>
          <w:spacing w:val="-14"/>
        </w:rPr>
        <w:t xml:space="preserve"> </w:t>
      </w:r>
      <w:r>
        <w:rPr>
          <w:spacing w:val="-2"/>
        </w:rPr>
        <w:t>measures</w:t>
      </w:r>
    </w:p>
    <w:p w14:paraId="13F56408" w14:textId="16BB891B" w:rsidR="00CF00E8" w:rsidRDefault="00CF00E8" w:rsidP="00CF00E8">
      <w:r>
        <w:t>Under</w:t>
      </w:r>
      <w:r>
        <w:rPr>
          <w:spacing w:val="-1"/>
        </w:rPr>
        <w:t xml:space="preserve"> </w:t>
      </w:r>
      <w:r>
        <w:t>the</w:t>
      </w:r>
      <w:r>
        <w:rPr>
          <w:spacing w:val="-1"/>
        </w:rPr>
        <w:t xml:space="preserve"> </w:t>
      </w:r>
      <w:r>
        <w:t>PGPA</w:t>
      </w:r>
      <w:r>
        <w:rPr>
          <w:spacing w:val="-1"/>
        </w:rPr>
        <w:t xml:space="preserve"> </w:t>
      </w:r>
      <w:r>
        <w:t>Act,</w:t>
      </w:r>
      <w:r>
        <w:rPr>
          <w:spacing w:val="-1"/>
        </w:rPr>
        <w:t xml:space="preserve"> </w:t>
      </w:r>
      <w:r>
        <w:t>the</w:t>
      </w:r>
      <w:r>
        <w:rPr>
          <w:spacing w:val="-1"/>
        </w:rPr>
        <w:t xml:space="preserve"> </w:t>
      </w:r>
      <w:r>
        <w:t>Governor</w:t>
      </w:r>
      <w:r>
        <w:rPr>
          <w:spacing w:val="-1"/>
        </w:rPr>
        <w:t xml:space="preserve"> </w:t>
      </w:r>
      <w:r>
        <w:t>must</w:t>
      </w:r>
      <w:r>
        <w:rPr>
          <w:spacing w:val="-1"/>
        </w:rPr>
        <w:t xml:space="preserve"> </w:t>
      </w:r>
      <w:r>
        <w:t>prepare</w:t>
      </w:r>
      <w:r>
        <w:rPr>
          <w:spacing w:val="-1"/>
        </w:rPr>
        <w:t xml:space="preserve"> </w:t>
      </w:r>
      <w:r>
        <w:t>and</w:t>
      </w:r>
      <w:r>
        <w:rPr>
          <w:spacing w:val="-1"/>
        </w:rPr>
        <w:t xml:space="preserve"> </w:t>
      </w:r>
      <w:r>
        <w:t>give</w:t>
      </w:r>
      <w:r>
        <w:rPr>
          <w:spacing w:val="-1"/>
        </w:rPr>
        <w:t xml:space="preserve"> </w:t>
      </w:r>
      <w:r>
        <w:t>to</w:t>
      </w:r>
      <w:r>
        <w:rPr>
          <w:spacing w:val="-1"/>
        </w:rPr>
        <w:t xml:space="preserve"> </w:t>
      </w:r>
      <w:r>
        <w:t>the</w:t>
      </w:r>
      <w:r>
        <w:rPr>
          <w:spacing w:val="-1"/>
        </w:rPr>
        <w:t xml:space="preserve"> </w:t>
      </w:r>
      <w:r>
        <w:t>Treasurer</w:t>
      </w:r>
      <w:r>
        <w:rPr>
          <w:spacing w:val="-1"/>
        </w:rPr>
        <w:t xml:space="preserve"> </w:t>
      </w:r>
      <w:r>
        <w:t>for</w:t>
      </w:r>
      <w:r>
        <w:rPr>
          <w:spacing w:val="-1"/>
        </w:rPr>
        <w:t xml:space="preserve"> </w:t>
      </w:r>
      <w:r>
        <w:t>presentation</w:t>
      </w:r>
      <w:r>
        <w:rPr>
          <w:spacing w:val="-1"/>
        </w:rPr>
        <w:t xml:space="preserve"> </w:t>
      </w:r>
      <w:r>
        <w:t>to</w:t>
      </w:r>
      <w:r>
        <w:rPr>
          <w:spacing w:val="-1"/>
        </w:rPr>
        <w:t xml:space="preserve"> </w:t>
      </w:r>
      <w:r>
        <w:t>the Parliament an annual report and must prepare and give to the Treasurer and Finance Minister an annual</w:t>
      </w:r>
      <w:r>
        <w:rPr>
          <w:spacing w:val="-2"/>
        </w:rPr>
        <w:t xml:space="preserve"> </w:t>
      </w:r>
      <w:r>
        <w:t>corporate</w:t>
      </w:r>
      <w:r>
        <w:rPr>
          <w:spacing w:val="-2"/>
        </w:rPr>
        <w:t xml:space="preserve"> </w:t>
      </w:r>
      <w:r>
        <w:t>plan</w:t>
      </w:r>
      <w:r w:rsidR="0068598E">
        <w:rPr>
          <w:spacing w:val="-25"/>
        </w:rPr>
        <w:t>.</w:t>
      </w:r>
      <w:r>
        <w:rPr>
          <w:w w:val="85"/>
        </w:rPr>
        <w:t xml:space="preserve"> </w:t>
      </w:r>
      <w:r>
        <w:t>Both</w:t>
      </w:r>
      <w:r>
        <w:rPr>
          <w:spacing w:val="-2"/>
        </w:rPr>
        <w:t xml:space="preserve"> </w:t>
      </w:r>
      <w:r>
        <w:t>the</w:t>
      </w:r>
      <w:r>
        <w:rPr>
          <w:spacing w:val="-2"/>
        </w:rPr>
        <w:t xml:space="preserve"> </w:t>
      </w:r>
      <w:r>
        <w:t>annual</w:t>
      </w:r>
      <w:r>
        <w:rPr>
          <w:spacing w:val="-2"/>
        </w:rPr>
        <w:t xml:space="preserve"> </w:t>
      </w:r>
      <w:r>
        <w:t>report</w:t>
      </w:r>
      <w:r>
        <w:rPr>
          <w:spacing w:val="-2"/>
        </w:rPr>
        <w:t xml:space="preserve"> </w:t>
      </w:r>
      <w:r>
        <w:t>and</w:t>
      </w:r>
      <w:r>
        <w:rPr>
          <w:spacing w:val="-2"/>
        </w:rPr>
        <w:t xml:space="preserve"> </w:t>
      </w:r>
      <w:r>
        <w:t>corporate</w:t>
      </w:r>
      <w:r>
        <w:rPr>
          <w:spacing w:val="-2"/>
        </w:rPr>
        <w:t xml:space="preserve"> </w:t>
      </w:r>
      <w:r>
        <w:t>plan</w:t>
      </w:r>
      <w:r>
        <w:rPr>
          <w:spacing w:val="-2"/>
        </w:rPr>
        <w:t xml:space="preserve"> </w:t>
      </w:r>
      <w:r>
        <w:t>must</w:t>
      </w:r>
      <w:r>
        <w:rPr>
          <w:spacing w:val="-2"/>
        </w:rPr>
        <w:t xml:space="preserve"> </w:t>
      </w:r>
      <w:r>
        <w:t>be</w:t>
      </w:r>
      <w:r>
        <w:rPr>
          <w:spacing w:val="-2"/>
        </w:rPr>
        <w:t xml:space="preserve"> </w:t>
      </w:r>
      <w:r>
        <w:t>published</w:t>
      </w:r>
      <w:r w:rsidR="0068598E">
        <w:rPr>
          <w:spacing w:val="-25"/>
        </w:rPr>
        <w:t>.</w:t>
      </w:r>
      <w:r>
        <w:rPr>
          <w:w w:val="85"/>
        </w:rPr>
        <w:t xml:space="preserve"> </w:t>
      </w:r>
      <w:r>
        <w:t>The</w:t>
      </w:r>
      <w:r>
        <w:rPr>
          <w:spacing w:val="-2"/>
        </w:rPr>
        <w:t xml:space="preserve"> </w:t>
      </w:r>
      <w:r>
        <w:t>Review received very positive feedback about the quality of the RBA’s reporting, including the financial statements in the annual report</w:t>
      </w:r>
      <w:r w:rsidR="0068598E">
        <w:rPr>
          <w:spacing w:val="-8"/>
        </w:rPr>
        <w:t>.</w:t>
      </w:r>
    </w:p>
    <w:p w14:paraId="706A032E" w14:textId="23FC4FEB" w:rsidR="00CF00E8" w:rsidRDefault="00CF00E8" w:rsidP="00CF00E8">
      <w:r>
        <w:t>The RBA is unusual among Commonwealth entities in that it does not rely on an appropriation for funding and does not have the same requirements to attend Senate Estimates hearings as other Commonwealth entities do. Since 2020, the RBA has received requests to attend Senate Estimates to answer questions about monetary policy and other aspects of its central banking activities.</w:t>
      </w:r>
      <w:r w:rsidR="00553206">
        <w:t xml:space="preserve"> </w:t>
      </w:r>
      <w:r>
        <w:t>These were typically attended by the Deputy Governor and an Assistant Governor</w:t>
      </w:r>
      <w:r w:rsidR="0068598E">
        <w:rPr>
          <w:spacing w:val="-24"/>
        </w:rPr>
        <w:t>.</w:t>
      </w:r>
      <w:r>
        <w:rPr>
          <w:w w:val="85"/>
        </w:rPr>
        <w:t xml:space="preserve"> </w:t>
      </w:r>
      <w:r>
        <w:t>In late 2022 and early 2023, the Governor attended these hearings</w:t>
      </w:r>
      <w:r w:rsidR="0068598E">
        <w:rPr>
          <w:spacing w:val="-19"/>
        </w:rPr>
        <w:t>.</w:t>
      </w:r>
      <w:r>
        <w:rPr>
          <w:w w:val="85"/>
        </w:rPr>
        <w:t xml:space="preserve"> </w:t>
      </w:r>
      <w:r>
        <w:t>In recognition of the RBA’s independence, no Government ministers are in attendance as witnesses while representatives of the RBA are present at Senate Estimates</w:t>
      </w:r>
      <w:r w:rsidR="0068598E">
        <w:rPr>
          <w:spacing w:val="-11"/>
        </w:rPr>
        <w:t>.</w:t>
      </w:r>
    </w:p>
    <w:p w14:paraId="2E08DD45" w14:textId="217DA571" w:rsidR="00CF00E8" w:rsidRDefault="00CF00E8" w:rsidP="00CF00E8">
      <w:r>
        <w:t xml:space="preserve">As part of the </w:t>
      </w:r>
      <w:r>
        <w:rPr>
          <w:i/>
        </w:rPr>
        <w:t>Statement on the Conduct of Monetary Policy</w:t>
      </w:r>
      <w:r>
        <w:t>, the Governor agrees to appearances</w:t>
      </w:r>
      <w:r>
        <w:rPr>
          <w:spacing w:val="40"/>
        </w:rPr>
        <w:t xml:space="preserve"> </w:t>
      </w:r>
      <w:r>
        <w:t>at the House of Representatives Standing Committee on Economics, and other Parliamentary committees as appropriate. Reflecting the nature of these committees, these Parliamentary appearances have tended to focus on monetary policy decisions, rather than corporate matters</w:t>
      </w:r>
      <w:r w:rsidR="0068598E">
        <w:rPr>
          <w:spacing w:val="-24"/>
        </w:rPr>
        <w:t>.</w:t>
      </w:r>
    </w:p>
    <w:p w14:paraId="73FAAC0F" w14:textId="77777777" w:rsidR="00CF00E8" w:rsidRDefault="00CF00E8" w:rsidP="00266B8C">
      <w:pPr>
        <w:pStyle w:val="Heading3"/>
      </w:pPr>
      <w:r>
        <w:t>Other</w:t>
      </w:r>
      <w:r>
        <w:rPr>
          <w:spacing w:val="-12"/>
        </w:rPr>
        <w:t xml:space="preserve"> </w:t>
      </w:r>
      <w:r>
        <w:t>governance</w:t>
      </w:r>
      <w:r>
        <w:rPr>
          <w:spacing w:val="-12"/>
        </w:rPr>
        <w:t xml:space="preserve"> </w:t>
      </w:r>
      <w:r>
        <w:rPr>
          <w:spacing w:val="-2"/>
        </w:rPr>
        <w:t>arrangements</w:t>
      </w:r>
    </w:p>
    <w:p w14:paraId="24E5A94D" w14:textId="05373222" w:rsidR="00CF00E8" w:rsidRDefault="00CF00E8" w:rsidP="00CF00E8">
      <w:r>
        <w:t>Other</w:t>
      </w:r>
      <w:r>
        <w:rPr>
          <w:spacing w:val="-1"/>
        </w:rPr>
        <w:t xml:space="preserve"> </w:t>
      </w:r>
      <w:r>
        <w:t>key</w:t>
      </w:r>
      <w:r>
        <w:rPr>
          <w:spacing w:val="2"/>
        </w:rPr>
        <w:t xml:space="preserve"> </w:t>
      </w:r>
      <w:r>
        <w:t>bodies</w:t>
      </w:r>
      <w:r>
        <w:rPr>
          <w:spacing w:val="1"/>
        </w:rPr>
        <w:t xml:space="preserve"> </w:t>
      </w:r>
      <w:r>
        <w:t>at</w:t>
      </w:r>
      <w:r>
        <w:rPr>
          <w:spacing w:val="2"/>
        </w:rPr>
        <w:t xml:space="preserve"> </w:t>
      </w:r>
      <w:r>
        <w:t>the</w:t>
      </w:r>
      <w:r>
        <w:rPr>
          <w:spacing w:val="1"/>
        </w:rPr>
        <w:t xml:space="preserve"> </w:t>
      </w:r>
      <w:r>
        <w:t>RBA</w:t>
      </w:r>
      <w:r>
        <w:rPr>
          <w:spacing w:val="2"/>
        </w:rPr>
        <w:t xml:space="preserve"> </w:t>
      </w:r>
      <w:r>
        <w:t>are</w:t>
      </w:r>
      <w:r>
        <w:rPr>
          <w:spacing w:val="1"/>
        </w:rPr>
        <w:t xml:space="preserve"> </w:t>
      </w:r>
      <w:r>
        <w:t>outside</w:t>
      </w:r>
      <w:r>
        <w:rPr>
          <w:spacing w:val="2"/>
        </w:rPr>
        <w:t xml:space="preserve"> </w:t>
      </w:r>
      <w:r>
        <w:t>the</w:t>
      </w:r>
      <w:r>
        <w:rPr>
          <w:spacing w:val="2"/>
        </w:rPr>
        <w:t xml:space="preserve"> </w:t>
      </w:r>
      <w:r>
        <w:t>scope</w:t>
      </w:r>
      <w:r>
        <w:rPr>
          <w:spacing w:val="1"/>
        </w:rPr>
        <w:t xml:space="preserve"> </w:t>
      </w:r>
      <w:r>
        <w:t>of</w:t>
      </w:r>
      <w:r>
        <w:rPr>
          <w:spacing w:val="2"/>
        </w:rPr>
        <w:t xml:space="preserve"> </w:t>
      </w:r>
      <w:r>
        <w:t>the</w:t>
      </w:r>
      <w:r>
        <w:rPr>
          <w:spacing w:val="1"/>
        </w:rPr>
        <w:t xml:space="preserve"> </w:t>
      </w:r>
      <w:r>
        <w:t>Review</w:t>
      </w:r>
      <w:r>
        <w:rPr>
          <w:spacing w:val="2"/>
        </w:rPr>
        <w:t xml:space="preserve"> </w:t>
      </w:r>
      <w:r>
        <w:t>but</w:t>
      </w:r>
      <w:r>
        <w:rPr>
          <w:spacing w:val="1"/>
        </w:rPr>
        <w:t xml:space="preserve"> </w:t>
      </w:r>
      <w:r>
        <w:t>interact</w:t>
      </w:r>
      <w:r>
        <w:rPr>
          <w:spacing w:val="2"/>
        </w:rPr>
        <w:t xml:space="preserve"> </w:t>
      </w:r>
      <w:r>
        <w:t>with</w:t>
      </w:r>
      <w:r>
        <w:rPr>
          <w:spacing w:val="1"/>
        </w:rPr>
        <w:t xml:space="preserve"> </w:t>
      </w:r>
      <w:r>
        <w:t>parts</w:t>
      </w:r>
      <w:r>
        <w:rPr>
          <w:spacing w:val="2"/>
        </w:rPr>
        <w:t xml:space="preserve"> </w:t>
      </w:r>
      <w:r>
        <w:t>of</w:t>
      </w:r>
      <w:r>
        <w:rPr>
          <w:spacing w:val="2"/>
        </w:rPr>
        <w:t xml:space="preserve"> </w:t>
      </w:r>
      <w:r>
        <w:rPr>
          <w:spacing w:val="-5"/>
        </w:rPr>
        <w:t xml:space="preserve">the </w:t>
      </w:r>
      <w:r>
        <w:rPr>
          <w:color w:val="231F20"/>
        </w:rPr>
        <w:t>institution</w:t>
      </w:r>
      <w:r>
        <w:rPr>
          <w:color w:val="231F20"/>
          <w:spacing w:val="1"/>
        </w:rPr>
        <w:t xml:space="preserve"> </w:t>
      </w:r>
      <w:r>
        <w:rPr>
          <w:color w:val="231F20"/>
        </w:rPr>
        <w:t>that</w:t>
      </w:r>
      <w:r>
        <w:rPr>
          <w:color w:val="231F20"/>
          <w:spacing w:val="2"/>
        </w:rPr>
        <w:t xml:space="preserve"> </w:t>
      </w:r>
      <w:r>
        <w:rPr>
          <w:color w:val="231F20"/>
        </w:rPr>
        <w:t>are</w:t>
      </w:r>
      <w:r>
        <w:rPr>
          <w:color w:val="231F20"/>
          <w:spacing w:val="1"/>
        </w:rPr>
        <w:t xml:space="preserve"> </w:t>
      </w:r>
      <w:r>
        <w:rPr>
          <w:color w:val="231F20"/>
        </w:rPr>
        <w:t>in</w:t>
      </w:r>
      <w:r>
        <w:rPr>
          <w:color w:val="231F20"/>
          <w:spacing w:val="2"/>
        </w:rPr>
        <w:t xml:space="preserve"> </w:t>
      </w:r>
      <w:r>
        <w:rPr>
          <w:color w:val="231F20"/>
        </w:rPr>
        <w:t>scope</w:t>
      </w:r>
      <w:r>
        <w:rPr>
          <w:color w:val="231F20"/>
          <w:spacing w:val="1"/>
        </w:rPr>
        <w:t xml:space="preserve"> </w:t>
      </w:r>
      <w:r>
        <w:rPr>
          <w:color w:val="231F20"/>
        </w:rPr>
        <w:t>(Figure</w:t>
      </w:r>
      <w:r>
        <w:rPr>
          <w:color w:val="231F20"/>
          <w:spacing w:val="2"/>
        </w:rPr>
        <w:t xml:space="preserve"> </w:t>
      </w:r>
      <w:r>
        <w:rPr>
          <w:color w:val="231F20"/>
          <w:spacing w:val="-4"/>
        </w:rPr>
        <w:t>5.1).</w:t>
      </w:r>
    </w:p>
    <w:p w14:paraId="199CAE97" w14:textId="05AD451B" w:rsidR="00CF00E8" w:rsidRDefault="00CF00E8" w:rsidP="0000278A">
      <w:pPr>
        <w:pStyle w:val="Bullet"/>
      </w:pPr>
      <w:r w:rsidRPr="00CF00E8">
        <w:rPr>
          <w:b/>
          <w:bCs/>
        </w:rPr>
        <w:t>Payments System Board:</w:t>
      </w:r>
      <w:r w:rsidRPr="00CF00E8">
        <w:rPr>
          <w:rFonts w:ascii="Open Sans" w:hAnsi="Open Sans"/>
          <w:b/>
          <w:bCs/>
        </w:rPr>
        <w:t xml:space="preserve"> </w:t>
      </w:r>
      <w:r>
        <w:t>is responsible for payments system policy. If a policy conflict</w:t>
      </w:r>
      <w:r>
        <w:rPr>
          <w:spacing w:val="40"/>
        </w:rPr>
        <w:t xml:space="preserve"> </w:t>
      </w:r>
      <w:r>
        <w:t>arose</w:t>
      </w:r>
      <w:r>
        <w:rPr>
          <w:spacing w:val="15"/>
        </w:rPr>
        <w:t xml:space="preserve"> </w:t>
      </w:r>
      <w:r>
        <w:t>between</w:t>
      </w:r>
      <w:r>
        <w:rPr>
          <w:spacing w:val="15"/>
        </w:rPr>
        <w:t xml:space="preserve"> </w:t>
      </w:r>
      <w:r>
        <w:t>the</w:t>
      </w:r>
      <w:r>
        <w:rPr>
          <w:spacing w:val="15"/>
        </w:rPr>
        <w:t xml:space="preserve"> </w:t>
      </w:r>
      <w:r>
        <w:t>Reserve</w:t>
      </w:r>
      <w:r>
        <w:rPr>
          <w:spacing w:val="15"/>
        </w:rPr>
        <w:t xml:space="preserve"> </w:t>
      </w:r>
      <w:r>
        <w:t>Bank</w:t>
      </w:r>
      <w:r>
        <w:rPr>
          <w:spacing w:val="15"/>
        </w:rPr>
        <w:t xml:space="preserve"> </w:t>
      </w:r>
      <w:r>
        <w:t>Board</w:t>
      </w:r>
      <w:r>
        <w:rPr>
          <w:spacing w:val="15"/>
        </w:rPr>
        <w:t xml:space="preserve"> </w:t>
      </w:r>
      <w:r>
        <w:t>and</w:t>
      </w:r>
      <w:r>
        <w:rPr>
          <w:spacing w:val="15"/>
        </w:rPr>
        <w:t xml:space="preserve"> </w:t>
      </w:r>
      <w:r>
        <w:t>this</w:t>
      </w:r>
      <w:r>
        <w:rPr>
          <w:spacing w:val="15"/>
        </w:rPr>
        <w:t xml:space="preserve"> </w:t>
      </w:r>
      <w:r>
        <w:t>Board,</w:t>
      </w:r>
      <w:r>
        <w:rPr>
          <w:spacing w:val="15"/>
        </w:rPr>
        <w:t xml:space="preserve"> </w:t>
      </w:r>
      <w:r>
        <w:t>then</w:t>
      </w:r>
      <w:r>
        <w:rPr>
          <w:spacing w:val="15"/>
        </w:rPr>
        <w:t xml:space="preserve"> </w:t>
      </w:r>
      <w:r>
        <w:t>the</w:t>
      </w:r>
      <w:r>
        <w:rPr>
          <w:spacing w:val="15"/>
        </w:rPr>
        <w:t xml:space="preserve"> </w:t>
      </w:r>
      <w:r>
        <w:t>Reserve</w:t>
      </w:r>
      <w:r>
        <w:rPr>
          <w:spacing w:val="15"/>
        </w:rPr>
        <w:t xml:space="preserve"> </w:t>
      </w:r>
      <w:r>
        <w:t>Bank</w:t>
      </w:r>
      <w:r>
        <w:rPr>
          <w:spacing w:val="15"/>
        </w:rPr>
        <w:t xml:space="preserve"> </w:t>
      </w:r>
      <w:r>
        <w:t>Board’s policy would prevail. If there were a disagreement on whether a conflict exists or which of the Boards is responsible for determining the RBA’s policy on a matter, then the Governor would be responsible for resolving the matter. No conflict has arisen between the Boards since the establishment of the Payments System Board in 1998</w:t>
      </w:r>
      <w:r w:rsidR="0068598E">
        <w:rPr>
          <w:spacing w:val="-14"/>
        </w:rPr>
        <w:t>.</w:t>
      </w:r>
    </w:p>
    <w:p w14:paraId="71D2BEAC" w14:textId="06AD859F" w:rsidR="00F2402F" w:rsidRDefault="00CF00E8" w:rsidP="0000278A">
      <w:pPr>
        <w:pStyle w:val="Bullet"/>
        <w:rPr>
          <w:w w:val="85"/>
        </w:rPr>
      </w:pPr>
      <w:r w:rsidRPr="00CF00E8">
        <w:rPr>
          <w:b/>
          <w:bCs/>
        </w:rPr>
        <w:t>Note Printing Australia:</w:t>
      </w:r>
      <w:r w:rsidRPr="00CF00E8">
        <w:rPr>
          <w:rFonts w:ascii="Open Sans" w:hAnsi="Open Sans"/>
          <w:b/>
          <w:bCs/>
        </w:rPr>
        <w:t xml:space="preserve"> </w:t>
      </w:r>
      <w:r>
        <w:t>is a wholly owned subsidiary of the RBA</w:t>
      </w:r>
      <w:r w:rsidR="0068598E">
        <w:rPr>
          <w:spacing w:val="-24"/>
        </w:rPr>
        <w:t>.</w:t>
      </w:r>
      <w:r>
        <w:rPr>
          <w:w w:val="85"/>
        </w:rPr>
        <w:t xml:space="preserve"> </w:t>
      </w:r>
      <w:r>
        <w:t>It operates under a charter approved by the Reserve Bank Board</w:t>
      </w:r>
      <w:r w:rsidR="0068598E">
        <w:rPr>
          <w:spacing w:val="-10"/>
        </w:rPr>
        <w:t>.</w:t>
      </w:r>
    </w:p>
    <w:p w14:paraId="7F2E08B9" w14:textId="77777777" w:rsidR="00F2402F" w:rsidRDefault="00F2402F">
      <w:pPr>
        <w:spacing w:before="0" w:after="160" w:line="259" w:lineRule="auto"/>
        <w:rPr>
          <w:w w:val="85"/>
        </w:rPr>
      </w:pPr>
      <w:r>
        <w:rPr>
          <w:w w:val="85"/>
        </w:rPr>
        <w:br w:type="page"/>
      </w:r>
    </w:p>
    <w:p w14:paraId="72D5AA0C" w14:textId="77777777" w:rsidR="00246197" w:rsidRDefault="00246197" w:rsidP="00F2402F">
      <w:pPr>
        <w:pStyle w:val="Heading2"/>
      </w:pPr>
      <w:bookmarkStart w:id="60" w:name="_Toc134221030"/>
      <w:r>
        <w:lastRenderedPageBreak/>
        <w:t>Recommendation</w:t>
      </w:r>
      <w:r>
        <w:rPr>
          <w:spacing w:val="-9"/>
        </w:rPr>
        <w:t xml:space="preserve"> </w:t>
      </w:r>
      <w:r>
        <w:t>12:</w:t>
      </w:r>
      <w:r>
        <w:rPr>
          <w:spacing w:val="-9"/>
        </w:rPr>
        <w:t xml:space="preserve"> </w:t>
      </w:r>
      <w:r>
        <w:t>Update</w:t>
      </w:r>
      <w:r>
        <w:rPr>
          <w:spacing w:val="-9"/>
        </w:rPr>
        <w:t xml:space="preserve"> </w:t>
      </w:r>
      <w:r>
        <w:t>RBA</w:t>
      </w:r>
      <w:r>
        <w:rPr>
          <w:spacing w:val="-9"/>
        </w:rPr>
        <w:t xml:space="preserve"> </w:t>
      </w:r>
      <w:r>
        <w:t>oversight</w:t>
      </w:r>
      <w:r>
        <w:rPr>
          <w:spacing w:val="-9"/>
        </w:rPr>
        <w:t xml:space="preserve"> </w:t>
      </w:r>
      <w:r>
        <w:t>and accountability</w:t>
      </w:r>
      <w:r>
        <w:rPr>
          <w:spacing w:val="-12"/>
        </w:rPr>
        <w:t xml:space="preserve"> </w:t>
      </w:r>
      <w:r>
        <w:t>by</w:t>
      </w:r>
      <w:r>
        <w:rPr>
          <w:spacing w:val="-12"/>
        </w:rPr>
        <w:t xml:space="preserve"> </w:t>
      </w:r>
      <w:r>
        <w:t>establishing</w:t>
      </w:r>
      <w:r>
        <w:rPr>
          <w:spacing w:val="-12"/>
        </w:rPr>
        <w:t xml:space="preserve"> </w:t>
      </w:r>
      <w:r>
        <w:t>a</w:t>
      </w:r>
      <w:r>
        <w:rPr>
          <w:spacing w:val="-12"/>
        </w:rPr>
        <w:t xml:space="preserve"> </w:t>
      </w:r>
      <w:r>
        <w:t>Governance</w:t>
      </w:r>
      <w:r>
        <w:rPr>
          <w:spacing w:val="-12"/>
        </w:rPr>
        <w:t xml:space="preserve"> </w:t>
      </w:r>
      <w:r>
        <w:t>Board</w:t>
      </w:r>
      <w:bookmarkEnd w:id="60"/>
    </w:p>
    <w:tbl>
      <w:tblPr>
        <w:tblW w:w="5000" w:type="pct"/>
        <w:tblCellMar>
          <w:left w:w="0" w:type="dxa"/>
          <w:right w:w="0" w:type="dxa"/>
        </w:tblCellMar>
        <w:tblLook w:val="01E0" w:firstRow="1" w:lastRow="1" w:firstColumn="1" w:lastColumn="1" w:noHBand="0" w:noVBand="0"/>
      </w:tblPr>
      <w:tblGrid>
        <w:gridCol w:w="845"/>
        <w:gridCol w:w="8225"/>
      </w:tblGrid>
      <w:tr w:rsidR="0044563E" w14:paraId="148AF902" w14:textId="77777777" w:rsidTr="00F22AE5">
        <w:trPr>
          <w:trHeight w:val="820"/>
        </w:trPr>
        <w:tc>
          <w:tcPr>
            <w:tcW w:w="5000" w:type="pct"/>
            <w:gridSpan w:val="2"/>
            <w:tcBorders>
              <w:bottom w:val="single" w:sz="8" w:space="0" w:color="ECEDE9"/>
            </w:tcBorders>
          </w:tcPr>
          <w:p w14:paraId="5B242421" w14:textId="77777777" w:rsidR="0044563E" w:rsidRDefault="0044563E" w:rsidP="00F22AE5">
            <w:pPr>
              <w:pStyle w:val="Heading4"/>
              <w:keepLines/>
            </w:pPr>
            <w:r>
              <w:t>Recommendation</w:t>
            </w:r>
            <w:r>
              <w:rPr>
                <w:spacing w:val="-2"/>
              </w:rPr>
              <w:t xml:space="preserve"> </w:t>
            </w:r>
            <w:r>
              <w:t>12:</w:t>
            </w:r>
            <w:r>
              <w:rPr>
                <w:spacing w:val="1"/>
              </w:rPr>
              <w:t xml:space="preserve"> </w:t>
            </w:r>
            <w:r>
              <w:t>Update RBA</w:t>
            </w:r>
            <w:r>
              <w:rPr>
                <w:spacing w:val="1"/>
              </w:rPr>
              <w:t xml:space="preserve"> </w:t>
            </w:r>
            <w:r>
              <w:t>oversight and</w:t>
            </w:r>
            <w:r>
              <w:rPr>
                <w:spacing w:val="1"/>
              </w:rPr>
              <w:t xml:space="preserve"> </w:t>
            </w:r>
            <w:r>
              <w:t>accountability by</w:t>
            </w:r>
            <w:r>
              <w:rPr>
                <w:spacing w:val="1"/>
              </w:rPr>
              <w:t xml:space="preserve"> </w:t>
            </w:r>
            <w:r>
              <w:rPr>
                <w:spacing w:val="-2"/>
              </w:rPr>
              <w:t xml:space="preserve">establishing </w:t>
            </w:r>
            <w:r>
              <w:t>a</w:t>
            </w:r>
            <w:r>
              <w:rPr>
                <w:spacing w:val="-2"/>
              </w:rPr>
              <w:t xml:space="preserve"> </w:t>
            </w:r>
            <w:r>
              <w:t>Governance</w:t>
            </w:r>
            <w:r>
              <w:rPr>
                <w:spacing w:val="-1"/>
              </w:rPr>
              <w:t xml:space="preserve"> </w:t>
            </w:r>
            <w:r>
              <w:rPr>
                <w:spacing w:val="-4"/>
              </w:rPr>
              <w:t>Board</w:t>
            </w:r>
          </w:p>
        </w:tc>
      </w:tr>
      <w:tr w:rsidR="0044563E" w14:paraId="7BA67EDE" w14:textId="77777777" w:rsidTr="00F22AE5">
        <w:trPr>
          <w:trHeight w:val="1237"/>
        </w:trPr>
        <w:tc>
          <w:tcPr>
            <w:tcW w:w="466" w:type="pct"/>
            <w:tcBorders>
              <w:top w:val="single" w:sz="8" w:space="0" w:color="ECEDE9"/>
              <w:bottom w:val="single" w:sz="8" w:space="0" w:color="ECEDE9"/>
            </w:tcBorders>
          </w:tcPr>
          <w:p w14:paraId="327F6E3C" w14:textId="77777777" w:rsidR="0044563E" w:rsidRDefault="0044563E" w:rsidP="00F22AE5">
            <w:r>
              <w:t>12.1</w:t>
            </w:r>
          </w:p>
        </w:tc>
        <w:tc>
          <w:tcPr>
            <w:tcW w:w="4534" w:type="pct"/>
            <w:tcBorders>
              <w:top w:val="single" w:sz="8" w:space="0" w:color="ECEDE9"/>
              <w:bottom w:val="single" w:sz="8" w:space="0" w:color="ECEDE9"/>
            </w:tcBorders>
          </w:tcPr>
          <w:p w14:paraId="5DB4C997" w14:textId="77777777" w:rsidR="0044563E" w:rsidRDefault="0044563E" w:rsidP="00F22AE5">
            <w:r>
              <w:t>The Government should establish a Governance Board with responsibility for overseeing the management of the organisation, including organisational strategy, performance, finances, large projects, resourcing, remuneration, succession planning, risk (such as cyber risk), and delivery of banking and banknote services.</w:t>
            </w:r>
          </w:p>
        </w:tc>
      </w:tr>
      <w:tr w:rsidR="0044563E" w14:paraId="47A237B8" w14:textId="77777777" w:rsidTr="00F22AE5">
        <w:trPr>
          <w:trHeight w:val="793"/>
        </w:trPr>
        <w:tc>
          <w:tcPr>
            <w:tcW w:w="466" w:type="pct"/>
            <w:tcBorders>
              <w:top w:val="single" w:sz="8" w:space="0" w:color="ECEDE9"/>
              <w:bottom w:val="single" w:sz="8" w:space="0" w:color="ECEDE9"/>
            </w:tcBorders>
          </w:tcPr>
          <w:p w14:paraId="3D5E02C2" w14:textId="77777777" w:rsidR="0044563E" w:rsidRDefault="0044563E" w:rsidP="00F22AE5">
            <w:r>
              <w:t>12.2</w:t>
            </w:r>
          </w:p>
        </w:tc>
        <w:tc>
          <w:tcPr>
            <w:tcW w:w="4534" w:type="pct"/>
            <w:tcBorders>
              <w:top w:val="single" w:sz="8" w:space="0" w:color="ECEDE9"/>
              <w:bottom w:val="single" w:sz="8" w:space="0" w:color="ECEDE9"/>
            </w:tcBorders>
          </w:tcPr>
          <w:p w14:paraId="5A9CACE8" w14:textId="77777777" w:rsidR="0044563E" w:rsidRDefault="0044563E" w:rsidP="00F22AE5">
            <w:r>
              <w:t>The Governance Board should be the accountable authority in respect of the PGPA Act and expand the Audit Committee to be an Audit and Risk Committee.</w:t>
            </w:r>
          </w:p>
        </w:tc>
      </w:tr>
      <w:tr w:rsidR="0044563E" w14:paraId="730CB64C" w14:textId="77777777" w:rsidTr="00F22AE5">
        <w:trPr>
          <w:trHeight w:val="793"/>
        </w:trPr>
        <w:tc>
          <w:tcPr>
            <w:tcW w:w="466" w:type="pct"/>
            <w:tcBorders>
              <w:top w:val="single" w:sz="8" w:space="0" w:color="ECEDE9"/>
              <w:bottom w:val="single" w:sz="8" w:space="0" w:color="ECEDE9"/>
            </w:tcBorders>
          </w:tcPr>
          <w:p w14:paraId="354055DA" w14:textId="77777777" w:rsidR="0044563E" w:rsidRDefault="0044563E" w:rsidP="00F22AE5">
            <w:r>
              <w:t>12.3</w:t>
            </w:r>
          </w:p>
        </w:tc>
        <w:tc>
          <w:tcPr>
            <w:tcW w:w="4534" w:type="pct"/>
            <w:tcBorders>
              <w:top w:val="single" w:sz="8" w:space="0" w:color="ECEDE9"/>
              <w:bottom w:val="single" w:sz="8" w:space="0" w:color="ECEDE9"/>
            </w:tcBorders>
          </w:tcPr>
          <w:p w14:paraId="002A5508" w14:textId="77777777" w:rsidR="0044563E" w:rsidRDefault="0044563E" w:rsidP="00F22AE5">
            <w:r>
              <w:t>The Governance Board’s membership should comprise the Governor, Chief Operating</w:t>
            </w:r>
            <w:r>
              <w:rPr>
                <w:spacing w:val="-1"/>
              </w:rPr>
              <w:t xml:space="preserve"> </w:t>
            </w:r>
            <w:r>
              <w:t>Officer</w:t>
            </w:r>
            <w:r>
              <w:rPr>
                <w:spacing w:val="-1"/>
              </w:rPr>
              <w:t xml:space="preserve"> </w:t>
            </w:r>
            <w:r>
              <w:t>and</w:t>
            </w:r>
            <w:r>
              <w:rPr>
                <w:spacing w:val="-1"/>
              </w:rPr>
              <w:t xml:space="preserve"> </w:t>
            </w:r>
            <w:r>
              <w:t>5</w:t>
            </w:r>
            <w:r>
              <w:rPr>
                <w:spacing w:val="-1"/>
              </w:rPr>
              <w:t xml:space="preserve"> </w:t>
            </w:r>
            <w:r>
              <w:t>external</w:t>
            </w:r>
            <w:r>
              <w:rPr>
                <w:spacing w:val="-1"/>
              </w:rPr>
              <w:t xml:space="preserve"> </w:t>
            </w:r>
            <w:r>
              <w:t>members.</w:t>
            </w:r>
            <w:r>
              <w:rPr>
                <w:spacing w:val="-1"/>
              </w:rPr>
              <w:t xml:space="preserve"> </w:t>
            </w:r>
            <w:r>
              <w:t>An</w:t>
            </w:r>
            <w:r>
              <w:rPr>
                <w:spacing w:val="-1"/>
              </w:rPr>
              <w:t xml:space="preserve"> </w:t>
            </w:r>
            <w:r>
              <w:t>external</w:t>
            </w:r>
            <w:r>
              <w:rPr>
                <w:spacing w:val="-1"/>
              </w:rPr>
              <w:t xml:space="preserve"> </w:t>
            </w:r>
            <w:r>
              <w:t>member</w:t>
            </w:r>
            <w:r>
              <w:rPr>
                <w:spacing w:val="-1"/>
              </w:rPr>
              <w:t xml:space="preserve"> </w:t>
            </w:r>
            <w:r>
              <w:t>should</w:t>
            </w:r>
            <w:r>
              <w:rPr>
                <w:spacing w:val="-1"/>
              </w:rPr>
              <w:t xml:space="preserve"> </w:t>
            </w:r>
            <w:r>
              <w:t>be</w:t>
            </w:r>
            <w:r>
              <w:rPr>
                <w:spacing w:val="-1"/>
              </w:rPr>
              <w:t xml:space="preserve"> </w:t>
            </w:r>
            <w:r>
              <w:t>chair.</w:t>
            </w:r>
          </w:p>
        </w:tc>
      </w:tr>
      <w:tr w:rsidR="0044563E" w14:paraId="11282975" w14:textId="77777777" w:rsidTr="00F22AE5">
        <w:trPr>
          <w:trHeight w:val="1237"/>
        </w:trPr>
        <w:tc>
          <w:tcPr>
            <w:tcW w:w="466" w:type="pct"/>
            <w:tcBorders>
              <w:top w:val="single" w:sz="8" w:space="0" w:color="ECEDE9"/>
              <w:bottom w:val="single" w:sz="8" w:space="0" w:color="ECEDE9"/>
            </w:tcBorders>
          </w:tcPr>
          <w:p w14:paraId="49BA69C3" w14:textId="77777777" w:rsidR="0044563E" w:rsidRDefault="0044563E" w:rsidP="00F22AE5">
            <w:r>
              <w:t>12.4</w:t>
            </w:r>
          </w:p>
        </w:tc>
        <w:tc>
          <w:tcPr>
            <w:tcW w:w="4534" w:type="pct"/>
            <w:tcBorders>
              <w:top w:val="single" w:sz="8" w:space="0" w:color="ECEDE9"/>
              <w:bottom w:val="single" w:sz="8" w:space="0" w:color="ECEDE9"/>
            </w:tcBorders>
          </w:tcPr>
          <w:p w14:paraId="0F783223" w14:textId="77777777" w:rsidR="0044563E" w:rsidRDefault="0044563E" w:rsidP="00F22AE5">
            <w:r>
              <w:t>External Governance Board members should be appointed through a transparent process. Positions should be advertised for expressions of interest drawing on a matrix of required skills and experience. The process should be managed by the Secretary to the Treasury, the Governor and a third party.</w:t>
            </w:r>
          </w:p>
        </w:tc>
      </w:tr>
      <w:tr w:rsidR="0044563E" w14:paraId="52228472" w14:textId="77777777" w:rsidTr="00F22AE5">
        <w:trPr>
          <w:trHeight w:val="1015"/>
        </w:trPr>
        <w:tc>
          <w:tcPr>
            <w:tcW w:w="466" w:type="pct"/>
            <w:tcBorders>
              <w:top w:val="single" w:sz="8" w:space="0" w:color="ECEDE9"/>
              <w:bottom w:val="single" w:sz="8" w:space="0" w:color="ECEDE9"/>
            </w:tcBorders>
          </w:tcPr>
          <w:p w14:paraId="4CCB1E95" w14:textId="77777777" w:rsidR="0044563E" w:rsidRDefault="0044563E" w:rsidP="00F22AE5">
            <w:r>
              <w:t>12.5</w:t>
            </w:r>
          </w:p>
        </w:tc>
        <w:tc>
          <w:tcPr>
            <w:tcW w:w="4534" w:type="pct"/>
            <w:tcBorders>
              <w:top w:val="single" w:sz="8" w:space="0" w:color="ECEDE9"/>
              <w:bottom w:val="single" w:sz="8" w:space="0" w:color="ECEDE9"/>
            </w:tcBorders>
          </w:tcPr>
          <w:p w14:paraId="276112FF" w14:textId="77777777" w:rsidR="0044563E" w:rsidRDefault="0044563E" w:rsidP="00F22AE5">
            <w:r>
              <w:t>External members of the Governance Board should be appointed for a term of 5 years, with the possibility of reappointment for up to one year, if flexibility is needed. End dates should be staggered.</w:t>
            </w:r>
          </w:p>
        </w:tc>
      </w:tr>
      <w:tr w:rsidR="0044563E" w14:paraId="3A73745F" w14:textId="77777777" w:rsidTr="00F22AE5">
        <w:trPr>
          <w:trHeight w:val="851"/>
        </w:trPr>
        <w:tc>
          <w:tcPr>
            <w:tcW w:w="466" w:type="pct"/>
            <w:tcBorders>
              <w:top w:val="single" w:sz="8" w:space="0" w:color="ECEDE9"/>
            </w:tcBorders>
          </w:tcPr>
          <w:p w14:paraId="113FF204" w14:textId="77777777" w:rsidR="0044563E" w:rsidRDefault="0044563E" w:rsidP="00F22AE5">
            <w:r>
              <w:t>12.6</w:t>
            </w:r>
          </w:p>
        </w:tc>
        <w:tc>
          <w:tcPr>
            <w:tcW w:w="4534" w:type="pct"/>
            <w:tcBorders>
              <w:top w:val="single" w:sz="8" w:space="0" w:color="ECEDE9"/>
            </w:tcBorders>
          </w:tcPr>
          <w:p w14:paraId="5D344CCE" w14:textId="77777777" w:rsidR="0044563E" w:rsidRDefault="0044563E" w:rsidP="00F22AE5">
            <w:r>
              <w:t>The</w:t>
            </w:r>
            <w:r>
              <w:rPr>
                <w:spacing w:val="19"/>
              </w:rPr>
              <w:t xml:space="preserve"> </w:t>
            </w:r>
            <w:r>
              <w:t>RBA</w:t>
            </w:r>
            <w:r>
              <w:rPr>
                <w:spacing w:val="19"/>
              </w:rPr>
              <w:t xml:space="preserve"> </w:t>
            </w:r>
            <w:r>
              <w:t>Boards</w:t>
            </w:r>
            <w:r>
              <w:rPr>
                <w:spacing w:val="19"/>
              </w:rPr>
              <w:t xml:space="preserve"> </w:t>
            </w:r>
            <w:r>
              <w:t>should</w:t>
            </w:r>
            <w:r>
              <w:rPr>
                <w:spacing w:val="19"/>
              </w:rPr>
              <w:t xml:space="preserve"> </w:t>
            </w:r>
            <w:r>
              <w:t>establish</w:t>
            </w:r>
            <w:r>
              <w:rPr>
                <w:spacing w:val="19"/>
              </w:rPr>
              <w:t xml:space="preserve"> </w:t>
            </w:r>
            <w:r>
              <w:t>charters</w:t>
            </w:r>
            <w:r>
              <w:rPr>
                <w:spacing w:val="19"/>
              </w:rPr>
              <w:t xml:space="preserve"> </w:t>
            </w:r>
            <w:r>
              <w:t>setting</w:t>
            </w:r>
            <w:r>
              <w:rPr>
                <w:spacing w:val="19"/>
              </w:rPr>
              <w:t xml:space="preserve"> </w:t>
            </w:r>
            <w:r>
              <w:t>out</w:t>
            </w:r>
            <w:r>
              <w:rPr>
                <w:spacing w:val="19"/>
              </w:rPr>
              <w:t xml:space="preserve"> </w:t>
            </w:r>
            <w:r>
              <w:t>their</w:t>
            </w:r>
            <w:r>
              <w:rPr>
                <w:spacing w:val="19"/>
              </w:rPr>
              <w:t xml:space="preserve"> </w:t>
            </w:r>
            <w:r>
              <w:t>responsibilities</w:t>
            </w:r>
            <w:r>
              <w:rPr>
                <w:spacing w:val="19"/>
              </w:rPr>
              <w:t xml:space="preserve"> </w:t>
            </w:r>
            <w:r>
              <w:t>and those of the RBA executive. A memorandum of understanding should be established between the 3 RBA Boards.</w:t>
            </w:r>
          </w:p>
        </w:tc>
      </w:tr>
    </w:tbl>
    <w:p w14:paraId="0AFD12A1" w14:textId="6A3BA123" w:rsidR="006724F4" w:rsidRDefault="006724F4" w:rsidP="006724F4">
      <w:pPr>
        <w:tabs>
          <w:tab w:val="left" w:pos="3686"/>
        </w:tabs>
      </w:pPr>
    </w:p>
    <w:p w14:paraId="0CA1ADFC" w14:textId="77777777" w:rsidR="006724F4" w:rsidRDefault="006724F4">
      <w:pPr>
        <w:spacing w:before="0" w:after="160" w:line="259" w:lineRule="auto"/>
      </w:pPr>
      <w:r>
        <w:br w:type="page"/>
      </w:r>
    </w:p>
    <w:p w14:paraId="55B993FA" w14:textId="25C72983" w:rsidR="006724F4" w:rsidRDefault="006724F4" w:rsidP="006724F4">
      <w:r>
        <w:lastRenderedPageBreak/>
        <w:t>The</w:t>
      </w:r>
      <w:r>
        <w:rPr>
          <w:spacing w:val="-1"/>
        </w:rPr>
        <w:t xml:space="preserve"> </w:t>
      </w:r>
      <w:r>
        <w:t>RBA’s</w:t>
      </w:r>
      <w:r>
        <w:rPr>
          <w:spacing w:val="-1"/>
        </w:rPr>
        <w:t xml:space="preserve"> </w:t>
      </w:r>
      <w:r>
        <w:t>corporate</w:t>
      </w:r>
      <w:r>
        <w:rPr>
          <w:spacing w:val="-1"/>
        </w:rPr>
        <w:t xml:space="preserve"> </w:t>
      </w:r>
      <w:r>
        <w:t>governance</w:t>
      </w:r>
      <w:r>
        <w:rPr>
          <w:spacing w:val="-1"/>
        </w:rPr>
        <w:t xml:space="preserve"> </w:t>
      </w:r>
      <w:r>
        <w:t>arrangements</w:t>
      </w:r>
      <w:r>
        <w:rPr>
          <w:spacing w:val="-1"/>
        </w:rPr>
        <w:t xml:space="preserve"> </w:t>
      </w:r>
      <w:r>
        <w:t>do</w:t>
      </w:r>
      <w:r>
        <w:rPr>
          <w:spacing w:val="-1"/>
        </w:rPr>
        <w:t xml:space="preserve"> </w:t>
      </w:r>
      <w:r>
        <w:t>not</w:t>
      </w:r>
      <w:r>
        <w:rPr>
          <w:spacing w:val="-1"/>
        </w:rPr>
        <w:t xml:space="preserve"> </w:t>
      </w:r>
      <w:r>
        <w:t>reflect</w:t>
      </w:r>
      <w:r>
        <w:rPr>
          <w:spacing w:val="-1"/>
        </w:rPr>
        <w:t xml:space="preserve"> </w:t>
      </w:r>
      <w:r>
        <w:t>current</w:t>
      </w:r>
      <w:r>
        <w:rPr>
          <w:spacing w:val="-1"/>
        </w:rPr>
        <w:t xml:space="preserve"> </w:t>
      </w:r>
      <w:r>
        <w:t>best</w:t>
      </w:r>
      <w:r>
        <w:rPr>
          <w:spacing w:val="-1"/>
        </w:rPr>
        <w:t xml:space="preserve"> </w:t>
      </w:r>
      <w:r>
        <w:t>practice</w:t>
      </w:r>
      <w:r>
        <w:rPr>
          <w:spacing w:val="-1"/>
        </w:rPr>
        <w:t xml:space="preserve"> </w:t>
      </w:r>
      <w:r>
        <w:t>(see</w:t>
      </w:r>
      <w:r>
        <w:rPr>
          <w:spacing w:val="-1"/>
        </w:rPr>
        <w:t xml:space="preserve"> </w:t>
      </w:r>
      <w:r>
        <w:t>Box</w:t>
      </w:r>
      <w:r>
        <w:rPr>
          <w:spacing w:val="-1"/>
        </w:rPr>
        <w:t xml:space="preserve"> </w:t>
      </w:r>
      <w:r>
        <w:t>5.1). Decision making is highly concentrated in the Governor with limited board oversight</w:t>
      </w:r>
      <w:r w:rsidR="0068598E">
        <w:rPr>
          <w:spacing w:val="-18"/>
        </w:rPr>
        <w:t>.</w:t>
      </w:r>
      <w:r>
        <w:rPr>
          <w:w w:val="85"/>
        </w:rPr>
        <w:t xml:space="preserve"> </w:t>
      </w:r>
      <w:r>
        <w:t>Despite these structural challenges, the RBA has found ways to make the current arrangements work. This is in part due to the quality of executives and staff. The Review found that internal governance processes were largely well done</w:t>
      </w:r>
      <w:r w:rsidR="0068598E">
        <w:rPr>
          <w:spacing w:val="-24"/>
        </w:rPr>
        <w:t>.</w:t>
      </w:r>
      <w:r>
        <w:rPr>
          <w:w w:val="85"/>
        </w:rPr>
        <w:t xml:space="preserve"> </w:t>
      </w:r>
      <w:r>
        <w:t>However, this was not uniformly the case and these arrangements are likely to become more strained given the RBA’s increasingly complex operations and exposure to technological and cyber risks</w:t>
      </w:r>
      <w:r w:rsidR="0068598E">
        <w:rPr>
          <w:spacing w:val="-18"/>
        </w:rPr>
        <w:t>.</w:t>
      </w:r>
      <w:r>
        <w:rPr>
          <w:w w:val="85"/>
        </w:rPr>
        <w:t xml:space="preserve"> </w:t>
      </w:r>
      <w:r>
        <w:t>In addition, the Review has recommended a significant amount of change and current governance arrangements are not well placed to drive this change</w:t>
      </w:r>
      <w:r w:rsidR="0068598E">
        <w:rPr>
          <w:spacing w:val="-17"/>
        </w:rPr>
        <w:t>.</w:t>
      </w:r>
      <w:r>
        <w:rPr>
          <w:w w:val="85"/>
        </w:rPr>
        <w:t xml:space="preserve"> </w:t>
      </w:r>
      <w:r>
        <w:t>Successful implementation of the recommendations will rely on accountability, external input and the expertise of a wide range of professionals</w:t>
      </w:r>
      <w:r w:rsidR="0068598E">
        <w:rPr>
          <w:spacing w:val="-18"/>
        </w:rPr>
        <w:t>.</w:t>
      </w:r>
      <w:r>
        <w:rPr>
          <w:w w:val="85"/>
        </w:rPr>
        <w:t xml:space="preserve"> </w:t>
      </w:r>
      <w:r>
        <w:t>Strengthening arrangements would also support the parallel changes to the monetary policy decision-making processes</w:t>
      </w:r>
      <w:r w:rsidR="0068598E">
        <w:rPr>
          <w:spacing w:val="-16"/>
        </w:rPr>
        <w:t>.</w:t>
      </w:r>
    </w:p>
    <w:p w14:paraId="7021673C" w14:textId="256F8BBD" w:rsidR="006724F4" w:rsidRDefault="006724F4" w:rsidP="006724F4">
      <w:r>
        <w:t>Under current arrangements, the Reserve Bank Board functions almost entirely as a monetary policy decision-making body</w:t>
      </w:r>
      <w:r w:rsidR="0068598E">
        <w:rPr>
          <w:spacing w:val="-16"/>
        </w:rPr>
        <w:t>.</w:t>
      </w:r>
      <w:r>
        <w:t xml:space="preserve"> In contrast, the Governor is heavily involved in monetary policy</w:t>
      </w:r>
      <w:r>
        <w:rPr>
          <w:spacing w:val="40"/>
        </w:rPr>
        <w:t xml:space="preserve"> </w:t>
      </w:r>
      <w:r>
        <w:t xml:space="preserve">and corporate governance, effectively operating as both the Reserve Bank Board Chair </w:t>
      </w:r>
      <w:r>
        <w:rPr>
          <w:i/>
        </w:rPr>
        <w:t xml:space="preserve">and </w:t>
      </w:r>
      <w:r>
        <w:t>the CEO of the institution, out of alignment with corporate best practice</w:t>
      </w:r>
      <w:r w:rsidR="0068598E">
        <w:rPr>
          <w:spacing w:val="-23"/>
        </w:rPr>
        <w:t>.</w:t>
      </w:r>
      <w:r>
        <w:rPr>
          <w:w w:val="85"/>
        </w:rPr>
        <w:t xml:space="preserve"> </w:t>
      </w:r>
      <w:r>
        <w:t>This adds to the structural concentration of power in the position of Governor as the Reserve Bank Board has limited corporate governance responsibility and oversight over the executive</w:t>
      </w:r>
      <w:r w:rsidR="0068598E">
        <w:rPr>
          <w:spacing w:val="-22"/>
        </w:rPr>
        <w:t>.</w:t>
      </w:r>
      <w:r>
        <w:rPr>
          <w:w w:val="85"/>
        </w:rPr>
        <w:t xml:space="preserve"> </w:t>
      </w:r>
      <w:r>
        <w:t>The Reserve Bank Board could potentially take a more active role in corporate governance, although this is limited by the Governor’s</w:t>
      </w:r>
      <w:r>
        <w:rPr>
          <w:spacing w:val="1"/>
        </w:rPr>
        <w:t xml:space="preserve"> </w:t>
      </w:r>
      <w:r>
        <w:t>responsibilities</w:t>
      </w:r>
      <w:r>
        <w:rPr>
          <w:spacing w:val="3"/>
        </w:rPr>
        <w:t xml:space="preserve"> </w:t>
      </w:r>
      <w:r>
        <w:t>as</w:t>
      </w:r>
      <w:r>
        <w:rPr>
          <w:spacing w:val="3"/>
        </w:rPr>
        <w:t xml:space="preserve"> </w:t>
      </w:r>
      <w:r>
        <w:t>the</w:t>
      </w:r>
      <w:r>
        <w:rPr>
          <w:spacing w:val="4"/>
        </w:rPr>
        <w:t xml:space="preserve"> </w:t>
      </w:r>
      <w:r>
        <w:t>accountable</w:t>
      </w:r>
      <w:r>
        <w:rPr>
          <w:spacing w:val="3"/>
        </w:rPr>
        <w:t xml:space="preserve"> </w:t>
      </w:r>
      <w:r>
        <w:t>authority</w:t>
      </w:r>
      <w:r>
        <w:rPr>
          <w:spacing w:val="3"/>
        </w:rPr>
        <w:t xml:space="preserve"> </w:t>
      </w:r>
      <w:r>
        <w:t>under</w:t>
      </w:r>
      <w:r>
        <w:rPr>
          <w:spacing w:val="3"/>
        </w:rPr>
        <w:t xml:space="preserve"> </w:t>
      </w:r>
      <w:r>
        <w:t>the</w:t>
      </w:r>
      <w:r>
        <w:rPr>
          <w:spacing w:val="4"/>
        </w:rPr>
        <w:t xml:space="preserve"> </w:t>
      </w:r>
      <w:r>
        <w:t>PGPA</w:t>
      </w:r>
      <w:r>
        <w:rPr>
          <w:spacing w:val="3"/>
        </w:rPr>
        <w:t xml:space="preserve"> </w:t>
      </w:r>
      <w:r>
        <w:t>Act.</w:t>
      </w:r>
      <w:r>
        <w:rPr>
          <w:spacing w:val="3"/>
        </w:rPr>
        <w:t xml:space="preserve"> </w:t>
      </w:r>
      <w:r>
        <w:t>This</w:t>
      </w:r>
      <w:r>
        <w:rPr>
          <w:spacing w:val="4"/>
        </w:rPr>
        <w:t xml:space="preserve"> </w:t>
      </w:r>
      <w:r>
        <w:rPr>
          <w:spacing w:val="-2"/>
        </w:rPr>
        <w:t xml:space="preserve">arrangement </w:t>
      </w:r>
      <w:r>
        <w:rPr>
          <w:color w:val="231F20"/>
        </w:rPr>
        <w:t>differs</w:t>
      </w:r>
      <w:r>
        <w:rPr>
          <w:color w:val="231F20"/>
          <w:spacing w:val="-3"/>
        </w:rPr>
        <w:t xml:space="preserve"> </w:t>
      </w:r>
      <w:r>
        <w:rPr>
          <w:color w:val="231F20"/>
        </w:rPr>
        <w:t>from many of</w:t>
      </w:r>
      <w:r>
        <w:rPr>
          <w:color w:val="231F20"/>
          <w:spacing w:val="-1"/>
        </w:rPr>
        <w:t xml:space="preserve"> </w:t>
      </w:r>
      <w:r>
        <w:rPr>
          <w:color w:val="231F20"/>
        </w:rPr>
        <w:t>RBA’s peer central banks</w:t>
      </w:r>
      <w:r>
        <w:rPr>
          <w:color w:val="231F20"/>
          <w:spacing w:val="-1"/>
        </w:rPr>
        <w:t xml:space="preserve"> </w:t>
      </w:r>
      <w:r>
        <w:rPr>
          <w:color w:val="231F20"/>
        </w:rPr>
        <w:t>which have separate governing</w:t>
      </w:r>
      <w:r>
        <w:rPr>
          <w:color w:val="231F20"/>
          <w:spacing w:val="-1"/>
        </w:rPr>
        <w:t xml:space="preserve"> </w:t>
      </w:r>
      <w:r>
        <w:rPr>
          <w:color w:val="231F20"/>
        </w:rPr>
        <w:t xml:space="preserve">boards (see Box </w:t>
      </w:r>
      <w:r>
        <w:rPr>
          <w:color w:val="231F20"/>
          <w:spacing w:val="-2"/>
        </w:rPr>
        <w:t>5.2).</w:t>
      </w:r>
    </w:p>
    <w:p w14:paraId="4C824987" w14:textId="057F0D0D" w:rsidR="006724F4" w:rsidRDefault="006724F4" w:rsidP="006724F4">
      <w:r>
        <w:t>The Review heard examples where this concentration of decision-making power and limited independent oversight resulted in poorer institutional outcomes</w:t>
      </w:r>
      <w:r w:rsidR="0068598E">
        <w:rPr>
          <w:spacing w:val="-17"/>
        </w:rPr>
        <w:t>.</w:t>
      </w:r>
      <w:r>
        <w:rPr>
          <w:w w:val="85"/>
        </w:rPr>
        <w:t xml:space="preserve"> </w:t>
      </w:r>
      <w:r>
        <w:t>An emerging theme from corporate</w:t>
      </w:r>
      <w:r>
        <w:rPr>
          <w:spacing w:val="14"/>
        </w:rPr>
        <w:t xml:space="preserve"> </w:t>
      </w:r>
      <w:r>
        <w:t>and</w:t>
      </w:r>
      <w:r>
        <w:rPr>
          <w:spacing w:val="14"/>
        </w:rPr>
        <w:t xml:space="preserve"> </w:t>
      </w:r>
      <w:r>
        <w:t>executive</w:t>
      </w:r>
      <w:r>
        <w:rPr>
          <w:spacing w:val="14"/>
        </w:rPr>
        <w:t xml:space="preserve"> </w:t>
      </w:r>
      <w:r>
        <w:t>support</w:t>
      </w:r>
      <w:r>
        <w:rPr>
          <w:spacing w:val="14"/>
        </w:rPr>
        <w:t xml:space="preserve"> </w:t>
      </w:r>
      <w:r>
        <w:t>areas</w:t>
      </w:r>
      <w:r>
        <w:rPr>
          <w:spacing w:val="14"/>
        </w:rPr>
        <w:t xml:space="preserve"> </w:t>
      </w:r>
      <w:r>
        <w:t>was</w:t>
      </w:r>
      <w:r>
        <w:rPr>
          <w:spacing w:val="14"/>
        </w:rPr>
        <w:t xml:space="preserve"> </w:t>
      </w:r>
      <w:r>
        <w:t>that</w:t>
      </w:r>
      <w:r>
        <w:rPr>
          <w:spacing w:val="14"/>
        </w:rPr>
        <w:t xml:space="preserve"> </w:t>
      </w:r>
      <w:r>
        <w:t>decision</w:t>
      </w:r>
      <w:r>
        <w:rPr>
          <w:spacing w:val="14"/>
        </w:rPr>
        <w:t xml:space="preserve"> </w:t>
      </w:r>
      <w:r>
        <w:t>making</w:t>
      </w:r>
      <w:r>
        <w:rPr>
          <w:spacing w:val="14"/>
        </w:rPr>
        <w:t xml:space="preserve"> </w:t>
      </w:r>
      <w:r>
        <w:t>on</w:t>
      </w:r>
      <w:r>
        <w:rPr>
          <w:spacing w:val="14"/>
        </w:rPr>
        <w:t xml:space="preserve"> </w:t>
      </w:r>
      <w:r>
        <w:t>management</w:t>
      </w:r>
      <w:r>
        <w:rPr>
          <w:spacing w:val="14"/>
        </w:rPr>
        <w:t xml:space="preserve"> </w:t>
      </w:r>
      <w:r>
        <w:t>matters</w:t>
      </w:r>
      <w:r>
        <w:rPr>
          <w:spacing w:val="14"/>
        </w:rPr>
        <w:t xml:space="preserve"> </w:t>
      </w:r>
      <w:r>
        <w:t>can be tightly held, with the ultimate decision maker or makers not necessarily seeking input from the relevant professional experts or those who would need to implement the decision</w:t>
      </w:r>
      <w:r w:rsidR="0068598E">
        <w:rPr>
          <w:spacing w:val="-19"/>
        </w:rPr>
        <w:t>.</w:t>
      </w:r>
      <w:r>
        <w:t xml:space="preserve"> Membership of the Executive Committee is weighted to the policy areas of the RBA relative to headcount</w:t>
      </w:r>
      <w:r w:rsidR="0068598E">
        <w:rPr>
          <w:spacing w:val="-24"/>
        </w:rPr>
        <w:t>.</w:t>
      </w:r>
      <w:r>
        <w:rPr>
          <w:w w:val="85"/>
        </w:rPr>
        <w:t xml:space="preserve"> </w:t>
      </w:r>
      <w:r>
        <w:t>Most members have spent significant parts of their career at the RBA. This contributes to institutional inertia and reduced willingness to provide advice</w:t>
      </w:r>
      <w:r w:rsidR="0068598E">
        <w:rPr>
          <w:spacing w:val="-12"/>
        </w:rPr>
        <w:t>.</w:t>
      </w:r>
    </w:p>
    <w:p w14:paraId="3D4BAD10" w14:textId="23A092CF" w:rsidR="006724F4" w:rsidRDefault="006724F4" w:rsidP="006724F4">
      <w:r>
        <w:t>The current governance framework has created uncertainty around the roles and responsibilities of the Reserve Bank Board and Governor</w:t>
      </w:r>
      <w:r w:rsidR="0068598E">
        <w:rPr>
          <w:spacing w:val="-20"/>
        </w:rPr>
        <w:t>.</w:t>
      </w:r>
      <w:r>
        <w:rPr>
          <w:w w:val="85"/>
        </w:rPr>
        <w:t xml:space="preserve"> </w:t>
      </w:r>
      <w:r>
        <w:t>The unilateral decision of the RBA executive to not defend the yield target in October 2021 without first consulting the Reserve Bank Board is one example where the respective responsibilities of the executive and Reserve Bank Board were not as clear as they could have been</w:t>
      </w:r>
      <w:r w:rsidR="0068598E">
        <w:rPr>
          <w:spacing w:val="-21"/>
        </w:rPr>
        <w:t>.</w:t>
      </w:r>
      <w:r>
        <w:rPr>
          <w:w w:val="85"/>
        </w:rPr>
        <w:t xml:space="preserve"> </w:t>
      </w:r>
      <w:r>
        <w:t>The Reserve Bank Board did not have the opportunity to contribute to what was a significant policy decision that they were responsible for.</w:t>
      </w:r>
    </w:p>
    <w:p w14:paraId="1B3B23AB" w14:textId="32A4FF90" w:rsidR="006724F4" w:rsidRDefault="006724F4" w:rsidP="006724F4">
      <w:r>
        <w:t>Roles and responsibilities relating to risk management are currently quite complex and somewhat unclear</w:t>
      </w:r>
      <w:r w:rsidR="0068598E">
        <w:rPr>
          <w:spacing w:val="-24"/>
        </w:rPr>
        <w:t>.</w:t>
      </w:r>
      <w:r>
        <w:rPr>
          <w:w w:val="85"/>
        </w:rPr>
        <w:t xml:space="preserve"> </w:t>
      </w:r>
      <w:r>
        <w:t>This lack of clarity has given rise to issues related to risk governance</w:t>
      </w:r>
      <w:r w:rsidR="0068598E">
        <w:rPr>
          <w:spacing w:val="-24"/>
        </w:rPr>
        <w:t>.</w:t>
      </w:r>
      <w:r>
        <w:rPr>
          <w:w w:val="85"/>
        </w:rPr>
        <w:t xml:space="preserve"> </w:t>
      </w:r>
      <w:r>
        <w:t>For instance, during consultations, concerns were raised that decisions or matters of the internal Risk Management Committee were not always adequately heard and considered.</w:t>
      </w:r>
    </w:p>
    <w:p w14:paraId="140E3CAC" w14:textId="638D66D1" w:rsidR="006724F4" w:rsidRDefault="006724F4" w:rsidP="006724F4">
      <w:r>
        <w:t>The</w:t>
      </w:r>
      <w:r>
        <w:rPr>
          <w:spacing w:val="17"/>
        </w:rPr>
        <w:t xml:space="preserve"> </w:t>
      </w:r>
      <w:r>
        <w:t>Review</w:t>
      </w:r>
      <w:r>
        <w:rPr>
          <w:spacing w:val="17"/>
        </w:rPr>
        <w:t xml:space="preserve"> </w:t>
      </w:r>
      <w:r>
        <w:t>recommends</w:t>
      </w:r>
      <w:r>
        <w:rPr>
          <w:spacing w:val="17"/>
        </w:rPr>
        <w:t xml:space="preserve"> </w:t>
      </w:r>
      <w:r>
        <w:t>updating</w:t>
      </w:r>
      <w:r>
        <w:rPr>
          <w:spacing w:val="17"/>
        </w:rPr>
        <w:t xml:space="preserve"> </w:t>
      </w:r>
      <w:r>
        <w:t>and</w:t>
      </w:r>
      <w:r>
        <w:rPr>
          <w:spacing w:val="17"/>
        </w:rPr>
        <w:t xml:space="preserve"> </w:t>
      </w:r>
      <w:r>
        <w:t>strengthening</w:t>
      </w:r>
      <w:r>
        <w:rPr>
          <w:spacing w:val="17"/>
        </w:rPr>
        <w:t xml:space="preserve"> </w:t>
      </w:r>
      <w:r>
        <w:t>the</w:t>
      </w:r>
      <w:r>
        <w:rPr>
          <w:spacing w:val="17"/>
        </w:rPr>
        <w:t xml:space="preserve"> </w:t>
      </w:r>
      <w:r>
        <w:t>RBA’s</w:t>
      </w:r>
      <w:r>
        <w:rPr>
          <w:spacing w:val="17"/>
        </w:rPr>
        <w:t xml:space="preserve"> </w:t>
      </w:r>
      <w:r>
        <w:t>corporate</w:t>
      </w:r>
      <w:r>
        <w:rPr>
          <w:spacing w:val="17"/>
        </w:rPr>
        <w:t xml:space="preserve"> </w:t>
      </w:r>
      <w:r>
        <w:t>governance</w:t>
      </w:r>
      <w:r>
        <w:rPr>
          <w:spacing w:val="17"/>
        </w:rPr>
        <w:t xml:space="preserve"> </w:t>
      </w:r>
      <w:r>
        <w:t>with the</w:t>
      </w:r>
      <w:r>
        <w:rPr>
          <w:spacing w:val="-2"/>
        </w:rPr>
        <w:t xml:space="preserve"> </w:t>
      </w:r>
      <w:r>
        <w:t>creation</w:t>
      </w:r>
      <w:r>
        <w:rPr>
          <w:spacing w:val="-2"/>
        </w:rPr>
        <w:t xml:space="preserve"> </w:t>
      </w:r>
      <w:r>
        <w:t>of</w:t>
      </w:r>
      <w:r>
        <w:rPr>
          <w:spacing w:val="-2"/>
        </w:rPr>
        <w:t xml:space="preserve"> </w:t>
      </w:r>
      <w:r>
        <w:t>a</w:t>
      </w:r>
      <w:r>
        <w:rPr>
          <w:spacing w:val="-2"/>
        </w:rPr>
        <w:t xml:space="preserve"> </w:t>
      </w:r>
      <w:r>
        <w:t>Governance</w:t>
      </w:r>
      <w:r>
        <w:rPr>
          <w:spacing w:val="-2"/>
        </w:rPr>
        <w:t xml:space="preserve"> </w:t>
      </w:r>
      <w:r>
        <w:t>Board</w:t>
      </w:r>
      <w:r w:rsidR="0068598E">
        <w:rPr>
          <w:spacing w:val="-25"/>
        </w:rPr>
        <w:t>.</w:t>
      </w:r>
      <w:r>
        <w:rPr>
          <w:w w:val="85"/>
        </w:rPr>
        <w:t xml:space="preserve"> </w:t>
      </w:r>
      <w:r>
        <w:t>The</w:t>
      </w:r>
      <w:r>
        <w:rPr>
          <w:spacing w:val="-2"/>
        </w:rPr>
        <w:t xml:space="preserve"> </w:t>
      </w:r>
      <w:r>
        <w:t>intent</w:t>
      </w:r>
      <w:r>
        <w:rPr>
          <w:spacing w:val="-2"/>
        </w:rPr>
        <w:t xml:space="preserve"> </w:t>
      </w:r>
      <w:r>
        <w:t>of</w:t>
      </w:r>
      <w:r>
        <w:rPr>
          <w:spacing w:val="-2"/>
        </w:rPr>
        <w:t xml:space="preserve"> </w:t>
      </w:r>
      <w:r>
        <w:t>this</w:t>
      </w:r>
      <w:r>
        <w:rPr>
          <w:spacing w:val="-2"/>
        </w:rPr>
        <w:t xml:space="preserve"> </w:t>
      </w:r>
      <w:r>
        <w:t>recommendation</w:t>
      </w:r>
      <w:r>
        <w:rPr>
          <w:spacing w:val="-2"/>
        </w:rPr>
        <w:t xml:space="preserve"> </w:t>
      </w:r>
      <w:r>
        <w:t>is</w:t>
      </w:r>
      <w:r>
        <w:rPr>
          <w:spacing w:val="-2"/>
        </w:rPr>
        <w:t xml:space="preserve"> </w:t>
      </w:r>
      <w:r>
        <w:t>to</w:t>
      </w:r>
      <w:r>
        <w:rPr>
          <w:spacing w:val="-2"/>
        </w:rPr>
        <w:t xml:space="preserve"> </w:t>
      </w:r>
      <w:r>
        <w:t>align</w:t>
      </w:r>
      <w:r>
        <w:rPr>
          <w:spacing w:val="-2"/>
        </w:rPr>
        <w:t xml:space="preserve"> </w:t>
      </w:r>
      <w:r>
        <w:t>the</w:t>
      </w:r>
      <w:r>
        <w:rPr>
          <w:spacing w:val="-2"/>
        </w:rPr>
        <w:t xml:space="preserve"> </w:t>
      </w:r>
      <w:r>
        <w:t>RBA</w:t>
      </w:r>
      <w:r>
        <w:rPr>
          <w:spacing w:val="-2"/>
        </w:rPr>
        <w:t xml:space="preserve"> </w:t>
      </w:r>
      <w:r>
        <w:t xml:space="preserve">with </w:t>
      </w:r>
      <w:r>
        <w:rPr>
          <w:color w:val="231F20"/>
        </w:rPr>
        <w:t>current</w:t>
      </w:r>
      <w:r>
        <w:rPr>
          <w:color w:val="231F20"/>
          <w:spacing w:val="3"/>
        </w:rPr>
        <w:t xml:space="preserve"> </w:t>
      </w:r>
      <w:r>
        <w:rPr>
          <w:color w:val="231F20"/>
        </w:rPr>
        <w:t>best</w:t>
      </w:r>
      <w:r>
        <w:rPr>
          <w:color w:val="231F20"/>
          <w:spacing w:val="4"/>
        </w:rPr>
        <w:t xml:space="preserve"> </w:t>
      </w:r>
      <w:r>
        <w:rPr>
          <w:color w:val="231F20"/>
        </w:rPr>
        <w:t>practice,</w:t>
      </w:r>
      <w:r>
        <w:rPr>
          <w:color w:val="231F20"/>
          <w:spacing w:val="3"/>
        </w:rPr>
        <w:t xml:space="preserve"> </w:t>
      </w:r>
      <w:r>
        <w:rPr>
          <w:color w:val="231F20"/>
        </w:rPr>
        <w:t>reduce</w:t>
      </w:r>
      <w:r>
        <w:rPr>
          <w:color w:val="231F20"/>
          <w:spacing w:val="4"/>
        </w:rPr>
        <w:t xml:space="preserve"> </w:t>
      </w:r>
      <w:r>
        <w:rPr>
          <w:color w:val="231F20"/>
        </w:rPr>
        <w:t>risk,</w:t>
      </w:r>
      <w:r>
        <w:rPr>
          <w:color w:val="231F20"/>
          <w:spacing w:val="4"/>
        </w:rPr>
        <w:t xml:space="preserve"> </w:t>
      </w:r>
      <w:r>
        <w:rPr>
          <w:color w:val="231F20"/>
        </w:rPr>
        <w:t>clarify</w:t>
      </w:r>
      <w:r>
        <w:rPr>
          <w:color w:val="231F20"/>
          <w:spacing w:val="3"/>
        </w:rPr>
        <w:t xml:space="preserve"> </w:t>
      </w:r>
      <w:r>
        <w:rPr>
          <w:color w:val="231F20"/>
        </w:rPr>
        <w:t>accountability,</w:t>
      </w:r>
      <w:r>
        <w:rPr>
          <w:color w:val="231F20"/>
          <w:spacing w:val="4"/>
        </w:rPr>
        <w:t xml:space="preserve"> </w:t>
      </w:r>
      <w:r>
        <w:rPr>
          <w:color w:val="231F20"/>
        </w:rPr>
        <w:t>drive</w:t>
      </w:r>
      <w:r>
        <w:rPr>
          <w:color w:val="231F20"/>
          <w:spacing w:val="4"/>
        </w:rPr>
        <w:t xml:space="preserve"> </w:t>
      </w:r>
      <w:r>
        <w:rPr>
          <w:color w:val="231F20"/>
        </w:rPr>
        <w:t>organisational</w:t>
      </w:r>
      <w:r>
        <w:rPr>
          <w:color w:val="231F20"/>
          <w:spacing w:val="3"/>
        </w:rPr>
        <w:t xml:space="preserve"> </w:t>
      </w:r>
      <w:r>
        <w:rPr>
          <w:color w:val="231F20"/>
        </w:rPr>
        <w:t>change</w:t>
      </w:r>
      <w:r>
        <w:rPr>
          <w:color w:val="231F20"/>
          <w:spacing w:val="4"/>
        </w:rPr>
        <w:t xml:space="preserve"> </w:t>
      </w:r>
      <w:r>
        <w:rPr>
          <w:color w:val="231F20"/>
        </w:rPr>
        <w:t>and</w:t>
      </w:r>
      <w:r>
        <w:rPr>
          <w:color w:val="231F20"/>
          <w:spacing w:val="4"/>
        </w:rPr>
        <w:t xml:space="preserve"> </w:t>
      </w:r>
      <w:r>
        <w:rPr>
          <w:color w:val="231F20"/>
          <w:spacing w:val="-2"/>
        </w:rPr>
        <w:t xml:space="preserve">support </w:t>
      </w:r>
      <w:r>
        <w:rPr>
          <w:color w:val="231F20"/>
        </w:rPr>
        <w:t>a</w:t>
      </w:r>
      <w:r>
        <w:rPr>
          <w:color w:val="231F20"/>
          <w:spacing w:val="6"/>
        </w:rPr>
        <w:t xml:space="preserve"> </w:t>
      </w:r>
      <w:r>
        <w:rPr>
          <w:color w:val="231F20"/>
        </w:rPr>
        <w:t>high</w:t>
      </w:r>
      <w:r>
        <w:rPr>
          <w:color w:val="231F20"/>
        </w:rPr>
        <w:noBreakHyphen/>
        <w:t>performing</w:t>
      </w:r>
      <w:r>
        <w:rPr>
          <w:color w:val="231F20"/>
          <w:spacing w:val="8"/>
        </w:rPr>
        <w:t xml:space="preserve"> </w:t>
      </w:r>
      <w:r>
        <w:rPr>
          <w:color w:val="231F20"/>
          <w:spacing w:val="-4"/>
        </w:rPr>
        <w:t>RBA.</w:t>
      </w:r>
    </w:p>
    <w:p w14:paraId="37E1BDD0" w14:textId="77777777" w:rsidR="00D52BD8" w:rsidRDefault="00D52BD8" w:rsidP="006724F4">
      <w:pPr>
        <w:tabs>
          <w:tab w:val="left" w:pos="3686"/>
        </w:tabs>
      </w:pP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677DEF" w14:paraId="1C5D8FEB" w14:textId="77777777" w:rsidTr="00C64646">
        <w:tc>
          <w:tcPr>
            <w:tcW w:w="5000" w:type="pct"/>
            <w:tcBorders>
              <w:top w:val="nil"/>
              <w:left w:val="nil"/>
              <w:bottom w:val="nil"/>
              <w:right w:val="nil"/>
            </w:tcBorders>
            <w:shd w:val="clear" w:color="auto" w:fill="F9EEDB" w:themeFill="accent6"/>
          </w:tcPr>
          <w:p w14:paraId="44A5A30D" w14:textId="77777777" w:rsidR="00BE61BA" w:rsidRDefault="00BE61BA" w:rsidP="00BE61BA">
            <w:pPr>
              <w:pStyle w:val="BoxHeading"/>
              <w:rPr>
                <w:color w:val="000000"/>
              </w:rPr>
            </w:pPr>
            <w:r>
              <w:lastRenderedPageBreak/>
              <w:t>Box</w:t>
            </w:r>
            <w:r>
              <w:rPr>
                <w:spacing w:val="-2"/>
              </w:rPr>
              <w:t xml:space="preserve"> </w:t>
            </w:r>
            <w:r>
              <w:t xml:space="preserve">5.2: International comparison of central bank governance </w:t>
            </w:r>
            <w:r>
              <w:rPr>
                <w:spacing w:val="-2"/>
              </w:rPr>
              <w:t>arrangements</w:t>
            </w:r>
          </w:p>
          <w:p w14:paraId="4AFF6EC5" w14:textId="77777777" w:rsidR="00671AE1" w:rsidRDefault="00671AE1" w:rsidP="00671AE1">
            <w:pPr>
              <w:spacing w:before="11" w:line="225" w:lineRule="auto"/>
              <w:rPr>
                <w:sz w:val="18"/>
              </w:rPr>
            </w:pPr>
            <w:r>
              <w:rPr>
                <w:color w:val="231F20"/>
                <w:sz w:val="18"/>
              </w:rPr>
              <w:t>There is significant variation in the governance arrangements of central banks internationally, reflecting the diversity of responsibilities of central banks as well as differing legal traditions and governance norms. Table 5.1 details the corporate governance arrangements for a selection of inflation-targeting central banks.</w:t>
            </w:r>
          </w:p>
          <w:p w14:paraId="3C33ADBD" w14:textId="77777777" w:rsidR="00667D25" w:rsidRDefault="00667D25" w:rsidP="00667D25">
            <w:pPr>
              <w:pStyle w:val="BoxHeading"/>
            </w:pPr>
            <w:r>
              <w:t>Table</w:t>
            </w:r>
            <w:r>
              <w:rPr>
                <w:spacing w:val="-5"/>
              </w:rPr>
              <w:t xml:space="preserve"> </w:t>
            </w:r>
            <w:r>
              <w:t>5.1</w:t>
            </w:r>
            <w:r>
              <w:rPr>
                <w:spacing w:val="-4"/>
              </w:rPr>
              <w:t xml:space="preserve"> </w:t>
            </w:r>
            <w:r>
              <w:t>Governance</w:t>
            </w:r>
            <w:r>
              <w:rPr>
                <w:spacing w:val="-4"/>
              </w:rPr>
              <w:t xml:space="preserve"> </w:t>
            </w:r>
            <w:r>
              <w:t>arrangements</w:t>
            </w:r>
            <w:r>
              <w:rPr>
                <w:spacing w:val="-5"/>
              </w:rPr>
              <w:t xml:space="preserve"> </w:t>
            </w:r>
            <w:r>
              <w:t>in</w:t>
            </w:r>
            <w:r>
              <w:rPr>
                <w:spacing w:val="-4"/>
              </w:rPr>
              <w:t xml:space="preserve"> </w:t>
            </w:r>
            <w:r>
              <w:t>central</w:t>
            </w:r>
            <w:r>
              <w:rPr>
                <w:spacing w:val="-4"/>
              </w:rPr>
              <w:t xml:space="preserve"> banks</w:t>
            </w:r>
          </w:p>
          <w:p w14:paraId="7C7D18EF" w14:textId="77777777" w:rsidR="00677DEF" w:rsidRDefault="00677DEF" w:rsidP="005073DA">
            <w:pPr>
              <w:pStyle w:val="BoxText"/>
            </w:pPr>
          </w:p>
          <w:tbl>
            <w:tblPr>
              <w:tblStyle w:val="TableGrid"/>
              <w:tblW w:w="8163" w:type="dxa"/>
              <w:tblLook w:val="04A0" w:firstRow="1" w:lastRow="0" w:firstColumn="1" w:lastColumn="0" w:noHBand="0" w:noVBand="1"/>
            </w:tblPr>
            <w:tblGrid>
              <w:gridCol w:w="1839"/>
              <w:gridCol w:w="2835"/>
              <w:gridCol w:w="3489"/>
            </w:tblGrid>
            <w:tr w:rsidR="0003484B" w14:paraId="7DBF0F2F" w14:textId="77777777" w:rsidTr="00C64646">
              <w:trPr>
                <w:cnfStyle w:val="100000000000" w:firstRow="1" w:lastRow="0" w:firstColumn="0" w:lastColumn="0" w:oddVBand="0" w:evenVBand="0" w:oddHBand="0" w:evenHBand="0" w:firstRowFirstColumn="0" w:firstRowLastColumn="0" w:lastRowFirstColumn="0" w:lastRowLastColumn="0"/>
              </w:trPr>
              <w:tc>
                <w:tcPr>
                  <w:tcW w:w="1839" w:type="dxa"/>
                </w:tcPr>
                <w:p w14:paraId="51221B64" w14:textId="77777777" w:rsidR="0003484B" w:rsidRDefault="0003484B" w:rsidP="00333B58">
                  <w:r>
                    <w:rPr>
                      <w:rFonts w:ascii="Open Sans"/>
                      <w:color w:val="231F20"/>
                      <w:spacing w:val="-2"/>
                      <w:sz w:val="16"/>
                    </w:rPr>
                    <w:t>Country</w:t>
                  </w:r>
                </w:p>
              </w:tc>
              <w:tc>
                <w:tcPr>
                  <w:tcW w:w="2835" w:type="dxa"/>
                </w:tcPr>
                <w:p w14:paraId="24819F53" w14:textId="77777777" w:rsidR="0003484B" w:rsidRDefault="0003484B" w:rsidP="00333B58">
                  <w:r>
                    <w:rPr>
                      <w:rFonts w:ascii="Open Sans"/>
                      <w:color w:val="231F20"/>
                      <w:sz w:val="16"/>
                    </w:rPr>
                    <w:t>Governance</w:t>
                  </w:r>
                  <w:r>
                    <w:rPr>
                      <w:rFonts w:ascii="Open Sans"/>
                      <w:color w:val="231F20"/>
                      <w:spacing w:val="-2"/>
                      <w:sz w:val="16"/>
                    </w:rPr>
                    <w:t xml:space="preserve"> </w:t>
                  </w:r>
                  <w:r>
                    <w:rPr>
                      <w:rFonts w:ascii="Open Sans"/>
                      <w:color w:val="231F20"/>
                      <w:sz w:val="16"/>
                    </w:rPr>
                    <w:t>body</w:t>
                  </w:r>
                  <w:r>
                    <w:rPr>
                      <w:rFonts w:ascii="Open Sans"/>
                      <w:color w:val="231F20"/>
                      <w:spacing w:val="-1"/>
                      <w:sz w:val="16"/>
                    </w:rPr>
                    <w:t xml:space="preserve"> </w:t>
                  </w:r>
                  <w:r>
                    <w:rPr>
                      <w:rFonts w:ascii="Open Sans"/>
                      <w:color w:val="231F20"/>
                      <w:spacing w:val="-2"/>
                      <w:sz w:val="16"/>
                    </w:rPr>
                    <w:t>(Chair)</w:t>
                  </w:r>
                </w:p>
              </w:tc>
              <w:tc>
                <w:tcPr>
                  <w:tcW w:w="3489" w:type="dxa"/>
                </w:tcPr>
                <w:p w14:paraId="1BC9FE62" w14:textId="77777777" w:rsidR="0003484B" w:rsidRDefault="0003484B" w:rsidP="00333B58">
                  <w:r>
                    <w:rPr>
                      <w:rFonts w:ascii="Open Sans"/>
                      <w:color w:val="231F20"/>
                      <w:sz w:val="16"/>
                    </w:rPr>
                    <w:t>Separate</w:t>
                  </w:r>
                  <w:r>
                    <w:rPr>
                      <w:rFonts w:ascii="Open Sans"/>
                      <w:color w:val="231F20"/>
                      <w:spacing w:val="-8"/>
                      <w:sz w:val="16"/>
                    </w:rPr>
                    <w:t xml:space="preserve"> </w:t>
                  </w:r>
                  <w:r>
                    <w:rPr>
                      <w:rFonts w:ascii="Open Sans"/>
                      <w:color w:val="231F20"/>
                      <w:sz w:val="16"/>
                    </w:rPr>
                    <w:t>monetary</w:t>
                  </w:r>
                  <w:r>
                    <w:rPr>
                      <w:rFonts w:ascii="Open Sans"/>
                      <w:color w:val="231F20"/>
                      <w:spacing w:val="-8"/>
                      <w:sz w:val="16"/>
                    </w:rPr>
                    <w:t xml:space="preserve"> </w:t>
                  </w:r>
                  <w:r>
                    <w:rPr>
                      <w:rFonts w:ascii="Open Sans"/>
                      <w:color w:val="231F20"/>
                      <w:sz w:val="16"/>
                    </w:rPr>
                    <w:t>policy committee/board?</w:t>
                  </w:r>
                  <w:r>
                    <w:rPr>
                      <w:rFonts w:ascii="Open Sans"/>
                      <w:color w:val="231F20"/>
                      <w:spacing w:val="7"/>
                      <w:sz w:val="16"/>
                    </w:rPr>
                    <w:t xml:space="preserve"> </w:t>
                  </w:r>
                  <w:r>
                    <w:rPr>
                      <w:rFonts w:ascii="Open Sans"/>
                      <w:color w:val="231F20"/>
                      <w:spacing w:val="-2"/>
                      <w:sz w:val="16"/>
                    </w:rPr>
                    <w:t>(Chair)</w:t>
                  </w:r>
                </w:p>
              </w:tc>
            </w:tr>
            <w:tr w:rsidR="0003484B" w14:paraId="1B021403" w14:textId="77777777" w:rsidTr="00C64646">
              <w:tc>
                <w:tcPr>
                  <w:tcW w:w="1839" w:type="dxa"/>
                </w:tcPr>
                <w:p w14:paraId="25B66D45" w14:textId="77777777" w:rsidR="0003484B" w:rsidRDefault="0003484B" w:rsidP="00333B58">
                  <w:r>
                    <w:rPr>
                      <w:rFonts w:ascii="Open Sans"/>
                      <w:b/>
                      <w:color w:val="231F20"/>
                      <w:spacing w:val="-2"/>
                      <w:sz w:val="16"/>
                    </w:rPr>
                    <w:t>Australia</w:t>
                  </w:r>
                </w:p>
              </w:tc>
              <w:tc>
                <w:tcPr>
                  <w:tcW w:w="2835" w:type="dxa"/>
                </w:tcPr>
                <w:p w14:paraId="628AB8D2" w14:textId="77777777" w:rsidR="0003484B" w:rsidRDefault="0003484B" w:rsidP="00333B58">
                  <w:r>
                    <w:rPr>
                      <w:color w:val="231F20"/>
                      <w:sz w:val="16"/>
                    </w:rPr>
                    <w:t>Reserve</w:t>
                  </w:r>
                  <w:r>
                    <w:rPr>
                      <w:color w:val="231F20"/>
                      <w:spacing w:val="-11"/>
                      <w:sz w:val="16"/>
                    </w:rPr>
                    <w:t xml:space="preserve"> </w:t>
                  </w:r>
                  <w:r>
                    <w:rPr>
                      <w:color w:val="231F20"/>
                      <w:sz w:val="16"/>
                    </w:rPr>
                    <w:t>Bank</w:t>
                  </w:r>
                  <w:r>
                    <w:rPr>
                      <w:color w:val="231F20"/>
                      <w:spacing w:val="-10"/>
                      <w:sz w:val="16"/>
                    </w:rPr>
                    <w:t xml:space="preserve"> </w:t>
                  </w:r>
                  <w:r>
                    <w:rPr>
                      <w:color w:val="231F20"/>
                      <w:sz w:val="16"/>
                    </w:rPr>
                    <w:t xml:space="preserve">Board </w:t>
                  </w:r>
                  <w:r>
                    <w:rPr>
                      <w:color w:val="231F20"/>
                      <w:spacing w:val="-2"/>
                      <w:sz w:val="16"/>
                    </w:rPr>
                    <w:t>(Governor)</w:t>
                  </w:r>
                </w:p>
              </w:tc>
              <w:tc>
                <w:tcPr>
                  <w:tcW w:w="3489" w:type="dxa"/>
                </w:tcPr>
                <w:p w14:paraId="7EE13870" w14:textId="77777777" w:rsidR="0003484B" w:rsidRDefault="0003484B" w:rsidP="00333B58">
                  <w:r>
                    <w:rPr>
                      <w:color w:val="231F20"/>
                      <w:spacing w:val="-5"/>
                      <w:sz w:val="16"/>
                    </w:rPr>
                    <w:t>No</w:t>
                  </w:r>
                </w:p>
              </w:tc>
            </w:tr>
            <w:tr w:rsidR="0003484B" w14:paraId="52B64559" w14:textId="77777777" w:rsidTr="00B10913">
              <w:tc>
                <w:tcPr>
                  <w:tcW w:w="1839" w:type="dxa"/>
                </w:tcPr>
                <w:p w14:paraId="39C66CF7" w14:textId="77777777" w:rsidR="0003484B" w:rsidRDefault="0003484B" w:rsidP="00333B58">
                  <w:r>
                    <w:rPr>
                      <w:rFonts w:ascii="Open Sans"/>
                      <w:b/>
                      <w:color w:val="231F20"/>
                      <w:spacing w:val="-2"/>
                      <w:sz w:val="16"/>
                    </w:rPr>
                    <w:t>Canada</w:t>
                  </w:r>
                </w:p>
              </w:tc>
              <w:tc>
                <w:tcPr>
                  <w:tcW w:w="2835" w:type="dxa"/>
                </w:tcPr>
                <w:p w14:paraId="0C4F0A36" w14:textId="77777777" w:rsidR="0003484B" w:rsidRDefault="0003484B" w:rsidP="00333B58">
                  <w:r>
                    <w:rPr>
                      <w:color w:val="231F20"/>
                      <w:sz w:val="16"/>
                    </w:rPr>
                    <w:t>Board</w:t>
                  </w:r>
                  <w:r>
                    <w:rPr>
                      <w:color w:val="231F20"/>
                      <w:spacing w:val="-1"/>
                      <w:sz w:val="16"/>
                    </w:rPr>
                    <w:t xml:space="preserve"> </w:t>
                  </w:r>
                  <w:r>
                    <w:rPr>
                      <w:color w:val="231F20"/>
                      <w:sz w:val="16"/>
                    </w:rPr>
                    <w:t>of</w:t>
                  </w:r>
                  <w:r>
                    <w:rPr>
                      <w:color w:val="231F20"/>
                      <w:spacing w:val="-1"/>
                      <w:sz w:val="16"/>
                    </w:rPr>
                    <w:t xml:space="preserve"> </w:t>
                  </w:r>
                  <w:r>
                    <w:rPr>
                      <w:color w:val="231F20"/>
                      <w:sz w:val="16"/>
                    </w:rPr>
                    <w:t>Directors</w:t>
                  </w:r>
                  <w:r>
                    <w:rPr>
                      <w:color w:val="231F20"/>
                      <w:spacing w:val="-1"/>
                      <w:sz w:val="16"/>
                    </w:rPr>
                    <w:t xml:space="preserve"> </w:t>
                  </w:r>
                  <w:r>
                    <w:rPr>
                      <w:color w:val="231F20"/>
                      <w:spacing w:val="-2"/>
                      <w:sz w:val="16"/>
                    </w:rPr>
                    <w:t>(Governor)</w:t>
                  </w:r>
                </w:p>
              </w:tc>
              <w:tc>
                <w:tcPr>
                  <w:tcW w:w="3489" w:type="dxa"/>
                </w:tcPr>
                <w:p w14:paraId="4F478239" w14:textId="77777777" w:rsidR="0003484B" w:rsidRDefault="0003484B" w:rsidP="00333B58">
                  <w:r>
                    <w:rPr>
                      <w:color w:val="231F20"/>
                      <w:sz w:val="16"/>
                    </w:rPr>
                    <w:t>Governing</w:t>
                  </w:r>
                  <w:r>
                    <w:rPr>
                      <w:color w:val="231F20"/>
                      <w:spacing w:val="-2"/>
                      <w:sz w:val="16"/>
                    </w:rPr>
                    <w:t xml:space="preserve"> </w:t>
                  </w:r>
                  <w:r>
                    <w:rPr>
                      <w:color w:val="231F20"/>
                      <w:sz w:val="16"/>
                    </w:rPr>
                    <w:t>Council</w:t>
                  </w:r>
                  <w:r>
                    <w:rPr>
                      <w:color w:val="231F20"/>
                      <w:spacing w:val="-2"/>
                      <w:sz w:val="16"/>
                    </w:rPr>
                    <w:t xml:space="preserve"> (Governor)</w:t>
                  </w:r>
                </w:p>
              </w:tc>
            </w:tr>
            <w:tr w:rsidR="0003484B" w14:paraId="701D5D2D" w14:textId="77777777" w:rsidTr="00B10913">
              <w:tc>
                <w:tcPr>
                  <w:tcW w:w="1839" w:type="dxa"/>
                </w:tcPr>
                <w:p w14:paraId="358F47D7" w14:textId="77777777" w:rsidR="0003484B" w:rsidRDefault="0003484B" w:rsidP="00333B58">
                  <w:r>
                    <w:rPr>
                      <w:rFonts w:ascii="Open Sans"/>
                      <w:b/>
                      <w:color w:val="231F20"/>
                      <w:sz w:val="16"/>
                    </w:rPr>
                    <w:t>Euro-</w:t>
                  </w:r>
                  <w:r>
                    <w:rPr>
                      <w:rFonts w:ascii="Open Sans"/>
                      <w:b/>
                      <w:color w:val="231F20"/>
                      <w:spacing w:val="-4"/>
                      <w:sz w:val="16"/>
                    </w:rPr>
                    <w:t>area</w:t>
                  </w:r>
                </w:p>
              </w:tc>
              <w:tc>
                <w:tcPr>
                  <w:tcW w:w="2835" w:type="dxa"/>
                </w:tcPr>
                <w:p w14:paraId="54C3DB25" w14:textId="77777777" w:rsidR="0003484B" w:rsidRDefault="0003484B" w:rsidP="00333B58">
                  <w:r>
                    <w:rPr>
                      <w:color w:val="231F20"/>
                      <w:sz w:val="16"/>
                    </w:rPr>
                    <w:t>Governing</w:t>
                  </w:r>
                  <w:r>
                    <w:rPr>
                      <w:color w:val="231F20"/>
                      <w:spacing w:val="-2"/>
                      <w:sz w:val="16"/>
                    </w:rPr>
                    <w:t xml:space="preserve"> </w:t>
                  </w:r>
                  <w:r>
                    <w:rPr>
                      <w:color w:val="231F20"/>
                      <w:sz w:val="16"/>
                    </w:rPr>
                    <w:t>Council</w:t>
                  </w:r>
                  <w:r>
                    <w:rPr>
                      <w:color w:val="231F20"/>
                      <w:spacing w:val="-2"/>
                      <w:sz w:val="16"/>
                    </w:rPr>
                    <w:t xml:space="preserve"> (President)</w:t>
                  </w:r>
                </w:p>
              </w:tc>
              <w:tc>
                <w:tcPr>
                  <w:tcW w:w="3489" w:type="dxa"/>
                </w:tcPr>
                <w:p w14:paraId="78BB04B0" w14:textId="77777777" w:rsidR="0003484B" w:rsidRDefault="0003484B" w:rsidP="00333B58">
                  <w:r>
                    <w:rPr>
                      <w:color w:val="231F20"/>
                      <w:spacing w:val="-5"/>
                      <w:sz w:val="16"/>
                    </w:rPr>
                    <w:t>No</w:t>
                  </w:r>
                </w:p>
              </w:tc>
            </w:tr>
            <w:tr w:rsidR="0003484B" w14:paraId="5A3EFCAC" w14:textId="77777777" w:rsidTr="00B10913">
              <w:tc>
                <w:tcPr>
                  <w:tcW w:w="1839" w:type="dxa"/>
                </w:tcPr>
                <w:p w14:paraId="318C8860" w14:textId="77777777" w:rsidR="0003484B" w:rsidRDefault="0003484B" w:rsidP="00333B58">
                  <w:r>
                    <w:rPr>
                      <w:rFonts w:ascii="Open Sans"/>
                      <w:b/>
                      <w:color w:val="231F20"/>
                      <w:spacing w:val="-2"/>
                      <w:sz w:val="16"/>
                    </w:rPr>
                    <w:t>India</w:t>
                  </w:r>
                </w:p>
              </w:tc>
              <w:tc>
                <w:tcPr>
                  <w:tcW w:w="2835" w:type="dxa"/>
                </w:tcPr>
                <w:p w14:paraId="77589C9E" w14:textId="77777777" w:rsidR="0003484B" w:rsidRDefault="0003484B" w:rsidP="00333B58">
                  <w:r>
                    <w:rPr>
                      <w:color w:val="231F20"/>
                      <w:sz w:val="16"/>
                    </w:rPr>
                    <w:t>Central</w:t>
                  </w:r>
                  <w:r>
                    <w:rPr>
                      <w:color w:val="231F20"/>
                      <w:spacing w:val="-10"/>
                      <w:sz w:val="16"/>
                    </w:rPr>
                    <w:t xml:space="preserve"> </w:t>
                  </w:r>
                  <w:r>
                    <w:rPr>
                      <w:color w:val="231F20"/>
                      <w:sz w:val="16"/>
                    </w:rPr>
                    <w:t>Board</w:t>
                  </w:r>
                  <w:r>
                    <w:rPr>
                      <w:color w:val="231F20"/>
                      <w:spacing w:val="-10"/>
                      <w:sz w:val="16"/>
                    </w:rPr>
                    <w:t xml:space="preserve"> </w:t>
                  </w:r>
                  <w:r>
                    <w:rPr>
                      <w:color w:val="231F20"/>
                      <w:sz w:val="16"/>
                    </w:rPr>
                    <w:t>of</w:t>
                  </w:r>
                  <w:r>
                    <w:rPr>
                      <w:color w:val="231F20"/>
                      <w:spacing w:val="-10"/>
                      <w:sz w:val="16"/>
                    </w:rPr>
                    <w:t xml:space="preserve"> </w:t>
                  </w:r>
                  <w:r>
                    <w:rPr>
                      <w:color w:val="231F20"/>
                      <w:sz w:val="16"/>
                    </w:rPr>
                    <w:t xml:space="preserve">Directors </w:t>
                  </w:r>
                  <w:r>
                    <w:rPr>
                      <w:color w:val="231F20"/>
                      <w:spacing w:val="-2"/>
                      <w:sz w:val="16"/>
                    </w:rPr>
                    <w:t>(Governor)</w:t>
                  </w:r>
                </w:p>
              </w:tc>
              <w:tc>
                <w:tcPr>
                  <w:tcW w:w="3489" w:type="dxa"/>
                </w:tcPr>
                <w:p w14:paraId="1D7D601F" w14:textId="77777777" w:rsidR="0003484B" w:rsidRDefault="0003484B" w:rsidP="00333B58">
                  <w:r>
                    <w:rPr>
                      <w:color w:val="231F20"/>
                      <w:sz w:val="16"/>
                    </w:rPr>
                    <w:t>Monetary</w:t>
                  </w:r>
                  <w:r>
                    <w:rPr>
                      <w:color w:val="231F20"/>
                      <w:spacing w:val="-3"/>
                      <w:sz w:val="16"/>
                    </w:rPr>
                    <w:t xml:space="preserve"> </w:t>
                  </w:r>
                  <w:r>
                    <w:rPr>
                      <w:color w:val="231F20"/>
                      <w:sz w:val="16"/>
                    </w:rPr>
                    <w:t>Policy</w:t>
                  </w:r>
                  <w:r>
                    <w:rPr>
                      <w:color w:val="231F20"/>
                      <w:spacing w:val="-3"/>
                      <w:sz w:val="16"/>
                    </w:rPr>
                    <w:t xml:space="preserve"> </w:t>
                  </w:r>
                  <w:r>
                    <w:rPr>
                      <w:color w:val="231F20"/>
                      <w:sz w:val="16"/>
                    </w:rPr>
                    <w:t xml:space="preserve">Committee </w:t>
                  </w:r>
                  <w:r>
                    <w:rPr>
                      <w:color w:val="231F20"/>
                      <w:spacing w:val="-2"/>
                      <w:sz w:val="16"/>
                    </w:rPr>
                    <w:t>(Governor)</w:t>
                  </w:r>
                </w:p>
              </w:tc>
            </w:tr>
            <w:tr w:rsidR="0003484B" w14:paraId="4EB62878" w14:textId="77777777" w:rsidTr="00B10913">
              <w:tc>
                <w:tcPr>
                  <w:tcW w:w="1839" w:type="dxa"/>
                </w:tcPr>
                <w:p w14:paraId="3D703FF5" w14:textId="77777777" w:rsidR="0003484B" w:rsidRDefault="0003484B" w:rsidP="00333B58">
                  <w:r>
                    <w:rPr>
                      <w:rFonts w:ascii="Open Sans"/>
                      <w:b/>
                      <w:color w:val="231F20"/>
                      <w:spacing w:val="-2"/>
                      <w:sz w:val="16"/>
                    </w:rPr>
                    <w:t>Japan</w:t>
                  </w:r>
                </w:p>
              </w:tc>
              <w:tc>
                <w:tcPr>
                  <w:tcW w:w="2835" w:type="dxa"/>
                </w:tcPr>
                <w:p w14:paraId="16525BF2" w14:textId="77777777" w:rsidR="0003484B" w:rsidRDefault="0003484B" w:rsidP="00333B58">
                  <w:r>
                    <w:rPr>
                      <w:color w:val="231F20"/>
                      <w:sz w:val="16"/>
                    </w:rPr>
                    <w:t>Policy Board</w:t>
                  </w:r>
                  <w:r>
                    <w:rPr>
                      <w:color w:val="231F20"/>
                      <w:spacing w:val="1"/>
                      <w:sz w:val="16"/>
                    </w:rPr>
                    <w:t xml:space="preserve"> </w:t>
                  </w:r>
                  <w:r>
                    <w:rPr>
                      <w:color w:val="231F20"/>
                      <w:spacing w:val="-2"/>
                      <w:sz w:val="16"/>
                    </w:rPr>
                    <w:t>(Governor)</w:t>
                  </w:r>
                </w:p>
              </w:tc>
              <w:tc>
                <w:tcPr>
                  <w:tcW w:w="3489" w:type="dxa"/>
                </w:tcPr>
                <w:p w14:paraId="709E0065" w14:textId="77777777" w:rsidR="0003484B" w:rsidRDefault="0003484B" w:rsidP="00333B58">
                  <w:r>
                    <w:rPr>
                      <w:color w:val="231F20"/>
                      <w:spacing w:val="-5"/>
                      <w:sz w:val="16"/>
                    </w:rPr>
                    <w:t>No</w:t>
                  </w:r>
                </w:p>
              </w:tc>
            </w:tr>
            <w:tr w:rsidR="0003484B" w14:paraId="3AED817B" w14:textId="77777777" w:rsidTr="00B10913">
              <w:tc>
                <w:tcPr>
                  <w:tcW w:w="1839" w:type="dxa"/>
                </w:tcPr>
                <w:p w14:paraId="3D3B7184" w14:textId="77777777" w:rsidR="0003484B" w:rsidRDefault="0003484B" w:rsidP="00333B58">
                  <w:r>
                    <w:rPr>
                      <w:rFonts w:ascii="Open Sans"/>
                      <w:b/>
                      <w:color w:val="231F20"/>
                      <w:spacing w:val="-2"/>
                      <w:sz w:val="16"/>
                    </w:rPr>
                    <w:t>Korea</w:t>
                  </w:r>
                </w:p>
              </w:tc>
              <w:tc>
                <w:tcPr>
                  <w:tcW w:w="2835" w:type="dxa"/>
                </w:tcPr>
                <w:p w14:paraId="2C7E9A57" w14:textId="77777777" w:rsidR="0003484B" w:rsidRDefault="0003484B" w:rsidP="00333B58">
                  <w:r>
                    <w:rPr>
                      <w:color w:val="231F20"/>
                      <w:sz w:val="16"/>
                    </w:rPr>
                    <w:t>Monetary</w:t>
                  </w:r>
                  <w:r>
                    <w:rPr>
                      <w:color w:val="231F20"/>
                      <w:spacing w:val="-7"/>
                      <w:sz w:val="16"/>
                    </w:rPr>
                    <w:t xml:space="preserve"> </w:t>
                  </w:r>
                  <w:r>
                    <w:rPr>
                      <w:color w:val="231F20"/>
                      <w:sz w:val="16"/>
                    </w:rPr>
                    <w:t>Policy</w:t>
                  </w:r>
                  <w:r>
                    <w:rPr>
                      <w:color w:val="231F20"/>
                      <w:spacing w:val="-7"/>
                      <w:sz w:val="16"/>
                    </w:rPr>
                    <w:t xml:space="preserve"> </w:t>
                  </w:r>
                  <w:r>
                    <w:rPr>
                      <w:color w:val="231F20"/>
                      <w:sz w:val="16"/>
                    </w:rPr>
                    <w:t xml:space="preserve">Board </w:t>
                  </w:r>
                  <w:r>
                    <w:rPr>
                      <w:color w:val="231F20"/>
                      <w:spacing w:val="-2"/>
                      <w:sz w:val="16"/>
                    </w:rPr>
                    <w:t>(Governor)</w:t>
                  </w:r>
                </w:p>
              </w:tc>
              <w:tc>
                <w:tcPr>
                  <w:tcW w:w="3489" w:type="dxa"/>
                </w:tcPr>
                <w:p w14:paraId="0FF3B6BA" w14:textId="77777777" w:rsidR="0003484B" w:rsidRDefault="0003484B" w:rsidP="00333B58">
                  <w:r>
                    <w:rPr>
                      <w:color w:val="231F20"/>
                      <w:spacing w:val="-5"/>
                      <w:sz w:val="16"/>
                    </w:rPr>
                    <w:t>No</w:t>
                  </w:r>
                </w:p>
              </w:tc>
            </w:tr>
            <w:tr w:rsidR="0003484B" w14:paraId="4A3AE73A" w14:textId="77777777" w:rsidTr="00B10913">
              <w:tc>
                <w:tcPr>
                  <w:tcW w:w="1839" w:type="dxa"/>
                </w:tcPr>
                <w:p w14:paraId="448D1FE7" w14:textId="77777777" w:rsidR="0003484B" w:rsidRDefault="0003484B" w:rsidP="00333B58">
                  <w:r>
                    <w:rPr>
                      <w:rFonts w:ascii="Open Sans"/>
                      <w:b/>
                      <w:color w:val="231F20"/>
                      <w:sz w:val="16"/>
                    </w:rPr>
                    <w:t>New</w:t>
                  </w:r>
                  <w:r>
                    <w:rPr>
                      <w:rFonts w:ascii="Open Sans"/>
                      <w:b/>
                      <w:color w:val="231F20"/>
                      <w:spacing w:val="1"/>
                      <w:sz w:val="16"/>
                    </w:rPr>
                    <w:t xml:space="preserve"> </w:t>
                  </w:r>
                  <w:r>
                    <w:rPr>
                      <w:rFonts w:ascii="Open Sans"/>
                      <w:b/>
                      <w:color w:val="231F20"/>
                      <w:spacing w:val="-2"/>
                      <w:sz w:val="16"/>
                    </w:rPr>
                    <w:t>Zealand</w:t>
                  </w:r>
                </w:p>
              </w:tc>
              <w:tc>
                <w:tcPr>
                  <w:tcW w:w="2835" w:type="dxa"/>
                </w:tcPr>
                <w:p w14:paraId="750DC10C" w14:textId="77777777" w:rsidR="0003484B" w:rsidRDefault="0003484B" w:rsidP="00333B58">
                  <w:r>
                    <w:rPr>
                      <w:color w:val="231F20"/>
                      <w:sz w:val="16"/>
                    </w:rPr>
                    <w:t>Reserve</w:t>
                  </w:r>
                  <w:r>
                    <w:rPr>
                      <w:color w:val="231F20"/>
                      <w:spacing w:val="-10"/>
                      <w:sz w:val="16"/>
                    </w:rPr>
                    <w:t xml:space="preserve"> </w:t>
                  </w:r>
                  <w:r>
                    <w:rPr>
                      <w:color w:val="231F20"/>
                      <w:sz w:val="16"/>
                    </w:rPr>
                    <w:t>Bank</w:t>
                  </w:r>
                  <w:r>
                    <w:rPr>
                      <w:color w:val="231F20"/>
                      <w:spacing w:val="-10"/>
                      <w:sz w:val="16"/>
                    </w:rPr>
                    <w:t xml:space="preserve"> </w:t>
                  </w:r>
                  <w:r>
                    <w:rPr>
                      <w:color w:val="231F20"/>
                      <w:sz w:val="16"/>
                    </w:rPr>
                    <w:t>Governance Board (External member)</w:t>
                  </w:r>
                </w:p>
              </w:tc>
              <w:tc>
                <w:tcPr>
                  <w:tcW w:w="3489" w:type="dxa"/>
                </w:tcPr>
                <w:p w14:paraId="2BB3EB49" w14:textId="77777777" w:rsidR="0003484B" w:rsidRDefault="0003484B" w:rsidP="00333B58">
                  <w:r>
                    <w:rPr>
                      <w:color w:val="231F20"/>
                      <w:sz w:val="16"/>
                    </w:rPr>
                    <w:t>Monetary</w:t>
                  </w:r>
                  <w:r>
                    <w:rPr>
                      <w:color w:val="231F20"/>
                      <w:spacing w:val="-3"/>
                      <w:sz w:val="16"/>
                    </w:rPr>
                    <w:t xml:space="preserve"> </w:t>
                  </w:r>
                  <w:r>
                    <w:rPr>
                      <w:color w:val="231F20"/>
                      <w:sz w:val="16"/>
                    </w:rPr>
                    <w:t>Policy</w:t>
                  </w:r>
                  <w:r>
                    <w:rPr>
                      <w:color w:val="231F20"/>
                      <w:spacing w:val="-3"/>
                      <w:sz w:val="16"/>
                    </w:rPr>
                    <w:t xml:space="preserve"> </w:t>
                  </w:r>
                  <w:r>
                    <w:rPr>
                      <w:color w:val="231F20"/>
                      <w:sz w:val="16"/>
                    </w:rPr>
                    <w:t xml:space="preserve">Committee </w:t>
                  </w:r>
                  <w:r>
                    <w:rPr>
                      <w:color w:val="231F20"/>
                      <w:spacing w:val="-2"/>
                      <w:sz w:val="16"/>
                    </w:rPr>
                    <w:t>(Governor)</w:t>
                  </w:r>
                </w:p>
              </w:tc>
            </w:tr>
            <w:tr w:rsidR="0003484B" w14:paraId="23B6B266" w14:textId="77777777" w:rsidTr="00B10913">
              <w:tc>
                <w:tcPr>
                  <w:tcW w:w="1839" w:type="dxa"/>
                </w:tcPr>
                <w:p w14:paraId="50C580C6" w14:textId="77777777" w:rsidR="0003484B" w:rsidRDefault="0003484B" w:rsidP="00333B58">
                  <w:r>
                    <w:rPr>
                      <w:rFonts w:ascii="Open Sans"/>
                      <w:b/>
                      <w:color w:val="231F20"/>
                      <w:spacing w:val="-2"/>
                      <w:sz w:val="16"/>
                    </w:rPr>
                    <w:t>Norway</w:t>
                  </w:r>
                </w:p>
              </w:tc>
              <w:tc>
                <w:tcPr>
                  <w:tcW w:w="2835" w:type="dxa"/>
                </w:tcPr>
                <w:p w14:paraId="43EA0A90" w14:textId="77777777" w:rsidR="0003484B" w:rsidRDefault="0003484B" w:rsidP="00333B58">
                  <w:r>
                    <w:rPr>
                      <w:color w:val="231F20"/>
                      <w:sz w:val="16"/>
                    </w:rPr>
                    <w:t>Executive</w:t>
                  </w:r>
                  <w:r>
                    <w:rPr>
                      <w:color w:val="231F20"/>
                      <w:spacing w:val="1"/>
                      <w:sz w:val="16"/>
                    </w:rPr>
                    <w:t xml:space="preserve"> </w:t>
                  </w:r>
                  <w:r>
                    <w:rPr>
                      <w:color w:val="231F20"/>
                      <w:sz w:val="16"/>
                    </w:rPr>
                    <w:t>Board</w:t>
                  </w:r>
                  <w:r>
                    <w:rPr>
                      <w:color w:val="231F20"/>
                      <w:spacing w:val="2"/>
                      <w:sz w:val="16"/>
                    </w:rPr>
                    <w:t xml:space="preserve"> </w:t>
                  </w:r>
                  <w:r>
                    <w:rPr>
                      <w:color w:val="231F20"/>
                      <w:spacing w:val="-2"/>
                      <w:sz w:val="16"/>
                    </w:rPr>
                    <w:t>(Governor)</w:t>
                  </w:r>
                </w:p>
              </w:tc>
              <w:tc>
                <w:tcPr>
                  <w:tcW w:w="3489" w:type="dxa"/>
                </w:tcPr>
                <w:p w14:paraId="04A41FF7" w14:textId="77777777" w:rsidR="0003484B" w:rsidRDefault="0003484B" w:rsidP="00333B58">
                  <w:r>
                    <w:rPr>
                      <w:color w:val="231F20"/>
                      <w:sz w:val="16"/>
                    </w:rPr>
                    <w:t>Monetary Policy and Financial Stability</w:t>
                  </w:r>
                  <w:r>
                    <w:rPr>
                      <w:color w:val="231F20"/>
                      <w:spacing w:val="-6"/>
                      <w:sz w:val="16"/>
                    </w:rPr>
                    <w:t xml:space="preserve"> </w:t>
                  </w:r>
                  <w:r>
                    <w:rPr>
                      <w:color w:val="231F20"/>
                      <w:sz w:val="16"/>
                    </w:rPr>
                    <w:t>Committee</w:t>
                  </w:r>
                  <w:r>
                    <w:rPr>
                      <w:color w:val="231F20"/>
                      <w:spacing w:val="-6"/>
                      <w:sz w:val="16"/>
                    </w:rPr>
                    <w:t xml:space="preserve"> </w:t>
                  </w:r>
                  <w:r>
                    <w:rPr>
                      <w:color w:val="231F20"/>
                      <w:sz w:val="16"/>
                    </w:rPr>
                    <w:t>(Governor)</w:t>
                  </w:r>
                </w:p>
              </w:tc>
            </w:tr>
            <w:tr w:rsidR="0003484B" w14:paraId="5D47E463" w14:textId="77777777" w:rsidTr="00B10913">
              <w:tc>
                <w:tcPr>
                  <w:tcW w:w="1839" w:type="dxa"/>
                </w:tcPr>
                <w:p w14:paraId="32E6B285" w14:textId="77777777" w:rsidR="0003484B" w:rsidRDefault="0003484B" w:rsidP="00333B58">
                  <w:r>
                    <w:rPr>
                      <w:rFonts w:ascii="Open Sans"/>
                      <w:b/>
                      <w:color w:val="231F20"/>
                      <w:spacing w:val="-2"/>
                      <w:sz w:val="16"/>
                    </w:rPr>
                    <w:t>Sweden</w:t>
                  </w:r>
                </w:p>
              </w:tc>
              <w:tc>
                <w:tcPr>
                  <w:tcW w:w="2835" w:type="dxa"/>
                </w:tcPr>
                <w:p w14:paraId="575B6C63" w14:textId="77777777" w:rsidR="0003484B" w:rsidRDefault="0003484B" w:rsidP="00333B58">
                  <w:r>
                    <w:rPr>
                      <w:color w:val="231F20"/>
                      <w:sz w:val="16"/>
                    </w:rPr>
                    <w:t>General</w:t>
                  </w:r>
                  <w:r>
                    <w:rPr>
                      <w:color w:val="231F20"/>
                      <w:spacing w:val="-7"/>
                      <w:sz w:val="16"/>
                    </w:rPr>
                    <w:t xml:space="preserve"> </w:t>
                  </w:r>
                  <w:r>
                    <w:rPr>
                      <w:color w:val="231F20"/>
                      <w:sz w:val="16"/>
                    </w:rPr>
                    <w:t>Council* (External</w:t>
                  </w:r>
                  <w:r>
                    <w:rPr>
                      <w:color w:val="231F20"/>
                      <w:spacing w:val="-11"/>
                      <w:sz w:val="16"/>
                    </w:rPr>
                    <w:t xml:space="preserve"> </w:t>
                  </w:r>
                  <w:r>
                    <w:rPr>
                      <w:color w:val="231F20"/>
                      <w:sz w:val="16"/>
                    </w:rPr>
                    <w:t>member)</w:t>
                  </w:r>
                </w:p>
              </w:tc>
              <w:tc>
                <w:tcPr>
                  <w:tcW w:w="3489" w:type="dxa"/>
                </w:tcPr>
                <w:p w14:paraId="6959E429" w14:textId="77777777" w:rsidR="0003484B" w:rsidRDefault="0003484B" w:rsidP="00333B58">
                  <w:r>
                    <w:rPr>
                      <w:color w:val="231F20"/>
                      <w:sz w:val="16"/>
                    </w:rPr>
                    <w:t>Executive</w:t>
                  </w:r>
                  <w:r>
                    <w:rPr>
                      <w:color w:val="231F20"/>
                      <w:spacing w:val="1"/>
                      <w:sz w:val="16"/>
                    </w:rPr>
                    <w:t xml:space="preserve"> </w:t>
                  </w:r>
                  <w:r>
                    <w:rPr>
                      <w:color w:val="231F20"/>
                      <w:sz w:val="16"/>
                    </w:rPr>
                    <w:t>Board</w:t>
                  </w:r>
                  <w:r>
                    <w:rPr>
                      <w:color w:val="231F20"/>
                      <w:spacing w:val="2"/>
                      <w:sz w:val="16"/>
                    </w:rPr>
                    <w:t xml:space="preserve"> </w:t>
                  </w:r>
                  <w:r>
                    <w:rPr>
                      <w:color w:val="231F20"/>
                      <w:spacing w:val="-2"/>
                      <w:sz w:val="16"/>
                    </w:rPr>
                    <w:t>(Governor)</w:t>
                  </w:r>
                </w:p>
              </w:tc>
            </w:tr>
            <w:tr w:rsidR="0003484B" w14:paraId="4E660EE1" w14:textId="77777777" w:rsidTr="00B10913">
              <w:tc>
                <w:tcPr>
                  <w:tcW w:w="1839" w:type="dxa"/>
                </w:tcPr>
                <w:p w14:paraId="2A11A200" w14:textId="77777777" w:rsidR="0003484B" w:rsidRDefault="0003484B" w:rsidP="00333B58">
                  <w:r>
                    <w:rPr>
                      <w:rFonts w:ascii="Open Sans"/>
                      <w:b/>
                      <w:color w:val="231F20"/>
                      <w:sz w:val="16"/>
                    </w:rPr>
                    <w:t>United</w:t>
                  </w:r>
                  <w:r>
                    <w:rPr>
                      <w:rFonts w:ascii="Open Sans"/>
                      <w:b/>
                      <w:color w:val="231F20"/>
                      <w:spacing w:val="2"/>
                      <w:sz w:val="16"/>
                    </w:rPr>
                    <w:t xml:space="preserve"> </w:t>
                  </w:r>
                  <w:r>
                    <w:rPr>
                      <w:rFonts w:ascii="Open Sans"/>
                      <w:b/>
                      <w:color w:val="231F20"/>
                      <w:spacing w:val="-2"/>
                      <w:sz w:val="16"/>
                    </w:rPr>
                    <w:t>Kingdom</w:t>
                  </w:r>
                </w:p>
              </w:tc>
              <w:tc>
                <w:tcPr>
                  <w:tcW w:w="2835" w:type="dxa"/>
                </w:tcPr>
                <w:p w14:paraId="0180B365" w14:textId="77777777" w:rsidR="0003484B" w:rsidRDefault="0003484B" w:rsidP="00333B58">
                  <w:r>
                    <w:rPr>
                      <w:color w:val="231F20"/>
                      <w:sz w:val="16"/>
                    </w:rPr>
                    <w:t>Court of Directors (External</w:t>
                  </w:r>
                  <w:r>
                    <w:rPr>
                      <w:color w:val="231F20"/>
                      <w:spacing w:val="8"/>
                      <w:sz w:val="16"/>
                    </w:rPr>
                    <w:t xml:space="preserve"> </w:t>
                  </w:r>
                  <w:r>
                    <w:rPr>
                      <w:color w:val="231F20"/>
                      <w:spacing w:val="-2"/>
                      <w:sz w:val="16"/>
                    </w:rPr>
                    <w:t>member)</w:t>
                  </w:r>
                </w:p>
              </w:tc>
              <w:tc>
                <w:tcPr>
                  <w:tcW w:w="3489" w:type="dxa"/>
                </w:tcPr>
                <w:p w14:paraId="416ED18E" w14:textId="77777777" w:rsidR="0003484B" w:rsidRDefault="0003484B" w:rsidP="00333B58">
                  <w:r>
                    <w:rPr>
                      <w:color w:val="231F20"/>
                      <w:sz w:val="16"/>
                    </w:rPr>
                    <w:t>Monetary</w:t>
                  </w:r>
                  <w:r>
                    <w:rPr>
                      <w:color w:val="231F20"/>
                      <w:spacing w:val="-3"/>
                      <w:sz w:val="16"/>
                    </w:rPr>
                    <w:t xml:space="preserve"> </w:t>
                  </w:r>
                  <w:r>
                    <w:rPr>
                      <w:color w:val="231F20"/>
                      <w:sz w:val="16"/>
                    </w:rPr>
                    <w:t>Policy</w:t>
                  </w:r>
                  <w:r>
                    <w:rPr>
                      <w:color w:val="231F20"/>
                      <w:spacing w:val="-3"/>
                      <w:sz w:val="16"/>
                    </w:rPr>
                    <w:t xml:space="preserve"> </w:t>
                  </w:r>
                  <w:r>
                    <w:rPr>
                      <w:color w:val="231F20"/>
                      <w:sz w:val="16"/>
                    </w:rPr>
                    <w:t xml:space="preserve">Committee </w:t>
                  </w:r>
                  <w:r>
                    <w:rPr>
                      <w:color w:val="231F20"/>
                      <w:spacing w:val="-2"/>
                      <w:sz w:val="16"/>
                    </w:rPr>
                    <w:t>(Governor)</w:t>
                  </w:r>
                </w:p>
              </w:tc>
            </w:tr>
            <w:tr w:rsidR="0003484B" w14:paraId="5F348420" w14:textId="77777777" w:rsidTr="00B10913">
              <w:tc>
                <w:tcPr>
                  <w:tcW w:w="1839" w:type="dxa"/>
                </w:tcPr>
                <w:p w14:paraId="3C55B657" w14:textId="77777777" w:rsidR="0003484B" w:rsidRDefault="0003484B" w:rsidP="00333B58">
                  <w:pPr>
                    <w:rPr>
                      <w:rFonts w:ascii="Open Sans"/>
                      <w:b/>
                      <w:color w:val="231F20"/>
                      <w:sz w:val="16"/>
                    </w:rPr>
                  </w:pPr>
                  <w:r>
                    <w:rPr>
                      <w:rFonts w:ascii="Open Sans"/>
                      <w:b/>
                      <w:color w:val="231F20"/>
                      <w:sz w:val="16"/>
                    </w:rPr>
                    <w:t>United</w:t>
                  </w:r>
                  <w:r>
                    <w:rPr>
                      <w:rFonts w:ascii="Open Sans"/>
                      <w:b/>
                      <w:color w:val="231F20"/>
                      <w:spacing w:val="2"/>
                      <w:sz w:val="16"/>
                    </w:rPr>
                    <w:t xml:space="preserve"> </w:t>
                  </w:r>
                  <w:r>
                    <w:rPr>
                      <w:rFonts w:ascii="Open Sans"/>
                      <w:b/>
                      <w:color w:val="231F20"/>
                      <w:spacing w:val="-2"/>
                      <w:sz w:val="16"/>
                    </w:rPr>
                    <w:t>States</w:t>
                  </w:r>
                </w:p>
              </w:tc>
              <w:tc>
                <w:tcPr>
                  <w:tcW w:w="2835" w:type="dxa"/>
                </w:tcPr>
                <w:p w14:paraId="3F40F0F6" w14:textId="77777777" w:rsidR="0003484B" w:rsidRDefault="0003484B" w:rsidP="00333B58">
                  <w:pPr>
                    <w:rPr>
                      <w:color w:val="231F20"/>
                      <w:sz w:val="16"/>
                    </w:rPr>
                  </w:pPr>
                  <w:r>
                    <w:rPr>
                      <w:color w:val="231F20"/>
                      <w:sz w:val="16"/>
                    </w:rPr>
                    <w:t>Board</w:t>
                  </w:r>
                  <w:r>
                    <w:rPr>
                      <w:color w:val="231F20"/>
                      <w:spacing w:val="-1"/>
                      <w:sz w:val="16"/>
                    </w:rPr>
                    <w:t xml:space="preserve"> </w:t>
                  </w:r>
                  <w:r>
                    <w:rPr>
                      <w:color w:val="231F20"/>
                      <w:sz w:val="16"/>
                    </w:rPr>
                    <w:t>of</w:t>
                  </w:r>
                  <w:r>
                    <w:rPr>
                      <w:color w:val="231F20"/>
                      <w:spacing w:val="-1"/>
                      <w:sz w:val="16"/>
                    </w:rPr>
                    <w:t xml:space="preserve"> </w:t>
                  </w:r>
                  <w:r>
                    <w:rPr>
                      <w:color w:val="231F20"/>
                      <w:sz w:val="16"/>
                    </w:rPr>
                    <w:t xml:space="preserve">Governors </w:t>
                  </w:r>
                  <w:r>
                    <w:rPr>
                      <w:color w:val="231F20"/>
                      <w:spacing w:val="-2"/>
                      <w:sz w:val="16"/>
                    </w:rPr>
                    <w:t>(Chair)</w:t>
                  </w:r>
                </w:p>
              </w:tc>
              <w:tc>
                <w:tcPr>
                  <w:tcW w:w="3489" w:type="dxa"/>
                </w:tcPr>
                <w:p w14:paraId="3968E08A" w14:textId="77777777" w:rsidR="0003484B" w:rsidRDefault="0003484B" w:rsidP="00333B58">
                  <w:pPr>
                    <w:rPr>
                      <w:color w:val="231F20"/>
                      <w:sz w:val="16"/>
                    </w:rPr>
                  </w:pPr>
                  <w:r>
                    <w:rPr>
                      <w:color w:val="231F20"/>
                      <w:sz w:val="16"/>
                    </w:rPr>
                    <w:t>Federal</w:t>
                  </w:r>
                  <w:r>
                    <w:rPr>
                      <w:color w:val="231F20"/>
                      <w:spacing w:val="-6"/>
                      <w:sz w:val="16"/>
                    </w:rPr>
                    <w:t xml:space="preserve"> </w:t>
                  </w:r>
                  <w:r>
                    <w:rPr>
                      <w:color w:val="231F20"/>
                      <w:sz w:val="16"/>
                    </w:rPr>
                    <w:t>Open</w:t>
                  </w:r>
                  <w:r>
                    <w:rPr>
                      <w:color w:val="231F20"/>
                      <w:spacing w:val="-6"/>
                      <w:sz w:val="16"/>
                    </w:rPr>
                    <w:t xml:space="preserve"> </w:t>
                  </w:r>
                  <w:r>
                    <w:rPr>
                      <w:color w:val="231F20"/>
                      <w:sz w:val="16"/>
                    </w:rPr>
                    <w:t>Market</w:t>
                  </w:r>
                  <w:r>
                    <w:rPr>
                      <w:color w:val="231F20"/>
                      <w:spacing w:val="-6"/>
                      <w:sz w:val="16"/>
                    </w:rPr>
                    <w:t xml:space="preserve"> </w:t>
                  </w:r>
                  <w:r>
                    <w:rPr>
                      <w:color w:val="231F20"/>
                      <w:sz w:val="16"/>
                    </w:rPr>
                    <w:t xml:space="preserve">Committee </w:t>
                  </w:r>
                  <w:r>
                    <w:rPr>
                      <w:color w:val="231F20"/>
                      <w:spacing w:val="-2"/>
                      <w:sz w:val="16"/>
                    </w:rPr>
                    <w:t>(Chair)</w:t>
                  </w:r>
                </w:p>
              </w:tc>
            </w:tr>
          </w:tbl>
          <w:p w14:paraId="3DAC76FD" w14:textId="6D76AAA3" w:rsidR="001E4BE4" w:rsidRPr="005073DA" w:rsidRDefault="001E4BE4" w:rsidP="005073DA">
            <w:pPr>
              <w:pStyle w:val="BoxText"/>
            </w:pPr>
          </w:p>
        </w:tc>
      </w:tr>
    </w:tbl>
    <w:p w14:paraId="47619B35" w14:textId="77777777" w:rsidR="00853687" w:rsidRDefault="00853687" w:rsidP="006724F4">
      <w:pPr>
        <w:tabs>
          <w:tab w:val="left" w:pos="3686"/>
        </w:tabs>
      </w:pPr>
    </w:p>
    <w:p w14:paraId="12ADFD47" w14:textId="77777777" w:rsidR="009240D7" w:rsidRDefault="009240D7" w:rsidP="00732676">
      <w:pPr>
        <w:pStyle w:val="Heading3"/>
      </w:pPr>
      <w:r>
        <w:t>Recommendation</w:t>
      </w:r>
      <w:r>
        <w:rPr>
          <w:spacing w:val="-3"/>
        </w:rPr>
        <w:t xml:space="preserve"> </w:t>
      </w:r>
      <w:r>
        <w:t>12.1: Establish</w:t>
      </w:r>
      <w:r>
        <w:rPr>
          <w:spacing w:val="-1"/>
        </w:rPr>
        <w:t xml:space="preserve"> </w:t>
      </w:r>
      <w:r>
        <w:t>a Governance Board</w:t>
      </w:r>
    </w:p>
    <w:p w14:paraId="37DA4032" w14:textId="35C4AE02" w:rsidR="009240D7" w:rsidRDefault="009240D7" w:rsidP="00732676">
      <w:r>
        <w:t>The Review recommends amendments to the RBA Act to establish a Governance Board with responsibility for overseeing the RBA’s management as an organisation, excluding those responsibilities reserved to the Monetary Policy Board and Payments System Board. Figure 5.2 provides the broad division of responsibilities recommended for the 3 boards</w:t>
      </w:r>
      <w:r w:rsidR="0068598E">
        <w:rPr>
          <w:spacing w:val="-17"/>
        </w:rPr>
        <w:t>.</w:t>
      </w:r>
    </w:p>
    <w:p w14:paraId="2EC08E79" w14:textId="78EC52DC" w:rsidR="005B7152" w:rsidRDefault="005B7152">
      <w:pPr>
        <w:spacing w:before="0" w:after="160" w:line="259" w:lineRule="auto"/>
      </w:pPr>
      <w:r>
        <w:br w:type="page"/>
      </w:r>
    </w:p>
    <w:p w14:paraId="485B19CE" w14:textId="296F7B65" w:rsidR="005B7152" w:rsidRDefault="005B7152" w:rsidP="005B7152">
      <w:pPr>
        <w:pStyle w:val="BoxHeading"/>
        <w:rPr>
          <w:spacing w:val="-2"/>
        </w:rPr>
      </w:pPr>
      <w:r>
        <w:lastRenderedPageBreak/>
        <w:t>Figure</w:t>
      </w:r>
      <w:r>
        <w:rPr>
          <w:spacing w:val="3"/>
        </w:rPr>
        <w:t xml:space="preserve"> </w:t>
      </w:r>
      <w:r>
        <w:t>5.2:</w:t>
      </w:r>
      <w:r>
        <w:rPr>
          <w:spacing w:val="4"/>
        </w:rPr>
        <w:t xml:space="preserve"> </w:t>
      </w:r>
      <w:r>
        <w:t>Responsibilities</w:t>
      </w:r>
      <w:r>
        <w:rPr>
          <w:spacing w:val="4"/>
        </w:rPr>
        <w:t xml:space="preserve"> </w:t>
      </w:r>
      <w:r>
        <w:t>of</w:t>
      </w:r>
      <w:r>
        <w:rPr>
          <w:spacing w:val="4"/>
        </w:rPr>
        <w:t xml:space="preserve"> </w:t>
      </w:r>
      <w:r>
        <w:t>RBA</w:t>
      </w:r>
      <w:r>
        <w:rPr>
          <w:spacing w:val="4"/>
        </w:rPr>
        <w:t xml:space="preserve"> </w:t>
      </w:r>
      <w:r>
        <w:rPr>
          <w:spacing w:val="-2"/>
        </w:rPr>
        <w:t>boards</w:t>
      </w:r>
    </w:p>
    <w:p w14:paraId="184BBE1B" w14:textId="0D819929" w:rsidR="00235F68" w:rsidRPr="00235F68" w:rsidRDefault="00226263" w:rsidP="00226263">
      <w:pPr>
        <w:jc w:val="center"/>
      </w:pPr>
      <w:r>
        <w:rPr>
          <w:noProof/>
        </w:rPr>
        <w:drawing>
          <wp:inline distT="0" distB="0" distL="0" distR="0" wp14:anchorId="3FDD8247" wp14:editId="3C181C57">
            <wp:extent cx="4889002" cy="4055372"/>
            <wp:effectExtent l="0" t="0" r="6985" b="2540"/>
            <wp:docPr id="56" name="Picture 56" descr="A diagram of the recommended responsibilities of the RBA Boards following the establishment of the Governance Board and Monetary Policy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diagram of the recommended responsibilities of the RBA Boards following the establishment of the Governance Board and Monetary Policy Boar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889002" cy="4055372"/>
                    </a:xfrm>
                    <a:prstGeom prst="rect">
                      <a:avLst/>
                    </a:prstGeom>
                  </pic:spPr>
                </pic:pic>
              </a:graphicData>
            </a:graphic>
          </wp:inline>
        </w:drawing>
      </w:r>
    </w:p>
    <w:p w14:paraId="13D9CE46" w14:textId="77777777" w:rsidR="00A00693" w:rsidRDefault="00A00693" w:rsidP="0004713D">
      <w:pPr>
        <w:pStyle w:val="Bullet"/>
        <w:numPr>
          <w:ilvl w:val="0"/>
          <w:numId w:val="0"/>
        </w:numPr>
      </w:pPr>
      <w:r>
        <w:t>In overseeing the management of the RBA, the responsibilities of the Governance Board would include:</w:t>
      </w:r>
    </w:p>
    <w:p w14:paraId="7905A1C0" w14:textId="35E32DF8" w:rsidR="00A00693" w:rsidRDefault="00A00693" w:rsidP="0000278A">
      <w:pPr>
        <w:pStyle w:val="Bullet"/>
      </w:pPr>
      <w:r w:rsidRPr="00A00693">
        <w:t>setting</w:t>
      </w:r>
      <w:r w:rsidRPr="00A00693">
        <w:rPr>
          <w:spacing w:val="3"/>
        </w:rPr>
        <w:t xml:space="preserve"> </w:t>
      </w:r>
      <w:r w:rsidRPr="00A00693">
        <w:t>organisational</w:t>
      </w:r>
      <w:r w:rsidRPr="00A00693">
        <w:rPr>
          <w:spacing w:val="4"/>
        </w:rPr>
        <w:t xml:space="preserve"> </w:t>
      </w:r>
      <w:r w:rsidRPr="00A00693">
        <w:t>strategy</w:t>
      </w:r>
      <w:r w:rsidRPr="00A00693">
        <w:rPr>
          <w:spacing w:val="4"/>
        </w:rPr>
        <w:t xml:space="preserve"> </w:t>
      </w:r>
      <w:r w:rsidRPr="00A00693">
        <w:t>(excluding</w:t>
      </w:r>
      <w:r w:rsidRPr="00A00693">
        <w:rPr>
          <w:spacing w:val="4"/>
        </w:rPr>
        <w:t xml:space="preserve"> </w:t>
      </w:r>
      <w:r w:rsidRPr="00A00693">
        <w:t>monetary</w:t>
      </w:r>
      <w:r w:rsidRPr="00A00693">
        <w:rPr>
          <w:spacing w:val="4"/>
        </w:rPr>
        <w:t xml:space="preserve"> </w:t>
      </w:r>
      <w:r w:rsidRPr="00A00693">
        <w:t>and</w:t>
      </w:r>
      <w:r w:rsidRPr="00A00693">
        <w:rPr>
          <w:spacing w:val="3"/>
        </w:rPr>
        <w:t xml:space="preserve"> </w:t>
      </w:r>
      <w:r w:rsidRPr="00A00693">
        <w:t>payments</w:t>
      </w:r>
      <w:r w:rsidRPr="00A00693">
        <w:rPr>
          <w:spacing w:val="4"/>
        </w:rPr>
        <w:t xml:space="preserve"> </w:t>
      </w:r>
      <w:r w:rsidRPr="00A00693">
        <w:t>policies)</w:t>
      </w:r>
      <w:r w:rsidRPr="00A00693">
        <w:rPr>
          <w:spacing w:val="4"/>
        </w:rPr>
        <w:t xml:space="preserve"> </w:t>
      </w:r>
      <w:r w:rsidRPr="00A00693">
        <w:t>to</w:t>
      </w:r>
      <w:r w:rsidRPr="00A00693">
        <w:rPr>
          <w:spacing w:val="4"/>
        </w:rPr>
        <w:t xml:space="preserve"> </w:t>
      </w:r>
      <w:r w:rsidRPr="00A00693">
        <w:t>ensure</w:t>
      </w:r>
      <w:r w:rsidRPr="00A00693">
        <w:rPr>
          <w:spacing w:val="4"/>
        </w:rPr>
        <w:t xml:space="preserve"> </w:t>
      </w:r>
      <w:r w:rsidRPr="00A00693">
        <w:rPr>
          <w:spacing w:val="-5"/>
        </w:rPr>
        <w:t>the</w:t>
      </w:r>
      <w:r>
        <w:rPr>
          <w:spacing w:val="-5"/>
        </w:rPr>
        <w:t xml:space="preserve"> </w:t>
      </w:r>
      <w:r w:rsidRPr="00A00693">
        <w:t>organisation</w:t>
      </w:r>
      <w:r w:rsidRPr="00A00693">
        <w:rPr>
          <w:spacing w:val="5"/>
        </w:rPr>
        <w:t xml:space="preserve"> </w:t>
      </w:r>
      <w:r w:rsidRPr="00A00693">
        <w:t>operates</w:t>
      </w:r>
      <w:r w:rsidRPr="00A00693">
        <w:rPr>
          <w:spacing w:val="5"/>
        </w:rPr>
        <w:t xml:space="preserve"> </w:t>
      </w:r>
      <w:r w:rsidRPr="00A00693">
        <w:t>effectively</w:t>
      </w:r>
      <w:r w:rsidRPr="00A00693">
        <w:rPr>
          <w:spacing w:val="5"/>
        </w:rPr>
        <w:t xml:space="preserve"> </w:t>
      </w:r>
      <w:r w:rsidRPr="00A00693">
        <w:t>and</w:t>
      </w:r>
      <w:r w:rsidRPr="00A00693">
        <w:rPr>
          <w:spacing w:val="5"/>
        </w:rPr>
        <w:t xml:space="preserve"> </w:t>
      </w:r>
      <w:r w:rsidRPr="00A00693">
        <w:t>delivers</w:t>
      </w:r>
      <w:r w:rsidRPr="00A00693">
        <w:rPr>
          <w:spacing w:val="5"/>
        </w:rPr>
        <w:t xml:space="preserve"> </w:t>
      </w:r>
      <w:r w:rsidRPr="00A00693">
        <w:t>on</w:t>
      </w:r>
      <w:r w:rsidRPr="00A00693">
        <w:rPr>
          <w:spacing w:val="5"/>
        </w:rPr>
        <w:t xml:space="preserve"> </w:t>
      </w:r>
      <w:r w:rsidRPr="00A00693">
        <w:t>policy</w:t>
      </w:r>
      <w:r w:rsidRPr="00A00693">
        <w:rPr>
          <w:spacing w:val="5"/>
        </w:rPr>
        <w:t xml:space="preserve"> </w:t>
      </w:r>
      <w:r w:rsidRPr="00A00693">
        <w:rPr>
          <w:spacing w:val="-4"/>
        </w:rPr>
        <w:t>goals</w:t>
      </w:r>
    </w:p>
    <w:p w14:paraId="681B492B" w14:textId="77777777" w:rsidR="00A00693" w:rsidRDefault="00A00693" w:rsidP="0000278A">
      <w:pPr>
        <w:pStyle w:val="Bullet"/>
      </w:pPr>
      <w:r>
        <w:t>overseeing the organisational change (including cultural change) recommended in this Review (and future reviews) and modelling the behaviour it expects from the organisation</w:t>
      </w:r>
    </w:p>
    <w:p w14:paraId="79D2F1BA" w14:textId="77777777" w:rsidR="00A00693" w:rsidRDefault="00A00693" w:rsidP="0000278A">
      <w:pPr>
        <w:pStyle w:val="Bullet"/>
      </w:pPr>
      <w:r>
        <w:t>assessing the performance of the RBA (through internal or external review), including its monetary and payments policy</w:t>
      </w:r>
    </w:p>
    <w:p w14:paraId="386AFF21" w14:textId="51E48CC9" w:rsidR="00A00693" w:rsidRDefault="00A00693" w:rsidP="0000278A">
      <w:pPr>
        <w:pStyle w:val="Bullet"/>
      </w:pPr>
      <w:r>
        <w:t>overseeing</w:t>
      </w:r>
      <w:r w:rsidRPr="00A00693">
        <w:rPr>
          <w:spacing w:val="-2"/>
        </w:rPr>
        <w:t xml:space="preserve"> </w:t>
      </w:r>
      <w:r>
        <w:t>the</w:t>
      </w:r>
      <w:r w:rsidRPr="00A00693">
        <w:rPr>
          <w:spacing w:val="1"/>
        </w:rPr>
        <w:t xml:space="preserve"> </w:t>
      </w:r>
      <w:r>
        <w:t>RBA’s routine</w:t>
      </w:r>
      <w:r w:rsidRPr="00A00693">
        <w:rPr>
          <w:spacing w:val="1"/>
        </w:rPr>
        <w:t xml:space="preserve"> </w:t>
      </w:r>
      <w:r>
        <w:t>balance sheet</w:t>
      </w:r>
      <w:r w:rsidRPr="00A00693">
        <w:rPr>
          <w:spacing w:val="1"/>
        </w:rPr>
        <w:t xml:space="preserve"> </w:t>
      </w:r>
      <w:r>
        <w:t>management policies,</w:t>
      </w:r>
      <w:r w:rsidRPr="00A00693">
        <w:rPr>
          <w:spacing w:val="1"/>
        </w:rPr>
        <w:t xml:space="preserve"> </w:t>
      </w:r>
      <w:r>
        <w:t>with the</w:t>
      </w:r>
      <w:r w:rsidRPr="00A00693">
        <w:rPr>
          <w:spacing w:val="1"/>
        </w:rPr>
        <w:t xml:space="preserve"> </w:t>
      </w:r>
      <w:r>
        <w:t>exception of</w:t>
      </w:r>
      <w:r w:rsidRPr="00A00693">
        <w:rPr>
          <w:spacing w:val="1"/>
        </w:rPr>
        <w:t xml:space="preserve"> </w:t>
      </w:r>
      <w:r w:rsidRPr="00A00693">
        <w:rPr>
          <w:spacing w:val="-2"/>
        </w:rPr>
        <w:t>special</w:t>
      </w:r>
      <w:r>
        <w:rPr>
          <w:spacing w:val="-2"/>
        </w:rPr>
        <w:t xml:space="preserve"> </w:t>
      </w:r>
      <w:r w:rsidRPr="00A00693">
        <w:rPr>
          <w:color w:val="231F20"/>
        </w:rPr>
        <w:t>tools</w:t>
      </w:r>
      <w:r w:rsidRPr="00A00693">
        <w:rPr>
          <w:color w:val="231F20"/>
          <w:spacing w:val="2"/>
        </w:rPr>
        <w:t xml:space="preserve"> </w:t>
      </w:r>
      <w:r w:rsidRPr="00A00693">
        <w:rPr>
          <w:color w:val="231F20"/>
        </w:rPr>
        <w:t>assigned</w:t>
      </w:r>
      <w:r w:rsidRPr="00A00693">
        <w:rPr>
          <w:color w:val="231F20"/>
          <w:spacing w:val="2"/>
        </w:rPr>
        <w:t xml:space="preserve"> </w:t>
      </w:r>
      <w:r w:rsidRPr="00A00693">
        <w:rPr>
          <w:color w:val="231F20"/>
        </w:rPr>
        <w:t>to</w:t>
      </w:r>
      <w:r w:rsidRPr="00A00693">
        <w:rPr>
          <w:color w:val="231F20"/>
          <w:spacing w:val="3"/>
        </w:rPr>
        <w:t xml:space="preserve"> </w:t>
      </w:r>
      <w:r w:rsidRPr="00A00693">
        <w:rPr>
          <w:color w:val="231F20"/>
        </w:rPr>
        <w:t>the</w:t>
      </w:r>
      <w:r w:rsidRPr="00A00693">
        <w:rPr>
          <w:color w:val="231F20"/>
          <w:spacing w:val="2"/>
        </w:rPr>
        <w:t xml:space="preserve"> </w:t>
      </w:r>
      <w:r w:rsidRPr="00A00693">
        <w:rPr>
          <w:color w:val="231F20"/>
        </w:rPr>
        <w:t>Monetary</w:t>
      </w:r>
      <w:r w:rsidRPr="00A00693">
        <w:rPr>
          <w:color w:val="231F20"/>
          <w:spacing w:val="2"/>
        </w:rPr>
        <w:t xml:space="preserve"> </w:t>
      </w:r>
      <w:r w:rsidRPr="00A00693">
        <w:rPr>
          <w:color w:val="231F20"/>
        </w:rPr>
        <w:t>Policy</w:t>
      </w:r>
      <w:r w:rsidRPr="00A00693">
        <w:rPr>
          <w:color w:val="231F20"/>
          <w:spacing w:val="3"/>
        </w:rPr>
        <w:t xml:space="preserve"> </w:t>
      </w:r>
      <w:r w:rsidRPr="00A00693">
        <w:rPr>
          <w:color w:val="231F20"/>
        </w:rPr>
        <w:t>Board</w:t>
      </w:r>
      <w:r w:rsidRPr="00A00693">
        <w:rPr>
          <w:color w:val="231F20"/>
          <w:spacing w:val="2"/>
        </w:rPr>
        <w:t xml:space="preserve"> </w:t>
      </w:r>
      <w:r w:rsidRPr="00A00693">
        <w:rPr>
          <w:color w:val="231F20"/>
        </w:rPr>
        <w:t>that</w:t>
      </w:r>
      <w:r w:rsidRPr="00A00693">
        <w:rPr>
          <w:color w:val="231F20"/>
          <w:spacing w:val="2"/>
        </w:rPr>
        <w:t xml:space="preserve"> </w:t>
      </w:r>
      <w:r w:rsidRPr="00A00693">
        <w:rPr>
          <w:color w:val="231F20"/>
        </w:rPr>
        <w:t>affect</w:t>
      </w:r>
      <w:r w:rsidRPr="00A00693">
        <w:rPr>
          <w:color w:val="231F20"/>
          <w:spacing w:val="3"/>
        </w:rPr>
        <w:t xml:space="preserve"> </w:t>
      </w:r>
      <w:r w:rsidRPr="00A00693">
        <w:rPr>
          <w:color w:val="231F20"/>
        </w:rPr>
        <w:t>the</w:t>
      </w:r>
      <w:r w:rsidRPr="00A00693">
        <w:rPr>
          <w:color w:val="231F20"/>
          <w:spacing w:val="2"/>
        </w:rPr>
        <w:t xml:space="preserve"> </w:t>
      </w:r>
      <w:r w:rsidRPr="00A00693">
        <w:rPr>
          <w:color w:val="231F20"/>
        </w:rPr>
        <w:t>balance</w:t>
      </w:r>
      <w:r w:rsidRPr="00A00693">
        <w:rPr>
          <w:color w:val="231F20"/>
          <w:spacing w:val="3"/>
        </w:rPr>
        <w:t xml:space="preserve"> </w:t>
      </w:r>
      <w:r w:rsidRPr="00A00693">
        <w:rPr>
          <w:color w:val="231F20"/>
          <w:spacing w:val="-2"/>
        </w:rPr>
        <w:t>sheet</w:t>
      </w:r>
    </w:p>
    <w:p w14:paraId="7BCA57AC" w14:textId="77777777" w:rsidR="00A00693" w:rsidRDefault="00A00693" w:rsidP="0000278A">
      <w:pPr>
        <w:pStyle w:val="Bullet"/>
      </w:pPr>
      <w:r>
        <w:t>overseeing</w:t>
      </w:r>
      <w:r>
        <w:rPr>
          <w:spacing w:val="3"/>
        </w:rPr>
        <w:t xml:space="preserve"> </w:t>
      </w:r>
      <w:r>
        <w:t>effective</w:t>
      </w:r>
      <w:r>
        <w:rPr>
          <w:spacing w:val="3"/>
        </w:rPr>
        <w:t xml:space="preserve"> </w:t>
      </w:r>
      <w:r>
        <w:t>systems</w:t>
      </w:r>
      <w:r>
        <w:rPr>
          <w:spacing w:val="3"/>
        </w:rPr>
        <w:t xml:space="preserve"> </w:t>
      </w:r>
      <w:r>
        <w:t>of</w:t>
      </w:r>
      <w:r>
        <w:rPr>
          <w:spacing w:val="3"/>
        </w:rPr>
        <w:t xml:space="preserve"> </w:t>
      </w:r>
      <w:r>
        <w:t>risk</w:t>
      </w:r>
      <w:r>
        <w:rPr>
          <w:spacing w:val="3"/>
        </w:rPr>
        <w:t xml:space="preserve"> </w:t>
      </w:r>
      <w:r>
        <w:t>management</w:t>
      </w:r>
      <w:r>
        <w:rPr>
          <w:spacing w:val="3"/>
        </w:rPr>
        <w:t xml:space="preserve"> </w:t>
      </w:r>
      <w:r>
        <w:t>and</w:t>
      </w:r>
      <w:r>
        <w:rPr>
          <w:spacing w:val="3"/>
        </w:rPr>
        <w:t xml:space="preserve"> </w:t>
      </w:r>
      <w:r>
        <w:t>financial</w:t>
      </w:r>
      <w:r>
        <w:rPr>
          <w:spacing w:val="4"/>
        </w:rPr>
        <w:t xml:space="preserve"> </w:t>
      </w:r>
      <w:r>
        <w:rPr>
          <w:spacing w:val="-2"/>
        </w:rPr>
        <w:t>reporting</w:t>
      </w:r>
    </w:p>
    <w:p w14:paraId="1C9254A7" w14:textId="77777777" w:rsidR="00A00693" w:rsidRDefault="00A00693" w:rsidP="0000278A">
      <w:pPr>
        <w:pStyle w:val="Bullet"/>
      </w:pPr>
      <w:r>
        <w:t>overseeing consultations with the Government about the RBA’s capital position and the payment of dividends through the Governor</w:t>
      </w:r>
    </w:p>
    <w:p w14:paraId="34C64530" w14:textId="77777777" w:rsidR="00A00693" w:rsidRDefault="00A00693" w:rsidP="0000278A">
      <w:pPr>
        <w:pStyle w:val="Bullet"/>
      </w:pPr>
      <w:r>
        <w:t>ensuring</w:t>
      </w:r>
      <w:r>
        <w:rPr>
          <w:spacing w:val="1"/>
        </w:rPr>
        <w:t xml:space="preserve"> </w:t>
      </w:r>
      <w:r>
        <w:t>efficient</w:t>
      </w:r>
      <w:r>
        <w:rPr>
          <w:spacing w:val="2"/>
        </w:rPr>
        <w:t xml:space="preserve"> </w:t>
      </w:r>
      <w:r>
        <w:t>use</w:t>
      </w:r>
      <w:r>
        <w:rPr>
          <w:spacing w:val="1"/>
        </w:rPr>
        <w:t xml:space="preserve"> </w:t>
      </w:r>
      <w:r>
        <w:t>of</w:t>
      </w:r>
      <w:r>
        <w:rPr>
          <w:spacing w:val="2"/>
        </w:rPr>
        <w:t xml:space="preserve"> </w:t>
      </w:r>
      <w:r>
        <w:t>the</w:t>
      </w:r>
      <w:r>
        <w:rPr>
          <w:spacing w:val="1"/>
        </w:rPr>
        <w:t xml:space="preserve"> </w:t>
      </w:r>
      <w:r>
        <w:t>organisation’s</w:t>
      </w:r>
      <w:r>
        <w:rPr>
          <w:spacing w:val="2"/>
        </w:rPr>
        <w:t xml:space="preserve"> </w:t>
      </w:r>
      <w:r>
        <w:rPr>
          <w:spacing w:val="-2"/>
        </w:rPr>
        <w:t>resources</w:t>
      </w:r>
    </w:p>
    <w:p w14:paraId="35D28AA6" w14:textId="4AF4078A" w:rsidR="00A00693" w:rsidRDefault="00A00693" w:rsidP="0000278A">
      <w:pPr>
        <w:pStyle w:val="Bullet"/>
      </w:pPr>
      <w:r>
        <w:t>overseeing</w:t>
      </w:r>
      <w:r>
        <w:rPr>
          <w:spacing w:val="3"/>
        </w:rPr>
        <w:t xml:space="preserve"> </w:t>
      </w:r>
      <w:r>
        <w:t>large</w:t>
      </w:r>
      <w:r>
        <w:rPr>
          <w:spacing w:val="4"/>
        </w:rPr>
        <w:t xml:space="preserve"> </w:t>
      </w:r>
      <w:r>
        <w:t>projects</w:t>
      </w:r>
      <w:r>
        <w:rPr>
          <w:spacing w:val="4"/>
        </w:rPr>
        <w:t xml:space="preserve"> </w:t>
      </w:r>
      <w:r>
        <w:t>and</w:t>
      </w:r>
      <w:r>
        <w:rPr>
          <w:spacing w:val="4"/>
        </w:rPr>
        <w:t xml:space="preserve"> </w:t>
      </w:r>
      <w:r>
        <w:t>infrastructure,</w:t>
      </w:r>
      <w:r>
        <w:rPr>
          <w:spacing w:val="4"/>
        </w:rPr>
        <w:t xml:space="preserve"> </w:t>
      </w:r>
      <w:r>
        <w:t>including</w:t>
      </w:r>
      <w:r>
        <w:rPr>
          <w:spacing w:val="4"/>
        </w:rPr>
        <w:t xml:space="preserve"> </w:t>
      </w:r>
      <w:r>
        <w:t>when</w:t>
      </w:r>
      <w:r>
        <w:rPr>
          <w:spacing w:val="4"/>
        </w:rPr>
        <w:t xml:space="preserve"> </w:t>
      </w:r>
      <w:r>
        <w:t>they</w:t>
      </w:r>
      <w:r>
        <w:rPr>
          <w:spacing w:val="4"/>
        </w:rPr>
        <w:t xml:space="preserve"> </w:t>
      </w:r>
      <w:r>
        <w:t>cover</w:t>
      </w:r>
      <w:r>
        <w:rPr>
          <w:spacing w:val="4"/>
        </w:rPr>
        <w:t xml:space="preserve"> </w:t>
      </w:r>
      <w:r>
        <w:t>multiple</w:t>
      </w:r>
      <w:r>
        <w:rPr>
          <w:spacing w:val="4"/>
        </w:rPr>
        <w:t xml:space="preserve"> </w:t>
      </w:r>
      <w:r>
        <w:t>functions</w:t>
      </w:r>
      <w:r>
        <w:rPr>
          <w:spacing w:val="4"/>
        </w:rPr>
        <w:t xml:space="preserve"> </w:t>
      </w:r>
      <w:r>
        <w:rPr>
          <w:spacing w:val="-4"/>
        </w:rPr>
        <w:t>(for</w:t>
      </w:r>
      <w:r>
        <w:t xml:space="preserve"> example</w:t>
      </w:r>
      <w:r w:rsidRPr="00A00693">
        <w:rPr>
          <w:spacing w:val="8"/>
        </w:rPr>
        <w:t xml:space="preserve"> </w:t>
      </w:r>
      <w:r>
        <w:t>payments</w:t>
      </w:r>
      <w:r w:rsidRPr="00A00693">
        <w:rPr>
          <w:spacing w:val="8"/>
        </w:rPr>
        <w:t xml:space="preserve"> </w:t>
      </w:r>
      <w:r>
        <w:t>system</w:t>
      </w:r>
      <w:r w:rsidRPr="00A00693">
        <w:rPr>
          <w:spacing w:val="8"/>
        </w:rPr>
        <w:t xml:space="preserve"> </w:t>
      </w:r>
      <w:r>
        <w:t>infrastructure</w:t>
      </w:r>
      <w:r w:rsidRPr="00A00693">
        <w:rPr>
          <w:spacing w:val="8"/>
        </w:rPr>
        <w:t xml:space="preserve"> </w:t>
      </w:r>
      <w:r>
        <w:t>and</w:t>
      </w:r>
      <w:r w:rsidRPr="00A00693">
        <w:rPr>
          <w:spacing w:val="8"/>
        </w:rPr>
        <w:t xml:space="preserve"> </w:t>
      </w:r>
      <w:r w:rsidRPr="00A00693">
        <w:rPr>
          <w:spacing w:val="-5"/>
        </w:rPr>
        <w:t>IT)</w:t>
      </w:r>
    </w:p>
    <w:p w14:paraId="375D0297" w14:textId="0936714B" w:rsidR="00A00693" w:rsidRDefault="00A00693" w:rsidP="0000278A">
      <w:pPr>
        <w:pStyle w:val="Bullet"/>
      </w:pPr>
      <w:r>
        <w:t>overseeing</w:t>
      </w:r>
      <w:r>
        <w:rPr>
          <w:spacing w:val="4"/>
        </w:rPr>
        <w:t xml:space="preserve"> </w:t>
      </w:r>
      <w:r>
        <w:t>staff</w:t>
      </w:r>
      <w:r>
        <w:rPr>
          <w:spacing w:val="4"/>
        </w:rPr>
        <w:t xml:space="preserve"> </w:t>
      </w:r>
      <w:r>
        <w:t>resourcing,</w:t>
      </w:r>
      <w:r>
        <w:rPr>
          <w:spacing w:val="4"/>
        </w:rPr>
        <w:t xml:space="preserve"> </w:t>
      </w:r>
      <w:r>
        <w:t>including</w:t>
      </w:r>
      <w:r>
        <w:rPr>
          <w:spacing w:val="4"/>
        </w:rPr>
        <w:t xml:space="preserve"> </w:t>
      </w:r>
      <w:r>
        <w:t>recruitment</w:t>
      </w:r>
      <w:r>
        <w:rPr>
          <w:spacing w:val="4"/>
        </w:rPr>
        <w:t xml:space="preserve"> </w:t>
      </w:r>
      <w:r>
        <w:t>and</w:t>
      </w:r>
      <w:r>
        <w:rPr>
          <w:spacing w:val="4"/>
        </w:rPr>
        <w:t xml:space="preserve"> </w:t>
      </w:r>
      <w:r>
        <w:t>development</w:t>
      </w:r>
      <w:r>
        <w:rPr>
          <w:spacing w:val="4"/>
        </w:rPr>
        <w:t xml:space="preserve"> </w:t>
      </w:r>
      <w:r>
        <w:t>policies,</w:t>
      </w:r>
      <w:r>
        <w:rPr>
          <w:spacing w:val="4"/>
        </w:rPr>
        <w:t xml:space="preserve"> </w:t>
      </w:r>
      <w:r>
        <w:rPr>
          <w:spacing w:val="-2"/>
        </w:rPr>
        <w:t xml:space="preserve">succession </w:t>
      </w:r>
      <w:r w:rsidRPr="00A00693">
        <w:rPr>
          <w:color w:val="231F20"/>
        </w:rPr>
        <w:t>planning</w:t>
      </w:r>
      <w:r w:rsidRPr="00A00693">
        <w:rPr>
          <w:color w:val="231F20"/>
          <w:spacing w:val="-2"/>
        </w:rPr>
        <w:t xml:space="preserve"> </w:t>
      </w:r>
      <w:r w:rsidRPr="00A00693">
        <w:rPr>
          <w:color w:val="231F20"/>
        </w:rPr>
        <w:t>and</w:t>
      </w:r>
      <w:r w:rsidRPr="00A00693">
        <w:rPr>
          <w:color w:val="231F20"/>
          <w:spacing w:val="-1"/>
        </w:rPr>
        <w:t xml:space="preserve"> </w:t>
      </w:r>
      <w:r w:rsidRPr="00A00693">
        <w:rPr>
          <w:color w:val="231F20"/>
        </w:rPr>
        <w:t>remuneration</w:t>
      </w:r>
      <w:r w:rsidRPr="00A00693">
        <w:rPr>
          <w:color w:val="231F20"/>
          <w:spacing w:val="-2"/>
        </w:rPr>
        <w:t xml:space="preserve"> </w:t>
      </w:r>
      <w:r w:rsidRPr="00A00693">
        <w:rPr>
          <w:color w:val="231F20"/>
        </w:rPr>
        <w:t>(see</w:t>
      </w:r>
      <w:r w:rsidRPr="00A00693">
        <w:rPr>
          <w:color w:val="231F20"/>
          <w:spacing w:val="-1"/>
        </w:rPr>
        <w:t xml:space="preserve"> </w:t>
      </w:r>
      <w:r w:rsidRPr="00A00693">
        <w:rPr>
          <w:color w:val="231F20"/>
        </w:rPr>
        <w:t>Chapter</w:t>
      </w:r>
      <w:r w:rsidRPr="00A00693">
        <w:rPr>
          <w:color w:val="231F20"/>
          <w:spacing w:val="-1"/>
        </w:rPr>
        <w:t xml:space="preserve"> </w:t>
      </w:r>
      <w:r w:rsidRPr="00A00693">
        <w:rPr>
          <w:color w:val="231F20"/>
          <w:spacing w:val="-5"/>
        </w:rPr>
        <w:t>4)</w:t>
      </w:r>
    </w:p>
    <w:p w14:paraId="06393A78" w14:textId="1E08D407" w:rsidR="00A00693" w:rsidRDefault="00A00693" w:rsidP="0000278A">
      <w:pPr>
        <w:pStyle w:val="Bullet"/>
      </w:pPr>
      <w:r>
        <w:t>setting the remuneration of the Governor and Deputy Governor based on the advice of the Remuneration Tribunal</w:t>
      </w:r>
      <w:r w:rsidR="0068598E">
        <w:rPr>
          <w:spacing w:val="-17"/>
        </w:rPr>
        <w:t>.</w:t>
      </w:r>
    </w:p>
    <w:p w14:paraId="6AA23036" w14:textId="3EDC470A" w:rsidR="00A00693" w:rsidRDefault="00A00693" w:rsidP="00CF6E33">
      <w:r>
        <w:lastRenderedPageBreak/>
        <w:t>The Governance</w:t>
      </w:r>
      <w:r>
        <w:rPr>
          <w:spacing w:val="3"/>
        </w:rPr>
        <w:t xml:space="preserve"> </w:t>
      </w:r>
      <w:r>
        <w:t>Board</w:t>
      </w:r>
      <w:r>
        <w:rPr>
          <w:spacing w:val="3"/>
        </w:rPr>
        <w:t xml:space="preserve"> </w:t>
      </w:r>
      <w:r>
        <w:t>should</w:t>
      </w:r>
      <w:r>
        <w:rPr>
          <w:spacing w:val="3"/>
        </w:rPr>
        <w:t xml:space="preserve"> </w:t>
      </w:r>
      <w:r>
        <w:t>have</w:t>
      </w:r>
      <w:r>
        <w:rPr>
          <w:spacing w:val="3"/>
        </w:rPr>
        <w:t xml:space="preserve"> </w:t>
      </w:r>
      <w:r>
        <w:t>no</w:t>
      </w:r>
      <w:r>
        <w:rPr>
          <w:spacing w:val="3"/>
        </w:rPr>
        <w:t xml:space="preserve"> </w:t>
      </w:r>
      <w:r>
        <w:t>role</w:t>
      </w:r>
      <w:r>
        <w:rPr>
          <w:spacing w:val="3"/>
        </w:rPr>
        <w:t xml:space="preserve"> </w:t>
      </w:r>
      <w:r>
        <w:t>in</w:t>
      </w:r>
      <w:r>
        <w:rPr>
          <w:spacing w:val="3"/>
        </w:rPr>
        <w:t xml:space="preserve"> </w:t>
      </w:r>
      <w:r>
        <w:t>monetary,</w:t>
      </w:r>
      <w:r>
        <w:rPr>
          <w:spacing w:val="3"/>
        </w:rPr>
        <w:t xml:space="preserve"> </w:t>
      </w:r>
      <w:r>
        <w:t>financial</w:t>
      </w:r>
      <w:r>
        <w:rPr>
          <w:spacing w:val="3"/>
        </w:rPr>
        <w:t xml:space="preserve"> </w:t>
      </w:r>
      <w:r>
        <w:t>stability</w:t>
      </w:r>
      <w:r>
        <w:rPr>
          <w:spacing w:val="3"/>
        </w:rPr>
        <w:t xml:space="preserve"> </w:t>
      </w:r>
      <w:r>
        <w:t>or</w:t>
      </w:r>
      <w:r>
        <w:rPr>
          <w:spacing w:val="3"/>
        </w:rPr>
        <w:t xml:space="preserve"> </w:t>
      </w:r>
      <w:r>
        <w:t>payments</w:t>
      </w:r>
      <w:r>
        <w:rPr>
          <w:spacing w:val="3"/>
        </w:rPr>
        <w:t xml:space="preserve"> </w:t>
      </w:r>
      <w:r>
        <w:t>policy,</w:t>
      </w:r>
      <w:r>
        <w:rPr>
          <w:spacing w:val="3"/>
        </w:rPr>
        <w:t xml:space="preserve"> </w:t>
      </w:r>
      <w:r>
        <w:rPr>
          <w:spacing w:val="-5"/>
        </w:rPr>
        <w:t>and</w:t>
      </w:r>
      <w:r w:rsidR="00CF6E33">
        <w:rPr>
          <w:spacing w:val="-5"/>
        </w:rPr>
        <w:t xml:space="preserve"> </w:t>
      </w:r>
      <w:r>
        <w:t>should not be involved in the day</w:t>
      </w:r>
      <w:r>
        <w:rPr>
          <w:spacing w:val="1"/>
        </w:rPr>
        <w:t xml:space="preserve"> </w:t>
      </w:r>
      <w:r>
        <w:t>to day running of the RBA</w:t>
      </w:r>
      <w:r w:rsidR="0068598E">
        <w:rPr>
          <w:spacing w:val="-23"/>
        </w:rPr>
        <w:t>.</w:t>
      </w:r>
    </w:p>
    <w:p w14:paraId="6CC29596" w14:textId="24D1F6C2" w:rsidR="00A00693" w:rsidRDefault="00A00693" w:rsidP="00CF6E33">
      <w:r>
        <w:t>The creation of the Governance Board enables greater oversight of the RBA’s complex affairs without compromising the focus and specialisation on monetary and payments system policy</w:t>
      </w:r>
      <w:r w:rsidR="0068598E">
        <w:rPr>
          <w:spacing w:val="-16"/>
        </w:rPr>
        <w:t>.</w:t>
      </w:r>
      <w:r>
        <w:rPr>
          <w:spacing w:val="80"/>
        </w:rPr>
        <w:t xml:space="preserve"> </w:t>
      </w:r>
      <w:r>
        <w:t>This complements the recommendation in Chapter 3 to create a Monetary Policy Board</w:t>
      </w:r>
      <w:r w:rsidR="0068598E">
        <w:rPr>
          <w:spacing w:val="-19"/>
        </w:rPr>
        <w:t>.</w:t>
      </w:r>
      <w:r>
        <w:rPr>
          <w:w w:val="85"/>
        </w:rPr>
        <w:t xml:space="preserve"> </w:t>
      </w:r>
      <w:r>
        <w:t>Just as monetary policy decision making can benefit from the expertise, broad knowledge, and skills from</w:t>
      </w:r>
      <w:r w:rsidR="00CF6E33">
        <w:t xml:space="preserve"> </w:t>
      </w:r>
      <w:r>
        <w:rPr>
          <w:color w:val="231F20"/>
        </w:rPr>
        <w:t>a</w:t>
      </w:r>
      <w:r>
        <w:rPr>
          <w:color w:val="231F20"/>
          <w:spacing w:val="-1"/>
        </w:rPr>
        <w:t xml:space="preserve"> </w:t>
      </w:r>
      <w:r>
        <w:rPr>
          <w:color w:val="231F20"/>
        </w:rPr>
        <w:t>variety</w:t>
      </w:r>
      <w:r>
        <w:rPr>
          <w:color w:val="231F20"/>
          <w:spacing w:val="2"/>
        </w:rPr>
        <w:t xml:space="preserve"> </w:t>
      </w:r>
      <w:r>
        <w:rPr>
          <w:color w:val="231F20"/>
        </w:rPr>
        <w:t>of</w:t>
      </w:r>
      <w:r>
        <w:rPr>
          <w:color w:val="231F20"/>
          <w:spacing w:val="2"/>
        </w:rPr>
        <w:t xml:space="preserve"> </w:t>
      </w:r>
      <w:r>
        <w:rPr>
          <w:color w:val="231F20"/>
        </w:rPr>
        <w:t>areas,</w:t>
      </w:r>
      <w:r>
        <w:rPr>
          <w:color w:val="231F20"/>
          <w:spacing w:val="1"/>
        </w:rPr>
        <w:t xml:space="preserve"> </w:t>
      </w:r>
      <w:r>
        <w:rPr>
          <w:color w:val="231F20"/>
        </w:rPr>
        <w:t>so</w:t>
      </w:r>
      <w:r>
        <w:rPr>
          <w:color w:val="231F20"/>
          <w:spacing w:val="2"/>
        </w:rPr>
        <w:t xml:space="preserve"> </w:t>
      </w:r>
      <w:r>
        <w:rPr>
          <w:color w:val="231F20"/>
        </w:rPr>
        <w:t>can</w:t>
      </w:r>
      <w:r>
        <w:rPr>
          <w:color w:val="231F20"/>
          <w:spacing w:val="2"/>
        </w:rPr>
        <w:t xml:space="preserve"> </w:t>
      </w:r>
      <w:r>
        <w:rPr>
          <w:color w:val="231F20"/>
        </w:rPr>
        <w:t>the</w:t>
      </w:r>
      <w:r>
        <w:rPr>
          <w:color w:val="231F20"/>
          <w:spacing w:val="2"/>
        </w:rPr>
        <w:t xml:space="preserve"> </w:t>
      </w:r>
      <w:r>
        <w:rPr>
          <w:color w:val="231F20"/>
        </w:rPr>
        <w:t>governance</w:t>
      </w:r>
      <w:r>
        <w:rPr>
          <w:color w:val="231F20"/>
          <w:spacing w:val="1"/>
        </w:rPr>
        <w:t xml:space="preserve"> </w:t>
      </w:r>
      <w:r>
        <w:rPr>
          <w:color w:val="231F20"/>
        </w:rPr>
        <w:t>functions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RBA</w:t>
      </w:r>
      <w:r>
        <w:rPr>
          <w:color w:val="231F20"/>
          <w:spacing w:val="1"/>
        </w:rPr>
        <w:t xml:space="preserve"> </w:t>
      </w:r>
      <w:r>
        <w:rPr>
          <w:color w:val="231F20"/>
        </w:rPr>
        <w:t>when</w:t>
      </w:r>
      <w:r>
        <w:rPr>
          <w:color w:val="231F20"/>
          <w:spacing w:val="2"/>
        </w:rPr>
        <w:t xml:space="preserve"> </w:t>
      </w:r>
      <w:r>
        <w:rPr>
          <w:color w:val="231F20"/>
        </w:rPr>
        <w:t>overseeing</w:t>
      </w:r>
      <w:r>
        <w:rPr>
          <w:color w:val="231F20"/>
          <w:spacing w:val="2"/>
        </w:rPr>
        <w:t xml:space="preserve"> </w:t>
      </w:r>
      <w:r>
        <w:rPr>
          <w:color w:val="231F20"/>
        </w:rPr>
        <w:t>technology,</w:t>
      </w:r>
      <w:r>
        <w:rPr>
          <w:color w:val="231F20"/>
          <w:spacing w:val="2"/>
        </w:rPr>
        <w:t xml:space="preserve"> </w:t>
      </w:r>
      <w:r>
        <w:rPr>
          <w:color w:val="231F20"/>
          <w:spacing w:val="-2"/>
        </w:rPr>
        <w:t>human</w:t>
      </w:r>
      <w:r w:rsidR="00CF6E33">
        <w:rPr>
          <w:color w:val="231F20"/>
          <w:spacing w:val="-2"/>
        </w:rPr>
        <w:t xml:space="preserve"> </w:t>
      </w:r>
      <w:r>
        <w:rPr>
          <w:color w:val="231F20"/>
        </w:rPr>
        <w:t>resourcing,</w:t>
      </w:r>
      <w:r>
        <w:rPr>
          <w:color w:val="231F20"/>
          <w:spacing w:val="3"/>
        </w:rPr>
        <w:t xml:space="preserve"> </w:t>
      </w:r>
      <w:r>
        <w:rPr>
          <w:color w:val="231F20"/>
        </w:rPr>
        <w:t>risk,</w:t>
      </w:r>
      <w:r>
        <w:rPr>
          <w:color w:val="231F20"/>
          <w:spacing w:val="3"/>
        </w:rPr>
        <w:t xml:space="preserve"> </w:t>
      </w:r>
      <w:r>
        <w:rPr>
          <w:color w:val="231F20"/>
        </w:rPr>
        <w:t>and</w:t>
      </w:r>
      <w:r>
        <w:rPr>
          <w:color w:val="231F20"/>
          <w:spacing w:val="3"/>
        </w:rPr>
        <w:t xml:space="preserve"> </w:t>
      </w:r>
      <w:r>
        <w:rPr>
          <w:color w:val="231F20"/>
        </w:rPr>
        <w:t>financial</w:t>
      </w:r>
      <w:r>
        <w:rPr>
          <w:color w:val="231F20"/>
          <w:spacing w:val="3"/>
        </w:rPr>
        <w:t xml:space="preserve"> </w:t>
      </w:r>
      <w:r>
        <w:rPr>
          <w:color w:val="231F20"/>
        </w:rPr>
        <w:t>reporting,</w:t>
      </w:r>
      <w:r>
        <w:rPr>
          <w:color w:val="231F20"/>
          <w:spacing w:val="3"/>
        </w:rPr>
        <w:t xml:space="preserve"> </w:t>
      </w:r>
      <w:r>
        <w:rPr>
          <w:color w:val="231F20"/>
        </w:rPr>
        <w:t>among</w:t>
      </w:r>
      <w:r>
        <w:rPr>
          <w:color w:val="231F20"/>
          <w:spacing w:val="3"/>
        </w:rPr>
        <w:t xml:space="preserve"> </w:t>
      </w:r>
      <w:r>
        <w:rPr>
          <w:color w:val="231F20"/>
        </w:rPr>
        <w:t>other</w:t>
      </w:r>
      <w:r>
        <w:rPr>
          <w:color w:val="231F20"/>
          <w:spacing w:val="3"/>
        </w:rPr>
        <w:t xml:space="preserve"> </w:t>
      </w:r>
      <w:r>
        <w:rPr>
          <w:color w:val="231F20"/>
          <w:spacing w:val="-2"/>
        </w:rPr>
        <w:t>matters.</w:t>
      </w:r>
    </w:p>
    <w:p w14:paraId="7FF19985" w14:textId="535C6D69" w:rsidR="00A00693" w:rsidRDefault="00A00693" w:rsidP="00CF6E33">
      <w:r>
        <w:t>Some consulted by the Review preferred the current model of a generalist Reserve Bank Board covering both monetary policy and some role in corporate governance</w:t>
      </w:r>
      <w:r w:rsidR="0068598E">
        <w:rPr>
          <w:spacing w:val="-19"/>
        </w:rPr>
        <w:t>.</w:t>
      </w:r>
      <w:r>
        <w:rPr>
          <w:w w:val="85"/>
        </w:rPr>
        <w:t xml:space="preserve"> </w:t>
      </w:r>
      <w:r>
        <w:t>This was due to concerns about adding bureaucracy and structure and perceived difficulties in recruiting suitable candidates. The Review considered these concerns but, on balance, concluded that the additional structure serves an important purpose, and the pool of suitable applicants is significantly large. Overall, the advantages of creating a Governance Board significantly outweigh these concerns. Chapter 7 sets out an alternative option the Review considered</w:t>
      </w:r>
      <w:r w:rsidR="0068598E">
        <w:rPr>
          <w:spacing w:val="-13"/>
        </w:rPr>
        <w:t>.</w:t>
      </w:r>
    </w:p>
    <w:p w14:paraId="729B713C" w14:textId="5EE8EC08" w:rsidR="00A00693" w:rsidRDefault="00A00693" w:rsidP="00CF6E33">
      <w:r>
        <w:t>The Review recommends the Governance Board determine its own meeting frequency. As a starting point the RBA Act could specify the Governance Board convene at least 4 meetings a year. Short virtual meetings could be held as required for financial reporting. This should provide a balance between suitable oversight, time commitment of Governance Board members, and responsiveness to emerging issues</w:t>
      </w:r>
      <w:r w:rsidR="0068598E">
        <w:rPr>
          <w:spacing w:val="-23"/>
        </w:rPr>
        <w:t>.</w:t>
      </w:r>
      <w:r>
        <w:rPr>
          <w:w w:val="85"/>
        </w:rPr>
        <w:t xml:space="preserve"> </w:t>
      </w:r>
      <w:r>
        <w:t>The Governance Board could be convened at other times as necessary</w:t>
      </w:r>
      <w:r w:rsidR="0068598E">
        <w:rPr>
          <w:spacing w:val="-23"/>
        </w:rPr>
        <w:t>.</w:t>
      </w:r>
      <w:r>
        <w:rPr>
          <w:w w:val="85"/>
        </w:rPr>
        <w:t xml:space="preserve"> </w:t>
      </w:r>
      <w:r>
        <w:t>The RBA’s Executive Committee would continue to meet more regularly to implement the policies of the Governance Board</w:t>
      </w:r>
      <w:r w:rsidR="0068598E">
        <w:rPr>
          <w:spacing w:val="-11"/>
        </w:rPr>
        <w:t>.</w:t>
      </w:r>
    </w:p>
    <w:p w14:paraId="1D33B876" w14:textId="174DF4DA" w:rsidR="00923649" w:rsidRDefault="00A00693" w:rsidP="00CF6E33">
      <w:pPr>
        <w:rPr>
          <w:color w:val="231F20"/>
          <w:spacing w:val="-2"/>
          <w:w w:val="117"/>
        </w:rPr>
      </w:pPr>
      <w:r>
        <w:t>The</w:t>
      </w:r>
      <w:r>
        <w:rPr>
          <w:spacing w:val="-13"/>
        </w:rPr>
        <w:t xml:space="preserve"> </w:t>
      </w:r>
      <w:r>
        <w:t>Review</w:t>
      </w:r>
      <w:r>
        <w:rPr>
          <w:spacing w:val="-11"/>
        </w:rPr>
        <w:t xml:space="preserve"> </w:t>
      </w:r>
      <w:r>
        <w:t>emphasises</w:t>
      </w:r>
      <w:r>
        <w:rPr>
          <w:spacing w:val="-10"/>
        </w:rPr>
        <w:t xml:space="preserve"> </w:t>
      </w:r>
      <w:r>
        <w:t>the</w:t>
      </w:r>
      <w:r>
        <w:rPr>
          <w:spacing w:val="-11"/>
        </w:rPr>
        <w:t xml:space="preserve"> </w:t>
      </w:r>
      <w:r>
        <w:t>need</w:t>
      </w:r>
      <w:r>
        <w:rPr>
          <w:spacing w:val="-11"/>
        </w:rPr>
        <w:t xml:space="preserve"> </w:t>
      </w:r>
      <w:r>
        <w:t>to</w:t>
      </w:r>
      <w:r>
        <w:rPr>
          <w:spacing w:val="-10"/>
        </w:rPr>
        <w:t xml:space="preserve"> </w:t>
      </w:r>
      <w:r>
        <w:t>establish</w:t>
      </w:r>
      <w:r>
        <w:rPr>
          <w:spacing w:val="-11"/>
        </w:rPr>
        <w:t xml:space="preserve"> </w:t>
      </w:r>
      <w:r>
        <w:t>a</w:t>
      </w:r>
      <w:r>
        <w:rPr>
          <w:spacing w:val="-11"/>
        </w:rPr>
        <w:t xml:space="preserve"> </w:t>
      </w:r>
      <w:r>
        <w:t>clear</w:t>
      </w:r>
      <w:r>
        <w:rPr>
          <w:spacing w:val="-10"/>
        </w:rPr>
        <w:t xml:space="preserve"> </w:t>
      </w:r>
      <w:r>
        <w:t>delineation</w:t>
      </w:r>
      <w:r>
        <w:rPr>
          <w:spacing w:val="-11"/>
        </w:rPr>
        <w:t xml:space="preserve"> </w:t>
      </w:r>
      <w:r>
        <w:t>between</w:t>
      </w:r>
      <w:r>
        <w:rPr>
          <w:spacing w:val="-11"/>
        </w:rPr>
        <w:t xml:space="preserve"> </w:t>
      </w:r>
      <w:r>
        <w:t>the</w:t>
      </w:r>
      <w:r>
        <w:rPr>
          <w:spacing w:val="-10"/>
        </w:rPr>
        <w:t xml:space="preserve"> </w:t>
      </w:r>
      <w:r>
        <w:t>responsibilities</w:t>
      </w:r>
      <w:r>
        <w:rPr>
          <w:spacing w:val="-11"/>
        </w:rPr>
        <w:t xml:space="preserve"> </w:t>
      </w:r>
      <w:r>
        <w:t>of</w:t>
      </w:r>
      <w:r>
        <w:rPr>
          <w:spacing w:val="29"/>
        </w:rPr>
        <w:t xml:space="preserve"> </w:t>
      </w:r>
      <w:r>
        <w:rPr>
          <w:spacing w:val="-5"/>
        </w:rPr>
        <w:t>the</w:t>
      </w:r>
      <w:r w:rsidR="00CF6E33">
        <w:rPr>
          <w:spacing w:val="-5"/>
        </w:rPr>
        <w:t xml:space="preserve"> </w:t>
      </w:r>
      <w:r>
        <w:rPr>
          <w:color w:val="231F20"/>
          <w:spacing w:val="-2"/>
        </w:rPr>
        <w:t>Governance</w:t>
      </w:r>
      <w:r>
        <w:rPr>
          <w:color w:val="231F20"/>
          <w:spacing w:val="-3"/>
        </w:rPr>
        <w:t xml:space="preserve"> </w:t>
      </w:r>
      <w:r>
        <w:rPr>
          <w:color w:val="231F20"/>
          <w:spacing w:val="-2"/>
        </w:rPr>
        <w:t>Board, Monetary</w:t>
      </w:r>
      <w:r>
        <w:rPr>
          <w:color w:val="231F20"/>
          <w:spacing w:val="-3"/>
        </w:rPr>
        <w:t xml:space="preserve"> </w:t>
      </w:r>
      <w:r>
        <w:rPr>
          <w:color w:val="231F20"/>
          <w:spacing w:val="-2"/>
        </w:rPr>
        <w:t>Policy Board and</w:t>
      </w:r>
      <w:r>
        <w:rPr>
          <w:color w:val="231F20"/>
          <w:spacing w:val="-3"/>
        </w:rPr>
        <w:t xml:space="preserve"> </w:t>
      </w:r>
      <w:r>
        <w:rPr>
          <w:color w:val="231F20"/>
          <w:spacing w:val="-2"/>
        </w:rPr>
        <w:t>Payments System Board</w:t>
      </w:r>
      <w:r>
        <w:rPr>
          <w:color w:val="231F20"/>
          <w:spacing w:val="-3"/>
        </w:rPr>
        <w:t xml:space="preserve"> </w:t>
      </w:r>
      <w:r>
        <w:rPr>
          <w:color w:val="231F20"/>
          <w:spacing w:val="-2"/>
        </w:rPr>
        <w:t>(see Recommendation 12</w:t>
      </w:r>
      <w:r w:rsidR="0068598E">
        <w:rPr>
          <w:color w:val="231F20"/>
          <w:spacing w:val="-23"/>
        </w:rPr>
        <w:t>.</w:t>
      </w:r>
      <w:r>
        <w:rPr>
          <w:color w:val="231F20"/>
          <w:spacing w:val="-2"/>
          <w:w w:val="117"/>
        </w:rPr>
        <w:t>6).</w:t>
      </w:r>
    </w:p>
    <w:p w14:paraId="1C99AB26" w14:textId="77777777" w:rsidR="00536457" w:rsidRDefault="00536457" w:rsidP="00536457">
      <w:pPr>
        <w:pStyle w:val="Heading3"/>
      </w:pPr>
      <w:r>
        <w:t>Recommendation 12.2: Make the Governance Board the accountable</w:t>
      </w:r>
      <w:r>
        <w:rPr>
          <w:spacing w:val="-12"/>
        </w:rPr>
        <w:t xml:space="preserve"> </w:t>
      </w:r>
      <w:r>
        <w:t>authority</w:t>
      </w:r>
      <w:r>
        <w:rPr>
          <w:spacing w:val="-12"/>
        </w:rPr>
        <w:t xml:space="preserve"> </w:t>
      </w:r>
      <w:r>
        <w:t>and</w:t>
      </w:r>
      <w:r>
        <w:rPr>
          <w:spacing w:val="-12"/>
        </w:rPr>
        <w:t xml:space="preserve"> </w:t>
      </w:r>
      <w:r>
        <w:t>expand</w:t>
      </w:r>
      <w:r>
        <w:rPr>
          <w:spacing w:val="-12"/>
        </w:rPr>
        <w:t xml:space="preserve"> </w:t>
      </w:r>
      <w:r>
        <w:t>the</w:t>
      </w:r>
      <w:r>
        <w:rPr>
          <w:spacing w:val="-12"/>
        </w:rPr>
        <w:t xml:space="preserve"> </w:t>
      </w:r>
      <w:r>
        <w:t>Audit</w:t>
      </w:r>
      <w:r>
        <w:rPr>
          <w:spacing w:val="-12"/>
        </w:rPr>
        <w:t xml:space="preserve"> </w:t>
      </w:r>
      <w:r>
        <w:t>Committee</w:t>
      </w:r>
      <w:r>
        <w:rPr>
          <w:spacing w:val="-12"/>
        </w:rPr>
        <w:t xml:space="preserve"> </w:t>
      </w:r>
      <w:r>
        <w:t>to an Audit and Risk Committee</w:t>
      </w:r>
    </w:p>
    <w:p w14:paraId="4E4790CB" w14:textId="3B47B88B" w:rsidR="00536457" w:rsidRDefault="00536457" w:rsidP="00536457">
      <w:r>
        <w:t>The Review recommends the accountable authority of the RBA with respect to the PGPA Act</w:t>
      </w:r>
      <w:r>
        <w:rPr>
          <w:spacing w:val="80"/>
        </w:rPr>
        <w:t xml:space="preserve"> </w:t>
      </w:r>
      <w:r>
        <w:t>shift from the Governor to the Governance Board</w:t>
      </w:r>
      <w:r w:rsidR="0068598E">
        <w:rPr>
          <w:spacing w:val="-22"/>
        </w:rPr>
        <w:t>.</w:t>
      </w:r>
      <w:r>
        <w:rPr>
          <w:w w:val="85"/>
        </w:rPr>
        <w:t xml:space="preserve"> </w:t>
      </w:r>
      <w:r>
        <w:t>This would ensure that the body responsible for overseeing corporate governance matters will also be accountable for those decisions</w:t>
      </w:r>
      <w:r w:rsidR="0068598E">
        <w:rPr>
          <w:spacing w:val="-18"/>
        </w:rPr>
        <w:t>.</w:t>
      </w:r>
      <w:r>
        <w:rPr>
          <w:w w:val="85"/>
        </w:rPr>
        <w:t xml:space="preserve"> </w:t>
      </w:r>
      <w:r>
        <w:t>The shift in accountable authority will not alter the Governor’s role in monetary and payments policy formulation</w:t>
      </w:r>
      <w:r w:rsidR="0068598E">
        <w:rPr>
          <w:spacing w:val="-25"/>
        </w:rPr>
        <w:t>.</w:t>
      </w:r>
    </w:p>
    <w:p w14:paraId="2A8A9A3B" w14:textId="26BE1D9E" w:rsidR="00536457" w:rsidRDefault="00536457" w:rsidP="00536457">
      <w:r>
        <w:t>As the accountable authority, the Governance Board would have a range of obligations to properly govern the RBA, including promoting proper and efficient use of public resources and maintaining appropriate systems relating to risk management and oversight</w:t>
      </w:r>
      <w:r w:rsidR="0068598E">
        <w:rPr>
          <w:spacing w:val="-17"/>
        </w:rPr>
        <w:t>.</w:t>
      </w:r>
      <w:r>
        <w:t xml:space="preserve"> The Governance Board should</w:t>
      </w:r>
      <w:r>
        <w:rPr>
          <w:spacing w:val="40"/>
        </w:rPr>
        <w:t xml:space="preserve"> </w:t>
      </w:r>
      <w:r>
        <w:t>play a role in assessing and developing an appropriate risk appetite that allows for ‘manageable failures’ and lessons learnt</w:t>
      </w:r>
      <w:r w:rsidR="0068598E">
        <w:rPr>
          <w:spacing w:val="-24"/>
        </w:rPr>
        <w:t>.</w:t>
      </w:r>
      <w:r>
        <w:rPr>
          <w:w w:val="85"/>
        </w:rPr>
        <w:t xml:space="preserve"> </w:t>
      </w:r>
      <w:r>
        <w:t>The Governance Board would be responsible for the annual report and corporate plan</w:t>
      </w:r>
      <w:r w:rsidR="0068598E">
        <w:rPr>
          <w:spacing w:val="-17"/>
        </w:rPr>
        <w:t>.</w:t>
      </w:r>
    </w:p>
    <w:p w14:paraId="4B0B62DE" w14:textId="77777777" w:rsidR="00536457" w:rsidRDefault="00536457" w:rsidP="00536457">
      <w:pPr>
        <w:pStyle w:val="Heading4"/>
      </w:pPr>
      <w:r>
        <w:t>Audit and Risk</w:t>
      </w:r>
      <w:r>
        <w:rPr>
          <w:spacing w:val="1"/>
        </w:rPr>
        <w:t xml:space="preserve"> </w:t>
      </w:r>
      <w:r>
        <w:rPr>
          <w:spacing w:val="-2"/>
        </w:rPr>
        <w:t>Committee</w:t>
      </w:r>
    </w:p>
    <w:p w14:paraId="0EDCC41B" w14:textId="4AE51EEC" w:rsidR="00536457" w:rsidRDefault="00536457" w:rsidP="00536457">
      <w:r>
        <w:t>As the accountable authority, the Governance Board would be responsible for the RBA’s systems of risk oversight and management</w:t>
      </w:r>
      <w:r w:rsidR="0068598E">
        <w:rPr>
          <w:spacing w:val="-19"/>
        </w:rPr>
        <w:t>.</w:t>
      </w:r>
      <w:r>
        <w:rPr>
          <w:w w:val="85"/>
        </w:rPr>
        <w:t xml:space="preserve"> </w:t>
      </w:r>
      <w:r>
        <w:t>To provide assurance on this duty, the Governance Board would convene an Audit Committee under section 45 of the PGPA Act.</w:t>
      </w:r>
    </w:p>
    <w:p w14:paraId="7DA221B0" w14:textId="2498B438" w:rsidR="00AF7560" w:rsidRDefault="00536457" w:rsidP="00536457">
      <w:r>
        <w:t>The Review recommends that the Governance Board establish an Audit and Risk Committee to fulfil this requirement. The statutory functions, membership requirements and reporting obligations in relation to the committee would remain the same as the current Audit Committee</w:t>
      </w:r>
      <w:r w:rsidR="0068598E">
        <w:rPr>
          <w:spacing w:val="-20"/>
        </w:rPr>
        <w:t>.</w:t>
      </w:r>
      <w:r>
        <w:rPr>
          <w:w w:val="85"/>
        </w:rPr>
        <w:t xml:space="preserve"> </w:t>
      </w:r>
      <w:r>
        <w:t>Similar to the current composition, the Audit and Risk Committee would likely include some members not on the Governance Board with qualification and skills relevant to financial and performance reporting, risk oversight and systems of internal control</w:t>
      </w:r>
      <w:r w:rsidR="0068598E">
        <w:rPr>
          <w:spacing w:val="-19"/>
        </w:rPr>
        <w:t>.</w:t>
      </w:r>
      <w:r>
        <w:rPr>
          <w:w w:val="85"/>
        </w:rPr>
        <w:t xml:space="preserve"> </w:t>
      </w:r>
      <w:r>
        <w:t>Expanding the name of the committee to include risk would</w:t>
      </w:r>
      <w:r>
        <w:rPr>
          <w:spacing w:val="-1"/>
        </w:rPr>
        <w:t xml:space="preserve"> </w:t>
      </w:r>
      <w:r>
        <w:lastRenderedPageBreak/>
        <w:t>signal a</w:t>
      </w:r>
      <w:r>
        <w:rPr>
          <w:spacing w:val="-1"/>
        </w:rPr>
        <w:t xml:space="preserve"> </w:t>
      </w:r>
      <w:r>
        <w:t>strengthening to</w:t>
      </w:r>
      <w:r>
        <w:rPr>
          <w:spacing w:val="-1"/>
        </w:rPr>
        <w:t xml:space="preserve"> </w:t>
      </w:r>
      <w:r>
        <w:t>the RBA’s</w:t>
      </w:r>
      <w:r>
        <w:rPr>
          <w:spacing w:val="-1"/>
        </w:rPr>
        <w:t xml:space="preserve"> </w:t>
      </w:r>
      <w:r>
        <w:t>formal approach</w:t>
      </w:r>
      <w:r>
        <w:rPr>
          <w:spacing w:val="-1"/>
        </w:rPr>
        <w:t xml:space="preserve"> </w:t>
      </w:r>
      <w:r>
        <w:t>to risk</w:t>
      </w:r>
      <w:r>
        <w:rPr>
          <w:spacing w:val="-1"/>
        </w:rPr>
        <w:t xml:space="preserve"> </w:t>
      </w:r>
      <w:r>
        <w:t>assurance</w:t>
      </w:r>
      <w:r w:rsidR="0068598E">
        <w:rPr>
          <w:spacing w:val="-24"/>
        </w:rPr>
        <w:t>.</w:t>
      </w:r>
      <w:r>
        <w:rPr>
          <w:w w:val="85"/>
        </w:rPr>
        <w:t xml:space="preserve"> </w:t>
      </w:r>
      <w:r>
        <w:t>The importance of naming was highlighted in the 2018 Independent Review into the Operation of the PGPA Act and Rul</w:t>
      </w:r>
      <w:r w:rsidR="00AF7560">
        <w:t>e.</w:t>
      </w:r>
      <w:r w:rsidR="00AF7560">
        <w:rPr>
          <w:rStyle w:val="FootnoteReference"/>
        </w:rPr>
        <w:footnoteReference w:id="11"/>
      </w:r>
    </w:p>
    <w:p w14:paraId="7ADA0D78" w14:textId="5D333D78" w:rsidR="00536457" w:rsidRDefault="00536457" w:rsidP="00536457">
      <w:r>
        <w:t>The scope of the Audit and Risk Committee should include the process of both the Monetary Policy Board and Payments System Board for internal and audit assurance purposes only</w:t>
      </w:r>
      <w:r w:rsidR="0068598E">
        <w:rPr>
          <w:spacing w:val="-18"/>
        </w:rPr>
        <w:t>.</w:t>
      </w:r>
    </w:p>
    <w:p w14:paraId="41846986" w14:textId="31070762" w:rsidR="00536457" w:rsidRDefault="00536457" w:rsidP="00536457">
      <w:pPr>
        <w:rPr>
          <w:spacing w:val="-5"/>
        </w:rPr>
      </w:pPr>
      <w:r>
        <w:t>The RBA’s internal Risk Management Committee should continue to exist as an arm of the executive to drive risk culture across the institution</w:t>
      </w:r>
      <w:r w:rsidR="0068598E">
        <w:rPr>
          <w:spacing w:val="-18"/>
        </w:rPr>
        <w:t>.</w:t>
      </w:r>
      <w:r>
        <w:rPr>
          <w:w w:val="85"/>
        </w:rPr>
        <w:t xml:space="preserve"> </w:t>
      </w:r>
      <w:r>
        <w:t>The Risk Management Committee should be chaired by the Chief Operating Officer rather than the Deputy Governor as is the case now. The Chief Operating Officer will have direct reports on all corporate matters, including risk, and therefore be well-equipped to chair the internal Risk Management Committee. The Chief Operating Officer will be a voting member of the Governance Board, meaning they will be able to provide sufficient contextual knowledge to inform debate at the Risk Management Committee meetings</w:t>
      </w:r>
      <w:r w:rsidR="0068598E">
        <w:rPr>
          <w:spacing w:val="-20"/>
        </w:rPr>
        <w:t>.</w:t>
      </w:r>
      <w:r>
        <w:rPr>
          <w:w w:val="85"/>
        </w:rPr>
        <w:t xml:space="preserve"> </w:t>
      </w:r>
      <w:r>
        <w:t>The Risk Management</w:t>
      </w:r>
      <w:r>
        <w:rPr>
          <w:spacing w:val="-3"/>
        </w:rPr>
        <w:t xml:space="preserve"> </w:t>
      </w:r>
      <w:r>
        <w:t xml:space="preserve">Committee would be responsible for developing and embedding a more </w:t>
      </w:r>
      <w:r>
        <w:rPr>
          <w:spacing w:val="-2"/>
        </w:rPr>
        <w:t xml:space="preserve">consistently </w:t>
      </w:r>
      <w:r>
        <w:t xml:space="preserve">mature risk culture across the organisation (see Chapter </w:t>
      </w:r>
      <w:r>
        <w:rPr>
          <w:spacing w:val="-5"/>
        </w:rPr>
        <w:t>4).</w:t>
      </w:r>
    </w:p>
    <w:p w14:paraId="4617D49D" w14:textId="77777777" w:rsidR="00D7043B" w:rsidRDefault="00D7043B" w:rsidP="00CA7A95">
      <w:pPr>
        <w:pStyle w:val="Heading3"/>
      </w:pPr>
      <w:r w:rsidRPr="00D7043B">
        <w:t>Recommendation</w:t>
      </w:r>
      <w:r>
        <w:rPr>
          <w:spacing w:val="-12"/>
        </w:rPr>
        <w:t xml:space="preserve"> </w:t>
      </w:r>
      <w:r>
        <w:t>12.3:</w:t>
      </w:r>
      <w:r>
        <w:rPr>
          <w:spacing w:val="-10"/>
        </w:rPr>
        <w:t xml:space="preserve"> </w:t>
      </w:r>
      <w:r>
        <w:t>Governance</w:t>
      </w:r>
      <w:r>
        <w:rPr>
          <w:spacing w:val="-10"/>
        </w:rPr>
        <w:t xml:space="preserve"> </w:t>
      </w:r>
      <w:r>
        <w:t>Board</w:t>
      </w:r>
      <w:r>
        <w:rPr>
          <w:spacing w:val="-10"/>
        </w:rPr>
        <w:t xml:space="preserve"> </w:t>
      </w:r>
      <w:r>
        <w:t>membership</w:t>
      </w:r>
      <w:r>
        <w:rPr>
          <w:spacing w:val="-10"/>
        </w:rPr>
        <w:t xml:space="preserve"> </w:t>
      </w:r>
      <w:r>
        <w:t>and</w:t>
      </w:r>
      <w:r>
        <w:rPr>
          <w:spacing w:val="-10"/>
        </w:rPr>
        <w:t xml:space="preserve"> </w:t>
      </w:r>
      <w:r>
        <w:t>external</w:t>
      </w:r>
      <w:r>
        <w:rPr>
          <w:spacing w:val="-10"/>
        </w:rPr>
        <w:t xml:space="preserve"> </w:t>
      </w:r>
      <w:r>
        <w:rPr>
          <w:spacing w:val="-2"/>
        </w:rPr>
        <w:t>chair</w:t>
      </w:r>
    </w:p>
    <w:p w14:paraId="2BC76110" w14:textId="7018DC42" w:rsidR="00D7043B" w:rsidRDefault="00D7043B" w:rsidP="00D7043B">
      <w:r>
        <w:t>The</w:t>
      </w:r>
      <w:r>
        <w:rPr>
          <w:spacing w:val="-1"/>
        </w:rPr>
        <w:t xml:space="preserve"> </w:t>
      </w:r>
      <w:r>
        <w:t>Review</w:t>
      </w:r>
      <w:r>
        <w:rPr>
          <w:spacing w:val="-1"/>
        </w:rPr>
        <w:t xml:space="preserve"> </w:t>
      </w:r>
      <w:r>
        <w:t>recommends</w:t>
      </w:r>
      <w:r>
        <w:rPr>
          <w:spacing w:val="-1"/>
        </w:rPr>
        <w:t xml:space="preserve"> </w:t>
      </w:r>
      <w:r>
        <w:t>the</w:t>
      </w:r>
      <w:r>
        <w:rPr>
          <w:spacing w:val="-1"/>
        </w:rPr>
        <w:t xml:space="preserve"> </w:t>
      </w:r>
      <w:r>
        <w:t>Governance</w:t>
      </w:r>
      <w:r>
        <w:rPr>
          <w:spacing w:val="-1"/>
        </w:rPr>
        <w:t xml:space="preserve"> </w:t>
      </w:r>
      <w:r>
        <w:t>Board</w:t>
      </w:r>
      <w:r>
        <w:rPr>
          <w:spacing w:val="-1"/>
        </w:rPr>
        <w:t xml:space="preserve"> </w:t>
      </w:r>
      <w:r>
        <w:t>has</w:t>
      </w:r>
      <w:r>
        <w:rPr>
          <w:spacing w:val="-1"/>
        </w:rPr>
        <w:t xml:space="preserve"> </w:t>
      </w:r>
      <w:r>
        <w:t>7</w:t>
      </w:r>
      <w:r>
        <w:rPr>
          <w:spacing w:val="-1"/>
        </w:rPr>
        <w:t xml:space="preserve"> </w:t>
      </w:r>
      <w:r>
        <w:t>members:</w:t>
      </w:r>
      <w:r>
        <w:rPr>
          <w:spacing w:val="-1"/>
        </w:rPr>
        <w:t xml:space="preserve"> </w:t>
      </w:r>
      <w:r>
        <w:t>the</w:t>
      </w:r>
      <w:r>
        <w:rPr>
          <w:spacing w:val="-1"/>
        </w:rPr>
        <w:t xml:space="preserve"> </w:t>
      </w:r>
      <w:r>
        <w:t>Governor,</w:t>
      </w:r>
      <w:r>
        <w:rPr>
          <w:spacing w:val="-1"/>
        </w:rPr>
        <w:t xml:space="preserve"> </w:t>
      </w:r>
      <w:r>
        <w:t>the</w:t>
      </w:r>
      <w:r>
        <w:rPr>
          <w:spacing w:val="-1"/>
        </w:rPr>
        <w:t xml:space="preserve"> </w:t>
      </w:r>
      <w:r>
        <w:t>Chief</w:t>
      </w:r>
      <w:r>
        <w:rPr>
          <w:spacing w:val="-1"/>
        </w:rPr>
        <w:t xml:space="preserve"> </w:t>
      </w:r>
      <w:r>
        <w:t xml:space="preserve">Operating Officer and 5 external members. The Deputy Governor is to be an observer. This board size </w:t>
      </w:r>
      <w:r>
        <w:rPr>
          <w:color w:val="231F20"/>
        </w:rPr>
        <w:t>is in line with the norm for Australian public sector boards and medium ASX-listed companies (Australian Institute of Company Directors 2019)</w:t>
      </w:r>
      <w:r w:rsidR="0068598E">
        <w:rPr>
          <w:color w:val="231F20"/>
          <w:spacing w:val="-20"/>
        </w:rPr>
        <w:t>.</w:t>
      </w:r>
      <w:r>
        <w:rPr>
          <w:color w:val="231F20"/>
          <w:w w:val="85"/>
        </w:rPr>
        <w:t xml:space="preserve"> </w:t>
      </w:r>
      <w:r>
        <w:rPr>
          <w:color w:val="231F20"/>
        </w:rPr>
        <w:t>Given the Governance Board’s responsibility for executive and strategic oversight, the Review supports ensuring the majority of the Governance Board are external members. As such, the Review recommends a quorum of 5 members, with at least 3 external members and at least one of the Governor or the Chief Operating Officer residing. The Chair would hold the casting vote in the case of a tied decision.</w:t>
      </w:r>
    </w:p>
    <w:p w14:paraId="1AE3722A" w14:textId="5786E4FA" w:rsidR="00D7043B" w:rsidRDefault="00D7043B" w:rsidP="00D7043B">
      <w:r>
        <w:t>There are two sides to the argument of whether an external Governance Board member or the Governor should be the chair</w:t>
      </w:r>
      <w:r w:rsidR="0068598E">
        <w:rPr>
          <w:spacing w:val="-10"/>
        </w:rPr>
        <w:t>.</w:t>
      </w:r>
    </w:p>
    <w:p w14:paraId="229F7673" w14:textId="596B19AF" w:rsidR="00D7043B" w:rsidRDefault="00D7043B" w:rsidP="00D7043B">
      <w:r>
        <w:t>The argument for an independent governance chair is that it offers the strongest form of oversight. A chair who is also the CEO cannot provide effective oversight of how the CEO and the executive team manage the organisation</w:t>
      </w:r>
      <w:r w:rsidR="0068598E">
        <w:rPr>
          <w:spacing w:val="-24"/>
        </w:rPr>
        <w:t>.</w:t>
      </w:r>
      <w:r>
        <w:rPr>
          <w:w w:val="85"/>
        </w:rPr>
        <w:t xml:space="preserve"> </w:t>
      </w:r>
      <w:r>
        <w:t>For this reason, an independent chair aligns with the ASX Corporate Governance Council recommendations for good corporate governance of listed entities (ASX Corporate Governance Council 2019) and is the norm for most private and public sector boards in Australia</w:t>
      </w:r>
      <w:r w:rsidR="0068598E">
        <w:rPr>
          <w:spacing w:val="-18"/>
        </w:rPr>
        <w:t>.</w:t>
      </w:r>
      <w:r>
        <w:rPr>
          <w:w w:val="85"/>
        </w:rPr>
        <w:t xml:space="preserve"> </w:t>
      </w:r>
      <w:r>
        <w:t>Some central banks have an independent chair of their governance boards, notably the Bank of England and the Reserve Bank of New Zealand</w:t>
      </w:r>
      <w:r w:rsidR="0068598E">
        <w:rPr>
          <w:spacing w:val="-17"/>
        </w:rPr>
        <w:t>.</w:t>
      </w:r>
    </w:p>
    <w:p w14:paraId="5A8FCE4D" w14:textId="6EA4830D" w:rsidR="00D7043B" w:rsidRDefault="00D7043B" w:rsidP="00D7043B">
      <w:r>
        <w:t>The argument for the Governor to chair the Governance Board is that it ensures coherence between the Governance Board, Monetary Policy Board and Payments System Board as the same person chairs all 3</w:t>
      </w:r>
      <w:r w:rsidR="0068598E">
        <w:rPr>
          <w:spacing w:val="-19"/>
        </w:rPr>
        <w:t>.</w:t>
      </w:r>
      <w:r>
        <w:rPr>
          <w:w w:val="85"/>
        </w:rPr>
        <w:t xml:space="preserve"> </w:t>
      </w:r>
      <w:r>
        <w:t>There are instances of other central banks with governance boards that are chaired by the Governor, like the Bank of Canada and Norges Bank</w:t>
      </w:r>
      <w:r w:rsidR="0068598E">
        <w:rPr>
          <w:spacing w:val="-19"/>
        </w:rPr>
        <w:t>.</w:t>
      </w:r>
    </w:p>
    <w:p w14:paraId="0B9E7C62" w14:textId="1DA3075D" w:rsidR="00D7043B" w:rsidRDefault="00D7043B" w:rsidP="00D7043B">
      <w:r>
        <w:t>On</w:t>
      </w:r>
      <w:r>
        <w:rPr>
          <w:spacing w:val="-1"/>
        </w:rPr>
        <w:t xml:space="preserve"> </w:t>
      </w:r>
      <w:r>
        <w:t>balance,</w:t>
      </w:r>
      <w:r>
        <w:rPr>
          <w:spacing w:val="1"/>
        </w:rPr>
        <w:t xml:space="preserve"> </w:t>
      </w:r>
      <w:r>
        <w:t>the</w:t>
      </w:r>
      <w:r>
        <w:rPr>
          <w:spacing w:val="1"/>
        </w:rPr>
        <w:t xml:space="preserve"> </w:t>
      </w:r>
      <w:r>
        <w:t>Review</w:t>
      </w:r>
      <w:r>
        <w:rPr>
          <w:spacing w:val="1"/>
        </w:rPr>
        <w:t xml:space="preserve"> </w:t>
      </w:r>
      <w:r>
        <w:t>believes</w:t>
      </w:r>
      <w:r>
        <w:rPr>
          <w:spacing w:val="1"/>
        </w:rPr>
        <w:t xml:space="preserve"> </w:t>
      </w:r>
      <w:r>
        <w:t>that</w:t>
      </w:r>
      <w:r>
        <w:rPr>
          <w:spacing w:val="1"/>
        </w:rPr>
        <w:t xml:space="preserve"> </w:t>
      </w:r>
      <w:r>
        <w:t>an</w:t>
      </w:r>
      <w:r>
        <w:rPr>
          <w:spacing w:val="2"/>
        </w:rPr>
        <w:t xml:space="preserve"> </w:t>
      </w:r>
      <w:r>
        <w:t>independent</w:t>
      </w:r>
      <w:r>
        <w:rPr>
          <w:spacing w:val="1"/>
        </w:rPr>
        <w:t xml:space="preserve"> </w:t>
      </w:r>
      <w:r>
        <w:t>external</w:t>
      </w:r>
      <w:r>
        <w:rPr>
          <w:spacing w:val="1"/>
        </w:rPr>
        <w:t xml:space="preserve"> </w:t>
      </w:r>
      <w:r>
        <w:t>chair</w:t>
      </w:r>
      <w:r>
        <w:rPr>
          <w:spacing w:val="1"/>
        </w:rPr>
        <w:t xml:space="preserve"> </w:t>
      </w:r>
      <w:r>
        <w:t>provides</w:t>
      </w:r>
      <w:r>
        <w:rPr>
          <w:spacing w:val="1"/>
        </w:rPr>
        <w:t xml:space="preserve"> </w:t>
      </w:r>
      <w:r>
        <w:t>the</w:t>
      </w:r>
      <w:r>
        <w:rPr>
          <w:spacing w:val="1"/>
        </w:rPr>
        <w:t xml:space="preserve"> </w:t>
      </w:r>
      <w:r>
        <w:t>best</w:t>
      </w:r>
      <w:r>
        <w:rPr>
          <w:spacing w:val="1"/>
        </w:rPr>
        <w:t xml:space="preserve"> </w:t>
      </w:r>
      <w:r>
        <w:t>option</w:t>
      </w:r>
      <w:r>
        <w:rPr>
          <w:spacing w:val="2"/>
        </w:rPr>
        <w:t xml:space="preserve"> </w:t>
      </w:r>
      <w:r>
        <w:rPr>
          <w:spacing w:val="-5"/>
        </w:rPr>
        <w:t xml:space="preserve">for </w:t>
      </w:r>
      <w:r>
        <w:rPr>
          <w:color w:val="231F20"/>
        </w:rPr>
        <w:t>governance,</w:t>
      </w:r>
      <w:r>
        <w:rPr>
          <w:color w:val="231F20"/>
          <w:spacing w:val="-2"/>
        </w:rPr>
        <w:t xml:space="preserve"> </w:t>
      </w:r>
      <w:r>
        <w:rPr>
          <w:color w:val="231F20"/>
        </w:rPr>
        <w:t>subject to a clear delineation of the roles and responsibilities of the various</w:t>
      </w:r>
      <w:r>
        <w:rPr>
          <w:color w:val="231F20"/>
          <w:spacing w:val="1"/>
        </w:rPr>
        <w:t xml:space="preserve"> </w:t>
      </w:r>
      <w:r>
        <w:rPr>
          <w:color w:val="231F20"/>
          <w:spacing w:val="-2"/>
        </w:rPr>
        <w:t>boards.</w:t>
      </w:r>
    </w:p>
    <w:p w14:paraId="1EBECD61" w14:textId="01FCFE19" w:rsidR="00D7043B" w:rsidRDefault="00D7043B" w:rsidP="00D7043B">
      <w:r>
        <w:rPr>
          <w:color w:val="231F20"/>
        </w:rPr>
        <w:t>The Review recommends the Chief Operating Officer be a member of the Governance Board.</w:t>
      </w:r>
      <w:r>
        <w:rPr>
          <w:color w:val="231F20"/>
          <w:spacing w:val="40"/>
        </w:rPr>
        <w:t xml:space="preserve"> </w:t>
      </w:r>
      <w:r>
        <w:rPr>
          <w:color w:val="231F20"/>
        </w:rPr>
        <w:t>This position will be essential for providing advice to the Governance Board and implementing</w:t>
      </w:r>
      <w:r>
        <w:rPr>
          <w:color w:val="231F20"/>
          <w:spacing w:val="40"/>
        </w:rPr>
        <w:t xml:space="preserve"> </w:t>
      </w:r>
      <w:r>
        <w:rPr>
          <w:color w:val="231F20"/>
        </w:rPr>
        <w:t>the Governance Board’s decisions</w:t>
      </w:r>
      <w:r w:rsidR="0068598E">
        <w:rPr>
          <w:color w:val="231F20"/>
          <w:spacing w:val="-24"/>
        </w:rPr>
        <w:t>.</w:t>
      </w:r>
      <w:r>
        <w:rPr>
          <w:color w:val="231F20"/>
          <w:w w:val="85"/>
        </w:rPr>
        <w:t xml:space="preserve"> </w:t>
      </w:r>
      <w:r>
        <w:rPr>
          <w:color w:val="231F20"/>
        </w:rPr>
        <w:t>The Review recommends that the Deputy Governor sit on the Governance Board as an observer or as a voting member if deputising for the Governor in their absence</w:t>
      </w:r>
      <w:r w:rsidR="0068598E">
        <w:rPr>
          <w:color w:val="231F20"/>
          <w:spacing w:val="-22"/>
        </w:rPr>
        <w:t>.</w:t>
      </w:r>
      <w:r>
        <w:rPr>
          <w:color w:val="231F20"/>
          <w:w w:val="85"/>
        </w:rPr>
        <w:t xml:space="preserve"> </w:t>
      </w:r>
      <w:r>
        <w:rPr>
          <w:color w:val="231F20"/>
        </w:rPr>
        <w:t xml:space="preserve">This will ensure the Deputy Governor is informed of Governance Board discussions for </w:t>
      </w:r>
      <w:r>
        <w:rPr>
          <w:color w:val="231F20"/>
        </w:rPr>
        <w:lastRenderedPageBreak/>
        <w:t>contingency purposes, and for participation in strategic planning, while maintaining a significant majority of external members</w:t>
      </w:r>
      <w:r w:rsidR="0068598E">
        <w:rPr>
          <w:color w:val="231F20"/>
          <w:spacing w:val="-9"/>
        </w:rPr>
        <w:t>.</w:t>
      </w:r>
    </w:p>
    <w:p w14:paraId="4FBDBD6B" w14:textId="77777777" w:rsidR="006147C1" w:rsidRDefault="006147C1" w:rsidP="006147C1">
      <w:pPr>
        <w:pStyle w:val="Heading3"/>
      </w:pPr>
      <w:r>
        <w:t>Recommendation</w:t>
      </w:r>
      <w:r>
        <w:rPr>
          <w:spacing w:val="-12"/>
        </w:rPr>
        <w:t xml:space="preserve"> </w:t>
      </w:r>
      <w:r>
        <w:t>12.4:</w:t>
      </w:r>
      <w:r>
        <w:rPr>
          <w:spacing w:val="-12"/>
        </w:rPr>
        <w:t xml:space="preserve"> </w:t>
      </w:r>
      <w:r>
        <w:t>Adopt</w:t>
      </w:r>
      <w:r>
        <w:rPr>
          <w:spacing w:val="-12"/>
        </w:rPr>
        <w:t xml:space="preserve"> </w:t>
      </w:r>
      <w:r>
        <w:t>a</w:t>
      </w:r>
      <w:r>
        <w:rPr>
          <w:spacing w:val="-12"/>
        </w:rPr>
        <w:t xml:space="preserve"> </w:t>
      </w:r>
      <w:r>
        <w:t>more</w:t>
      </w:r>
      <w:r>
        <w:rPr>
          <w:spacing w:val="-12"/>
        </w:rPr>
        <w:t xml:space="preserve"> </w:t>
      </w:r>
      <w:r>
        <w:t>transparent</w:t>
      </w:r>
      <w:r>
        <w:rPr>
          <w:spacing w:val="-12"/>
        </w:rPr>
        <w:t xml:space="preserve"> </w:t>
      </w:r>
      <w:r>
        <w:t>and</w:t>
      </w:r>
      <w:r>
        <w:rPr>
          <w:spacing w:val="-12"/>
        </w:rPr>
        <w:t xml:space="preserve"> </w:t>
      </w:r>
      <w:r>
        <w:t>open</w:t>
      </w:r>
      <w:r>
        <w:rPr>
          <w:spacing w:val="-12"/>
        </w:rPr>
        <w:t xml:space="preserve"> </w:t>
      </w:r>
      <w:r>
        <w:t>appointments process that uses a skills matrix to assess potential candidates</w:t>
      </w:r>
    </w:p>
    <w:p w14:paraId="722A717C" w14:textId="77777777" w:rsidR="006147C1" w:rsidRDefault="006147C1" w:rsidP="006147C1">
      <w:pPr>
        <w:pStyle w:val="Heading4"/>
      </w:pPr>
      <w:r>
        <w:t>Appointments</w:t>
      </w:r>
      <w:r>
        <w:rPr>
          <w:spacing w:val="7"/>
        </w:rPr>
        <w:t xml:space="preserve"> </w:t>
      </w:r>
      <w:r>
        <w:rPr>
          <w:spacing w:val="-2"/>
        </w:rPr>
        <w:t>process</w:t>
      </w:r>
    </w:p>
    <w:p w14:paraId="6150924A" w14:textId="191C6B56" w:rsidR="006147C1" w:rsidRDefault="006147C1" w:rsidP="006147C1">
      <w:r>
        <w:t>In line with the recommendations for the Monetary Policy Board, the Review recommends the appointments of external Governance Board members should be transparent and open</w:t>
      </w:r>
      <w:r w:rsidR="0068598E">
        <w:rPr>
          <w:spacing w:val="-17"/>
        </w:rPr>
        <w:t>.</w:t>
      </w:r>
      <w:r>
        <w:rPr>
          <w:w w:val="85"/>
        </w:rPr>
        <w:t xml:space="preserve"> </w:t>
      </w:r>
      <w:r>
        <w:t>All external Governance Board positions should be publicly advertised for expressions of interest alongside selection criteria</w:t>
      </w:r>
      <w:r w:rsidR="0068598E">
        <w:rPr>
          <w:spacing w:val="-18"/>
        </w:rPr>
        <w:t>.</w:t>
      </w:r>
      <w:r>
        <w:rPr>
          <w:w w:val="85"/>
        </w:rPr>
        <w:t xml:space="preserve"> </w:t>
      </w:r>
      <w:r>
        <w:t>A panel comprising the Treasury Secretary, Governor and a third independent party (for example an independent external member, such as a former member of one of the Boards or another respected expert) should recommend a shortlist of suitable candidates to the Treasurer</w:t>
      </w:r>
      <w:r w:rsidR="0068598E">
        <w:rPr>
          <w:spacing w:val="-21"/>
        </w:rPr>
        <w:t>.</w:t>
      </w:r>
      <w:r>
        <w:t xml:space="preserve"> The panel can also include names of people on the shortlist who</w:t>
      </w:r>
      <w:r>
        <w:rPr>
          <w:spacing w:val="40"/>
        </w:rPr>
        <w:t xml:space="preserve"> </w:t>
      </w:r>
      <w:r>
        <w:t>it thinks clearly meet the selection criteria, independent of the expressions of interest process</w:t>
      </w:r>
      <w:r w:rsidR="0068598E">
        <w:rPr>
          <w:spacing w:val="-23"/>
        </w:rPr>
        <w:t>.</w:t>
      </w:r>
      <w:r>
        <w:t xml:space="preserve"> The Treasurer would make an appointment from this shortlist.</w:t>
      </w:r>
    </w:p>
    <w:p w14:paraId="6B08FE9E" w14:textId="72515C08" w:rsidR="006147C1" w:rsidRDefault="006147C1" w:rsidP="006147C1">
      <w:r>
        <w:t>As recommended for the Monetary Policy Board, appointments to the Governance Board should be</w:t>
      </w:r>
      <w:r>
        <w:rPr>
          <w:spacing w:val="18"/>
        </w:rPr>
        <w:t xml:space="preserve"> </w:t>
      </w:r>
      <w:r>
        <w:t>staggered</w:t>
      </w:r>
      <w:r>
        <w:rPr>
          <w:spacing w:val="18"/>
        </w:rPr>
        <w:t xml:space="preserve"> </w:t>
      </w:r>
      <w:r>
        <w:t>to</w:t>
      </w:r>
      <w:r>
        <w:rPr>
          <w:spacing w:val="18"/>
        </w:rPr>
        <w:t xml:space="preserve"> </w:t>
      </w:r>
      <w:r>
        <w:t>safeguard</w:t>
      </w:r>
      <w:r>
        <w:rPr>
          <w:spacing w:val="18"/>
        </w:rPr>
        <w:t xml:space="preserve"> </w:t>
      </w:r>
      <w:r>
        <w:t>against</w:t>
      </w:r>
      <w:r>
        <w:rPr>
          <w:spacing w:val="18"/>
        </w:rPr>
        <w:t xml:space="preserve"> </w:t>
      </w:r>
      <w:r>
        <w:t>groupthink</w:t>
      </w:r>
      <w:r>
        <w:rPr>
          <w:spacing w:val="18"/>
        </w:rPr>
        <w:t xml:space="preserve"> </w:t>
      </w:r>
      <w:r>
        <w:t>and</w:t>
      </w:r>
      <w:r>
        <w:rPr>
          <w:spacing w:val="18"/>
        </w:rPr>
        <w:t xml:space="preserve"> </w:t>
      </w:r>
      <w:r>
        <w:t>maintain</w:t>
      </w:r>
      <w:r>
        <w:rPr>
          <w:spacing w:val="18"/>
        </w:rPr>
        <w:t xml:space="preserve"> </w:t>
      </w:r>
      <w:r>
        <w:t>the</w:t>
      </w:r>
      <w:r>
        <w:rPr>
          <w:spacing w:val="18"/>
        </w:rPr>
        <w:t xml:space="preserve"> </w:t>
      </w:r>
      <w:r>
        <w:t>Board’s</w:t>
      </w:r>
      <w:r>
        <w:rPr>
          <w:spacing w:val="18"/>
        </w:rPr>
        <w:t xml:space="preserve"> </w:t>
      </w:r>
      <w:r>
        <w:t>institutional</w:t>
      </w:r>
      <w:r>
        <w:rPr>
          <w:spacing w:val="18"/>
        </w:rPr>
        <w:t xml:space="preserve"> </w:t>
      </w:r>
      <w:r>
        <w:t>memory (Gai 2023)</w:t>
      </w:r>
      <w:r w:rsidR="0068598E">
        <w:rPr>
          <w:spacing w:val="-20"/>
        </w:rPr>
        <w:t>.</w:t>
      </w:r>
      <w:r>
        <w:rPr>
          <w:w w:val="85"/>
        </w:rPr>
        <w:t xml:space="preserve"> </w:t>
      </w:r>
      <w:r>
        <w:t>Staggered appointments also guard against actual or perceived political interference because a Treasurer cannot replace the entire board within a single term of government</w:t>
      </w:r>
      <w:r w:rsidR="0068598E">
        <w:rPr>
          <w:spacing w:val="-20"/>
        </w:rPr>
        <w:t>.</w:t>
      </w:r>
      <w:r>
        <w:rPr>
          <w:w w:val="85"/>
        </w:rPr>
        <w:t xml:space="preserve"> </w:t>
      </w:r>
      <w:r>
        <w:t>The findings of the forthcoming Briggs review of the processes for public sector board appointments should be taken into consideration</w:t>
      </w:r>
      <w:r w:rsidR="0068598E">
        <w:rPr>
          <w:spacing w:val="-9"/>
        </w:rPr>
        <w:t>.</w:t>
      </w:r>
    </w:p>
    <w:p w14:paraId="14507F98" w14:textId="77777777" w:rsidR="006147C1" w:rsidRDefault="006147C1" w:rsidP="006147C1">
      <w:pPr>
        <w:pStyle w:val="Heading4"/>
      </w:pPr>
      <w:r>
        <w:t>Skills</w:t>
      </w:r>
      <w:r>
        <w:rPr>
          <w:spacing w:val="1"/>
        </w:rPr>
        <w:t xml:space="preserve"> </w:t>
      </w:r>
      <w:r>
        <w:rPr>
          <w:spacing w:val="-2"/>
        </w:rPr>
        <w:t>matrix</w:t>
      </w:r>
    </w:p>
    <w:p w14:paraId="6F3BB37F" w14:textId="7D9974F5" w:rsidR="006147C1" w:rsidRDefault="006147C1" w:rsidP="006147C1">
      <w:r>
        <w:t>A skills matrix should set out the skills, knowledge, experience and capabilities that are considered essential for the effectiveness of the Governance Board. As with the Monetary Policy Board, the matrix would be used to identify gaps and support the appointment, training and succession process</w:t>
      </w:r>
      <w:r w:rsidR="0068598E">
        <w:rPr>
          <w:spacing w:val="-25"/>
        </w:rPr>
        <w:t>.</w:t>
      </w:r>
    </w:p>
    <w:p w14:paraId="606201B3" w14:textId="4E0D1901" w:rsidR="006147C1" w:rsidRDefault="006147C1" w:rsidP="006147C1">
      <w:r>
        <w:t>The Review acknowledges the importance of different skill sets and backgrounds for the Governance Board</w:t>
      </w:r>
      <w:r w:rsidR="0068598E">
        <w:rPr>
          <w:spacing w:val="-17"/>
        </w:rPr>
        <w:t>.</w:t>
      </w:r>
      <w:r>
        <w:rPr>
          <w:w w:val="85"/>
        </w:rPr>
        <w:t xml:space="preserve"> </w:t>
      </w:r>
      <w:r>
        <w:t>Key skills may include risk management, technology, strategic planning and human resources. The skills matrix should be flexible and regularly reviewed to reflect changes in the operating environment. An example skills matrix is in Box 5.3.</w:t>
      </w:r>
    </w:p>
    <w:p w14:paraId="2AE825E4" w14:textId="75BC8962" w:rsidR="006147C1" w:rsidRDefault="006147C1" w:rsidP="006147C1">
      <w:r>
        <w:t>In the first instance, this skills matrix would be created through an agreement between the Treasurer and Governor as part of the implementation of the findings of this Review. In future, the Treasurer could approve changes to the skills matrix at the Governance Board’s recommendation</w:t>
      </w:r>
      <w:r w:rsidR="0068598E">
        <w:rPr>
          <w:spacing w:val="-21"/>
        </w:rPr>
        <w:t>.</w:t>
      </w:r>
      <w:r>
        <w:t xml:space="preserve"> Capability Reviews would provide an opportunity for the Governance Board to reassess the skills matrix to ensure members collectively continue to have the skills needed to meet future challenges (see Chapter 6).</w:t>
      </w:r>
    </w:p>
    <w:p w14:paraId="27026AF4" w14:textId="65536261" w:rsidR="006147C1" w:rsidRDefault="006147C1" w:rsidP="006147C1">
      <w:r>
        <w:t>While the skills matrix should be flexible and regularly reviewed, the Review recommends broad criteria for the Governance Board be included in the RBA Act to provide a safeguard against politicisation</w:t>
      </w:r>
      <w:r w:rsidR="0068598E">
        <w:rPr>
          <w:spacing w:val="-24"/>
        </w:rPr>
        <w:t>.</w:t>
      </w:r>
      <w:r>
        <w:rPr>
          <w:w w:val="85"/>
        </w:rPr>
        <w:t xml:space="preserve"> </w:t>
      </w:r>
      <w:r>
        <w:t>This is in line with the general direction taken in enabling legislation</w:t>
      </w:r>
      <w:r w:rsidR="0068598E">
        <w:rPr>
          <w:spacing w:val="-24"/>
        </w:rPr>
        <w:t>.</w:t>
      </w:r>
      <w:r>
        <w:rPr>
          <w:w w:val="85"/>
        </w:rPr>
        <w:t xml:space="preserve"> </w:t>
      </w:r>
      <w:r>
        <w:t xml:space="preserve">For example, the </w:t>
      </w:r>
      <w:r>
        <w:rPr>
          <w:i/>
        </w:rPr>
        <w:t xml:space="preserve">Australian Securities and Investments Commission Act 2001 </w:t>
      </w:r>
      <w:r>
        <w:t>states that nominations for appointments to the Australian Securities and Investments Commission can only be made if the person is</w:t>
      </w:r>
      <w:r>
        <w:rPr>
          <w:spacing w:val="40"/>
        </w:rPr>
        <w:t xml:space="preserve"> </w:t>
      </w:r>
      <w:r>
        <w:t>qualified for appointment by their knowledge of, or experience in: business; administration of companies; financial markets; financial products and financial services; law; economics; accounting.</w:t>
      </w: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520591" w14:paraId="0B1B3FBA" w14:textId="77777777" w:rsidTr="0059702D">
        <w:tc>
          <w:tcPr>
            <w:tcW w:w="5000" w:type="pct"/>
            <w:tcBorders>
              <w:top w:val="nil"/>
              <w:left w:val="nil"/>
              <w:bottom w:val="nil"/>
              <w:right w:val="nil"/>
            </w:tcBorders>
            <w:shd w:val="clear" w:color="auto" w:fill="F9EEDB" w:themeFill="accent6"/>
          </w:tcPr>
          <w:p w14:paraId="297DDA5E" w14:textId="77777777" w:rsidR="00CC4A9C" w:rsidRDefault="00CC4A9C" w:rsidP="0059702D">
            <w:pPr>
              <w:pStyle w:val="BoxHeading"/>
              <w:rPr>
                <w:color w:val="000000"/>
              </w:rPr>
            </w:pPr>
            <w:r>
              <w:lastRenderedPageBreak/>
              <w:t>Box</w:t>
            </w:r>
            <w:r>
              <w:rPr>
                <w:spacing w:val="1"/>
              </w:rPr>
              <w:t xml:space="preserve"> </w:t>
            </w:r>
            <w:r>
              <w:t>5.3:</w:t>
            </w:r>
            <w:r>
              <w:rPr>
                <w:spacing w:val="1"/>
              </w:rPr>
              <w:t xml:space="preserve"> </w:t>
            </w:r>
            <w:r>
              <w:t>Skills</w:t>
            </w:r>
            <w:r>
              <w:rPr>
                <w:spacing w:val="1"/>
              </w:rPr>
              <w:t xml:space="preserve"> </w:t>
            </w:r>
            <w:r>
              <w:t>matrix</w:t>
            </w:r>
            <w:r>
              <w:rPr>
                <w:spacing w:val="1"/>
              </w:rPr>
              <w:t xml:space="preserve"> </w:t>
            </w:r>
            <w:r>
              <w:t>for</w:t>
            </w:r>
            <w:r>
              <w:rPr>
                <w:spacing w:val="1"/>
              </w:rPr>
              <w:t xml:space="preserve"> </w:t>
            </w:r>
            <w:r>
              <w:t>the</w:t>
            </w:r>
            <w:r>
              <w:rPr>
                <w:spacing w:val="1"/>
              </w:rPr>
              <w:t xml:space="preserve"> </w:t>
            </w:r>
            <w:r>
              <w:t>Governance</w:t>
            </w:r>
            <w:r>
              <w:rPr>
                <w:spacing w:val="2"/>
              </w:rPr>
              <w:t xml:space="preserve"> </w:t>
            </w:r>
            <w:r>
              <w:rPr>
                <w:spacing w:val="-4"/>
              </w:rPr>
              <w:t>Board</w:t>
            </w:r>
          </w:p>
          <w:p w14:paraId="1486E1B0" w14:textId="430D7CD7" w:rsidR="0059702D" w:rsidRDefault="0059702D" w:rsidP="0059702D">
            <w:pPr>
              <w:pStyle w:val="BoxText"/>
            </w:pPr>
            <w:r>
              <w:t>The skills matrix should set out the skills, experience and capabilities that are considered essential</w:t>
            </w:r>
            <w:r>
              <w:rPr>
                <w:spacing w:val="-8"/>
              </w:rPr>
              <w:t xml:space="preserve"> </w:t>
            </w:r>
            <w:r>
              <w:t>for the Governance Board to perform as an accountable decision-making body</w:t>
            </w:r>
            <w:r w:rsidR="0068598E">
              <w:rPr>
                <w:spacing w:val="-12"/>
              </w:rPr>
              <w:t>.</w:t>
            </w:r>
            <w:r>
              <w:t xml:space="preserve"> Individual members would not be expected to have all attributes in the matrix, but rather to bring different skills in a way that complements other members.</w:t>
            </w:r>
          </w:p>
          <w:p w14:paraId="158CD68F" w14:textId="482D4A9D" w:rsidR="0059702D" w:rsidRDefault="0059702D" w:rsidP="0059702D">
            <w:pPr>
              <w:pStyle w:val="BoxText"/>
            </w:pPr>
            <w:r>
              <w:t>The following table is an example to make clear the direction of the Review’s recommendations but it is not prescriptive</w:t>
            </w:r>
            <w:r w:rsidR="0068598E">
              <w:rPr>
                <w:spacing w:val="-11"/>
              </w:rPr>
              <w:t>.</w:t>
            </w:r>
          </w:p>
          <w:p w14:paraId="1AE65D23" w14:textId="77777777" w:rsidR="0059702D" w:rsidRDefault="0059702D" w:rsidP="0059702D">
            <w:pPr>
              <w:pStyle w:val="BoxHeading"/>
            </w:pPr>
            <w:r>
              <w:t>Table 5.2 Example</w:t>
            </w:r>
            <w:r>
              <w:rPr>
                <w:spacing w:val="1"/>
              </w:rPr>
              <w:t xml:space="preserve"> </w:t>
            </w:r>
            <w:r>
              <w:t>Governance Board skills</w:t>
            </w:r>
            <w:r>
              <w:rPr>
                <w:spacing w:val="1"/>
              </w:rPr>
              <w:t xml:space="preserve"> </w:t>
            </w:r>
            <w:r>
              <w:rPr>
                <w:spacing w:val="-2"/>
              </w:rPr>
              <w:t>matrix</w:t>
            </w:r>
          </w:p>
          <w:tbl>
            <w:tblPr>
              <w:tblW w:w="0" w:type="auto"/>
              <w:jc w:val="center"/>
              <w:tblBorders>
                <w:top w:val="single" w:sz="2" w:space="0" w:color="7F859B"/>
                <w:left w:val="single" w:sz="2" w:space="0" w:color="7F859B"/>
                <w:bottom w:val="single" w:sz="2" w:space="0" w:color="7F859B"/>
                <w:right w:val="single" w:sz="2" w:space="0" w:color="7F859B"/>
                <w:insideH w:val="single" w:sz="2" w:space="0" w:color="7F859B"/>
                <w:insideV w:val="single" w:sz="2" w:space="0" w:color="7F859B"/>
              </w:tblBorders>
              <w:tblCellMar>
                <w:left w:w="0" w:type="dxa"/>
                <w:right w:w="0" w:type="dxa"/>
              </w:tblCellMar>
              <w:tblLook w:val="01E0" w:firstRow="1" w:lastRow="1" w:firstColumn="1" w:lastColumn="1" w:noHBand="0" w:noVBand="0"/>
            </w:tblPr>
            <w:tblGrid>
              <w:gridCol w:w="2146"/>
              <w:gridCol w:w="4536"/>
            </w:tblGrid>
            <w:tr w:rsidR="00520591" w14:paraId="73FB09A8" w14:textId="77777777" w:rsidTr="0059702D">
              <w:trPr>
                <w:trHeight w:val="346"/>
                <w:jc w:val="center"/>
              </w:trPr>
              <w:tc>
                <w:tcPr>
                  <w:tcW w:w="2146" w:type="dxa"/>
                  <w:tcBorders>
                    <w:top w:val="nil"/>
                    <w:left w:val="nil"/>
                    <w:right w:val="single" w:sz="2" w:space="0" w:color="1F4060"/>
                  </w:tcBorders>
                  <w:shd w:val="clear" w:color="auto" w:fill="auto"/>
                </w:tcPr>
                <w:p w14:paraId="4540ABDB" w14:textId="0337D52A" w:rsidR="00520591" w:rsidRPr="0059702D" w:rsidRDefault="00520591" w:rsidP="0059702D">
                  <w:pPr>
                    <w:pStyle w:val="BoxText"/>
                    <w:ind w:left="78"/>
                    <w:rPr>
                      <w:b/>
                      <w:bCs/>
                    </w:rPr>
                  </w:pPr>
                  <w:r w:rsidRPr="0059702D">
                    <w:rPr>
                      <w:b/>
                      <w:bCs/>
                    </w:rPr>
                    <w:t>Skills and</w:t>
                  </w:r>
                  <w:r w:rsidRPr="0059702D">
                    <w:rPr>
                      <w:b/>
                      <w:bCs/>
                      <w:spacing w:val="-1"/>
                    </w:rPr>
                    <w:t xml:space="preserve"> </w:t>
                  </w:r>
                  <w:r w:rsidRPr="0059702D">
                    <w:rPr>
                      <w:b/>
                      <w:bCs/>
                    </w:rPr>
                    <w:t>experience</w:t>
                  </w:r>
                  <w:r w:rsidR="0059702D">
                    <w:rPr>
                      <w:b/>
                      <w:bCs/>
                    </w:rPr>
                    <w:t xml:space="preserve">  </w:t>
                  </w:r>
                </w:p>
              </w:tc>
              <w:tc>
                <w:tcPr>
                  <w:tcW w:w="4536" w:type="dxa"/>
                  <w:tcBorders>
                    <w:top w:val="nil"/>
                    <w:left w:val="single" w:sz="2" w:space="0" w:color="1F4060"/>
                    <w:right w:val="nil"/>
                  </w:tcBorders>
                  <w:shd w:val="clear" w:color="auto" w:fill="auto"/>
                </w:tcPr>
                <w:p w14:paraId="5D0DC2E7" w14:textId="77777777" w:rsidR="00520591" w:rsidRPr="0059702D" w:rsidRDefault="00520591" w:rsidP="0059702D">
                  <w:pPr>
                    <w:pStyle w:val="BoxText"/>
                    <w:ind w:left="203"/>
                    <w:rPr>
                      <w:b/>
                      <w:bCs/>
                    </w:rPr>
                  </w:pPr>
                  <w:r w:rsidRPr="0059702D">
                    <w:rPr>
                      <w:b/>
                      <w:bCs/>
                    </w:rPr>
                    <w:t>Description</w:t>
                  </w:r>
                </w:p>
              </w:tc>
            </w:tr>
            <w:tr w:rsidR="00520591" w14:paraId="1DF454F2" w14:textId="77777777" w:rsidTr="0059702D">
              <w:trPr>
                <w:trHeight w:val="657"/>
                <w:jc w:val="center"/>
              </w:trPr>
              <w:tc>
                <w:tcPr>
                  <w:tcW w:w="2146" w:type="dxa"/>
                  <w:tcBorders>
                    <w:left w:val="nil"/>
                    <w:right w:val="single" w:sz="2" w:space="0" w:color="1F4060"/>
                  </w:tcBorders>
                  <w:shd w:val="clear" w:color="auto" w:fill="auto"/>
                </w:tcPr>
                <w:p w14:paraId="00AE67E6" w14:textId="77777777" w:rsidR="00520591" w:rsidRPr="0059702D" w:rsidRDefault="00520591" w:rsidP="0059702D">
                  <w:pPr>
                    <w:pStyle w:val="BoxText"/>
                    <w:ind w:left="78"/>
                    <w:rPr>
                      <w:rFonts w:ascii="Gilroy Bold"/>
                      <w:b/>
                      <w:bCs/>
                    </w:rPr>
                  </w:pPr>
                  <w:r w:rsidRPr="0059702D">
                    <w:rPr>
                      <w:rFonts w:ascii="Gilroy Bold"/>
                      <w:b/>
                      <w:bCs/>
                    </w:rPr>
                    <w:t>Leadership</w:t>
                  </w:r>
                </w:p>
              </w:tc>
              <w:tc>
                <w:tcPr>
                  <w:tcW w:w="4536" w:type="dxa"/>
                  <w:tcBorders>
                    <w:left w:val="single" w:sz="2" w:space="0" w:color="1F4060"/>
                    <w:right w:val="nil"/>
                  </w:tcBorders>
                  <w:shd w:val="clear" w:color="auto" w:fill="auto"/>
                </w:tcPr>
                <w:p w14:paraId="3DD48B64" w14:textId="2EB99E57" w:rsidR="00520591" w:rsidRDefault="00520591" w:rsidP="0059702D">
                  <w:pPr>
                    <w:pStyle w:val="BoxText"/>
                    <w:ind w:left="203"/>
                  </w:pPr>
                  <w:r>
                    <w:t>Experience</w:t>
                  </w:r>
                  <w:r>
                    <w:rPr>
                      <w:spacing w:val="-3"/>
                    </w:rPr>
                    <w:t xml:space="preserve"> </w:t>
                  </w:r>
                  <w:r>
                    <w:t>leading</w:t>
                  </w:r>
                  <w:r>
                    <w:rPr>
                      <w:spacing w:val="-3"/>
                    </w:rPr>
                    <w:t xml:space="preserve"> </w:t>
                  </w:r>
                  <w:r>
                    <w:t>large</w:t>
                  </w:r>
                  <w:r>
                    <w:rPr>
                      <w:spacing w:val="-3"/>
                    </w:rPr>
                    <w:t xml:space="preserve"> </w:t>
                  </w:r>
                  <w:r>
                    <w:t>and</w:t>
                  </w:r>
                  <w:r>
                    <w:rPr>
                      <w:spacing w:val="-3"/>
                    </w:rPr>
                    <w:t xml:space="preserve"> </w:t>
                  </w:r>
                  <w:r>
                    <w:t>complex</w:t>
                  </w:r>
                  <w:r>
                    <w:rPr>
                      <w:spacing w:val="-3"/>
                    </w:rPr>
                    <w:t xml:space="preserve"> </w:t>
                  </w:r>
                  <w:r>
                    <w:t>organisations</w:t>
                  </w:r>
                  <w:r>
                    <w:rPr>
                      <w:spacing w:val="-3"/>
                    </w:rPr>
                    <w:t xml:space="preserve"> </w:t>
                  </w:r>
                  <w:r>
                    <w:t>in</w:t>
                  </w:r>
                  <w:r>
                    <w:rPr>
                      <w:spacing w:val="-3"/>
                    </w:rPr>
                    <w:t xml:space="preserve"> </w:t>
                  </w:r>
                  <w:r>
                    <w:t>the private, public or non-profit sectors, or in academia</w:t>
                  </w:r>
                  <w:r w:rsidR="0068598E">
                    <w:rPr>
                      <w:spacing w:val="-10"/>
                    </w:rPr>
                    <w:t>.</w:t>
                  </w:r>
                </w:p>
              </w:tc>
            </w:tr>
            <w:tr w:rsidR="00520591" w14:paraId="631DD61A" w14:textId="77777777" w:rsidTr="0059702D">
              <w:trPr>
                <w:trHeight w:val="657"/>
                <w:jc w:val="center"/>
              </w:trPr>
              <w:tc>
                <w:tcPr>
                  <w:tcW w:w="2146" w:type="dxa"/>
                  <w:tcBorders>
                    <w:left w:val="nil"/>
                    <w:right w:val="single" w:sz="2" w:space="0" w:color="1F4060"/>
                  </w:tcBorders>
                  <w:shd w:val="clear" w:color="auto" w:fill="auto"/>
                </w:tcPr>
                <w:p w14:paraId="416B9025" w14:textId="77777777" w:rsidR="00520591" w:rsidRPr="0059702D" w:rsidRDefault="00520591" w:rsidP="0059702D">
                  <w:pPr>
                    <w:pStyle w:val="BoxText"/>
                    <w:ind w:left="78"/>
                    <w:rPr>
                      <w:rFonts w:ascii="Gilroy Bold"/>
                      <w:b/>
                      <w:bCs/>
                    </w:rPr>
                  </w:pPr>
                  <w:r w:rsidRPr="0059702D">
                    <w:rPr>
                      <w:rFonts w:ascii="Gilroy Bold"/>
                      <w:b/>
                      <w:bCs/>
                    </w:rPr>
                    <w:t>Technology</w:t>
                  </w:r>
                </w:p>
              </w:tc>
              <w:tc>
                <w:tcPr>
                  <w:tcW w:w="4536" w:type="dxa"/>
                  <w:tcBorders>
                    <w:left w:val="single" w:sz="2" w:space="0" w:color="1F4060"/>
                    <w:right w:val="nil"/>
                  </w:tcBorders>
                  <w:shd w:val="clear" w:color="auto" w:fill="auto"/>
                </w:tcPr>
                <w:p w14:paraId="5685B92D" w14:textId="66F667F2" w:rsidR="00520591" w:rsidRDefault="00520591" w:rsidP="0059702D">
                  <w:pPr>
                    <w:pStyle w:val="BoxText"/>
                    <w:ind w:left="203"/>
                  </w:pPr>
                  <w:r>
                    <w:t>Experience in technology strategies, project management and innovation</w:t>
                  </w:r>
                  <w:r w:rsidR="0068598E">
                    <w:rPr>
                      <w:spacing w:val="-23"/>
                    </w:rPr>
                    <w:t>.</w:t>
                  </w:r>
                </w:p>
              </w:tc>
            </w:tr>
            <w:tr w:rsidR="00520591" w14:paraId="751905AA" w14:textId="77777777" w:rsidTr="0059702D">
              <w:trPr>
                <w:trHeight w:val="657"/>
                <w:jc w:val="center"/>
              </w:trPr>
              <w:tc>
                <w:tcPr>
                  <w:tcW w:w="2146" w:type="dxa"/>
                  <w:tcBorders>
                    <w:left w:val="nil"/>
                    <w:right w:val="single" w:sz="2" w:space="0" w:color="1F4060"/>
                  </w:tcBorders>
                  <w:shd w:val="clear" w:color="auto" w:fill="auto"/>
                </w:tcPr>
                <w:p w14:paraId="0AAB8CB9" w14:textId="77777777" w:rsidR="00520591" w:rsidRPr="0059702D" w:rsidRDefault="00520591" w:rsidP="0059702D">
                  <w:pPr>
                    <w:pStyle w:val="BoxText"/>
                    <w:ind w:left="78"/>
                    <w:rPr>
                      <w:rFonts w:ascii="Gilroy Bold"/>
                      <w:b/>
                      <w:bCs/>
                    </w:rPr>
                  </w:pPr>
                  <w:r w:rsidRPr="0059702D">
                    <w:rPr>
                      <w:rFonts w:ascii="Gilroy Bold"/>
                      <w:b/>
                      <w:bCs/>
                    </w:rPr>
                    <w:t>Risk management</w:t>
                  </w:r>
                </w:p>
              </w:tc>
              <w:tc>
                <w:tcPr>
                  <w:tcW w:w="4536" w:type="dxa"/>
                  <w:tcBorders>
                    <w:left w:val="single" w:sz="2" w:space="0" w:color="1F4060"/>
                    <w:right w:val="nil"/>
                  </w:tcBorders>
                  <w:shd w:val="clear" w:color="auto" w:fill="auto"/>
                </w:tcPr>
                <w:p w14:paraId="7242508C" w14:textId="63FBC150" w:rsidR="00520591" w:rsidRDefault="00520591" w:rsidP="0059702D">
                  <w:pPr>
                    <w:pStyle w:val="BoxText"/>
                    <w:ind w:left="203"/>
                  </w:pPr>
                  <w:r>
                    <w:t>Experience in identifying, assessing and managing different types of enterprise risks</w:t>
                  </w:r>
                  <w:r w:rsidR="0068598E">
                    <w:rPr>
                      <w:spacing w:val="-9"/>
                    </w:rPr>
                    <w:t>.</w:t>
                  </w:r>
                </w:p>
              </w:tc>
            </w:tr>
            <w:tr w:rsidR="00520591" w14:paraId="0F51AE14" w14:textId="77777777" w:rsidTr="0059702D">
              <w:trPr>
                <w:trHeight w:val="857"/>
                <w:jc w:val="center"/>
              </w:trPr>
              <w:tc>
                <w:tcPr>
                  <w:tcW w:w="2146" w:type="dxa"/>
                  <w:tcBorders>
                    <w:left w:val="nil"/>
                    <w:right w:val="single" w:sz="2" w:space="0" w:color="1F4060"/>
                  </w:tcBorders>
                  <w:shd w:val="clear" w:color="auto" w:fill="auto"/>
                </w:tcPr>
                <w:p w14:paraId="5BFB3FDF" w14:textId="77777777" w:rsidR="00520591" w:rsidRPr="0059702D" w:rsidRDefault="00520591" w:rsidP="0059702D">
                  <w:pPr>
                    <w:pStyle w:val="BoxText"/>
                    <w:ind w:left="78"/>
                    <w:rPr>
                      <w:rFonts w:ascii="Gilroy Bold"/>
                      <w:b/>
                      <w:bCs/>
                    </w:rPr>
                  </w:pPr>
                  <w:r w:rsidRPr="0059702D">
                    <w:rPr>
                      <w:rFonts w:ascii="Gilroy Bold"/>
                      <w:b/>
                      <w:bCs/>
                    </w:rPr>
                    <w:t>Strategic</w:t>
                  </w:r>
                  <w:r w:rsidRPr="0059702D">
                    <w:rPr>
                      <w:rFonts w:ascii="Gilroy Bold"/>
                      <w:b/>
                      <w:bCs/>
                      <w:spacing w:val="-5"/>
                    </w:rPr>
                    <w:t xml:space="preserve"> </w:t>
                  </w:r>
                  <w:r w:rsidRPr="0059702D">
                    <w:rPr>
                      <w:rFonts w:ascii="Gilroy Bold"/>
                      <w:b/>
                      <w:bCs/>
                    </w:rPr>
                    <w:t>perspective</w:t>
                  </w:r>
                </w:p>
              </w:tc>
              <w:tc>
                <w:tcPr>
                  <w:tcW w:w="4536" w:type="dxa"/>
                  <w:tcBorders>
                    <w:left w:val="single" w:sz="2" w:space="0" w:color="1F4060"/>
                    <w:right w:val="nil"/>
                  </w:tcBorders>
                  <w:shd w:val="clear" w:color="auto" w:fill="auto"/>
                </w:tcPr>
                <w:p w14:paraId="50CE2441" w14:textId="0420088E" w:rsidR="00520591" w:rsidRDefault="00520591" w:rsidP="0059702D">
                  <w:pPr>
                    <w:pStyle w:val="BoxText"/>
                    <w:ind w:left="203"/>
                  </w:pPr>
                  <w:r>
                    <w:t>Demonstrated ability to decide and deliver on complex</w:t>
                  </w:r>
                  <w:r>
                    <w:rPr>
                      <w:spacing w:val="80"/>
                    </w:rPr>
                    <w:t xml:space="preserve"> </w:t>
                  </w:r>
                  <w:r>
                    <w:t>plans under conditions of heightened uncertainty, anticipate emerging issues, and balance risks</w:t>
                  </w:r>
                  <w:r w:rsidR="0068598E">
                    <w:rPr>
                      <w:spacing w:val="-8"/>
                    </w:rPr>
                    <w:t>.</w:t>
                  </w:r>
                </w:p>
              </w:tc>
            </w:tr>
            <w:tr w:rsidR="00520591" w14:paraId="24C32BF7" w14:textId="77777777" w:rsidTr="0059702D">
              <w:trPr>
                <w:trHeight w:val="657"/>
                <w:jc w:val="center"/>
              </w:trPr>
              <w:tc>
                <w:tcPr>
                  <w:tcW w:w="2146" w:type="dxa"/>
                  <w:tcBorders>
                    <w:left w:val="nil"/>
                    <w:right w:val="single" w:sz="2" w:space="0" w:color="1F4060"/>
                  </w:tcBorders>
                  <w:shd w:val="clear" w:color="auto" w:fill="auto"/>
                </w:tcPr>
                <w:p w14:paraId="4B8FEE49" w14:textId="77777777" w:rsidR="00520591" w:rsidRPr="0059702D" w:rsidRDefault="00520591" w:rsidP="0059702D">
                  <w:pPr>
                    <w:pStyle w:val="BoxText"/>
                    <w:ind w:left="78"/>
                    <w:rPr>
                      <w:rFonts w:ascii="Gilroy Bold"/>
                      <w:b/>
                      <w:bCs/>
                    </w:rPr>
                  </w:pPr>
                  <w:r w:rsidRPr="0059702D">
                    <w:rPr>
                      <w:rFonts w:ascii="Gilroy Bold"/>
                      <w:b/>
                      <w:bCs/>
                    </w:rPr>
                    <w:t>Human</w:t>
                  </w:r>
                  <w:r w:rsidRPr="0059702D">
                    <w:rPr>
                      <w:rFonts w:ascii="Gilroy Bold"/>
                      <w:b/>
                      <w:bCs/>
                      <w:spacing w:val="1"/>
                    </w:rPr>
                    <w:t xml:space="preserve"> </w:t>
                  </w:r>
                  <w:r w:rsidRPr="0059702D">
                    <w:rPr>
                      <w:rFonts w:ascii="Gilroy Bold"/>
                      <w:b/>
                      <w:bCs/>
                    </w:rPr>
                    <w:t>resources</w:t>
                  </w:r>
                </w:p>
              </w:tc>
              <w:tc>
                <w:tcPr>
                  <w:tcW w:w="4536" w:type="dxa"/>
                  <w:tcBorders>
                    <w:left w:val="single" w:sz="2" w:space="0" w:color="1F4060"/>
                    <w:right w:val="nil"/>
                  </w:tcBorders>
                  <w:shd w:val="clear" w:color="auto" w:fill="auto"/>
                </w:tcPr>
                <w:p w14:paraId="6BB5491F" w14:textId="5B41FF4C" w:rsidR="00520591" w:rsidRDefault="00520591" w:rsidP="0059702D">
                  <w:pPr>
                    <w:pStyle w:val="BoxText"/>
                    <w:ind w:left="203"/>
                  </w:pPr>
                  <w:r>
                    <w:t>Demonstrated understanding of workforce planning, remuneration agreements and succession planning</w:t>
                  </w:r>
                  <w:r w:rsidR="0068598E">
                    <w:rPr>
                      <w:spacing w:val="-17"/>
                    </w:rPr>
                    <w:t>.</w:t>
                  </w:r>
                </w:p>
              </w:tc>
            </w:tr>
            <w:tr w:rsidR="00520591" w14:paraId="4B7BB605" w14:textId="77777777" w:rsidTr="0073134A">
              <w:trPr>
                <w:trHeight w:val="660"/>
                <w:jc w:val="center"/>
              </w:trPr>
              <w:tc>
                <w:tcPr>
                  <w:tcW w:w="2146" w:type="dxa"/>
                  <w:tcBorders>
                    <w:left w:val="nil"/>
                    <w:right w:val="single" w:sz="2" w:space="0" w:color="1F4060"/>
                  </w:tcBorders>
                  <w:shd w:val="clear" w:color="auto" w:fill="auto"/>
                </w:tcPr>
                <w:p w14:paraId="6E7A6663" w14:textId="77777777" w:rsidR="00520591" w:rsidRPr="0059702D" w:rsidRDefault="00520591" w:rsidP="0059702D">
                  <w:pPr>
                    <w:pStyle w:val="BoxText"/>
                    <w:ind w:left="78"/>
                    <w:rPr>
                      <w:rFonts w:ascii="Gilroy Bold"/>
                      <w:b/>
                      <w:bCs/>
                    </w:rPr>
                  </w:pPr>
                  <w:r w:rsidRPr="0059702D">
                    <w:rPr>
                      <w:rFonts w:ascii="Gilroy Bold"/>
                      <w:b/>
                      <w:bCs/>
                    </w:rPr>
                    <w:t>Finance</w:t>
                  </w:r>
                </w:p>
              </w:tc>
              <w:tc>
                <w:tcPr>
                  <w:tcW w:w="4536" w:type="dxa"/>
                  <w:tcBorders>
                    <w:left w:val="single" w:sz="2" w:space="0" w:color="1F4060"/>
                    <w:right w:val="nil"/>
                  </w:tcBorders>
                  <w:shd w:val="clear" w:color="auto" w:fill="auto"/>
                </w:tcPr>
                <w:p w14:paraId="68B6E4FD" w14:textId="2CC9708E" w:rsidR="00520591" w:rsidRDefault="00520591" w:rsidP="0059702D">
                  <w:pPr>
                    <w:pStyle w:val="BoxText"/>
                    <w:ind w:left="203"/>
                  </w:pPr>
                  <w:r>
                    <w:t>Proficiency in financial accounting and reporting, capital management and/or actuarial experience</w:t>
                  </w:r>
                  <w:r w:rsidR="0068598E">
                    <w:rPr>
                      <w:spacing w:val="-9"/>
                    </w:rPr>
                    <w:t>.</w:t>
                  </w:r>
                </w:p>
              </w:tc>
            </w:tr>
          </w:tbl>
          <w:p w14:paraId="4906208B" w14:textId="76C3F0FA" w:rsidR="00520591" w:rsidRPr="0073134A" w:rsidRDefault="0073134A" w:rsidP="0073134A">
            <w:pPr>
              <w:pStyle w:val="BoxText"/>
            </w:pPr>
            <w:r>
              <w:t>The</w:t>
            </w:r>
            <w:r>
              <w:rPr>
                <w:spacing w:val="1"/>
              </w:rPr>
              <w:t xml:space="preserve"> </w:t>
            </w:r>
            <w:r>
              <w:t>table</w:t>
            </w:r>
            <w:r>
              <w:rPr>
                <w:spacing w:val="1"/>
              </w:rPr>
              <w:t xml:space="preserve"> </w:t>
            </w:r>
            <w:r>
              <w:t>of</w:t>
            </w:r>
            <w:r>
              <w:rPr>
                <w:spacing w:val="1"/>
              </w:rPr>
              <w:t xml:space="preserve"> </w:t>
            </w:r>
            <w:r>
              <w:t>appropriate</w:t>
            </w:r>
            <w:r>
              <w:rPr>
                <w:spacing w:val="1"/>
              </w:rPr>
              <w:t xml:space="preserve"> </w:t>
            </w:r>
            <w:r>
              <w:t>skills</w:t>
            </w:r>
            <w:r>
              <w:rPr>
                <w:spacing w:val="1"/>
              </w:rPr>
              <w:t xml:space="preserve"> </w:t>
            </w:r>
            <w:r>
              <w:t>for</w:t>
            </w:r>
            <w:r>
              <w:rPr>
                <w:spacing w:val="1"/>
              </w:rPr>
              <w:t xml:space="preserve"> </w:t>
            </w:r>
            <w:r>
              <w:t>the</w:t>
            </w:r>
            <w:r>
              <w:rPr>
                <w:spacing w:val="1"/>
              </w:rPr>
              <w:t xml:space="preserve"> </w:t>
            </w:r>
            <w:r>
              <w:t>Monetary</w:t>
            </w:r>
            <w:r>
              <w:rPr>
                <w:spacing w:val="1"/>
              </w:rPr>
              <w:t xml:space="preserve"> </w:t>
            </w:r>
            <w:r>
              <w:t>Policy</w:t>
            </w:r>
            <w:r>
              <w:rPr>
                <w:spacing w:val="1"/>
              </w:rPr>
              <w:t xml:space="preserve"> </w:t>
            </w:r>
            <w:r>
              <w:t>Board</w:t>
            </w:r>
            <w:r>
              <w:rPr>
                <w:spacing w:val="1"/>
              </w:rPr>
              <w:t xml:space="preserve"> </w:t>
            </w:r>
            <w:r>
              <w:t>can</w:t>
            </w:r>
            <w:r>
              <w:rPr>
                <w:spacing w:val="2"/>
              </w:rPr>
              <w:t xml:space="preserve"> </w:t>
            </w:r>
            <w:r>
              <w:t>be</w:t>
            </w:r>
            <w:r>
              <w:rPr>
                <w:spacing w:val="1"/>
              </w:rPr>
              <w:t xml:space="preserve"> </w:t>
            </w:r>
            <w:r>
              <w:t>found</w:t>
            </w:r>
            <w:r>
              <w:rPr>
                <w:spacing w:val="1"/>
              </w:rPr>
              <w:t xml:space="preserve"> </w:t>
            </w:r>
            <w:r>
              <w:t>in</w:t>
            </w:r>
            <w:r>
              <w:rPr>
                <w:spacing w:val="1"/>
              </w:rPr>
              <w:t xml:space="preserve"> </w:t>
            </w:r>
            <w:r>
              <w:t>Chapter</w:t>
            </w:r>
            <w:r>
              <w:rPr>
                <w:spacing w:val="1"/>
              </w:rPr>
              <w:t xml:space="preserve"> </w:t>
            </w:r>
            <w:r>
              <w:t>3</w:t>
            </w:r>
            <w:r w:rsidR="0068598E">
              <w:rPr>
                <w:spacing w:val="-23"/>
              </w:rPr>
              <w:t>.</w:t>
            </w:r>
          </w:p>
        </w:tc>
      </w:tr>
    </w:tbl>
    <w:p w14:paraId="38386A1B" w14:textId="4EC9590B" w:rsidR="00322BDD" w:rsidRPr="00CA69DF" w:rsidRDefault="00322BDD" w:rsidP="00CA69DF">
      <w:pPr>
        <w:pStyle w:val="Heading3"/>
      </w:pPr>
      <w:r w:rsidRPr="00CA69DF">
        <w:t>Recommendation 12.5: Appoint members for 5-year terms with the flexibility of a one-year reappointment</w:t>
      </w:r>
    </w:p>
    <w:p w14:paraId="53107A43" w14:textId="51DB47BA" w:rsidR="00322BDD" w:rsidRDefault="00322BDD" w:rsidP="00322BDD">
      <w:r>
        <w:t>The</w:t>
      </w:r>
      <w:r>
        <w:rPr>
          <w:spacing w:val="-1"/>
        </w:rPr>
        <w:t xml:space="preserve"> </w:t>
      </w:r>
      <w:r>
        <w:t>Review</w:t>
      </w:r>
      <w:r>
        <w:rPr>
          <w:spacing w:val="1"/>
        </w:rPr>
        <w:t xml:space="preserve"> </w:t>
      </w:r>
      <w:r>
        <w:t>recommends</w:t>
      </w:r>
      <w:r>
        <w:rPr>
          <w:spacing w:val="2"/>
        </w:rPr>
        <w:t xml:space="preserve"> </w:t>
      </w:r>
      <w:r>
        <w:t>Governance</w:t>
      </w:r>
      <w:r>
        <w:rPr>
          <w:spacing w:val="1"/>
        </w:rPr>
        <w:t xml:space="preserve"> </w:t>
      </w:r>
      <w:r>
        <w:t>Board</w:t>
      </w:r>
      <w:r>
        <w:rPr>
          <w:spacing w:val="1"/>
        </w:rPr>
        <w:t xml:space="preserve"> </w:t>
      </w:r>
      <w:r>
        <w:t>members</w:t>
      </w:r>
      <w:r>
        <w:rPr>
          <w:spacing w:val="2"/>
        </w:rPr>
        <w:t xml:space="preserve"> </w:t>
      </w:r>
      <w:r>
        <w:t>be</w:t>
      </w:r>
      <w:r>
        <w:rPr>
          <w:spacing w:val="1"/>
        </w:rPr>
        <w:t xml:space="preserve"> </w:t>
      </w:r>
      <w:r>
        <w:t>appointed</w:t>
      </w:r>
      <w:r>
        <w:rPr>
          <w:spacing w:val="1"/>
        </w:rPr>
        <w:t xml:space="preserve"> </w:t>
      </w:r>
      <w:r>
        <w:t>for</w:t>
      </w:r>
      <w:r>
        <w:rPr>
          <w:spacing w:val="2"/>
        </w:rPr>
        <w:t xml:space="preserve"> </w:t>
      </w:r>
      <w:r>
        <w:t>5-year</w:t>
      </w:r>
      <w:r>
        <w:rPr>
          <w:spacing w:val="1"/>
        </w:rPr>
        <w:t xml:space="preserve"> </w:t>
      </w:r>
      <w:r>
        <w:t>terms,</w:t>
      </w:r>
      <w:r>
        <w:rPr>
          <w:spacing w:val="2"/>
        </w:rPr>
        <w:t xml:space="preserve"> </w:t>
      </w:r>
      <w:r>
        <w:rPr>
          <w:spacing w:val="-4"/>
        </w:rPr>
        <w:t xml:space="preserve">with </w:t>
      </w:r>
      <w:r>
        <w:rPr>
          <w:color w:val="231F20"/>
        </w:rPr>
        <w:t>a maximum of one reappointment of up to 1 year</w:t>
      </w:r>
      <w:r w:rsidR="0068598E">
        <w:rPr>
          <w:color w:val="231F20"/>
          <w:spacing w:val="-20"/>
        </w:rPr>
        <w:t>.</w:t>
      </w:r>
      <w:r>
        <w:rPr>
          <w:color w:val="231F20"/>
          <w:w w:val="85"/>
        </w:rPr>
        <w:t xml:space="preserve"> </w:t>
      </w:r>
      <w:r>
        <w:rPr>
          <w:color w:val="231F20"/>
        </w:rPr>
        <w:t>This recommendation corresponds to the recommendation and rationale for the Monetary Policy Board members set out in Chapter 3. Terms of 5 years provide members with enough time to ‘learn the ropes’ and make a substantive contribution, while the option of an additional year affords flexibility to ensure appointments are appropriately staggered</w:t>
      </w:r>
      <w:r w:rsidR="0068598E">
        <w:rPr>
          <w:color w:val="231F20"/>
          <w:spacing w:val="-17"/>
        </w:rPr>
        <w:t>.</w:t>
      </w:r>
    </w:p>
    <w:p w14:paraId="2E8961F9" w14:textId="2452B492" w:rsidR="00322BDD" w:rsidRPr="00322BDD" w:rsidRDefault="00322BDD" w:rsidP="00322BDD">
      <w:r>
        <w:rPr>
          <w:color w:val="231F20"/>
        </w:rPr>
        <w:lastRenderedPageBreak/>
        <w:t>The</w:t>
      </w:r>
      <w:r>
        <w:rPr>
          <w:color w:val="231F20"/>
          <w:spacing w:val="-2"/>
        </w:rPr>
        <w:t xml:space="preserve"> </w:t>
      </w:r>
      <w:r>
        <w:rPr>
          <w:color w:val="231F20"/>
        </w:rPr>
        <w:t>remuneration</w:t>
      </w:r>
      <w:r>
        <w:rPr>
          <w:color w:val="231F20"/>
          <w:spacing w:val="1"/>
        </w:rPr>
        <w:t xml:space="preserve"> </w:t>
      </w:r>
      <w:r>
        <w:rPr>
          <w:color w:val="231F20"/>
        </w:rPr>
        <w:t>of</w:t>
      </w:r>
      <w:r>
        <w:rPr>
          <w:color w:val="231F20"/>
          <w:spacing w:val="1"/>
        </w:rPr>
        <w:t xml:space="preserve"> </w:t>
      </w:r>
      <w:r>
        <w:rPr>
          <w:color w:val="231F20"/>
        </w:rPr>
        <w:t>Governance Board</w:t>
      </w:r>
      <w:r>
        <w:rPr>
          <w:color w:val="231F20"/>
          <w:spacing w:val="1"/>
        </w:rPr>
        <w:t xml:space="preserve"> </w:t>
      </w:r>
      <w:r>
        <w:rPr>
          <w:color w:val="231F20"/>
        </w:rPr>
        <w:t>members</w:t>
      </w:r>
      <w:r>
        <w:rPr>
          <w:color w:val="231F20"/>
          <w:spacing w:val="1"/>
        </w:rPr>
        <w:t xml:space="preserve"> </w:t>
      </w:r>
      <w:r>
        <w:rPr>
          <w:color w:val="231F20"/>
        </w:rPr>
        <w:t>should be</w:t>
      </w:r>
      <w:r>
        <w:rPr>
          <w:color w:val="231F20"/>
          <w:spacing w:val="1"/>
        </w:rPr>
        <w:t xml:space="preserve"> </w:t>
      </w:r>
      <w:r>
        <w:rPr>
          <w:color w:val="231F20"/>
        </w:rPr>
        <w:t>set</w:t>
      </w:r>
      <w:r>
        <w:rPr>
          <w:color w:val="231F20"/>
          <w:spacing w:val="1"/>
        </w:rPr>
        <w:t xml:space="preserve"> </w:t>
      </w:r>
      <w:r>
        <w:rPr>
          <w:color w:val="231F20"/>
        </w:rPr>
        <w:t>by the</w:t>
      </w:r>
      <w:r>
        <w:rPr>
          <w:color w:val="231F20"/>
          <w:spacing w:val="1"/>
        </w:rPr>
        <w:t xml:space="preserve"> </w:t>
      </w:r>
      <w:r>
        <w:rPr>
          <w:color w:val="231F20"/>
        </w:rPr>
        <w:t>Remuneration</w:t>
      </w:r>
      <w:r>
        <w:rPr>
          <w:color w:val="231F20"/>
          <w:spacing w:val="1"/>
        </w:rPr>
        <w:t xml:space="preserve"> </w:t>
      </w:r>
      <w:r>
        <w:rPr>
          <w:color w:val="231F20"/>
          <w:spacing w:val="-2"/>
        </w:rPr>
        <w:t xml:space="preserve">Tribunal, </w:t>
      </w:r>
      <w:r>
        <w:t>an independent statutory authority that determines the remuneration of significant appointments. This mirrors the current arrangements for Reserve Bank Board and Payments System Board members</w:t>
      </w:r>
      <w:r w:rsidR="0068598E">
        <w:rPr>
          <w:spacing w:val="-25"/>
        </w:rPr>
        <w:t>.</w:t>
      </w:r>
    </w:p>
    <w:p w14:paraId="4058CAB3" w14:textId="77777777" w:rsidR="00322BDD" w:rsidRPr="00CA69DF" w:rsidRDefault="00322BDD" w:rsidP="00CA69DF">
      <w:pPr>
        <w:pStyle w:val="Heading3"/>
      </w:pPr>
      <w:r w:rsidRPr="00CA69DF">
        <w:t>Recommendation 12.6: Establish board charters and a memorandum of understanding between the boards</w:t>
      </w:r>
    </w:p>
    <w:p w14:paraId="29651769" w14:textId="7BBA6C3F" w:rsidR="00322BDD" w:rsidRDefault="00322BDD" w:rsidP="00322BDD">
      <w:r>
        <w:t>It is important to clearly set out the respective roles and responsibilities of the boards and the</w:t>
      </w:r>
      <w:r>
        <w:rPr>
          <w:spacing w:val="80"/>
        </w:rPr>
        <w:t xml:space="preserve"> </w:t>
      </w:r>
      <w:r>
        <w:t>RBA executive. One of the risks of a separate Governance Board is the potential conflict between the RBA Boards and how differences would be resolved. Differences must not create uncertainty</w:t>
      </w:r>
      <w:r>
        <w:rPr>
          <w:spacing w:val="40"/>
        </w:rPr>
        <w:t xml:space="preserve"> </w:t>
      </w:r>
      <w:r>
        <w:t>or limit the ability of the central bank to act quickly in a crisis with the instruments it thinks are necessary</w:t>
      </w:r>
      <w:r w:rsidR="0068598E">
        <w:rPr>
          <w:spacing w:val="-19"/>
        </w:rPr>
        <w:t>.</w:t>
      </w:r>
      <w:r>
        <w:rPr>
          <w:w w:val="85"/>
        </w:rPr>
        <w:t xml:space="preserve"> </w:t>
      </w:r>
      <w:r>
        <w:t>This risk can be mitigated by being clear about the roles and responsibilities of the various boards, including that the Monetary Policy Board has the instruments and authority to act quickly in a crisis.</w:t>
      </w:r>
    </w:p>
    <w:p w14:paraId="263FDD94" w14:textId="317A52F4" w:rsidR="00322BDD" w:rsidRDefault="00322BDD" w:rsidP="00322BDD">
      <w:r>
        <w:t>Each board should formalise, through a published charter, the RBA executive’s areas of responsibility and authority to take decisions. The charter should include the specific decisions that must be approved by the relevant board and expectations around the information that the RBA executive will provide to the boards to foster debate and inform decision making</w:t>
      </w:r>
      <w:r w:rsidR="0068598E">
        <w:rPr>
          <w:spacing w:val="-22"/>
        </w:rPr>
        <w:t>.</w:t>
      </w:r>
      <w:r>
        <w:rPr>
          <w:w w:val="85"/>
        </w:rPr>
        <w:t xml:space="preserve"> </w:t>
      </w:r>
      <w:r>
        <w:t>It should also cover each board’s processes for periodically reviewing its own effectiveness. Publishing a board charter is in line with best-practice governance for listed firms in Australia (ASX Corporate Governance Council 2019) and is common for public sector boards</w:t>
      </w:r>
      <w:r w:rsidR="0068598E">
        <w:rPr>
          <w:spacing w:val="-18"/>
        </w:rPr>
        <w:t>.</w:t>
      </w:r>
    </w:p>
    <w:p w14:paraId="39B9AD0D" w14:textId="7C470295" w:rsidR="00322BDD" w:rsidRDefault="00322BDD" w:rsidP="00322BDD">
      <w:r>
        <w:t>The Review also recommends that the Governance Board, Monetary Policy Board and Payments System Board together establish and publish a memorandum of understanding</w:t>
      </w:r>
      <w:r w:rsidR="0068598E">
        <w:rPr>
          <w:spacing w:val="-16"/>
        </w:rPr>
        <w:t>.</w:t>
      </w:r>
      <w:r>
        <w:rPr>
          <w:spacing w:val="40"/>
        </w:rPr>
        <w:t xml:space="preserve"> </w:t>
      </w:r>
      <w:r>
        <w:t>This memorandum would record the common understanding of their responsibilities and their expectations for information exchange and consultation on matters of mutual interest</w:t>
      </w:r>
      <w:r w:rsidR="0068598E">
        <w:rPr>
          <w:spacing w:val="-17"/>
        </w:rPr>
        <w:t>.</w:t>
      </w:r>
      <w:r>
        <w:rPr>
          <w:w w:val="85"/>
        </w:rPr>
        <w:t xml:space="preserve"> </w:t>
      </w:r>
      <w:r>
        <w:t xml:space="preserve">The </w:t>
      </w:r>
      <w:r>
        <w:rPr>
          <w:color w:val="231F20"/>
        </w:rPr>
        <w:t>Monetary Policy Board and Payments System Board have unique insight into the work of the RBA as an institution and will be important sources of feedback to the Governance Board about the performance of the RBA</w:t>
      </w:r>
      <w:r w:rsidR="0068598E">
        <w:rPr>
          <w:color w:val="231F20"/>
          <w:spacing w:val="-9"/>
        </w:rPr>
        <w:t>.</w:t>
      </w:r>
    </w:p>
    <w:p w14:paraId="2330AC28" w14:textId="3345A8C4" w:rsidR="00322BDD" w:rsidRDefault="00322BDD" w:rsidP="00322BDD">
      <w:r>
        <w:t>The legislation should set out the responsibilities of each board and the ultimate mechanism</w:t>
      </w:r>
      <w:r>
        <w:rPr>
          <w:spacing w:val="80"/>
        </w:rPr>
        <w:t xml:space="preserve"> </w:t>
      </w:r>
      <w:r>
        <w:t>for dispute resolution</w:t>
      </w:r>
      <w:r w:rsidR="0068598E">
        <w:rPr>
          <w:spacing w:val="-17"/>
        </w:rPr>
        <w:t>.</w:t>
      </w:r>
      <w:r>
        <w:t xml:space="preserve"> The memorandum of understanding should include any further detail,</w:t>
      </w:r>
      <w:r>
        <w:rPr>
          <w:spacing w:val="80"/>
        </w:rPr>
        <w:t xml:space="preserve"> </w:t>
      </w:r>
      <w:r>
        <w:t>as required, about how the boards will approach issues if there is a lack of clarity or overlapping responsibilities (see Box 5.4).</w:t>
      </w: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C82CDD" w14:paraId="49EDE19C" w14:textId="77777777" w:rsidTr="00871449">
        <w:tc>
          <w:tcPr>
            <w:tcW w:w="5000" w:type="pct"/>
            <w:tcBorders>
              <w:top w:val="nil"/>
              <w:left w:val="nil"/>
              <w:bottom w:val="nil"/>
              <w:right w:val="nil"/>
            </w:tcBorders>
            <w:shd w:val="clear" w:color="auto" w:fill="F9EEDB" w:themeFill="accent6"/>
          </w:tcPr>
          <w:p w14:paraId="19304D13" w14:textId="77777777" w:rsidR="00C82CDD" w:rsidRDefault="00C82CDD" w:rsidP="00871449">
            <w:pPr>
              <w:pStyle w:val="BoxHeading"/>
              <w:rPr>
                <w:spacing w:val="-2"/>
              </w:rPr>
            </w:pPr>
            <w:r>
              <w:lastRenderedPageBreak/>
              <w:t>Box</w:t>
            </w:r>
            <w:r>
              <w:rPr>
                <w:spacing w:val="2"/>
              </w:rPr>
              <w:t xml:space="preserve"> </w:t>
            </w:r>
            <w:r>
              <w:t>5.4:</w:t>
            </w:r>
            <w:r>
              <w:rPr>
                <w:spacing w:val="2"/>
              </w:rPr>
              <w:t xml:space="preserve"> </w:t>
            </w:r>
            <w:r>
              <w:t>Interactions</w:t>
            </w:r>
            <w:r>
              <w:rPr>
                <w:spacing w:val="3"/>
              </w:rPr>
              <w:t xml:space="preserve"> </w:t>
            </w:r>
            <w:r>
              <w:t>between</w:t>
            </w:r>
            <w:r>
              <w:rPr>
                <w:spacing w:val="2"/>
              </w:rPr>
              <w:t xml:space="preserve"> </w:t>
            </w:r>
            <w:r>
              <w:t>the</w:t>
            </w:r>
            <w:r>
              <w:rPr>
                <w:spacing w:val="2"/>
              </w:rPr>
              <w:t xml:space="preserve"> </w:t>
            </w:r>
            <w:r>
              <w:t>RBA’s</w:t>
            </w:r>
            <w:r>
              <w:rPr>
                <w:spacing w:val="3"/>
              </w:rPr>
              <w:t xml:space="preserve"> </w:t>
            </w:r>
            <w:r>
              <w:rPr>
                <w:spacing w:val="-2"/>
              </w:rPr>
              <w:t>boards</w:t>
            </w:r>
          </w:p>
          <w:p w14:paraId="73177659" w14:textId="77777777" w:rsidR="00871449" w:rsidRDefault="00871449" w:rsidP="00871449">
            <w:pPr>
              <w:pStyle w:val="BoxText"/>
            </w:pPr>
            <w:r>
              <w:t>A clear understanding of responsibilities is central to effective governance. The responsibilities set out in this chapter, in Chapter 3 and in the RBA Act (in respect of the Payments System Board) offer clear instruction in most circumstances. However, the Review acknowledges that there will be instances where the responsibilities of these bodies will interact, or even conflict.</w:t>
            </w:r>
          </w:p>
          <w:p w14:paraId="66242C37" w14:textId="2E2D200F" w:rsidR="00871449" w:rsidRDefault="00871449" w:rsidP="00871449">
            <w:pPr>
              <w:pStyle w:val="BoxText"/>
            </w:pPr>
            <w:r>
              <w:t>For example, the use of additional monetary policy tools (see Chapter 1 and 2) is an example where the responsibilities of the Monetary Policy Board and Governance Board would overlap</w:t>
            </w:r>
            <w:r w:rsidR="0068598E">
              <w:rPr>
                <w:spacing w:val="-18"/>
              </w:rPr>
              <w:t>.</w:t>
            </w:r>
            <w:r>
              <w:rPr>
                <w:w w:val="85"/>
              </w:rPr>
              <w:t xml:space="preserve"> </w:t>
            </w:r>
            <w:r>
              <w:t>The Monetary Policy Board may wish to purchase government bonds to provide further support in pursuit of its inflation and employment objectives. This decision, however, has direct implications for the RBA’s balance sheet and risks, which would be the general responsibility of the Governance Board</w:t>
            </w:r>
            <w:r w:rsidR="0068598E">
              <w:rPr>
                <w:spacing w:val="-8"/>
              </w:rPr>
              <w:t>.</w:t>
            </w:r>
          </w:p>
          <w:p w14:paraId="14C12BCD" w14:textId="1FD3B7FF" w:rsidR="00871449" w:rsidRDefault="00871449" w:rsidP="00871449">
            <w:pPr>
              <w:pStyle w:val="BoxText"/>
            </w:pPr>
            <w:r>
              <w:t>In such cases, the Monetary Policy Board needs to have complete authority to take actions to meet its monetary policy goals</w:t>
            </w:r>
            <w:r w:rsidR="0068598E">
              <w:rPr>
                <w:spacing w:val="-21"/>
              </w:rPr>
              <w:t>.</w:t>
            </w:r>
            <w:r>
              <w:rPr>
                <w:w w:val="85"/>
              </w:rPr>
              <w:t xml:space="preserve"> </w:t>
            </w:r>
            <w:r>
              <w:t>The Governance Board’s responsibility is limited insofar as it is to agree processes for the Monetary Policy Board’s decision making and ensure it</w:t>
            </w:r>
          </w:p>
          <w:p w14:paraId="51BA0793" w14:textId="61C122C3" w:rsidR="00871449" w:rsidRDefault="00871449" w:rsidP="00871449">
            <w:pPr>
              <w:pStyle w:val="BoxText"/>
            </w:pPr>
            <w:r>
              <w:t>is provided with all suitable materials, such as on risk oversight, to inform its deliberations</w:t>
            </w:r>
            <w:r w:rsidR="0068598E">
              <w:rPr>
                <w:spacing w:val="-19"/>
              </w:rPr>
              <w:t>.</w:t>
            </w:r>
            <w:r>
              <w:t xml:space="preserve"> The Monetary Policy Board should take into consideration the obligations of the Governance Board, as accountable authority, under the PGPA Act. This includes upholding risk management practices and performance reporting obligations set by the Governance Board and considering the expected costs and benefits of its actions and their impact on the financial resources of the RBA (see Chapter 3).</w:t>
            </w:r>
          </w:p>
          <w:p w14:paraId="68C183C4" w14:textId="2EFD1641" w:rsidR="00871449" w:rsidRDefault="00871449" w:rsidP="00871449">
            <w:pPr>
              <w:pStyle w:val="BoxText"/>
            </w:pPr>
            <w:r>
              <w:t>Open communication between the boards will help manage these interactions</w:t>
            </w:r>
            <w:r w:rsidR="0068598E">
              <w:rPr>
                <w:spacing w:val="-17"/>
              </w:rPr>
              <w:t>.</w:t>
            </w:r>
            <w:r>
              <w:rPr>
                <w:w w:val="85"/>
              </w:rPr>
              <w:t xml:space="preserve"> </w:t>
            </w:r>
            <w:r>
              <w:t>The responsibilities of the boards with respect to consultation should be set out in a memorandum of understanding</w:t>
            </w:r>
            <w:r w:rsidR="0068598E">
              <w:rPr>
                <w:spacing w:val="-22"/>
              </w:rPr>
              <w:t>.</w:t>
            </w:r>
            <w:r>
              <w:rPr>
                <w:w w:val="85"/>
              </w:rPr>
              <w:t xml:space="preserve"> </w:t>
            </w:r>
            <w:r>
              <w:t>The Governance Board should regularly seek feedback from the Monetary Policy Board and Payments System Board on the RBA’s performance</w:t>
            </w:r>
            <w:r w:rsidR="0068598E">
              <w:rPr>
                <w:spacing w:val="-24"/>
              </w:rPr>
              <w:t>.</w:t>
            </w:r>
            <w:r>
              <w:t xml:space="preserve"> The Governor will play an important role as a member of all 3 boards.</w:t>
            </w:r>
          </w:p>
          <w:p w14:paraId="37EAE8B3" w14:textId="409510A8" w:rsidR="00C82CDD" w:rsidRPr="005073DA" w:rsidRDefault="00871449" w:rsidP="00871449">
            <w:pPr>
              <w:pStyle w:val="BoxText"/>
            </w:pPr>
            <w:r>
              <w:t>The Review considers that ultimately the Governor should have the power to determine a policy where there is a disagreement between the boards on matters of overlapping responsibility that cannot be resolved through consultation. The Governor is uniquely placed to play this role, being a member of all 3 boards and an expert with full visibility of the issues</w:t>
            </w:r>
            <w:r w:rsidR="0068598E">
              <w:rPr>
                <w:spacing w:val="-24"/>
              </w:rPr>
              <w:t>.</w:t>
            </w:r>
            <w:r>
              <w:t xml:space="preserve"> This could be implemented through an amendment to Section 10C of the RBA Act, which currently deals with differences between the Reserve Bank Board and Payments System Board and provides similar authority to the Governor</w:t>
            </w:r>
            <w:r w:rsidR="0068598E">
              <w:rPr>
                <w:spacing w:val="-15"/>
              </w:rPr>
              <w:t>.</w:t>
            </w:r>
          </w:p>
        </w:tc>
      </w:tr>
    </w:tbl>
    <w:p w14:paraId="64D25D01" w14:textId="4A15D6C8" w:rsidR="00871449" w:rsidRDefault="00871449" w:rsidP="006147C1"/>
    <w:p w14:paraId="42DD9DD5" w14:textId="77777777" w:rsidR="00871449" w:rsidRDefault="00871449">
      <w:pPr>
        <w:spacing w:before="0" w:after="160" w:line="259" w:lineRule="auto"/>
      </w:pPr>
      <w:r>
        <w:br w:type="page"/>
      </w:r>
    </w:p>
    <w:p w14:paraId="57DDE79F" w14:textId="77777777" w:rsidR="000B2041" w:rsidRDefault="000B2041" w:rsidP="000B2041">
      <w:pPr>
        <w:pStyle w:val="Heading1"/>
      </w:pPr>
      <w:bookmarkStart w:id="61" w:name="_Toc134221031"/>
      <w:r>
        <w:lastRenderedPageBreak/>
        <w:t>Chapter</w:t>
      </w:r>
      <w:r>
        <w:rPr>
          <w:spacing w:val="-6"/>
        </w:rPr>
        <w:t xml:space="preserve"> </w:t>
      </w:r>
      <w:r>
        <w:t>6:</w:t>
      </w:r>
      <w:r>
        <w:rPr>
          <w:spacing w:val="-6"/>
        </w:rPr>
        <w:t xml:space="preserve"> </w:t>
      </w:r>
      <w:r w:rsidRPr="000B2041">
        <w:t>RBA</w:t>
      </w:r>
      <w:r>
        <w:rPr>
          <w:spacing w:val="-6"/>
        </w:rPr>
        <w:t xml:space="preserve"> </w:t>
      </w:r>
      <w:r>
        <w:t>leaders</w:t>
      </w:r>
      <w:r>
        <w:rPr>
          <w:spacing w:val="-6"/>
        </w:rPr>
        <w:t xml:space="preserve"> </w:t>
      </w:r>
      <w:r>
        <w:t>drive institutional</w:t>
      </w:r>
      <w:r>
        <w:rPr>
          <w:spacing w:val="-17"/>
        </w:rPr>
        <w:t xml:space="preserve"> </w:t>
      </w:r>
      <w:r>
        <w:t>and</w:t>
      </w:r>
      <w:r>
        <w:rPr>
          <w:spacing w:val="-17"/>
        </w:rPr>
        <w:t xml:space="preserve"> </w:t>
      </w:r>
      <w:r>
        <w:t>cultural</w:t>
      </w:r>
      <w:r>
        <w:rPr>
          <w:spacing w:val="-17"/>
        </w:rPr>
        <w:t xml:space="preserve"> </w:t>
      </w:r>
      <w:r w:rsidRPr="000B2041">
        <w:t>change</w:t>
      </w:r>
      <w:bookmarkEnd w:id="61"/>
    </w:p>
    <w:p w14:paraId="46815406" w14:textId="77777777" w:rsidR="000B2041" w:rsidRPr="000B2041" w:rsidRDefault="000B2041" w:rsidP="000B2041"/>
    <w:tbl>
      <w:tblPr>
        <w:tblW w:w="5000" w:type="pct"/>
        <w:tblBorders>
          <w:top w:val="single" w:sz="2" w:space="0" w:color="1F4060"/>
          <w:left w:val="single" w:sz="2" w:space="0" w:color="1F4060"/>
          <w:bottom w:val="single" w:sz="2" w:space="0" w:color="1F4060"/>
          <w:right w:val="single" w:sz="2" w:space="0" w:color="1F4060"/>
          <w:insideH w:val="single" w:sz="2" w:space="0" w:color="1F4060"/>
          <w:insideV w:val="single" w:sz="2" w:space="0" w:color="1F4060"/>
        </w:tblBorders>
        <w:tblCellMar>
          <w:left w:w="0" w:type="dxa"/>
          <w:right w:w="0" w:type="dxa"/>
        </w:tblCellMar>
        <w:tblLook w:val="01E0" w:firstRow="1" w:lastRow="1" w:firstColumn="1" w:lastColumn="1" w:noHBand="0" w:noVBand="0"/>
      </w:tblPr>
      <w:tblGrid>
        <w:gridCol w:w="9060"/>
      </w:tblGrid>
      <w:tr w:rsidR="000B2041" w14:paraId="73FFB248" w14:textId="77777777" w:rsidTr="002674C7">
        <w:trPr>
          <w:trHeight w:val="1276"/>
        </w:trPr>
        <w:tc>
          <w:tcPr>
            <w:tcW w:w="5000" w:type="pct"/>
            <w:tcBorders>
              <w:top w:val="single" w:sz="4" w:space="0" w:color="auto"/>
              <w:left w:val="single" w:sz="4" w:space="0" w:color="auto"/>
              <w:bottom w:val="single" w:sz="4" w:space="0" w:color="auto"/>
              <w:right w:val="single" w:sz="4" w:space="0" w:color="auto"/>
            </w:tcBorders>
          </w:tcPr>
          <w:p w14:paraId="139270D7" w14:textId="4DDEA4A4" w:rsidR="000B2041" w:rsidRPr="002674C7" w:rsidRDefault="000B2041" w:rsidP="002674C7">
            <w:pPr>
              <w:pStyle w:val="BoxText"/>
            </w:pPr>
            <w:r w:rsidRPr="002674C7">
              <w:t>This chapter outlines the importance of leaders driving and modelling change within the RBA, through their behaviours, words and actions</w:t>
            </w:r>
            <w:r w:rsidR="0068598E" w:rsidRPr="002674C7">
              <w:t>.</w:t>
            </w:r>
            <w:r w:rsidRPr="002674C7">
              <w:t xml:space="preserve"> It makes 2 recommendations aimed at ensuring leaders are held accountable for delivering the Review’s changes and that these translate into staff members’ lived experience.</w:t>
            </w:r>
          </w:p>
        </w:tc>
      </w:tr>
    </w:tbl>
    <w:p w14:paraId="33676D9E" w14:textId="77777777" w:rsidR="000B2041" w:rsidRDefault="000B2041" w:rsidP="000B2041">
      <w:pPr>
        <w:pStyle w:val="BodyText"/>
        <w:spacing w:before="9"/>
        <w:rPr>
          <w:rFonts w:ascii="Open Sans"/>
          <w:b/>
        </w:rPr>
      </w:pPr>
    </w:p>
    <w:p w14:paraId="21E50ACF" w14:textId="66448657" w:rsidR="000B2041" w:rsidRDefault="000B2041" w:rsidP="000B2041">
      <w:r>
        <w:t>In preceding chapters, the Review has proposed changes to the RBA’s frameworks, governance, structures and processes to strengthen the RBA’s effectiveness. These changes will only have their desired impact if they translate into changes in the experience of RBA employees. This chapter discusses the role of leaders in delivering this change</w:t>
      </w:r>
      <w:r w:rsidR="0068598E">
        <w:rPr>
          <w:spacing w:val="-16"/>
        </w:rPr>
        <w:t>.</w:t>
      </w:r>
    </w:p>
    <w:p w14:paraId="3FDBEAE0" w14:textId="58DDBE89" w:rsidR="000B2041" w:rsidRDefault="000B2041" w:rsidP="000B2041">
      <w:r>
        <w:t>The RBA’s</w:t>
      </w:r>
      <w:r>
        <w:rPr>
          <w:spacing w:val="1"/>
        </w:rPr>
        <w:t xml:space="preserve"> </w:t>
      </w:r>
      <w:r>
        <w:t>leader</w:t>
      </w:r>
      <w:r w:rsidR="00744D1C">
        <w:t>s</w:t>
      </w:r>
      <w:r w:rsidR="00744D1C">
        <w:rPr>
          <w:rStyle w:val="FootnoteReference"/>
        </w:rPr>
        <w:footnoteReference w:id="12"/>
      </w:r>
      <w:r w:rsidR="00744D1C">
        <w:t xml:space="preserve"> a</w:t>
      </w:r>
      <w:r>
        <w:t>re</w:t>
      </w:r>
      <w:r>
        <w:rPr>
          <w:spacing w:val="1"/>
        </w:rPr>
        <w:t xml:space="preserve"> </w:t>
      </w:r>
      <w:r>
        <w:t>critical to</w:t>
      </w:r>
      <w:r>
        <w:rPr>
          <w:spacing w:val="1"/>
        </w:rPr>
        <w:t xml:space="preserve"> </w:t>
      </w:r>
      <w:r>
        <w:t>ensuring that</w:t>
      </w:r>
      <w:r>
        <w:rPr>
          <w:spacing w:val="1"/>
        </w:rPr>
        <w:t xml:space="preserve"> </w:t>
      </w:r>
      <w:r>
        <w:t>the organisational</w:t>
      </w:r>
      <w:r>
        <w:rPr>
          <w:spacing w:val="1"/>
        </w:rPr>
        <w:t xml:space="preserve"> </w:t>
      </w:r>
      <w:r>
        <w:t>and cultural</w:t>
      </w:r>
      <w:r>
        <w:rPr>
          <w:spacing w:val="1"/>
        </w:rPr>
        <w:t xml:space="preserve"> </w:t>
      </w:r>
      <w:r>
        <w:t>changes proposed</w:t>
      </w:r>
      <w:r>
        <w:rPr>
          <w:spacing w:val="1"/>
        </w:rPr>
        <w:t xml:space="preserve"> </w:t>
      </w:r>
      <w:r>
        <w:rPr>
          <w:spacing w:val="-5"/>
        </w:rPr>
        <w:t xml:space="preserve">in </w:t>
      </w:r>
      <w:r>
        <w:t>this</w:t>
      </w:r>
      <w:r>
        <w:rPr>
          <w:spacing w:val="-1"/>
        </w:rPr>
        <w:t xml:space="preserve"> </w:t>
      </w:r>
      <w:r>
        <w:t>report</w:t>
      </w:r>
      <w:r>
        <w:rPr>
          <w:spacing w:val="2"/>
        </w:rPr>
        <w:t xml:space="preserve"> </w:t>
      </w:r>
      <w:r>
        <w:t>transform</w:t>
      </w:r>
      <w:r>
        <w:rPr>
          <w:spacing w:val="2"/>
        </w:rPr>
        <w:t xml:space="preserve"> </w:t>
      </w:r>
      <w:r>
        <w:t>the</w:t>
      </w:r>
      <w:r>
        <w:rPr>
          <w:spacing w:val="2"/>
        </w:rPr>
        <w:t xml:space="preserve"> </w:t>
      </w:r>
      <w:r>
        <w:t>actual</w:t>
      </w:r>
      <w:r>
        <w:rPr>
          <w:spacing w:val="2"/>
        </w:rPr>
        <w:t xml:space="preserve"> </w:t>
      </w:r>
      <w:r>
        <w:t>experience</w:t>
      </w:r>
      <w:r>
        <w:rPr>
          <w:spacing w:val="2"/>
        </w:rPr>
        <w:t xml:space="preserve"> </w:t>
      </w:r>
      <w:r>
        <w:t>of</w:t>
      </w:r>
      <w:r>
        <w:rPr>
          <w:spacing w:val="2"/>
        </w:rPr>
        <w:t xml:space="preserve"> </w:t>
      </w:r>
      <w:r>
        <w:t>RBA</w:t>
      </w:r>
      <w:r>
        <w:rPr>
          <w:spacing w:val="2"/>
        </w:rPr>
        <w:t xml:space="preserve"> </w:t>
      </w:r>
      <w:r>
        <w:t>employees</w:t>
      </w:r>
      <w:r>
        <w:rPr>
          <w:spacing w:val="2"/>
        </w:rPr>
        <w:t xml:space="preserve"> </w:t>
      </w:r>
      <w:r>
        <w:t>and</w:t>
      </w:r>
      <w:r>
        <w:rPr>
          <w:spacing w:val="2"/>
        </w:rPr>
        <w:t xml:space="preserve"> </w:t>
      </w:r>
      <w:r>
        <w:t>the</w:t>
      </w:r>
      <w:r>
        <w:rPr>
          <w:spacing w:val="2"/>
        </w:rPr>
        <w:t xml:space="preserve"> </w:t>
      </w:r>
      <w:r>
        <w:t>broader</w:t>
      </w:r>
      <w:r>
        <w:rPr>
          <w:spacing w:val="2"/>
        </w:rPr>
        <w:t xml:space="preserve"> </w:t>
      </w:r>
      <w:r>
        <w:rPr>
          <w:spacing w:val="-2"/>
        </w:rPr>
        <w:t xml:space="preserve">public. </w:t>
      </w:r>
      <w:r>
        <w:t xml:space="preserve">This </w:t>
      </w:r>
      <w:r>
        <w:rPr>
          <w:spacing w:val="-2"/>
        </w:rPr>
        <w:t>requires:</w:t>
      </w:r>
    </w:p>
    <w:p w14:paraId="72CE6FD5" w14:textId="77777777" w:rsidR="000B2041" w:rsidRDefault="000B2041" w:rsidP="0000278A">
      <w:pPr>
        <w:pStyle w:val="Bullet"/>
      </w:pPr>
      <w:r>
        <w:t>leaders to</w:t>
      </w:r>
      <w:r>
        <w:rPr>
          <w:spacing w:val="1"/>
        </w:rPr>
        <w:t xml:space="preserve"> </w:t>
      </w:r>
      <w:r>
        <w:t>drive</w:t>
      </w:r>
      <w:r>
        <w:rPr>
          <w:spacing w:val="1"/>
        </w:rPr>
        <w:t xml:space="preserve"> </w:t>
      </w:r>
      <w:r>
        <w:t>and model</w:t>
      </w:r>
      <w:r>
        <w:rPr>
          <w:spacing w:val="1"/>
        </w:rPr>
        <w:t xml:space="preserve"> </w:t>
      </w:r>
      <w:r>
        <w:t>the</w:t>
      </w:r>
      <w:r>
        <w:rPr>
          <w:spacing w:val="1"/>
        </w:rPr>
        <w:t xml:space="preserve"> </w:t>
      </w:r>
      <w:r>
        <w:rPr>
          <w:spacing w:val="-2"/>
        </w:rPr>
        <w:t>changes</w:t>
      </w:r>
    </w:p>
    <w:p w14:paraId="0333624F" w14:textId="08C85B5E" w:rsidR="000B2041" w:rsidRDefault="000B2041" w:rsidP="0000278A">
      <w:pPr>
        <w:pStyle w:val="Bullet"/>
      </w:pPr>
      <w:r w:rsidRPr="000B2041">
        <w:t>leaders</w:t>
      </w:r>
      <w:r w:rsidRPr="000B2041">
        <w:rPr>
          <w:spacing w:val="1"/>
        </w:rPr>
        <w:t xml:space="preserve"> </w:t>
      </w:r>
      <w:r w:rsidRPr="000B2041">
        <w:t>to</w:t>
      </w:r>
      <w:r w:rsidRPr="000B2041">
        <w:rPr>
          <w:spacing w:val="2"/>
        </w:rPr>
        <w:t xml:space="preserve"> </w:t>
      </w:r>
      <w:r w:rsidRPr="000B2041">
        <w:t>measure</w:t>
      </w:r>
      <w:r w:rsidRPr="000B2041">
        <w:rPr>
          <w:spacing w:val="1"/>
        </w:rPr>
        <w:t xml:space="preserve"> </w:t>
      </w:r>
      <w:r w:rsidRPr="000B2041">
        <w:t>and</w:t>
      </w:r>
      <w:r w:rsidRPr="000B2041">
        <w:rPr>
          <w:spacing w:val="2"/>
        </w:rPr>
        <w:t xml:space="preserve"> </w:t>
      </w:r>
      <w:r w:rsidRPr="000B2041">
        <w:t>assess</w:t>
      </w:r>
      <w:r w:rsidRPr="000B2041">
        <w:rPr>
          <w:spacing w:val="1"/>
        </w:rPr>
        <w:t xml:space="preserve"> </w:t>
      </w:r>
      <w:r w:rsidRPr="000B2041">
        <w:t>through</w:t>
      </w:r>
      <w:r w:rsidRPr="000B2041">
        <w:rPr>
          <w:spacing w:val="2"/>
        </w:rPr>
        <w:t xml:space="preserve"> </w:t>
      </w:r>
      <w:r w:rsidRPr="000B2041">
        <w:t>staff</w:t>
      </w:r>
      <w:r w:rsidRPr="000B2041">
        <w:rPr>
          <w:spacing w:val="1"/>
        </w:rPr>
        <w:t xml:space="preserve"> </w:t>
      </w:r>
      <w:r w:rsidRPr="000B2041">
        <w:t>feedback</w:t>
      </w:r>
      <w:r w:rsidRPr="000B2041">
        <w:rPr>
          <w:spacing w:val="2"/>
        </w:rPr>
        <w:t xml:space="preserve"> </w:t>
      </w:r>
      <w:r w:rsidRPr="000B2041">
        <w:t>the</w:t>
      </w:r>
      <w:r w:rsidRPr="000B2041">
        <w:rPr>
          <w:spacing w:val="1"/>
        </w:rPr>
        <w:t xml:space="preserve"> </w:t>
      </w:r>
      <w:r w:rsidRPr="000B2041">
        <w:t>lived</w:t>
      </w:r>
      <w:r w:rsidRPr="000B2041">
        <w:rPr>
          <w:spacing w:val="2"/>
        </w:rPr>
        <w:t xml:space="preserve"> </w:t>
      </w:r>
      <w:r w:rsidRPr="000B2041">
        <w:t>experience</w:t>
      </w:r>
      <w:r w:rsidRPr="000B2041">
        <w:rPr>
          <w:spacing w:val="1"/>
        </w:rPr>
        <w:t xml:space="preserve"> </w:t>
      </w:r>
      <w:r w:rsidRPr="000B2041">
        <w:t>of</w:t>
      </w:r>
      <w:r w:rsidRPr="000B2041">
        <w:rPr>
          <w:spacing w:val="2"/>
        </w:rPr>
        <w:t xml:space="preserve"> </w:t>
      </w:r>
      <w:r w:rsidRPr="000B2041">
        <w:t>these</w:t>
      </w:r>
      <w:r w:rsidRPr="000B2041">
        <w:rPr>
          <w:spacing w:val="2"/>
        </w:rPr>
        <w:t xml:space="preserve"> </w:t>
      </w:r>
      <w:r w:rsidRPr="000B2041">
        <w:rPr>
          <w:spacing w:val="-2"/>
        </w:rPr>
        <w:t>changes</w:t>
      </w:r>
      <w:r>
        <w:rPr>
          <w:spacing w:val="-2"/>
        </w:rPr>
        <w:t xml:space="preserve"> </w:t>
      </w:r>
      <w:r w:rsidRPr="000B2041">
        <w:t>and</w:t>
      </w:r>
      <w:r w:rsidRPr="000B2041">
        <w:rPr>
          <w:spacing w:val="-1"/>
        </w:rPr>
        <w:t xml:space="preserve"> </w:t>
      </w:r>
      <w:r w:rsidRPr="000B2041">
        <w:t>act</w:t>
      </w:r>
      <w:r w:rsidRPr="000B2041">
        <w:rPr>
          <w:spacing w:val="1"/>
        </w:rPr>
        <w:t xml:space="preserve"> </w:t>
      </w:r>
      <w:r w:rsidRPr="000B2041">
        <w:t>on</w:t>
      </w:r>
      <w:r w:rsidRPr="000B2041">
        <w:rPr>
          <w:spacing w:val="1"/>
        </w:rPr>
        <w:t xml:space="preserve"> </w:t>
      </w:r>
      <w:r w:rsidRPr="000B2041">
        <w:rPr>
          <w:spacing w:val="-4"/>
        </w:rPr>
        <w:t>gaps</w:t>
      </w:r>
    </w:p>
    <w:p w14:paraId="654F2CB7" w14:textId="77777777" w:rsidR="000B2041" w:rsidRDefault="000B2041" w:rsidP="0000278A">
      <w:pPr>
        <w:pStyle w:val="Bullet"/>
      </w:pPr>
      <w:r>
        <w:t>the</w:t>
      </w:r>
      <w:r>
        <w:rPr>
          <w:spacing w:val="1"/>
        </w:rPr>
        <w:t xml:space="preserve"> </w:t>
      </w:r>
      <w:r>
        <w:t>RBA</w:t>
      </w:r>
      <w:r>
        <w:rPr>
          <w:spacing w:val="2"/>
        </w:rPr>
        <w:t xml:space="preserve"> </w:t>
      </w:r>
      <w:r>
        <w:t>as</w:t>
      </w:r>
      <w:r>
        <w:rPr>
          <w:spacing w:val="1"/>
        </w:rPr>
        <w:t xml:space="preserve"> </w:t>
      </w:r>
      <w:r>
        <w:t>an</w:t>
      </w:r>
      <w:r>
        <w:rPr>
          <w:spacing w:val="2"/>
        </w:rPr>
        <w:t xml:space="preserve"> </w:t>
      </w:r>
      <w:r>
        <w:t>institution</w:t>
      </w:r>
      <w:r>
        <w:rPr>
          <w:spacing w:val="2"/>
        </w:rPr>
        <w:t xml:space="preserve"> </w:t>
      </w:r>
      <w:r>
        <w:t>to</w:t>
      </w:r>
      <w:r>
        <w:rPr>
          <w:spacing w:val="1"/>
        </w:rPr>
        <w:t xml:space="preserve"> </w:t>
      </w:r>
      <w:r>
        <w:t>transparently</w:t>
      </w:r>
      <w:r>
        <w:rPr>
          <w:spacing w:val="2"/>
        </w:rPr>
        <w:t xml:space="preserve"> </w:t>
      </w:r>
      <w:r>
        <w:t>hold</w:t>
      </w:r>
      <w:r>
        <w:rPr>
          <w:spacing w:val="1"/>
        </w:rPr>
        <w:t xml:space="preserve"> </w:t>
      </w:r>
      <w:r>
        <w:t>itself</w:t>
      </w:r>
      <w:r>
        <w:rPr>
          <w:spacing w:val="2"/>
        </w:rPr>
        <w:t xml:space="preserve"> </w:t>
      </w:r>
      <w:r>
        <w:t>to</w:t>
      </w:r>
      <w:r>
        <w:rPr>
          <w:spacing w:val="2"/>
        </w:rPr>
        <w:t xml:space="preserve"> </w:t>
      </w:r>
      <w:r>
        <w:t>account</w:t>
      </w:r>
      <w:r>
        <w:rPr>
          <w:spacing w:val="1"/>
        </w:rPr>
        <w:t xml:space="preserve"> </w:t>
      </w:r>
      <w:r>
        <w:t>for</w:t>
      </w:r>
      <w:r>
        <w:rPr>
          <w:spacing w:val="2"/>
        </w:rPr>
        <w:t xml:space="preserve"> </w:t>
      </w:r>
      <w:r>
        <w:t>achieving</w:t>
      </w:r>
      <w:r>
        <w:rPr>
          <w:spacing w:val="2"/>
        </w:rPr>
        <w:t xml:space="preserve"> </w:t>
      </w:r>
      <w:r>
        <w:rPr>
          <w:spacing w:val="-2"/>
        </w:rPr>
        <w:t>change</w:t>
      </w:r>
    </w:p>
    <w:p w14:paraId="29735548" w14:textId="77777777" w:rsidR="000B2041" w:rsidRDefault="000B2041" w:rsidP="0000278A">
      <w:pPr>
        <w:pStyle w:val="Bullet"/>
      </w:pPr>
      <w:r>
        <w:t>the</w:t>
      </w:r>
      <w:r>
        <w:rPr>
          <w:spacing w:val="4"/>
        </w:rPr>
        <w:t xml:space="preserve"> </w:t>
      </w:r>
      <w:r>
        <w:t>RBA</w:t>
      </w:r>
      <w:r>
        <w:rPr>
          <w:spacing w:val="4"/>
        </w:rPr>
        <w:t xml:space="preserve"> </w:t>
      </w:r>
      <w:r>
        <w:t>working</w:t>
      </w:r>
      <w:r>
        <w:rPr>
          <w:spacing w:val="4"/>
        </w:rPr>
        <w:t xml:space="preserve"> </w:t>
      </w:r>
      <w:r>
        <w:t>to</w:t>
      </w:r>
      <w:r>
        <w:rPr>
          <w:spacing w:val="4"/>
        </w:rPr>
        <w:t xml:space="preserve"> </w:t>
      </w:r>
      <w:r>
        <w:t>identify</w:t>
      </w:r>
      <w:r>
        <w:rPr>
          <w:spacing w:val="4"/>
        </w:rPr>
        <w:t xml:space="preserve"> </w:t>
      </w:r>
      <w:r>
        <w:t>opportunities</w:t>
      </w:r>
      <w:r>
        <w:rPr>
          <w:spacing w:val="4"/>
        </w:rPr>
        <w:t xml:space="preserve"> </w:t>
      </w:r>
      <w:r>
        <w:t>for</w:t>
      </w:r>
      <w:r>
        <w:rPr>
          <w:spacing w:val="4"/>
        </w:rPr>
        <w:t xml:space="preserve"> </w:t>
      </w:r>
      <w:r>
        <w:t>further</w:t>
      </w:r>
      <w:r>
        <w:rPr>
          <w:spacing w:val="4"/>
        </w:rPr>
        <w:t xml:space="preserve"> </w:t>
      </w:r>
      <w:r>
        <w:t>growth</w:t>
      </w:r>
      <w:r>
        <w:rPr>
          <w:spacing w:val="4"/>
        </w:rPr>
        <w:t xml:space="preserve"> </w:t>
      </w:r>
      <w:r>
        <w:t>as</w:t>
      </w:r>
      <w:r>
        <w:rPr>
          <w:spacing w:val="4"/>
        </w:rPr>
        <w:t xml:space="preserve"> </w:t>
      </w:r>
      <w:r>
        <w:t>an</w:t>
      </w:r>
      <w:r>
        <w:rPr>
          <w:spacing w:val="4"/>
        </w:rPr>
        <w:t xml:space="preserve"> </w:t>
      </w:r>
      <w:r>
        <w:rPr>
          <w:spacing w:val="-2"/>
        </w:rPr>
        <w:t>organisation.</w:t>
      </w:r>
    </w:p>
    <w:p w14:paraId="489B6BBF" w14:textId="77777777" w:rsidR="000B2041" w:rsidRDefault="000B2041" w:rsidP="000B2041">
      <w:pPr>
        <w:pStyle w:val="BodyText"/>
        <w:rPr>
          <w:sz w:val="20"/>
        </w:rPr>
      </w:pPr>
    </w:p>
    <w:p w14:paraId="24CC3B90" w14:textId="2CC72E59" w:rsidR="002715E1" w:rsidRDefault="002715E1">
      <w:pPr>
        <w:spacing w:before="0" w:after="160" w:line="259" w:lineRule="auto"/>
      </w:pPr>
      <w:r>
        <w:br w:type="page"/>
      </w:r>
    </w:p>
    <w:p w14:paraId="52A99359" w14:textId="77777777" w:rsidR="008E6E3F" w:rsidRDefault="008E6E3F" w:rsidP="008E6E3F">
      <w:pPr>
        <w:pStyle w:val="Heading2"/>
      </w:pPr>
      <w:bookmarkStart w:id="62" w:name="_Toc134221032"/>
      <w:r>
        <w:lastRenderedPageBreak/>
        <w:t>Recommendation</w:t>
      </w:r>
      <w:r>
        <w:rPr>
          <w:spacing w:val="-11"/>
        </w:rPr>
        <w:t xml:space="preserve"> </w:t>
      </w:r>
      <w:r>
        <w:t>13:</w:t>
      </w:r>
      <w:r>
        <w:rPr>
          <w:spacing w:val="-11"/>
        </w:rPr>
        <w:t xml:space="preserve"> </w:t>
      </w:r>
      <w:r>
        <w:t>RBA</w:t>
      </w:r>
      <w:r>
        <w:rPr>
          <w:spacing w:val="-11"/>
        </w:rPr>
        <w:t xml:space="preserve"> </w:t>
      </w:r>
      <w:r>
        <w:t>leaders</w:t>
      </w:r>
      <w:r>
        <w:rPr>
          <w:spacing w:val="-11"/>
        </w:rPr>
        <w:t xml:space="preserve"> </w:t>
      </w:r>
      <w:r>
        <w:t>should</w:t>
      </w:r>
      <w:r>
        <w:rPr>
          <w:spacing w:val="-11"/>
        </w:rPr>
        <w:t xml:space="preserve"> </w:t>
      </w:r>
      <w:r>
        <w:t>drive</w:t>
      </w:r>
      <w:r>
        <w:rPr>
          <w:spacing w:val="-11"/>
        </w:rPr>
        <w:t xml:space="preserve"> </w:t>
      </w:r>
      <w:r>
        <w:t>and measure change</w:t>
      </w:r>
      <w:bookmarkEnd w:id="62"/>
    </w:p>
    <w:tbl>
      <w:tblPr>
        <w:tblW w:w="5000" w:type="pct"/>
        <w:tblCellMar>
          <w:left w:w="0" w:type="dxa"/>
          <w:right w:w="0" w:type="dxa"/>
        </w:tblCellMar>
        <w:tblLook w:val="01E0" w:firstRow="1" w:lastRow="1" w:firstColumn="1" w:lastColumn="1" w:noHBand="0" w:noVBand="0"/>
      </w:tblPr>
      <w:tblGrid>
        <w:gridCol w:w="847"/>
        <w:gridCol w:w="8223"/>
      </w:tblGrid>
      <w:tr w:rsidR="008E6E3F" w14:paraId="13A4FF20" w14:textId="77777777" w:rsidTr="00F22AE5">
        <w:trPr>
          <w:trHeight w:val="791"/>
        </w:trPr>
        <w:tc>
          <w:tcPr>
            <w:tcW w:w="5000" w:type="pct"/>
            <w:gridSpan w:val="2"/>
            <w:tcBorders>
              <w:bottom w:val="single" w:sz="8" w:space="0" w:color="ECEDE9"/>
            </w:tcBorders>
          </w:tcPr>
          <w:p w14:paraId="747DA80D" w14:textId="77777777" w:rsidR="008E6E3F" w:rsidRDefault="008E6E3F" w:rsidP="00F22AE5">
            <w:pPr>
              <w:pStyle w:val="Heading4"/>
            </w:pPr>
            <w:r>
              <w:t>Recommendation 13: RBA</w:t>
            </w:r>
            <w:r>
              <w:rPr>
                <w:spacing w:val="1"/>
              </w:rPr>
              <w:t xml:space="preserve"> </w:t>
            </w:r>
            <w:r>
              <w:t>leaders should drive</w:t>
            </w:r>
            <w:r>
              <w:rPr>
                <w:spacing w:val="1"/>
              </w:rPr>
              <w:t xml:space="preserve"> </w:t>
            </w:r>
            <w:r>
              <w:t>and measure</w:t>
            </w:r>
            <w:r>
              <w:rPr>
                <w:spacing w:val="1"/>
              </w:rPr>
              <w:t xml:space="preserve"> </w:t>
            </w:r>
            <w:r>
              <w:rPr>
                <w:spacing w:val="-2"/>
              </w:rPr>
              <w:t>change</w:t>
            </w:r>
          </w:p>
        </w:tc>
      </w:tr>
      <w:tr w:rsidR="008E6E3F" w14:paraId="30BE3F7A" w14:textId="77777777" w:rsidTr="00F22AE5">
        <w:trPr>
          <w:trHeight w:val="791"/>
        </w:trPr>
        <w:tc>
          <w:tcPr>
            <w:tcW w:w="467" w:type="pct"/>
            <w:tcBorders>
              <w:top w:val="single" w:sz="8" w:space="0" w:color="ECEDE9"/>
              <w:bottom w:val="single" w:sz="8" w:space="0" w:color="ECEDE9"/>
            </w:tcBorders>
          </w:tcPr>
          <w:p w14:paraId="3BDC209A" w14:textId="77777777" w:rsidR="008E6E3F" w:rsidRDefault="008E6E3F" w:rsidP="00F22AE5">
            <w:r>
              <w:t>13.1</w:t>
            </w:r>
          </w:p>
        </w:tc>
        <w:tc>
          <w:tcPr>
            <w:tcW w:w="4533" w:type="pct"/>
            <w:tcBorders>
              <w:top w:val="single" w:sz="8" w:space="0" w:color="ECEDE9"/>
              <w:bottom w:val="single" w:sz="8" w:space="0" w:color="ECEDE9"/>
            </w:tcBorders>
          </w:tcPr>
          <w:p w14:paraId="06DB93B5" w14:textId="77777777" w:rsidR="008E6E3F" w:rsidRDefault="008E6E3F" w:rsidP="00F22AE5">
            <w:r>
              <w:t>The RBA’s leaders should be assessed on how they deliver and model cultural change, including as measured through staff surveys.</w:t>
            </w:r>
          </w:p>
        </w:tc>
      </w:tr>
      <w:tr w:rsidR="008E6E3F" w14:paraId="10E164F3" w14:textId="77777777" w:rsidTr="00F22AE5">
        <w:trPr>
          <w:trHeight w:val="1067"/>
        </w:trPr>
        <w:tc>
          <w:tcPr>
            <w:tcW w:w="467" w:type="pct"/>
            <w:tcBorders>
              <w:top w:val="single" w:sz="8" w:space="0" w:color="ECEDE9"/>
            </w:tcBorders>
          </w:tcPr>
          <w:p w14:paraId="0D95F20E" w14:textId="77777777" w:rsidR="008E6E3F" w:rsidRDefault="008E6E3F" w:rsidP="00F22AE5">
            <w:r>
              <w:t>13.2</w:t>
            </w:r>
          </w:p>
        </w:tc>
        <w:tc>
          <w:tcPr>
            <w:tcW w:w="4533" w:type="pct"/>
            <w:tcBorders>
              <w:top w:val="single" w:sz="8" w:space="0" w:color="ECEDE9"/>
            </w:tcBorders>
          </w:tcPr>
          <w:p w14:paraId="4C73C88B" w14:textId="77777777" w:rsidR="008E6E3F" w:rsidRDefault="008E6E3F" w:rsidP="00F22AE5">
            <w:r>
              <w:t>The Governance Board should assess and report publicly by June 2025 on the RBA’s progress in implementing the Review’s recommendations and achieving</w:t>
            </w:r>
            <w:r>
              <w:rPr>
                <w:spacing w:val="40"/>
              </w:rPr>
              <w:t xml:space="preserve"> </w:t>
            </w:r>
            <w:r>
              <w:t>its objectives. The Governance Board should also identify new opportunities for improvement through 5-yearly Australian Public Service capability reviews.</w:t>
            </w:r>
          </w:p>
        </w:tc>
      </w:tr>
    </w:tbl>
    <w:p w14:paraId="597931CF" w14:textId="23F647B1" w:rsidR="002C2D94" w:rsidRDefault="002C2D94" w:rsidP="002C2D94">
      <w:pPr>
        <w:pStyle w:val="Heading3"/>
      </w:pPr>
      <w:r>
        <w:t>Recommendation</w:t>
      </w:r>
      <w:r>
        <w:rPr>
          <w:spacing w:val="-3"/>
        </w:rPr>
        <w:t xml:space="preserve"> </w:t>
      </w:r>
      <w:r>
        <w:t>13.1:</w:t>
      </w:r>
      <w:r>
        <w:rPr>
          <w:spacing w:val="-1"/>
        </w:rPr>
        <w:t xml:space="preserve"> </w:t>
      </w:r>
      <w:r>
        <w:t>Leaders should</w:t>
      </w:r>
      <w:r>
        <w:rPr>
          <w:spacing w:val="-1"/>
        </w:rPr>
        <w:t xml:space="preserve"> </w:t>
      </w:r>
      <w:r>
        <w:t>model</w:t>
      </w:r>
      <w:r>
        <w:rPr>
          <w:spacing w:val="-1"/>
        </w:rPr>
        <w:t xml:space="preserve"> </w:t>
      </w:r>
      <w:r>
        <w:t>cultural change</w:t>
      </w:r>
    </w:p>
    <w:p w14:paraId="1978B51B" w14:textId="77777777" w:rsidR="002C2D94" w:rsidRDefault="002C2D94" w:rsidP="002C2D94">
      <w:r>
        <w:t>The RBA’s leaders have undertaken many initiatives over recent years to make the RBA a more open and dynamic institution that is well equipped to support its staff and carry out its duties. Yet, there remains a gap in the lived experience of staff members. Recommendation 13 is designed to address 2 issues that contribute to the gap between intended outcomes and lived experience:</w:t>
      </w:r>
    </w:p>
    <w:p w14:paraId="46C89DA8" w14:textId="2BFD6588" w:rsidR="002C2D94" w:rsidRDefault="002C2D94" w:rsidP="0000278A">
      <w:pPr>
        <w:pStyle w:val="Bullet"/>
      </w:pPr>
      <w:r>
        <w:t>Leaders’ behaviours, actions and decisions need to be consistent at all times with the culture the RBA needs for high performance</w:t>
      </w:r>
      <w:r w:rsidR="0068598E">
        <w:rPr>
          <w:spacing w:val="-8"/>
        </w:rPr>
        <w:t>.</w:t>
      </w:r>
    </w:p>
    <w:p w14:paraId="19550F80" w14:textId="77777777" w:rsidR="002C2D94" w:rsidRDefault="002C2D94" w:rsidP="0000278A">
      <w:pPr>
        <w:pStyle w:val="Bullet"/>
      </w:pPr>
      <w:r>
        <w:t>Leaders need to receive sufficient, good quality feedback on their performance and on how they affect staff members, to better target their efforts to improve.</w:t>
      </w:r>
    </w:p>
    <w:p w14:paraId="11569483" w14:textId="5987AB90" w:rsidR="002C2D94" w:rsidRDefault="002C2D94" w:rsidP="002C2D94">
      <w:r>
        <w:t xml:space="preserve">The following recommendations are designed to help leaders as they work to better support </w:t>
      </w:r>
      <w:r>
        <w:rPr>
          <w:spacing w:val="-2"/>
        </w:rPr>
        <w:t xml:space="preserve">overall </w:t>
      </w:r>
      <w:r>
        <w:t>organisational</w:t>
      </w:r>
      <w:r>
        <w:rPr>
          <w:spacing w:val="9"/>
        </w:rPr>
        <w:t xml:space="preserve"> </w:t>
      </w:r>
      <w:r>
        <w:t>performance</w:t>
      </w:r>
      <w:r w:rsidR="0068598E">
        <w:rPr>
          <w:spacing w:val="-19"/>
        </w:rPr>
        <w:t>.</w:t>
      </w:r>
    </w:p>
    <w:p w14:paraId="3A64C7E9" w14:textId="77777777" w:rsidR="002C2D94" w:rsidRDefault="002C2D94" w:rsidP="002C2D94">
      <w:pPr>
        <w:pStyle w:val="Heading4"/>
      </w:pPr>
      <w:r>
        <w:t>Leaders</w:t>
      </w:r>
      <w:r>
        <w:rPr>
          <w:spacing w:val="1"/>
        </w:rPr>
        <w:t xml:space="preserve"> </w:t>
      </w:r>
      <w:r>
        <w:t>model</w:t>
      </w:r>
      <w:r>
        <w:rPr>
          <w:spacing w:val="1"/>
        </w:rPr>
        <w:t xml:space="preserve"> </w:t>
      </w:r>
      <w:r>
        <w:t>the</w:t>
      </w:r>
      <w:r>
        <w:rPr>
          <w:spacing w:val="2"/>
        </w:rPr>
        <w:t xml:space="preserve"> </w:t>
      </w:r>
      <w:r>
        <w:rPr>
          <w:spacing w:val="-2"/>
        </w:rPr>
        <w:t>change</w:t>
      </w:r>
    </w:p>
    <w:p w14:paraId="47561BEC" w14:textId="77777777" w:rsidR="002C2D94" w:rsidRDefault="002C2D94" w:rsidP="002C2D94">
      <w:r>
        <w:t>Leaders are always being observed, so what they say, how they act, and what they prioritise has a strong influence on the culture of the organisation (Chief Executive Women and Male Champions of Change 2014). For example, decisions and responses to matters such as failures and mistakes, risk incidents, role appointments and project outcomes send strong signals on what the organisation truly</w:t>
      </w:r>
      <w:r>
        <w:rPr>
          <w:spacing w:val="-6"/>
        </w:rPr>
        <w:t xml:space="preserve"> </w:t>
      </w:r>
      <w:r>
        <w:t>values</w:t>
      </w:r>
      <w:r>
        <w:rPr>
          <w:spacing w:val="-6"/>
        </w:rPr>
        <w:t xml:space="preserve"> </w:t>
      </w:r>
      <w:r>
        <w:t>(Muth</w:t>
      </w:r>
      <w:r>
        <w:rPr>
          <w:spacing w:val="-6"/>
        </w:rPr>
        <w:t xml:space="preserve"> </w:t>
      </w:r>
      <w:r>
        <w:t>and</w:t>
      </w:r>
      <w:r>
        <w:rPr>
          <w:spacing w:val="-6"/>
        </w:rPr>
        <w:t xml:space="preserve"> </w:t>
      </w:r>
      <w:r>
        <w:t>Selden</w:t>
      </w:r>
      <w:r>
        <w:rPr>
          <w:spacing w:val="-6"/>
        </w:rPr>
        <w:t xml:space="preserve"> </w:t>
      </w:r>
      <w:r>
        <w:t>2018).</w:t>
      </w:r>
      <w:r>
        <w:rPr>
          <w:spacing w:val="-6"/>
        </w:rPr>
        <w:t xml:space="preserve"> </w:t>
      </w:r>
      <w:r>
        <w:t>These</w:t>
      </w:r>
      <w:r>
        <w:rPr>
          <w:spacing w:val="-6"/>
        </w:rPr>
        <w:t xml:space="preserve"> </w:t>
      </w:r>
      <w:r>
        <w:t>behaviours</w:t>
      </w:r>
      <w:r>
        <w:rPr>
          <w:spacing w:val="-6"/>
        </w:rPr>
        <w:t xml:space="preserve"> </w:t>
      </w:r>
      <w:r>
        <w:t>need</w:t>
      </w:r>
      <w:r>
        <w:rPr>
          <w:spacing w:val="-6"/>
        </w:rPr>
        <w:t xml:space="preserve"> </w:t>
      </w:r>
      <w:r>
        <w:t>to</w:t>
      </w:r>
      <w:r>
        <w:rPr>
          <w:spacing w:val="-6"/>
        </w:rPr>
        <w:t xml:space="preserve"> </w:t>
      </w:r>
      <w:r>
        <w:t>be</w:t>
      </w:r>
      <w:r>
        <w:rPr>
          <w:spacing w:val="-6"/>
        </w:rPr>
        <w:t xml:space="preserve"> </w:t>
      </w:r>
      <w:r>
        <w:t>consistent</w:t>
      </w:r>
      <w:r>
        <w:rPr>
          <w:spacing w:val="-6"/>
        </w:rPr>
        <w:t xml:space="preserve"> </w:t>
      </w:r>
      <w:r>
        <w:t>with</w:t>
      </w:r>
      <w:r>
        <w:rPr>
          <w:spacing w:val="-6"/>
        </w:rPr>
        <w:t xml:space="preserve"> </w:t>
      </w:r>
      <w:r>
        <w:t>the</w:t>
      </w:r>
      <w:r>
        <w:rPr>
          <w:spacing w:val="-6"/>
        </w:rPr>
        <w:t xml:space="preserve"> </w:t>
      </w:r>
      <w:r>
        <w:t>organisational characteristics and the culture the RBA needs to achieve. For staff members, the bar is high.</w:t>
      </w:r>
    </w:p>
    <w:p w14:paraId="4A645525" w14:textId="1ECF0A45" w:rsidR="002C2D94" w:rsidRDefault="002C2D94" w:rsidP="002C2D94">
      <w:pPr>
        <w:rPr>
          <w:color w:val="231F20"/>
          <w:spacing w:val="-10"/>
          <w:w w:val="85"/>
        </w:rPr>
      </w:pPr>
      <w:r>
        <w:t>The</w:t>
      </w:r>
      <w:r>
        <w:rPr>
          <w:spacing w:val="-2"/>
        </w:rPr>
        <w:t xml:space="preserve"> </w:t>
      </w:r>
      <w:r>
        <w:t>Review</w:t>
      </w:r>
      <w:r>
        <w:rPr>
          <w:spacing w:val="-1"/>
        </w:rPr>
        <w:t xml:space="preserve"> </w:t>
      </w:r>
      <w:r>
        <w:t>offers</w:t>
      </w:r>
      <w:r>
        <w:rPr>
          <w:spacing w:val="-2"/>
        </w:rPr>
        <w:t xml:space="preserve"> </w:t>
      </w:r>
      <w:r>
        <w:t>suggestions</w:t>
      </w:r>
      <w:r>
        <w:rPr>
          <w:spacing w:val="-1"/>
        </w:rPr>
        <w:t xml:space="preserve"> </w:t>
      </w:r>
      <w:r>
        <w:t>for</w:t>
      </w:r>
      <w:r>
        <w:rPr>
          <w:spacing w:val="-2"/>
        </w:rPr>
        <w:t xml:space="preserve"> </w:t>
      </w:r>
      <w:r>
        <w:t>implementing</w:t>
      </w:r>
      <w:r>
        <w:rPr>
          <w:spacing w:val="-1"/>
        </w:rPr>
        <w:t xml:space="preserve"> </w:t>
      </w:r>
      <w:r>
        <w:t>Recommendation</w:t>
      </w:r>
      <w:r>
        <w:rPr>
          <w:spacing w:val="-2"/>
        </w:rPr>
        <w:t xml:space="preserve"> </w:t>
      </w:r>
      <w:r>
        <w:t>13.1,</w:t>
      </w:r>
      <w:r>
        <w:rPr>
          <w:spacing w:val="-1"/>
        </w:rPr>
        <w:t xml:space="preserve"> </w:t>
      </w:r>
      <w:r>
        <w:t>highlighted</w:t>
      </w:r>
      <w:r>
        <w:rPr>
          <w:spacing w:val="-2"/>
        </w:rPr>
        <w:t xml:space="preserve"> </w:t>
      </w:r>
      <w:r>
        <w:t>in</w:t>
      </w:r>
      <w:r>
        <w:rPr>
          <w:spacing w:val="-1"/>
        </w:rPr>
        <w:t xml:space="preserve"> </w:t>
      </w:r>
      <w:r>
        <w:t>bold</w:t>
      </w:r>
      <w:r>
        <w:rPr>
          <w:spacing w:val="-1"/>
        </w:rPr>
        <w:t xml:space="preserve"> </w:t>
      </w:r>
      <w:r>
        <w:rPr>
          <w:spacing w:val="-4"/>
        </w:rPr>
        <w:t xml:space="preserve">text </w:t>
      </w:r>
      <w:r>
        <w:rPr>
          <w:color w:val="231F20"/>
        </w:rPr>
        <w:t>throughout</w:t>
      </w:r>
      <w:r>
        <w:rPr>
          <w:color w:val="231F20"/>
          <w:spacing w:val="5"/>
        </w:rPr>
        <w:t xml:space="preserve"> </w:t>
      </w:r>
      <w:r>
        <w:rPr>
          <w:color w:val="231F20"/>
        </w:rPr>
        <w:t>this</w:t>
      </w:r>
      <w:r>
        <w:rPr>
          <w:color w:val="231F20"/>
          <w:spacing w:val="6"/>
        </w:rPr>
        <w:t xml:space="preserve"> </w:t>
      </w:r>
      <w:r>
        <w:rPr>
          <w:color w:val="231F20"/>
        </w:rPr>
        <w:t>section</w:t>
      </w:r>
      <w:r w:rsidR="0068598E">
        <w:rPr>
          <w:color w:val="231F20"/>
          <w:spacing w:val="-21"/>
        </w:rPr>
        <w:t>.</w:t>
      </w:r>
    </w:p>
    <w:p w14:paraId="7049C640" w14:textId="623FFBE3" w:rsidR="001F102C" w:rsidRDefault="002C2D94" w:rsidP="002C2D94">
      <w:r w:rsidRPr="002C2D94">
        <w:rPr>
          <w:rFonts w:cs="Calibri Light"/>
          <w:b/>
        </w:rPr>
        <w:t>The RBA’s leaders should adopt behaviours to demonstrate the changes the organisation should seek to achieve.</w:t>
      </w:r>
      <w:r>
        <w:rPr>
          <w:rFonts w:ascii="Open Sans" w:hAnsi="Open Sans"/>
          <w:b/>
        </w:rPr>
        <w:t xml:space="preserve"> </w:t>
      </w:r>
      <w:r>
        <w:t>Table 6</w:t>
      </w:r>
      <w:r w:rsidR="0068598E">
        <w:rPr>
          <w:spacing w:val="-20"/>
        </w:rPr>
        <w:t>.</w:t>
      </w:r>
      <w:r>
        <w:rPr>
          <w:w w:val="126"/>
        </w:rPr>
        <w:t>1</w:t>
      </w:r>
      <w:r>
        <w:rPr>
          <w:w w:val="99"/>
        </w:rPr>
        <w:t xml:space="preserve"> </w:t>
      </w:r>
      <w:r>
        <w:t>sets out the 3 organisational characteristics the RBA should seek to achieve, examples of the leaders’ behaviours needed to achieve them, and areas that could be the focus of performance assessments. The cumulative effect of these actions and interactions will help to change the lived experience of RBA employees.</w:t>
      </w:r>
    </w:p>
    <w:p w14:paraId="0D3725B4" w14:textId="4C92D8BA" w:rsidR="002C2D94" w:rsidRDefault="002C2D94">
      <w:pPr>
        <w:spacing w:before="0" w:after="160" w:line="259" w:lineRule="auto"/>
      </w:pPr>
      <w:r>
        <w:br w:type="page"/>
      </w:r>
    </w:p>
    <w:p w14:paraId="6EA4DC7A" w14:textId="77777777" w:rsidR="00751747" w:rsidRDefault="00751747" w:rsidP="00751747">
      <w:pPr>
        <w:pStyle w:val="BoxHeading"/>
      </w:pPr>
      <w:r>
        <w:lastRenderedPageBreak/>
        <w:t>Table</w:t>
      </w:r>
      <w:r>
        <w:rPr>
          <w:spacing w:val="-5"/>
        </w:rPr>
        <w:t xml:space="preserve"> </w:t>
      </w:r>
      <w:r>
        <w:t>6.1:</w:t>
      </w:r>
      <w:r>
        <w:rPr>
          <w:spacing w:val="-2"/>
        </w:rPr>
        <w:t xml:space="preserve"> </w:t>
      </w:r>
      <w:r>
        <w:t>Examples</w:t>
      </w:r>
      <w:r>
        <w:rPr>
          <w:spacing w:val="-3"/>
        </w:rPr>
        <w:t xml:space="preserve"> </w:t>
      </w:r>
      <w:r>
        <w:t>of</w:t>
      </w:r>
      <w:r>
        <w:rPr>
          <w:spacing w:val="-2"/>
        </w:rPr>
        <w:t xml:space="preserve"> </w:t>
      </w:r>
      <w:r>
        <w:t>contributing</w:t>
      </w:r>
      <w:r>
        <w:rPr>
          <w:spacing w:val="-2"/>
        </w:rPr>
        <w:t xml:space="preserve"> </w:t>
      </w:r>
      <w:r>
        <w:t>behaviours</w:t>
      </w:r>
      <w:r>
        <w:rPr>
          <w:spacing w:val="-3"/>
        </w:rPr>
        <w:t xml:space="preserve"> </w:t>
      </w:r>
      <w:r>
        <w:t>by</w:t>
      </w:r>
      <w:r>
        <w:rPr>
          <w:spacing w:val="-2"/>
        </w:rPr>
        <w:t xml:space="preserve"> </w:t>
      </w:r>
      <w:r>
        <w:t>organisational</w:t>
      </w:r>
      <w:r>
        <w:rPr>
          <w:spacing w:val="-2"/>
        </w:rPr>
        <w:t xml:space="preserve"> characteristic</w:t>
      </w:r>
    </w:p>
    <w:p w14:paraId="45AB2B9B" w14:textId="77777777" w:rsidR="00751747" w:rsidRDefault="00751747" w:rsidP="00751747">
      <w:pPr>
        <w:pStyle w:val="BodyText"/>
        <w:spacing w:before="7"/>
        <w:rPr>
          <w:rFonts w:ascii="Open Sans"/>
          <w:b/>
          <w:sz w:val="14"/>
        </w:rPr>
      </w:pPr>
    </w:p>
    <w:tbl>
      <w:tblPr>
        <w:tblW w:w="0" w:type="auto"/>
        <w:tblInd w:w="287" w:type="dxa"/>
        <w:tblLayout w:type="fixed"/>
        <w:tblCellMar>
          <w:left w:w="0" w:type="dxa"/>
          <w:right w:w="0" w:type="dxa"/>
        </w:tblCellMar>
        <w:tblLook w:val="01E0" w:firstRow="1" w:lastRow="1" w:firstColumn="1" w:lastColumn="1" w:noHBand="0" w:noVBand="0"/>
      </w:tblPr>
      <w:tblGrid>
        <w:gridCol w:w="2569"/>
        <w:gridCol w:w="2689"/>
        <w:gridCol w:w="2573"/>
      </w:tblGrid>
      <w:tr w:rsidR="00751747" w14:paraId="3237FD43" w14:textId="77777777" w:rsidTr="00DE0AC9">
        <w:trPr>
          <w:trHeight w:val="862"/>
        </w:trPr>
        <w:tc>
          <w:tcPr>
            <w:tcW w:w="2569" w:type="dxa"/>
            <w:tcBorders>
              <w:bottom w:val="single" w:sz="4" w:space="0" w:color="auto"/>
              <w:right w:val="single" w:sz="2" w:space="0" w:color="7F859B"/>
            </w:tcBorders>
          </w:tcPr>
          <w:p w14:paraId="52B4B9BE" w14:textId="77777777" w:rsidR="00751747" w:rsidRPr="00DE0AC9" w:rsidRDefault="00751747" w:rsidP="00F22AE5">
            <w:pPr>
              <w:pStyle w:val="TableParagraph"/>
              <w:spacing w:before="135" w:line="220" w:lineRule="auto"/>
              <w:ind w:left="47" w:right="350"/>
              <w:rPr>
                <w:rFonts w:ascii="Calibri Light" w:hAnsi="Calibri Light" w:cs="Calibri Light"/>
                <w:b/>
                <w:sz w:val="20"/>
                <w:szCs w:val="28"/>
              </w:rPr>
            </w:pPr>
            <w:r w:rsidRPr="00DE0AC9">
              <w:rPr>
                <w:rFonts w:ascii="Calibri Light" w:hAnsi="Calibri Light" w:cs="Calibri Light"/>
                <w:b/>
                <w:color w:val="231F20"/>
                <w:sz w:val="20"/>
                <w:szCs w:val="28"/>
              </w:rPr>
              <w:t>Adaptable and open to change and innovation with</w:t>
            </w:r>
            <w:r w:rsidRPr="00DE0AC9">
              <w:rPr>
                <w:rFonts w:ascii="Calibri Light" w:hAnsi="Calibri Light" w:cs="Calibri Light"/>
                <w:b/>
                <w:color w:val="231F20"/>
                <w:spacing w:val="-4"/>
                <w:sz w:val="20"/>
                <w:szCs w:val="28"/>
              </w:rPr>
              <w:t xml:space="preserve"> </w:t>
            </w:r>
            <w:r w:rsidRPr="00DE0AC9">
              <w:rPr>
                <w:rFonts w:ascii="Calibri Light" w:hAnsi="Calibri Light" w:cs="Calibri Light"/>
                <w:b/>
                <w:color w:val="231F20"/>
                <w:sz w:val="20"/>
                <w:szCs w:val="28"/>
              </w:rPr>
              <w:t>an</w:t>
            </w:r>
            <w:r w:rsidRPr="00DE0AC9">
              <w:rPr>
                <w:rFonts w:ascii="Calibri Light" w:hAnsi="Calibri Light" w:cs="Calibri Light"/>
                <w:b/>
                <w:color w:val="231F20"/>
                <w:spacing w:val="-4"/>
                <w:sz w:val="20"/>
                <w:szCs w:val="28"/>
              </w:rPr>
              <w:t xml:space="preserve"> </w:t>
            </w:r>
            <w:r w:rsidRPr="00DE0AC9">
              <w:rPr>
                <w:rFonts w:ascii="Calibri Light" w:hAnsi="Calibri Light" w:cs="Calibri Light"/>
                <w:b/>
                <w:color w:val="231F20"/>
                <w:sz w:val="20"/>
                <w:szCs w:val="28"/>
              </w:rPr>
              <w:t>empowered</w:t>
            </w:r>
            <w:r w:rsidRPr="00DE0AC9">
              <w:rPr>
                <w:rFonts w:ascii="Calibri Light" w:hAnsi="Calibri Light" w:cs="Calibri Light"/>
                <w:b/>
                <w:color w:val="231F20"/>
                <w:spacing w:val="-4"/>
                <w:sz w:val="20"/>
                <w:szCs w:val="28"/>
              </w:rPr>
              <w:t xml:space="preserve"> </w:t>
            </w:r>
            <w:r w:rsidRPr="00DE0AC9">
              <w:rPr>
                <w:rFonts w:ascii="Calibri Light" w:hAnsi="Calibri Light" w:cs="Calibri Light"/>
                <w:b/>
                <w:color w:val="231F20"/>
                <w:sz w:val="20"/>
                <w:szCs w:val="28"/>
              </w:rPr>
              <w:t>staff</w:t>
            </w:r>
          </w:p>
        </w:tc>
        <w:tc>
          <w:tcPr>
            <w:tcW w:w="2689" w:type="dxa"/>
            <w:tcBorders>
              <w:left w:val="single" w:sz="2" w:space="0" w:color="7F859B"/>
              <w:bottom w:val="single" w:sz="4" w:space="0" w:color="auto"/>
              <w:right w:val="single" w:sz="2" w:space="0" w:color="7F859B"/>
            </w:tcBorders>
          </w:tcPr>
          <w:p w14:paraId="7A467F18" w14:textId="77777777" w:rsidR="00751747" w:rsidRPr="00DE0AC9" w:rsidRDefault="00751747" w:rsidP="00F22AE5">
            <w:pPr>
              <w:pStyle w:val="TableParagraph"/>
              <w:spacing w:before="135" w:line="220" w:lineRule="auto"/>
              <w:ind w:left="167" w:right="156"/>
              <w:rPr>
                <w:rFonts w:ascii="Calibri Light" w:hAnsi="Calibri Light" w:cs="Calibri Light"/>
                <w:b/>
                <w:sz w:val="20"/>
                <w:szCs w:val="28"/>
              </w:rPr>
            </w:pPr>
            <w:r w:rsidRPr="00DE0AC9">
              <w:rPr>
                <w:rFonts w:ascii="Calibri Light" w:hAnsi="Calibri Light" w:cs="Calibri Light"/>
                <w:b/>
                <w:color w:val="231F20"/>
                <w:sz w:val="20"/>
                <w:szCs w:val="28"/>
              </w:rPr>
              <w:t>Engages in constructive challenge</w:t>
            </w:r>
            <w:r w:rsidRPr="00DE0AC9">
              <w:rPr>
                <w:rFonts w:ascii="Calibri Light" w:hAnsi="Calibri Light" w:cs="Calibri Light"/>
                <w:b/>
                <w:color w:val="231F20"/>
                <w:spacing w:val="-3"/>
                <w:sz w:val="20"/>
                <w:szCs w:val="28"/>
              </w:rPr>
              <w:t xml:space="preserve"> </w:t>
            </w:r>
            <w:r w:rsidRPr="00DE0AC9">
              <w:rPr>
                <w:rFonts w:ascii="Calibri Light" w:hAnsi="Calibri Light" w:cs="Calibri Light"/>
                <w:b/>
                <w:color w:val="231F20"/>
                <w:sz w:val="20"/>
                <w:szCs w:val="28"/>
              </w:rPr>
              <w:t>and</w:t>
            </w:r>
            <w:r w:rsidRPr="00DE0AC9">
              <w:rPr>
                <w:rFonts w:ascii="Calibri Light" w:hAnsi="Calibri Light" w:cs="Calibri Light"/>
                <w:b/>
                <w:color w:val="231F20"/>
                <w:spacing w:val="-3"/>
                <w:sz w:val="20"/>
                <w:szCs w:val="28"/>
              </w:rPr>
              <w:t xml:space="preserve"> </w:t>
            </w:r>
            <w:r w:rsidRPr="00DE0AC9">
              <w:rPr>
                <w:rFonts w:ascii="Calibri Light" w:hAnsi="Calibri Light" w:cs="Calibri Light"/>
                <w:b/>
                <w:color w:val="231F20"/>
                <w:sz w:val="20"/>
                <w:szCs w:val="28"/>
              </w:rPr>
              <w:t>values</w:t>
            </w:r>
            <w:r w:rsidRPr="00DE0AC9">
              <w:rPr>
                <w:rFonts w:ascii="Calibri Light" w:hAnsi="Calibri Light" w:cs="Calibri Light"/>
                <w:b/>
                <w:color w:val="231F20"/>
                <w:spacing w:val="-3"/>
                <w:sz w:val="20"/>
                <w:szCs w:val="28"/>
              </w:rPr>
              <w:t xml:space="preserve"> </w:t>
            </w:r>
            <w:r w:rsidRPr="00DE0AC9">
              <w:rPr>
                <w:rFonts w:ascii="Calibri Light" w:hAnsi="Calibri Light" w:cs="Calibri Light"/>
                <w:b/>
                <w:color w:val="231F20"/>
                <w:sz w:val="20"/>
                <w:szCs w:val="28"/>
              </w:rPr>
              <w:t>diverse views in decision making</w:t>
            </w:r>
          </w:p>
        </w:tc>
        <w:tc>
          <w:tcPr>
            <w:tcW w:w="2573" w:type="dxa"/>
            <w:tcBorders>
              <w:left w:val="single" w:sz="2" w:space="0" w:color="7F859B"/>
              <w:bottom w:val="single" w:sz="4" w:space="0" w:color="auto"/>
            </w:tcBorders>
          </w:tcPr>
          <w:p w14:paraId="7D86AA16" w14:textId="77777777" w:rsidR="00751747" w:rsidRPr="00DE0AC9" w:rsidRDefault="00751747" w:rsidP="00F22AE5">
            <w:pPr>
              <w:pStyle w:val="TableParagraph"/>
              <w:spacing w:before="135" w:line="220" w:lineRule="auto"/>
              <w:ind w:left="167" w:right="377"/>
              <w:jc w:val="both"/>
              <w:rPr>
                <w:rFonts w:ascii="Calibri Light" w:hAnsi="Calibri Light" w:cs="Calibri Light"/>
                <w:b/>
                <w:sz w:val="20"/>
                <w:szCs w:val="28"/>
              </w:rPr>
            </w:pPr>
            <w:r w:rsidRPr="00DE0AC9">
              <w:rPr>
                <w:rFonts w:ascii="Calibri Light" w:hAnsi="Calibri Light" w:cs="Calibri Light"/>
                <w:b/>
                <w:color w:val="231F20"/>
                <w:sz w:val="20"/>
                <w:szCs w:val="28"/>
              </w:rPr>
              <w:t>Embraces</w:t>
            </w:r>
            <w:r w:rsidRPr="00DE0AC9">
              <w:rPr>
                <w:rFonts w:ascii="Calibri Light" w:hAnsi="Calibri Light" w:cs="Calibri Light"/>
                <w:b/>
                <w:color w:val="231F20"/>
                <w:spacing w:val="-3"/>
                <w:sz w:val="20"/>
                <w:szCs w:val="28"/>
              </w:rPr>
              <w:t xml:space="preserve"> </w:t>
            </w:r>
            <w:r w:rsidRPr="00DE0AC9">
              <w:rPr>
                <w:rFonts w:ascii="Calibri Light" w:hAnsi="Calibri Light" w:cs="Calibri Light"/>
                <w:b/>
                <w:color w:val="231F20"/>
                <w:sz w:val="20"/>
                <w:szCs w:val="28"/>
              </w:rPr>
              <w:t>accountability as</w:t>
            </w:r>
            <w:r w:rsidRPr="00DE0AC9">
              <w:rPr>
                <w:rFonts w:ascii="Calibri Light" w:hAnsi="Calibri Light" w:cs="Calibri Light"/>
                <w:b/>
                <w:color w:val="231F20"/>
                <w:spacing w:val="-1"/>
                <w:sz w:val="20"/>
                <w:szCs w:val="28"/>
              </w:rPr>
              <w:t xml:space="preserve"> </w:t>
            </w:r>
            <w:r w:rsidRPr="00DE0AC9">
              <w:rPr>
                <w:rFonts w:ascii="Calibri Light" w:hAnsi="Calibri Light" w:cs="Calibri Light"/>
                <w:b/>
                <w:color w:val="231F20"/>
                <w:sz w:val="20"/>
                <w:szCs w:val="28"/>
              </w:rPr>
              <w:t>individuals,</w:t>
            </w:r>
            <w:r w:rsidRPr="00DE0AC9">
              <w:rPr>
                <w:rFonts w:ascii="Calibri Light" w:hAnsi="Calibri Light" w:cs="Calibri Light"/>
                <w:b/>
                <w:color w:val="231F20"/>
                <w:spacing w:val="-1"/>
                <w:sz w:val="20"/>
                <w:szCs w:val="28"/>
              </w:rPr>
              <w:t xml:space="preserve"> </w:t>
            </w:r>
            <w:r w:rsidRPr="00DE0AC9">
              <w:rPr>
                <w:rFonts w:ascii="Calibri Light" w:hAnsi="Calibri Light" w:cs="Calibri Light"/>
                <w:b/>
                <w:color w:val="231F20"/>
                <w:sz w:val="20"/>
                <w:szCs w:val="28"/>
              </w:rPr>
              <w:t>as</w:t>
            </w:r>
            <w:r w:rsidRPr="00DE0AC9">
              <w:rPr>
                <w:rFonts w:ascii="Calibri Light" w:hAnsi="Calibri Light" w:cs="Calibri Light"/>
                <w:b/>
                <w:color w:val="231F20"/>
                <w:spacing w:val="-1"/>
                <w:sz w:val="20"/>
                <w:szCs w:val="28"/>
              </w:rPr>
              <w:t xml:space="preserve"> </w:t>
            </w:r>
            <w:r w:rsidRPr="00DE0AC9">
              <w:rPr>
                <w:rFonts w:ascii="Calibri Light" w:hAnsi="Calibri Light" w:cs="Calibri Light"/>
                <w:b/>
                <w:color w:val="231F20"/>
                <w:sz w:val="20"/>
                <w:szCs w:val="28"/>
              </w:rPr>
              <w:t>leaders and as an institution</w:t>
            </w:r>
          </w:p>
        </w:tc>
      </w:tr>
      <w:tr w:rsidR="00751747" w14:paraId="126D1507" w14:textId="77777777" w:rsidTr="00DE0AC9">
        <w:trPr>
          <w:trHeight w:val="5681"/>
        </w:trPr>
        <w:tc>
          <w:tcPr>
            <w:tcW w:w="2569" w:type="dxa"/>
            <w:tcBorders>
              <w:top w:val="single" w:sz="4" w:space="0" w:color="auto"/>
              <w:right w:val="single" w:sz="2" w:space="0" w:color="7F859B"/>
            </w:tcBorders>
          </w:tcPr>
          <w:p w14:paraId="28FBC324" w14:textId="77777777" w:rsidR="00751747" w:rsidRPr="00DE0AC9" w:rsidRDefault="00751747" w:rsidP="00F22AE5">
            <w:pPr>
              <w:pStyle w:val="TableParagraph"/>
              <w:spacing w:before="136" w:line="220" w:lineRule="auto"/>
              <w:ind w:left="47" w:right="306"/>
              <w:rPr>
                <w:rFonts w:ascii="Calibri Light" w:hAnsi="Calibri Light" w:cs="Calibri Light"/>
                <w:sz w:val="20"/>
                <w:szCs w:val="28"/>
              </w:rPr>
            </w:pPr>
            <w:r w:rsidRPr="00DE0AC9">
              <w:rPr>
                <w:rFonts w:ascii="Calibri Light" w:hAnsi="Calibri Light" w:cs="Calibri Light"/>
                <w:b/>
                <w:color w:val="231F20"/>
                <w:sz w:val="20"/>
                <w:szCs w:val="28"/>
              </w:rPr>
              <w:t>Leaders should empower staff</w:t>
            </w:r>
            <w:r w:rsidRPr="00DE0AC9">
              <w:rPr>
                <w:rFonts w:ascii="Calibri Light" w:hAnsi="Calibri Light" w:cs="Calibri Light"/>
                <w:b/>
                <w:color w:val="231F20"/>
                <w:spacing w:val="-2"/>
                <w:sz w:val="20"/>
                <w:szCs w:val="28"/>
              </w:rPr>
              <w:t xml:space="preserve"> </w:t>
            </w:r>
            <w:r w:rsidRPr="00DE0AC9">
              <w:rPr>
                <w:rFonts w:ascii="Calibri Light" w:hAnsi="Calibri Light" w:cs="Calibri Light"/>
                <w:b/>
                <w:color w:val="231F20"/>
                <w:sz w:val="20"/>
                <w:szCs w:val="28"/>
              </w:rPr>
              <w:t>members:</w:t>
            </w:r>
            <w:r w:rsidRPr="00DE0AC9">
              <w:rPr>
                <w:rFonts w:ascii="Calibri Light" w:hAnsi="Calibri Light" w:cs="Calibri Light"/>
                <w:b/>
                <w:color w:val="231F20"/>
                <w:spacing w:val="-2"/>
                <w:sz w:val="20"/>
                <w:szCs w:val="28"/>
              </w:rPr>
              <w:t xml:space="preserve"> </w:t>
            </w:r>
            <w:r w:rsidRPr="00DE0AC9">
              <w:rPr>
                <w:rFonts w:ascii="Calibri Light" w:hAnsi="Calibri Light" w:cs="Calibri Light"/>
                <w:color w:val="231F20"/>
                <w:sz w:val="20"/>
                <w:szCs w:val="28"/>
              </w:rPr>
              <w:t>actively</w:t>
            </w:r>
            <w:r w:rsidRPr="00DE0AC9">
              <w:rPr>
                <w:rFonts w:ascii="Calibri Light" w:hAnsi="Calibri Light" w:cs="Calibri Light"/>
                <w:color w:val="231F20"/>
                <w:spacing w:val="-2"/>
                <w:sz w:val="20"/>
                <w:szCs w:val="28"/>
              </w:rPr>
              <w:t xml:space="preserve"> </w:t>
            </w:r>
            <w:r w:rsidRPr="00DE0AC9">
              <w:rPr>
                <w:rFonts w:ascii="Calibri Light" w:hAnsi="Calibri Light" w:cs="Calibri Light"/>
                <w:color w:val="231F20"/>
                <w:sz w:val="20"/>
                <w:szCs w:val="28"/>
              </w:rPr>
              <w:t>push decisions down to the lowest appropriate level and look for opportunities to encourage this to occur</w:t>
            </w:r>
          </w:p>
          <w:p w14:paraId="5D7A00B6" w14:textId="77777777" w:rsidR="00751747" w:rsidRPr="00DE0AC9" w:rsidRDefault="00751747" w:rsidP="00F22AE5">
            <w:pPr>
              <w:pStyle w:val="TableParagraph"/>
              <w:spacing w:before="111" w:line="220" w:lineRule="auto"/>
              <w:ind w:left="47" w:right="283"/>
              <w:rPr>
                <w:rFonts w:ascii="Calibri Light" w:hAnsi="Calibri Light" w:cs="Calibri Light"/>
                <w:sz w:val="20"/>
                <w:szCs w:val="28"/>
              </w:rPr>
            </w:pPr>
            <w:r w:rsidRPr="00DE0AC9">
              <w:rPr>
                <w:rFonts w:ascii="Calibri Light" w:hAnsi="Calibri Light" w:cs="Calibri Light"/>
                <w:b/>
                <w:color w:val="231F20"/>
                <w:sz w:val="20"/>
                <w:szCs w:val="28"/>
              </w:rPr>
              <w:t xml:space="preserve">Leaders should innovate: </w:t>
            </w:r>
            <w:r w:rsidRPr="00DE0AC9">
              <w:rPr>
                <w:rFonts w:ascii="Calibri Light" w:hAnsi="Calibri Light" w:cs="Calibri Light"/>
                <w:color w:val="231F20"/>
                <w:sz w:val="20"/>
                <w:szCs w:val="28"/>
              </w:rPr>
              <w:t>provide clear guidance on the RBA’s risk appetite to enable staff to innovate and adopt</w:t>
            </w:r>
            <w:r w:rsidRPr="00DE0AC9">
              <w:rPr>
                <w:rFonts w:ascii="Calibri Light" w:hAnsi="Calibri Light" w:cs="Calibri Light"/>
                <w:color w:val="231F20"/>
                <w:spacing w:val="40"/>
                <w:sz w:val="20"/>
                <w:szCs w:val="28"/>
              </w:rPr>
              <w:t xml:space="preserve"> </w:t>
            </w:r>
            <w:r w:rsidRPr="00DE0AC9">
              <w:rPr>
                <w:rFonts w:ascii="Calibri Light" w:hAnsi="Calibri Light" w:cs="Calibri Light"/>
                <w:color w:val="231F20"/>
                <w:sz w:val="20"/>
                <w:szCs w:val="28"/>
              </w:rPr>
              <w:t>new</w:t>
            </w:r>
            <w:r w:rsidRPr="00DE0AC9">
              <w:rPr>
                <w:rFonts w:ascii="Calibri Light" w:hAnsi="Calibri Light" w:cs="Calibri Light"/>
                <w:color w:val="231F20"/>
                <w:spacing w:val="-5"/>
                <w:sz w:val="20"/>
                <w:szCs w:val="28"/>
              </w:rPr>
              <w:t xml:space="preserve"> </w:t>
            </w:r>
            <w:r w:rsidRPr="00DE0AC9">
              <w:rPr>
                <w:rFonts w:ascii="Calibri Light" w:hAnsi="Calibri Light" w:cs="Calibri Light"/>
                <w:color w:val="231F20"/>
                <w:sz w:val="20"/>
                <w:szCs w:val="28"/>
              </w:rPr>
              <w:t>ways</w:t>
            </w:r>
            <w:r w:rsidRPr="00DE0AC9">
              <w:rPr>
                <w:rFonts w:ascii="Calibri Light" w:hAnsi="Calibri Light" w:cs="Calibri Light"/>
                <w:color w:val="231F20"/>
                <w:spacing w:val="-5"/>
                <w:sz w:val="20"/>
                <w:szCs w:val="28"/>
              </w:rPr>
              <w:t xml:space="preserve"> </w:t>
            </w:r>
            <w:r w:rsidRPr="00DE0AC9">
              <w:rPr>
                <w:rFonts w:ascii="Calibri Light" w:hAnsi="Calibri Light" w:cs="Calibri Light"/>
                <w:color w:val="231F20"/>
                <w:sz w:val="20"/>
                <w:szCs w:val="28"/>
              </w:rPr>
              <w:t>of</w:t>
            </w:r>
            <w:r w:rsidRPr="00DE0AC9">
              <w:rPr>
                <w:rFonts w:ascii="Calibri Light" w:hAnsi="Calibri Light" w:cs="Calibri Light"/>
                <w:color w:val="231F20"/>
                <w:spacing w:val="-5"/>
                <w:sz w:val="20"/>
                <w:szCs w:val="28"/>
              </w:rPr>
              <w:t xml:space="preserve"> </w:t>
            </w:r>
            <w:r w:rsidRPr="00DE0AC9">
              <w:rPr>
                <w:rFonts w:ascii="Calibri Light" w:hAnsi="Calibri Light" w:cs="Calibri Light"/>
                <w:color w:val="231F20"/>
                <w:sz w:val="20"/>
                <w:szCs w:val="28"/>
              </w:rPr>
              <w:t>doing</w:t>
            </w:r>
            <w:r w:rsidRPr="00DE0AC9">
              <w:rPr>
                <w:rFonts w:ascii="Calibri Light" w:hAnsi="Calibri Light" w:cs="Calibri Light"/>
                <w:color w:val="231F20"/>
                <w:spacing w:val="-5"/>
                <w:sz w:val="20"/>
                <w:szCs w:val="28"/>
              </w:rPr>
              <w:t xml:space="preserve"> </w:t>
            </w:r>
            <w:r w:rsidRPr="00DE0AC9">
              <w:rPr>
                <w:rFonts w:ascii="Calibri Light" w:hAnsi="Calibri Light" w:cs="Calibri Light"/>
                <w:color w:val="231F20"/>
                <w:sz w:val="20"/>
                <w:szCs w:val="28"/>
              </w:rPr>
              <w:t>things</w:t>
            </w:r>
            <w:r w:rsidRPr="00DE0AC9">
              <w:rPr>
                <w:rFonts w:ascii="Calibri Light" w:hAnsi="Calibri Light" w:cs="Calibri Light"/>
                <w:color w:val="231F20"/>
                <w:spacing w:val="-5"/>
                <w:sz w:val="20"/>
                <w:szCs w:val="28"/>
              </w:rPr>
              <w:t xml:space="preserve"> </w:t>
            </w:r>
            <w:r w:rsidRPr="00DE0AC9">
              <w:rPr>
                <w:rFonts w:ascii="Calibri Light" w:hAnsi="Calibri Light" w:cs="Calibri Light"/>
                <w:color w:val="231F20"/>
                <w:sz w:val="20"/>
                <w:szCs w:val="28"/>
              </w:rPr>
              <w:t>or</w:t>
            </w:r>
            <w:r w:rsidRPr="00DE0AC9">
              <w:rPr>
                <w:rFonts w:ascii="Calibri Light" w:hAnsi="Calibri Light" w:cs="Calibri Light"/>
                <w:color w:val="231F20"/>
                <w:spacing w:val="-5"/>
                <w:sz w:val="20"/>
                <w:szCs w:val="28"/>
              </w:rPr>
              <w:t xml:space="preserve"> </w:t>
            </w:r>
            <w:r w:rsidRPr="00DE0AC9">
              <w:rPr>
                <w:rFonts w:ascii="Calibri Light" w:hAnsi="Calibri Light" w:cs="Calibri Light"/>
                <w:color w:val="231F20"/>
                <w:sz w:val="20"/>
                <w:szCs w:val="28"/>
              </w:rPr>
              <w:t>try and fail fast, and celebrate the lessons</w:t>
            </w:r>
            <w:r w:rsidRPr="00DE0AC9">
              <w:rPr>
                <w:rFonts w:ascii="Calibri Light" w:hAnsi="Calibri Light" w:cs="Calibri Light"/>
                <w:color w:val="231F20"/>
                <w:spacing w:val="-7"/>
                <w:sz w:val="20"/>
                <w:szCs w:val="28"/>
              </w:rPr>
              <w:t xml:space="preserve"> </w:t>
            </w:r>
            <w:r w:rsidRPr="00DE0AC9">
              <w:rPr>
                <w:rFonts w:ascii="Calibri Light" w:hAnsi="Calibri Light" w:cs="Calibri Light"/>
                <w:color w:val="231F20"/>
                <w:sz w:val="20"/>
                <w:szCs w:val="28"/>
              </w:rPr>
              <w:t>learned</w:t>
            </w:r>
          </w:p>
          <w:p w14:paraId="2C7A2EA5" w14:textId="77777777" w:rsidR="00751747" w:rsidRPr="00DE0AC9" w:rsidRDefault="00751747" w:rsidP="00F22AE5">
            <w:pPr>
              <w:pStyle w:val="TableParagraph"/>
              <w:spacing w:before="110" w:line="220" w:lineRule="auto"/>
              <w:ind w:left="47" w:right="159"/>
              <w:rPr>
                <w:rFonts w:ascii="Calibri Light" w:hAnsi="Calibri Light" w:cs="Calibri Light"/>
                <w:sz w:val="20"/>
                <w:szCs w:val="28"/>
              </w:rPr>
            </w:pPr>
            <w:r w:rsidRPr="00DE0AC9">
              <w:rPr>
                <w:rFonts w:ascii="Calibri Light" w:hAnsi="Calibri Light" w:cs="Calibri Light"/>
                <w:b/>
                <w:color w:val="231F20"/>
                <w:sz w:val="20"/>
                <w:szCs w:val="28"/>
              </w:rPr>
              <w:t>Leaders</w:t>
            </w:r>
            <w:r w:rsidRPr="00DE0AC9">
              <w:rPr>
                <w:rFonts w:ascii="Calibri Light" w:hAnsi="Calibri Light" w:cs="Calibri Light"/>
                <w:b/>
                <w:color w:val="231F20"/>
                <w:spacing w:val="-7"/>
                <w:sz w:val="20"/>
                <w:szCs w:val="28"/>
              </w:rPr>
              <w:t xml:space="preserve"> </w:t>
            </w:r>
            <w:r w:rsidRPr="00DE0AC9">
              <w:rPr>
                <w:rFonts w:ascii="Calibri Light" w:hAnsi="Calibri Light" w:cs="Calibri Light"/>
                <w:b/>
                <w:color w:val="231F20"/>
                <w:sz w:val="20"/>
                <w:szCs w:val="28"/>
              </w:rPr>
              <w:t>should</w:t>
            </w:r>
            <w:r w:rsidRPr="00DE0AC9">
              <w:rPr>
                <w:rFonts w:ascii="Calibri Light" w:hAnsi="Calibri Light" w:cs="Calibri Light"/>
                <w:b/>
                <w:color w:val="231F20"/>
                <w:spacing w:val="-7"/>
                <w:sz w:val="20"/>
                <w:szCs w:val="28"/>
              </w:rPr>
              <w:t xml:space="preserve"> </w:t>
            </w:r>
            <w:r w:rsidRPr="00DE0AC9">
              <w:rPr>
                <w:rFonts w:ascii="Calibri Light" w:hAnsi="Calibri Light" w:cs="Calibri Light"/>
                <w:b/>
                <w:color w:val="231F20"/>
                <w:sz w:val="20"/>
                <w:szCs w:val="28"/>
              </w:rPr>
              <w:t>be</w:t>
            </w:r>
            <w:r w:rsidRPr="00DE0AC9">
              <w:rPr>
                <w:rFonts w:ascii="Calibri Light" w:hAnsi="Calibri Light" w:cs="Calibri Light"/>
                <w:b/>
                <w:color w:val="231F20"/>
                <w:spacing w:val="-7"/>
                <w:sz w:val="20"/>
                <w:szCs w:val="28"/>
              </w:rPr>
              <w:t xml:space="preserve"> </w:t>
            </w:r>
            <w:r w:rsidRPr="00DE0AC9">
              <w:rPr>
                <w:rFonts w:ascii="Calibri Light" w:hAnsi="Calibri Light" w:cs="Calibri Light"/>
                <w:b/>
                <w:color w:val="231F20"/>
                <w:sz w:val="20"/>
                <w:szCs w:val="28"/>
              </w:rPr>
              <w:t xml:space="preserve">adaptable: </w:t>
            </w:r>
            <w:r w:rsidRPr="00DE0AC9">
              <w:rPr>
                <w:rFonts w:ascii="Calibri Light" w:hAnsi="Calibri Light" w:cs="Calibri Light"/>
                <w:color w:val="231F20"/>
                <w:sz w:val="20"/>
                <w:szCs w:val="28"/>
              </w:rPr>
              <w:t>demonstrate flexibility to revise organisational priorities quickly where needed; review and change structures, processes and teams as needed; develop</w:t>
            </w:r>
          </w:p>
          <w:p w14:paraId="665C3253" w14:textId="77777777" w:rsidR="00751747" w:rsidRPr="00DE0AC9" w:rsidRDefault="00751747" w:rsidP="00F22AE5">
            <w:pPr>
              <w:pStyle w:val="TableParagraph"/>
              <w:spacing w:line="220" w:lineRule="auto"/>
              <w:ind w:left="47" w:right="595"/>
              <w:rPr>
                <w:rFonts w:ascii="Calibri Light" w:hAnsi="Calibri Light" w:cs="Calibri Light"/>
                <w:sz w:val="20"/>
                <w:szCs w:val="28"/>
              </w:rPr>
            </w:pPr>
            <w:r w:rsidRPr="00DE0AC9">
              <w:rPr>
                <w:rFonts w:ascii="Calibri Light" w:hAnsi="Calibri Light" w:cs="Calibri Light"/>
                <w:color w:val="231F20"/>
                <w:sz w:val="20"/>
                <w:szCs w:val="28"/>
              </w:rPr>
              <w:t>a mix of skill sets across the</w:t>
            </w:r>
            <w:r w:rsidRPr="00DE0AC9">
              <w:rPr>
                <w:rFonts w:ascii="Calibri Light" w:hAnsi="Calibri Light" w:cs="Calibri Light"/>
                <w:color w:val="231F20"/>
                <w:spacing w:val="-9"/>
                <w:sz w:val="20"/>
                <w:szCs w:val="28"/>
              </w:rPr>
              <w:t xml:space="preserve"> </w:t>
            </w:r>
            <w:r w:rsidRPr="00DE0AC9">
              <w:rPr>
                <w:rFonts w:ascii="Calibri Light" w:hAnsi="Calibri Light" w:cs="Calibri Light"/>
                <w:color w:val="231F20"/>
                <w:sz w:val="20"/>
                <w:szCs w:val="28"/>
              </w:rPr>
              <w:t>organisation</w:t>
            </w:r>
            <w:r w:rsidRPr="00DE0AC9">
              <w:rPr>
                <w:rFonts w:ascii="Calibri Light" w:hAnsi="Calibri Light" w:cs="Calibri Light"/>
                <w:color w:val="231F20"/>
                <w:spacing w:val="-9"/>
                <w:sz w:val="20"/>
                <w:szCs w:val="28"/>
              </w:rPr>
              <w:t xml:space="preserve"> </w:t>
            </w:r>
            <w:r w:rsidRPr="00DE0AC9">
              <w:rPr>
                <w:rFonts w:ascii="Calibri Light" w:hAnsi="Calibri Light" w:cs="Calibri Light"/>
                <w:color w:val="231F20"/>
                <w:sz w:val="20"/>
                <w:szCs w:val="28"/>
              </w:rPr>
              <w:t>to</w:t>
            </w:r>
            <w:r w:rsidRPr="00DE0AC9">
              <w:rPr>
                <w:rFonts w:ascii="Calibri Light" w:hAnsi="Calibri Light" w:cs="Calibri Light"/>
                <w:color w:val="231F20"/>
                <w:spacing w:val="-9"/>
                <w:sz w:val="20"/>
                <w:szCs w:val="28"/>
              </w:rPr>
              <w:t xml:space="preserve"> </w:t>
            </w:r>
            <w:r w:rsidRPr="00DE0AC9">
              <w:rPr>
                <w:rFonts w:ascii="Calibri Light" w:hAnsi="Calibri Light" w:cs="Calibri Light"/>
                <w:color w:val="231F20"/>
                <w:sz w:val="20"/>
                <w:szCs w:val="28"/>
              </w:rPr>
              <w:t>enable adaptability across teams</w:t>
            </w:r>
          </w:p>
        </w:tc>
        <w:tc>
          <w:tcPr>
            <w:tcW w:w="2689" w:type="dxa"/>
            <w:tcBorders>
              <w:top w:val="single" w:sz="4" w:space="0" w:color="auto"/>
              <w:left w:val="single" w:sz="2" w:space="0" w:color="7F859B"/>
              <w:right w:val="single" w:sz="2" w:space="0" w:color="7F859B"/>
            </w:tcBorders>
          </w:tcPr>
          <w:p w14:paraId="7A0397CE" w14:textId="77777777" w:rsidR="00751747" w:rsidRPr="00DE0AC9" w:rsidRDefault="00751747" w:rsidP="00F22AE5">
            <w:pPr>
              <w:pStyle w:val="TableParagraph"/>
              <w:spacing w:before="136" w:line="220" w:lineRule="auto"/>
              <w:ind w:left="167" w:right="245"/>
              <w:rPr>
                <w:rFonts w:ascii="Calibri Light" w:hAnsi="Calibri Light" w:cs="Calibri Light"/>
                <w:sz w:val="20"/>
                <w:szCs w:val="28"/>
              </w:rPr>
            </w:pPr>
            <w:r w:rsidRPr="00DE0AC9">
              <w:rPr>
                <w:rFonts w:ascii="Calibri Light" w:hAnsi="Calibri Light" w:cs="Calibri Light"/>
                <w:b/>
                <w:color w:val="231F20"/>
                <w:sz w:val="20"/>
                <w:szCs w:val="28"/>
              </w:rPr>
              <w:t xml:space="preserve">Leaders should engage in discussion: </w:t>
            </w:r>
            <w:r w:rsidRPr="00DE0AC9">
              <w:rPr>
                <w:rFonts w:ascii="Calibri Light" w:hAnsi="Calibri Light" w:cs="Calibri Light"/>
                <w:color w:val="231F20"/>
                <w:sz w:val="20"/>
                <w:szCs w:val="28"/>
              </w:rPr>
              <w:t>actively engage, ask</w:t>
            </w:r>
            <w:r w:rsidRPr="00DE0AC9">
              <w:rPr>
                <w:rFonts w:ascii="Calibri Light" w:hAnsi="Calibri Light" w:cs="Calibri Light"/>
                <w:color w:val="231F20"/>
                <w:spacing w:val="-3"/>
                <w:sz w:val="20"/>
                <w:szCs w:val="28"/>
              </w:rPr>
              <w:t xml:space="preserve"> </w:t>
            </w:r>
            <w:r w:rsidRPr="00DE0AC9">
              <w:rPr>
                <w:rFonts w:ascii="Calibri Light" w:hAnsi="Calibri Light" w:cs="Calibri Light"/>
                <w:color w:val="231F20"/>
                <w:sz w:val="20"/>
                <w:szCs w:val="28"/>
              </w:rPr>
              <w:t>questions,</w:t>
            </w:r>
            <w:r w:rsidRPr="00DE0AC9">
              <w:rPr>
                <w:rFonts w:ascii="Calibri Light" w:hAnsi="Calibri Light" w:cs="Calibri Light"/>
                <w:color w:val="231F20"/>
                <w:spacing w:val="-3"/>
                <w:sz w:val="20"/>
                <w:szCs w:val="28"/>
              </w:rPr>
              <w:t xml:space="preserve"> </w:t>
            </w:r>
            <w:r w:rsidRPr="00DE0AC9">
              <w:rPr>
                <w:rFonts w:ascii="Calibri Light" w:hAnsi="Calibri Light" w:cs="Calibri Light"/>
                <w:color w:val="231F20"/>
                <w:sz w:val="20"/>
                <w:szCs w:val="28"/>
              </w:rPr>
              <w:t>adapt</w:t>
            </w:r>
            <w:r w:rsidRPr="00DE0AC9">
              <w:rPr>
                <w:rFonts w:ascii="Calibri Light" w:hAnsi="Calibri Light" w:cs="Calibri Light"/>
                <w:color w:val="231F20"/>
                <w:spacing w:val="-3"/>
                <w:sz w:val="20"/>
                <w:szCs w:val="28"/>
              </w:rPr>
              <w:t xml:space="preserve"> </w:t>
            </w:r>
            <w:r w:rsidRPr="00DE0AC9">
              <w:rPr>
                <w:rFonts w:ascii="Calibri Light" w:hAnsi="Calibri Light" w:cs="Calibri Light"/>
                <w:color w:val="231F20"/>
                <w:sz w:val="20"/>
                <w:szCs w:val="28"/>
              </w:rPr>
              <w:t>processes to</w:t>
            </w:r>
            <w:r w:rsidRPr="00DE0AC9">
              <w:rPr>
                <w:rFonts w:ascii="Calibri Light" w:hAnsi="Calibri Light" w:cs="Calibri Light"/>
                <w:color w:val="231F20"/>
                <w:spacing w:val="-7"/>
                <w:sz w:val="20"/>
                <w:szCs w:val="28"/>
              </w:rPr>
              <w:t xml:space="preserve"> </w:t>
            </w:r>
            <w:r w:rsidRPr="00DE0AC9">
              <w:rPr>
                <w:rFonts w:ascii="Calibri Light" w:hAnsi="Calibri Light" w:cs="Calibri Light"/>
                <w:color w:val="231F20"/>
                <w:sz w:val="20"/>
                <w:szCs w:val="28"/>
              </w:rPr>
              <w:t>enable</w:t>
            </w:r>
            <w:r w:rsidRPr="00DE0AC9">
              <w:rPr>
                <w:rFonts w:ascii="Calibri Light" w:hAnsi="Calibri Light" w:cs="Calibri Light"/>
                <w:color w:val="231F20"/>
                <w:spacing w:val="-7"/>
                <w:sz w:val="20"/>
                <w:szCs w:val="28"/>
              </w:rPr>
              <w:t xml:space="preserve"> </w:t>
            </w:r>
            <w:r w:rsidRPr="00DE0AC9">
              <w:rPr>
                <w:rFonts w:ascii="Calibri Light" w:hAnsi="Calibri Light" w:cs="Calibri Light"/>
                <w:color w:val="231F20"/>
                <w:sz w:val="20"/>
                <w:szCs w:val="28"/>
              </w:rPr>
              <w:t>more</w:t>
            </w:r>
            <w:r w:rsidRPr="00DE0AC9">
              <w:rPr>
                <w:rFonts w:ascii="Calibri Light" w:hAnsi="Calibri Light" w:cs="Calibri Light"/>
                <w:color w:val="231F20"/>
                <w:spacing w:val="-7"/>
                <w:sz w:val="20"/>
                <w:szCs w:val="28"/>
              </w:rPr>
              <w:t xml:space="preserve"> </w:t>
            </w:r>
            <w:r w:rsidRPr="00DE0AC9">
              <w:rPr>
                <w:rFonts w:ascii="Calibri Light" w:hAnsi="Calibri Light" w:cs="Calibri Light"/>
                <w:color w:val="231F20"/>
                <w:sz w:val="20"/>
                <w:szCs w:val="28"/>
              </w:rPr>
              <w:t>time</w:t>
            </w:r>
            <w:r w:rsidRPr="00DE0AC9">
              <w:rPr>
                <w:rFonts w:ascii="Calibri Light" w:hAnsi="Calibri Light" w:cs="Calibri Light"/>
                <w:color w:val="231F20"/>
                <w:spacing w:val="-7"/>
                <w:sz w:val="20"/>
                <w:szCs w:val="28"/>
              </w:rPr>
              <w:t xml:space="preserve"> </w:t>
            </w:r>
            <w:r w:rsidRPr="00DE0AC9">
              <w:rPr>
                <w:rFonts w:ascii="Calibri Light" w:hAnsi="Calibri Light" w:cs="Calibri Light"/>
                <w:color w:val="231F20"/>
                <w:sz w:val="20"/>
                <w:szCs w:val="28"/>
              </w:rPr>
              <w:t>for</w:t>
            </w:r>
            <w:r w:rsidRPr="00DE0AC9">
              <w:rPr>
                <w:rFonts w:ascii="Calibri Light" w:hAnsi="Calibri Light" w:cs="Calibri Light"/>
                <w:color w:val="231F20"/>
                <w:spacing w:val="-7"/>
                <w:sz w:val="20"/>
                <w:szCs w:val="28"/>
              </w:rPr>
              <w:t xml:space="preserve"> </w:t>
            </w:r>
            <w:r w:rsidRPr="00DE0AC9">
              <w:rPr>
                <w:rFonts w:ascii="Calibri Light" w:hAnsi="Calibri Light" w:cs="Calibri Light"/>
                <w:color w:val="231F20"/>
                <w:sz w:val="20"/>
                <w:szCs w:val="28"/>
              </w:rPr>
              <w:t>diverse viewpoints to be incorporated</w:t>
            </w:r>
          </w:p>
          <w:p w14:paraId="76E3AB20" w14:textId="77777777" w:rsidR="00751747" w:rsidRPr="00DE0AC9" w:rsidRDefault="00751747" w:rsidP="00F22AE5">
            <w:pPr>
              <w:pStyle w:val="TableParagraph"/>
              <w:spacing w:before="111" w:line="220" w:lineRule="auto"/>
              <w:ind w:left="167" w:right="156"/>
              <w:rPr>
                <w:rFonts w:ascii="Calibri Light" w:hAnsi="Calibri Light" w:cs="Calibri Light"/>
                <w:sz w:val="20"/>
                <w:szCs w:val="28"/>
              </w:rPr>
            </w:pPr>
            <w:r w:rsidRPr="00DE0AC9">
              <w:rPr>
                <w:rFonts w:ascii="Calibri Light" w:hAnsi="Calibri Light" w:cs="Calibri Light"/>
                <w:b/>
                <w:color w:val="231F20"/>
                <w:sz w:val="20"/>
                <w:szCs w:val="28"/>
              </w:rPr>
              <w:t>Leaders should validate diverse</w:t>
            </w:r>
            <w:r w:rsidRPr="00DE0AC9">
              <w:rPr>
                <w:rFonts w:ascii="Calibri Light" w:hAnsi="Calibri Light" w:cs="Calibri Light"/>
                <w:b/>
                <w:color w:val="231F20"/>
                <w:spacing w:val="-7"/>
                <w:sz w:val="20"/>
                <w:szCs w:val="28"/>
              </w:rPr>
              <w:t xml:space="preserve"> </w:t>
            </w:r>
            <w:r w:rsidRPr="00DE0AC9">
              <w:rPr>
                <w:rFonts w:ascii="Calibri Light" w:hAnsi="Calibri Light" w:cs="Calibri Light"/>
                <w:b/>
                <w:color w:val="231F20"/>
                <w:sz w:val="20"/>
                <w:szCs w:val="28"/>
              </w:rPr>
              <w:t>contributions:</w:t>
            </w:r>
            <w:r w:rsidRPr="00DE0AC9">
              <w:rPr>
                <w:rFonts w:ascii="Calibri Light" w:hAnsi="Calibri Light" w:cs="Calibri Light"/>
                <w:b/>
                <w:color w:val="231F20"/>
                <w:spacing w:val="-7"/>
                <w:sz w:val="20"/>
                <w:szCs w:val="28"/>
              </w:rPr>
              <w:t xml:space="preserve"> </w:t>
            </w:r>
            <w:r w:rsidRPr="00DE0AC9">
              <w:rPr>
                <w:rFonts w:ascii="Calibri Light" w:hAnsi="Calibri Light" w:cs="Calibri Light"/>
                <w:color w:val="231F20"/>
                <w:sz w:val="20"/>
                <w:szCs w:val="28"/>
              </w:rPr>
              <w:t>explain the rationale for decisions including rationale that was not in</w:t>
            </w:r>
            <w:r w:rsidRPr="00DE0AC9">
              <w:rPr>
                <w:rFonts w:ascii="Calibri Light" w:hAnsi="Calibri Light" w:cs="Calibri Light"/>
                <w:color w:val="231F20"/>
                <w:spacing w:val="-1"/>
                <w:sz w:val="20"/>
                <w:szCs w:val="28"/>
              </w:rPr>
              <w:t xml:space="preserve"> </w:t>
            </w:r>
            <w:r w:rsidRPr="00DE0AC9">
              <w:rPr>
                <w:rFonts w:ascii="Calibri Light" w:hAnsi="Calibri Light" w:cs="Calibri Light"/>
                <w:color w:val="231F20"/>
                <w:sz w:val="20"/>
                <w:szCs w:val="28"/>
              </w:rPr>
              <w:t>line</w:t>
            </w:r>
            <w:r w:rsidRPr="00DE0AC9">
              <w:rPr>
                <w:rFonts w:ascii="Calibri Light" w:hAnsi="Calibri Light" w:cs="Calibri Light"/>
                <w:color w:val="231F20"/>
                <w:spacing w:val="-1"/>
                <w:sz w:val="20"/>
                <w:szCs w:val="28"/>
              </w:rPr>
              <w:t xml:space="preserve"> </w:t>
            </w:r>
            <w:r w:rsidRPr="00DE0AC9">
              <w:rPr>
                <w:rFonts w:ascii="Calibri Light" w:hAnsi="Calibri Light" w:cs="Calibri Light"/>
                <w:color w:val="231F20"/>
                <w:sz w:val="20"/>
                <w:szCs w:val="28"/>
              </w:rPr>
              <w:t>with</w:t>
            </w:r>
            <w:r w:rsidRPr="00DE0AC9">
              <w:rPr>
                <w:rFonts w:ascii="Calibri Light" w:hAnsi="Calibri Light" w:cs="Calibri Light"/>
                <w:color w:val="231F20"/>
                <w:spacing w:val="-1"/>
                <w:sz w:val="20"/>
                <w:szCs w:val="28"/>
              </w:rPr>
              <w:t xml:space="preserve"> </w:t>
            </w:r>
            <w:r w:rsidRPr="00DE0AC9">
              <w:rPr>
                <w:rFonts w:ascii="Calibri Light" w:hAnsi="Calibri Light" w:cs="Calibri Light"/>
                <w:color w:val="231F20"/>
                <w:sz w:val="20"/>
                <w:szCs w:val="28"/>
              </w:rPr>
              <w:t>staff</w:t>
            </w:r>
            <w:r w:rsidRPr="00DE0AC9">
              <w:rPr>
                <w:rFonts w:ascii="Calibri Light" w:hAnsi="Calibri Light" w:cs="Calibri Light"/>
                <w:color w:val="231F20"/>
                <w:spacing w:val="-1"/>
                <w:sz w:val="20"/>
                <w:szCs w:val="28"/>
              </w:rPr>
              <w:t xml:space="preserve"> </w:t>
            </w:r>
            <w:r w:rsidRPr="00DE0AC9">
              <w:rPr>
                <w:rFonts w:ascii="Calibri Light" w:hAnsi="Calibri Light" w:cs="Calibri Light"/>
                <w:color w:val="231F20"/>
                <w:sz w:val="20"/>
                <w:szCs w:val="28"/>
              </w:rPr>
              <w:t>members’</w:t>
            </w:r>
            <w:r w:rsidRPr="00DE0AC9">
              <w:rPr>
                <w:rFonts w:ascii="Calibri Light" w:hAnsi="Calibri Light" w:cs="Calibri Light"/>
                <w:color w:val="231F20"/>
                <w:spacing w:val="-1"/>
                <w:sz w:val="20"/>
                <w:szCs w:val="28"/>
              </w:rPr>
              <w:t xml:space="preserve"> </w:t>
            </w:r>
            <w:r w:rsidRPr="00DE0AC9">
              <w:rPr>
                <w:rFonts w:ascii="Calibri Light" w:hAnsi="Calibri Light" w:cs="Calibri Light"/>
                <w:color w:val="231F20"/>
                <w:sz w:val="20"/>
                <w:szCs w:val="28"/>
              </w:rPr>
              <w:t>views</w:t>
            </w:r>
          </w:p>
          <w:p w14:paraId="1728DD0B" w14:textId="77777777" w:rsidR="00751747" w:rsidRPr="00DE0AC9" w:rsidRDefault="00751747" w:rsidP="00F22AE5">
            <w:pPr>
              <w:pStyle w:val="TableParagraph"/>
              <w:spacing w:before="112" w:line="220" w:lineRule="auto"/>
              <w:ind w:left="167" w:right="459"/>
              <w:rPr>
                <w:rFonts w:ascii="Calibri Light" w:hAnsi="Calibri Light" w:cs="Calibri Light"/>
                <w:sz w:val="20"/>
                <w:szCs w:val="28"/>
              </w:rPr>
            </w:pPr>
            <w:r w:rsidRPr="00DE0AC9">
              <w:rPr>
                <w:rFonts w:ascii="Calibri Light" w:hAnsi="Calibri Light" w:cs="Calibri Light"/>
                <w:b/>
                <w:color w:val="231F20"/>
                <w:sz w:val="20"/>
                <w:szCs w:val="28"/>
              </w:rPr>
              <w:t xml:space="preserve">Leaders should be open to views: </w:t>
            </w:r>
            <w:r w:rsidRPr="00DE0AC9">
              <w:rPr>
                <w:rFonts w:ascii="Calibri Light" w:hAnsi="Calibri Light" w:cs="Calibri Light"/>
                <w:color w:val="231F20"/>
                <w:sz w:val="20"/>
                <w:szCs w:val="28"/>
              </w:rPr>
              <w:t>authentically encourage</w:t>
            </w:r>
            <w:r w:rsidRPr="00DE0AC9">
              <w:rPr>
                <w:rFonts w:ascii="Calibri Light" w:hAnsi="Calibri Light" w:cs="Calibri Light"/>
                <w:color w:val="231F20"/>
                <w:spacing w:val="-7"/>
                <w:sz w:val="20"/>
                <w:szCs w:val="28"/>
              </w:rPr>
              <w:t xml:space="preserve"> </w:t>
            </w:r>
            <w:r w:rsidRPr="00DE0AC9">
              <w:rPr>
                <w:rFonts w:ascii="Calibri Light" w:hAnsi="Calibri Light" w:cs="Calibri Light"/>
                <w:color w:val="231F20"/>
                <w:sz w:val="20"/>
                <w:szCs w:val="28"/>
              </w:rPr>
              <w:t>staff</w:t>
            </w:r>
            <w:r w:rsidRPr="00DE0AC9">
              <w:rPr>
                <w:rFonts w:ascii="Calibri Light" w:hAnsi="Calibri Light" w:cs="Calibri Light"/>
                <w:color w:val="231F20"/>
                <w:spacing w:val="-7"/>
                <w:sz w:val="20"/>
                <w:szCs w:val="28"/>
              </w:rPr>
              <w:t xml:space="preserve"> </w:t>
            </w:r>
            <w:r w:rsidRPr="00DE0AC9">
              <w:rPr>
                <w:rFonts w:ascii="Calibri Light" w:hAnsi="Calibri Light" w:cs="Calibri Light"/>
                <w:color w:val="231F20"/>
                <w:sz w:val="20"/>
                <w:szCs w:val="28"/>
              </w:rPr>
              <w:t>members</w:t>
            </w:r>
            <w:r w:rsidRPr="00DE0AC9">
              <w:rPr>
                <w:rFonts w:ascii="Calibri Light" w:hAnsi="Calibri Light" w:cs="Calibri Light"/>
                <w:color w:val="231F20"/>
                <w:spacing w:val="-5"/>
                <w:sz w:val="20"/>
                <w:szCs w:val="28"/>
              </w:rPr>
              <w:t xml:space="preserve"> </w:t>
            </w:r>
            <w:r w:rsidRPr="00DE0AC9">
              <w:rPr>
                <w:rFonts w:ascii="Calibri Light" w:hAnsi="Calibri Light" w:cs="Calibri Light"/>
                <w:color w:val="231F20"/>
                <w:sz w:val="20"/>
                <w:szCs w:val="28"/>
              </w:rPr>
              <w:t>to</w:t>
            </w:r>
          </w:p>
          <w:p w14:paraId="15B4B090" w14:textId="77777777" w:rsidR="00751747" w:rsidRPr="00DE0AC9" w:rsidRDefault="00751747" w:rsidP="00F22AE5">
            <w:pPr>
              <w:pStyle w:val="TableParagraph"/>
              <w:spacing w:line="220" w:lineRule="auto"/>
              <w:ind w:left="167" w:right="283"/>
              <w:rPr>
                <w:rFonts w:ascii="Calibri Light" w:hAnsi="Calibri Light" w:cs="Calibri Light"/>
                <w:sz w:val="20"/>
                <w:szCs w:val="28"/>
              </w:rPr>
            </w:pPr>
            <w:r w:rsidRPr="00DE0AC9">
              <w:rPr>
                <w:rFonts w:ascii="Calibri Light" w:hAnsi="Calibri Light" w:cs="Calibri Light"/>
                <w:color w:val="231F20"/>
                <w:sz w:val="20"/>
                <w:szCs w:val="28"/>
              </w:rPr>
              <w:t>share their views, find different mechanisms to enable views</w:t>
            </w:r>
            <w:r w:rsidRPr="00DE0AC9">
              <w:rPr>
                <w:rFonts w:ascii="Calibri Light" w:hAnsi="Calibri Light" w:cs="Calibri Light"/>
                <w:color w:val="231F20"/>
                <w:spacing w:val="80"/>
                <w:sz w:val="20"/>
                <w:szCs w:val="28"/>
              </w:rPr>
              <w:t xml:space="preserve"> </w:t>
            </w:r>
            <w:r w:rsidRPr="00DE0AC9">
              <w:rPr>
                <w:rFonts w:ascii="Calibri Light" w:hAnsi="Calibri Light" w:cs="Calibri Light"/>
                <w:color w:val="231F20"/>
                <w:sz w:val="20"/>
                <w:szCs w:val="28"/>
              </w:rPr>
              <w:t>to be shared, and actively and openly listen to and consider the</w:t>
            </w:r>
            <w:r w:rsidRPr="00DE0AC9">
              <w:rPr>
                <w:rFonts w:ascii="Calibri Light" w:hAnsi="Calibri Light" w:cs="Calibri Light"/>
                <w:color w:val="231F20"/>
                <w:spacing w:val="-3"/>
                <w:sz w:val="20"/>
                <w:szCs w:val="28"/>
              </w:rPr>
              <w:t xml:space="preserve"> </w:t>
            </w:r>
            <w:r w:rsidRPr="00DE0AC9">
              <w:rPr>
                <w:rFonts w:ascii="Calibri Light" w:hAnsi="Calibri Light" w:cs="Calibri Light"/>
                <w:color w:val="231F20"/>
                <w:sz w:val="20"/>
                <w:szCs w:val="28"/>
              </w:rPr>
              <w:t>views</w:t>
            </w:r>
          </w:p>
          <w:p w14:paraId="4FE63551" w14:textId="77777777" w:rsidR="00751747" w:rsidRPr="00DE0AC9" w:rsidRDefault="00751747" w:rsidP="00F22AE5">
            <w:pPr>
              <w:pStyle w:val="TableParagraph"/>
              <w:spacing w:before="93" w:line="200" w:lineRule="exact"/>
              <w:ind w:left="167" w:right="186"/>
              <w:rPr>
                <w:rFonts w:ascii="Calibri Light" w:hAnsi="Calibri Light" w:cs="Calibri Light"/>
                <w:sz w:val="20"/>
                <w:szCs w:val="28"/>
              </w:rPr>
            </w:pPr>
            <w:r w:rsidRPr="00DE0AC9">
              <w:rPr>
                <w:rFonts w:ascii="Calibri Light" w:hAnsi="Calibri Light" w:cs="Calibri Light"/>
                <w:b/>
                <w:color w:val="231F20"/>
                <w:sz w:val="20"/>
                <w:szCs w:val="28"/>
              </w:rPr>
              <w:t>Leaders should authorise staff members to present their</w:t>
            </w:r>
            <w:r w:rsidRPr="00DE0AC9">
              <w:rPr>
                <w:rFonts w:ascii="Calibri Light" w:hAnsi="Calibri Light" w:cs="Calibri Light"/>
                <w:b/>
                <w:color w:val="231F20"/>
                <w:spacing w:val="-2"/>
                <w:sz w:val="20"/>
                <w:szCs w:val="28"/>
              </w:rPr>
              <w:t xml:space="preserve"> </w:t>
            </w:r>
            <w:r w:rsidRPr="00DE0AC9">
              <w:rPr>
                <w:rFonts w:ascii="Calibri Light" w:hAnsi="Calibri Light" w:cs="Calibri Light"/>
                <w:b/>
                <w:color w:val="231F20"/>
                <w:sz w:val="20"/>
                <w:szCs w:val="28"/>
              </w:rPr>
              <w:t>own</w:t>
            </w:r>
            <w:r w:rsidRPr="00DE0AC9">
              <w:rPr>
                <w:rFonts w:ascii="Calibri Light" w:hAnsi="Calibri Light" w:cs="Calibri Light"/>
                <w:b/>
                <w:color w:val="231F20"/>
                <w:spacing w:val="-2"/>
                <w:sz w:val="20"/>
                <w:szCs w:val="28"/>
              </w:rPr>
              <w:t xml:space="preserve"> </w:t>
            </w:r>
            <w:r w:rsidRPr="00DE0AC9">
              <w:rPr>
                <w:rFonts w:ascii="Calibri Light" w:hAnsi="Calibri Light" w:cs="Calibri Light"/>
                <w:b/>
                <w:color w:val="231F20"/>
                <w:sz w:val="20"/>
                <w:szCs w:val="28"/>
              </w:rPr>
              <w:t>views</w:t>
            </w:r>
            <w:r w:rsidRPr="00DE0AC9">
              <w:rPr>
                <w:rFonts w:ascii="Calibri Light" w:hAnsi="Calibri Light" w:cs="Calibri Light"/>
                <w:b/>
                <w:color w:val="231F20"/>
                <w:spacing w:val="-2"/>
                <w:sz w:val="20"/>
                <w:szCs w:val="28"/>
              </w:rPr>
              <w:t xml:space="preserve"> </w:t>
            </w:r>
            <w:r w:rsidRPr="00DE0AC9">
              <w:rPr>
                <w:rFonts w:ascii="Calibri Light" w:hAnsi="Calibri Light" w:cs="Calibri Light"/>
                <w:b/>
                <w:color w:val="231F20"/>
                <w:sz w:val="20"/>
                <w:szCs w:val="28"/>
              </w:rPr>
              <w:t>to</w:t>
            </w:r>
            <w:r w:rsidRPr="00DE0AC9">
              <w:rPr>
                <w:rFonts w:ascii="Calibri Light" w:hAnsi="Calibri Light" w:cs="Calibri Light"/>
                <w:b/>
                <w:color w:val="231F20"/>
                <w:spacing w:val="-2"/>
                <w:sz w:val="20"/>
                <w:szCs w:val="28"/>
              </w:rPr>
              <w:t xml:space="preserve"> </w:t>
            </w:r>
            <w:r w:rsidRPr="00DE0AC9">
              <w:rPr>
                <w:rFonts w:ascii="Calibri Light" w:hAnsi="Calibri Light" w:cs="Calibri Light"/>
                <w:b/>
                <w:color w:val="231F20"/>
                <w:sz w:val="20"/>
                <w:szCs w:val="28"/>
              </w:rPr>
              <w:t xml:space="preserve">Monetary Policy Board members: </w:t>
            </w:r>
            <w:r w:rsidRPr="00DE0AC9">
              <w:rPr>
                <w:rFonts w:ascii="Calibri Light" w:hAnsi="Calibri Light" w:cs="Calibri Light"/>
                <w:color w:val="231F20"/>
                <w:sz w:val="20"/>
                <w:szCs w:val="28"/>
              </w:rPr>
              <w:t>actively encourage and support staff members to present diverse views for consideration in decision making</w:t>
            </w:r>
          </w:p>
        </w:tc>
        <w:tc>
          <w:tcPr>
            <w:tcW w:w="2573" w:type="dxa"/>
            <w:tcBorders>
              <w:top w:val="single" w:sz="4" w:space="0" w:color="auto"/>
              <w:left w:val="single" w:sz="2" w:space="0" w:color="7F859B"/>
            </w:tcBorders>
          </w:tcPr>
          <w:p w14:paraId="4D983652" w14:textId="77777777" w:rsidR="00751747" w:rsidRPr="00DE0AC9" w:rsidRDefault="00751747" w:rsidP="00F22AE5">
            <w:pPr>
              <w:pStyle w:val="TableParagraph"/>
              <w:spacing w:before="136" w:line="220" w:lineRule="auto"/>
              <w:ind w:left="167"/>
              <w:rPr>
                <w:rFonts w:ascii="Calibri Light" w:hAnsi="Calibri Light" w:cs="Calibri Light"/>
                <w:sz w:val="20"/>
                <w:szCs w:val="28"/>
              </w:rPr>
            </w:pPr>
            <w:r w:rsidRPr="00DE0AC9">
              <w:rPr>
                <w:rFonts w:ascii="Calibri Light" w:hAnsi="Calibri Light" w:cs="Calibri Light"/>
                <w:b/>
                <w:color w:val="231F20"/>
                <w:sz w:val="20"/>
                <w:szCs w:val="28"/>
              </w:rPr>
              <w:t>Leaders should have high quality</w:t>
            </w:r>
            <w:r w:rsidRPr="00DE0AC9">
              <w:rPr>
                <w:rFonts w:ascii="Calibri Light" w:hAnsi="Calibri Light" w:cs="Calibri Light"/>
                <w:b/>
                <w:color w:val="231F20"/>
                <w:spacing w:val="-7"/>
                <w:sz w:val="20"/>
                <w:szCs w:val="28"/>
              </w:rPr>
              <w:t xml:space="preserve"> </w:t>
            </w:r>
            <w:r w:rsidRPr="00DE0AC9">
              <w:rPr>
                <w:rFonts w:ascii="Calibri Light" w:hAnsi="Calibri Light" w:cs="Calibri Light"/>
                <w:b/>
                <w:color w:val="231F20"/>
                <w:sz w:val="20"/>
                <w:szCs w:val="28"/>
              </w:rPr>
              <w:t>performance management</w:t>
            </w:r>
            <w:r w:rsidRPr="00DE0AC9">
              <w:rPr>
                <w:rFonts w:ascii="Calibri Light" w:hAnsi="Calibri Light" w:cs="Calibri Light"/>
                <w:b/>
                <w:color w:val="231F20"/>
                <w:spacing w:val="-7"/>
                <w:sz w:val="20"/>
                <w:szCs w:val="28"/>
              </w:rPr>
              <w:t xml:space="preserve"> </w:t>
            </w:r>
            <w:r w:rsidRPr="00DE0AC9">
              <w:rPr>
                <w:rFonts w:ascii="Calibri Light" w:hAnsi="Calibri Light" w:cs="Calibri Light"/>
                <w:b/>
                <w:color w:val="231F20"/>
                <w:sz w:val="20"/>
                <w:szCs w:val="28"/>
              </w:rPr>
              <w:t xml:space="preserve">conversations: </w:t>
            </w:r>
            <w:r w:rsidRPr="00DE0AC9">
              <w:rPr>
                <w:rFonts w:ascii="Calibri Light" w:hAnsi="Calibri Light" w:cs="Calibri Light"/>
                <w:color w:val="231F20"/>
                <w:sz w:val="20"/>
                <w:szCs w:val="28"/>
              </w:rPr>
              <w:t xml:space="preserve">providing constructive feedback, addressing difficult issues and </w:t>
            </w:r>
            <w:r w:rsidRPr="00DE0AC9">
              <w:rPr>
                <w:rFonts w:ascii="Calibri Light" w:hAnsi="Calibri Light" w:cs="Calibri Light"/>
                <w:color w:val="231F20"/>
                <w:spacing w:val="-2"/>
                <w:sz w:val="20"/>
                <w:szCs w:val="28"/>
              </w:rPr>
              <w:t>underperformance</w:t>
            </w:r>
          </w:p>
          <w:p w14:paraId="6368D615" w14:textId="77777777" w:rsidR="00751747" w:rsidRPr="00DE0AC9" w:rsidRDefault="00751747" w:rsidP="00F22AE5">
            <w:pPr>
              <w:pStyle w:val="TableParagraph"/>
              <w:spacing w:before="111" w:line="220" w:lineRule="auto"/>
              <w:ind w:left="167" w:right="275"/>
              <w:rPr>
                <w:rFonts w:ascii="Calibri Light" w:hAnsi="Calibri Light" w:cs="Calibri Light"/>
                <w:sz w:val="20"/>
                <w:szCs w:val="28"/>
              </w:rPr>
            </w:pPr>
            <w:r w:rsidRPr="00DE0AC9">
              <w:rPr>
                <w:rFonts w:ascii="Calibri Light" w:hAnsi="Calibri Light" w:cs="Calibri Light"/>
                <w:b/>
                <w:color w:val="231F20"/>
                <w:sz w:val="20"/>
                <w:szCs w:val="28"/>
              </w:rPr>
              <w:t>Leaders should invite and encourage</w:t>
            </w:r>
            <w:r w:rsidRPr="00DE0AC9">
              <w:rPr>
                <w:rFonts w:ascii="Calibri Light" w:hAnsi="Calibri Light" w:cs="Calibri Light"/>
                <w:b/>
                <w:color w:val="231F20"/>
                <w:spacing w:val="-8"/>
                <w:sz w:val="20"/>
                <w:szCs w:val="28"/>
              </w:rPr>
              <w:t xml:space="preserve"> </w:t>
            </w:r>
            <w:r w:rsidRPr="00DE0AC9">
              <w:rPr>
                <w:rFonts w:ascii="Calibri Light" w:hAnsi="Calibri Light" w:cs="Calibri Light"/>
                <w:b/>
                <w:color w:val="231F20"/>
                <w:sz w:val="20"/>
                <w:szCs w:val="28"/>
              </w:rPr>
              <w:t>staff</w:t>
            </w:r>
            <w:r w:rsidRPr="00DE0AC9">
              <w:rPr>
                <w:rFonts w:ascii="Calibri Light" w:hAnsi="Calibri Light" w:cs="Calibri Light"/>
                <w:b/>
                <w:color w:val="231F20"/>
                <w:spacing w:val="-8"/>
                <w:sz w:val="20"/>
                <w:szCs w:val="28"/>
              </w:rPr>
              <w:t xml:space="preserve"> </w:t>
            </w:r>
            <w:r w:rsidRPr="00DE0AC9">
              <w:rPr>
                <w:rFonts w:ascii="Calibri Light" w:hAnsi="Calibri Light" w:cs="Calibri Light"/>
                <w:b/>
                <w:color w:val="231F20"/>
                <w:sz w:val="20"/>
                <w:szCs w:val="28"/>
              </w:rPr>
              <w:t>to</w:t>
            </w:r>
            <w:r w:rsidRPr="00DE0AC9">
              <w:rPr>
                <w:rFonts w:ascii="Calibri Light" w:hAnsi="Calibri Light" w:cs="Calibri Light"/>
                <w:b/>
                <w:color w:val="231F20"/>
                <w:spacing w:val="-8"/>
                <w:sz w:val="20"/>
                <w:szCs w:val="28"/>
              </w:rPr>
              <w:t xml:space="preserve"> </w:t>
            </w:r>
            <w:r w:rsidRPr="00DE0AC9">
              <w:rPr>
                <w:rFonts w:ascii="Calibri Light" w:hAnsi="Calibri Light" w:cs="Calibri Light"/>
                <w:b/>
                <w:color w:val="231F20"/>
                <w:sz w:val="20"/>
                <w:szCs w:val="28"/>
              </w:rPr>
              <w:t xml:space="preserve">provide feedback </w:t>
            </w:r>
            <w:r w:rsidRPr="00DE0AC9">
              <w:rPr>
                <w:rFonts w:ascii="Calibri Light" w:hAnsi="Calibri Light" w:cs="Calibri Light"/>
                <w:color w:val="231F20"/>
                <w:sz w:val="20"/>
                <w:szCs w:val="28"/>
              </w:rPr>
              <w:t>on the leader’s own</w:t>
            </w:r>
            <w:r w:rsidRPr="00DE0AC9">
              <w:rPr>
                <w:rFonts w:ascii="Calibri Light" w:hAnsi="Calibri Light" w:cs="Calibri Light"/>
                <w:color w:val="231F20"/>
                <w:spacing w:val="-7"/>
                <w:sz w:val="20"/>
                <w:szCs w:val="28"/>
              </w:rPr>
              <w:t xml:space="preserve"> </w:t>
            </w:r>
            <w:r w:rsidRPr="00DE0AC9">
              <w:rPr>
                <w:rFonts w:ascii="Calibri Light" w:hAnsi="Calibri Light" w:cs="Calibri Light"/>
                <w:color w:val="231F20"/>
                <w:sz w:val="20"/>
                <w:szCs w:val="28"/>
              </w:rPr>
              <w:t>performance</w:t>
            </w:r>
          </w:p>
          <w:p w14:paraId="47E9CBDB" w14:textId="77777777" w:rsidR="00751747" w:rsidRPr="00DE0AC9" w:rsidRDefault="00751747" w:rsidP="00F22AE5">
            <w:pPr>
              <w:pStyle w:val="TableParagraph"/>
              <w:spacing w:before="112" w:line="220" w:lineRule="auto"/>
              <w:ind w:left="167" w:right="410"/>
              <w:rPr>
                <w:rFonts w:ascii="Calibri Light" w:hAnsi="Calibri Light" w:cs="Calibri Light"/>
                <w:sz w:val="20"/>
                <w:szCs w:val="28"/>
              </w:rPr>
            </w:pPr>
            <w:r w:rsidRPr="00DE0AC9">
              <w:rPr>
                <w:rFonts w:ascii="Calibri Light" w:hAnsi="Calibri Light" w:cs="Calibri Light"/>
                <w:b/>
                <w:color w:val="231F20"/>
                <w:sz w:val="20"/>
                <w:szCs w:val="28"/>
              </w:rPr>
              <w:t>Leaders</w:t>
            </w:r>
            <w:r w:rsidRPr="00DE0AC9">
              <w:rPr>
                <w:rFonts w:ascii="Calibri Light" w:hAnsi="Calibri Light" w:cs="Calibri Light"/>
                <w:b/>
                <w:color w:val="231F20"/>
                <w:spacing w:val="-11"/>
                <w:sz w:val="20"/>
                <w:szCs w:val="28"/>
              </w:rPr>
              <w:t xml:space="preserve"> </w:t>
            </w:r>
            <w:r w:rsidRPr="00DE0AC9">
              <w:rPr>
                <w:rFonts w:ascii="Calibri Light" w:hAnsi="Calibri Light" w:cs="Calibri Light"/>
                <w:b/>
                <w:color w:val="231F20"/>
                <w:sz w:val="20"/>
                <w:szCs w:val="28"/>
              </w:rPr>
              <w:t>should</w:t>
            </w:r>
            <w:r w:rsidRPr="00DE0AC9">
              <w:rPr>
                <w:rFonts w:ascii="Calibri Light" w:hAnsi="Calibri Light" w:cs="Calibri Light"/>
                <w:b/>
                <w:color w:val="231F20"/>
                <w:spacing w:val="-10"/>
                <w:sz w:val="20"/>
                <w:szCs w:val="28"/>
              </w:rPr>
              <w:t xml:space="preserve"> </w:t>
            </w:r>
            <w:r w:rsidRPr="00DE0AC9">
              <w:rPr>
                <w:rFonts w:ascii="Calibri Light" w:hAnsi="Calibri Light" w:cs="Calibri Light"/>
                <w:b/>
                <w:color w:val="231F20"/>
                <w:sz w:val="20"/>
                <w:szCs w:val="28"/>
              </w:rPr>
              <w:t>commit to and actively build leadership</w:t>
            </w:r>
            <w:r w:rsidRPr="00DE0AC9">
              <w:rPr>
                <w:rFonts w:ascii="Calibri Light" w:hAnsi="Calibri Light" w:cs="Calibri Light"/>
                <w:b/>
                <w:color w:val="231F20"/>
                <w:spacing w:val="-2"/>
                <w:sz w:val="20"/>
                <w:szCs w:val="28"/>
              </w:rPr>
              <w:t xml:space="preserve"> </w:t>
            </w:r>
            <w:r w:rsidRPr="00DE0AC9">
              <w:rPr>
                <w:rFonts w:ascii="Calibri Light" w:hAnsi="Calibri Light" w:cs="Calibri Light"/>
                <w:b/>
                <w:color w:val="231F20"/>
                <w:sz w:val="20"/>
                <w:szCs w:val="28"/>
              </w:rPr>
              <w:t>capability</w:t>
            </w:r>
            <w:r w:rsidRPr="00DE0AC9">
              <w:rPr>
                <w:rFonts w:ascii="Calibri Light" w:hAnsi="Calibri Light" w:cs="Calibri Light"/>
                <w:b/>
                <w:color w:val="231F20"/>
                <w:spacing w:val="-2"/>
                <w:sz w:val="20"/>
                <w:szCs w:val="28"/>
              </w:rPr>
              <w:t xml:space="preserve"> </w:t>
            </w:r>
            <w:r w:rsidRPr="00DE0AC9">
              <w:rPr>
                <w:rFonts w:ascii="Calibri Light" w:hAnsi="Calibri Light" w:cs="Calibri Light"/>
                <w:color w:val="231F20"/>
                <w:sz w:val="20"/>
                <w:szCs w:val="28"/>
              </w:rPr>
              <w:t>in themselves and others</w:t>
            </w:r>
          </w:p>
          <w:p w14:paraId="6F3E5D6F" w14:textId="77777777" w:rsidR="00751747" w:rsidRPr="00DE0AC9" w:rsidRDefault="00751747" w:rsidP="00F22AE5">
            <w:pPr>
              <w:pStyle w:val="TableParagraph"/>
              <w:spacing w:before="111" w:line="220" w:lineRule="auto"/>
              <w:ind w:left="167" w:right="275"/>
              <w:rPr>
                <w:rFonts w:ascii="Calibri Light" w:hAnsi="Calibri Light" w:cs="Calibri Light"/>
                <w:sz w:val="20"/>
                <w:szCs w:val="28"/>
              </w:rPr>
            </w:pPr>
            <w:r w:rsidRPr="00DE0AC9">
              <w:rPr>
                <w:rFonts w:ascii="Calibri Light" w:hAnsi="Calibri Light" w:cs="Calibri Light"/>
                <w:b/>
                <w:color w:val="231F20"/>
                <w:sz w:val="20"/>
                <w:szCs w:val="28"/>
              </w:rPr>
              <w:t>Leaders should call out behaviours out of step with</w:t>
            </w:r>
            <w:r w:rsidRPr="00DE0AC9">
              <w:rPr>
                <w:rFonts w:ascii="Calibri Light" w:hAnsi="Calibri Light" w:cs="Calibri Light"/>
                <w:b/>
                <w:color w:val="231F20"/>
                <w:spacing w:val="-9"/>
                <w:sz w:val="20"/>
                <w:szCs w:val="28"/>
              </w:rPr>
              <w:t xml:space="preserve"> </w:t>
            </w:r>
            <w:r w:rsidRPr="00DE0AC9">
              <w:rPr>
                <w:rFonts w:ascii="Calibri Light" w:hAnsi="Calibri Light" w:cs="Calibri Light"/>
                <w:b/>
                <w:color w:val="231F20"/>
                <w:sz w:val="20"/>
                <w:szCs w:val="28"/>
              </w:rPr>
              <w:t>the</w:t>
            </w:r>
            <w:r w:rsidRPr="00DE0AC9">
              <w:rPr>
                <w:rFonts w:ascii="Calibri Light" w:hAnsi="Calibri Light" w:cs="Calibri Light"/>
                <w:b/>
                <w:color w:val="231F20"/>
                <w:spacing w:val="-9"/>
                <w:sz w:val="20"/>
                <w:szCs w:val="28"/>
              </w:rPr>
              <w:t xml:space="preserve"> </w:t>
            </w:r>
            <w:r w:rsidRPr="00DE0AC9">
              <w:rPr>
                <w:rFonts w:ascii="Calibri Light" w:hAnsi="Calibri Light" w:cs="Calibri Light"/>
                <w:b/>
                <w:color w:val="231F20"/>
                <w:sz w:val="20"/>
                <w:szCs w:val="28"/>
              </w:rPr>
              <w:t>RBA’s</w:t>
            </w:r>
            <w:r w:rsidRPr="00DE0AC9">
              <w:rPr>
                <w:rFonts w:ascii="Calibri Light" w:hAnsi="Calibri Light" w:cs="Calibri Light"/>
                <w:b/>
                <w:color w:val="231F20"/>
                <w:spacing w:val="-9"/>
                <w:sz w:val="20"/>
                <w:szCs w:val="28"/>
              </w:rPr>
              <w:t xml:space="preserve"> </w:t>
            </w:r>
            <w:r w:rsidRPr="00DE0AC9">
              <w:rPr>
                <w:rFonts w:ascii="Calibri Light" w:hAnsi="Calibri Light" w:cs="Calibri Light"/>
                <w:b/>
                <w:color w:val="231F20"/>
                <w:sz w:val="20"/>
                <w:szCs w:val="28"/>
              </w:rPr>
              <w:t>values</w:t>
            </w:r>
            <w:r w:rsidRPr="00DE0AC9">
              <w:rPr>
                <w:rFonts w:ascii="Calibri Light" w:hAnsi="Calibri Light" w:cs="Calibri Light"/>
                <w:b/>
                <w:color w:val="231F20"/>
                <w:spacing w:val="-9"/>
                <w:sz w:val="20"/>
                <w:szCs w:val="28"/>
              </w:rPr>
              <w:t xml:space="preserve"> </w:t>
            </w:r>
            <w:r w:rsidRPr="00DE0AC9">
              <w:rPr>
                <w:rFonts w:ascii="Calibri Light" w:hAnsi="Calibri Light" w:cs="Calibri Light"/>
                <w:color w:val="231F20"/>
                <w:sz w:val="20"/>
                <w:szCs w:val="28"/>
              </w:rPr>
              <w:t>and encourage others to do so</w:t>
            </w:r>
          </w:p>
          <w:p w14:paraId="4693531A" w14:textId="77777777" w:rsidR="00751747" w:rsidRPr="00DE0AC9" w:rsidRDefault="00751747" w:rsidP="00F22AE5">
            <w:pPr>
              <w:pStyle w:val="TableParagraph"/>
              <w:spacing w:before="112" w:line="220" w:lineRule="auto"/>
              <w:ind w:left="167" w:right="410"/>
              <w:rPr>
                <w:rFonts w:ascii="Calibri Light" w:hAnsi="Calibri Light" w:cs="Calibri Light"/>
                <w:b/>
                <w:sz w:val="20"/>
                <w:szCs w:val="28"/>
              </w:rPr>
            </w:pPr>
            <w:r w:rsidRPr="00DE0AC9">
              <w:rPr>
                <w:rFonts w:ascii="Calibri Light" w:hAnsi="Calibri Light" w:cs="Calibri Light"/>
                <w:b/>
                <w:color w:val="231F20"/>
                <w:sz w:val="20"/>
                <w:szCs w:val="28"/>
              </w:rPr>
              <w:t>Leaders</w:t>
            </w:r>
            <w:r w:rsidRPr="00DE0AC9">
              <w:rPr>
                <w:rFonts w:ascii="Calibri Light" w:hAnsi="Calibri Light" w:cs="Calibri Light"/>
                <w:b/>
                <w:color w:val="231F20"/>
                <w:spacing w:val="-11"/>
                <w:sz w:val="20"/>
                <w:szCs w:val="28"/>
              </w:rPr>
              <w:t xml:space="preserve"> </w:t>
            </w:r>
            <w:r w:rsidRPr="00DE0AC9">
              <w:rPr>
                <w:rFonts w:ascii="Calibri Light" w:hAnsi="Calibri Light" w:cs="Calibri Light"/>
                <w:b/>
                <w:color w:val="231F20"/>
                <w:sz w:val="20"/>
                <w:szCs w:val="28"/>
              </w:rPr>
              <w:t>should</w:t>
            </w:r>
            <w:r w:rsidRPr="00DE0AC9">
              <w:rPr>
                <w:rFonts w:ascii="Calibri Light" w:hAnsi="Calibri Light" w:cs="Calibri Light"/>
                <w:b/>
                <w:color w:val="231F20"/>
                <w:spacing w:val="-10"/>
                <w:sz w:val="20"/>
                <w:szCs w:val="28"/>
              </w:rPr>
              <w:t xml:space="preserve"> </w:t>
            </w:r>
            <w:r w:rsidRPr="00DE0AC9">
              <w:rPr>
                <w:rFonts w:ascii="Calibri Light" w:hAnsi="Calibri Light" w:cs="Calibri Light"/>
                <w:b/>
                <w:color w:val="231F20"/>
                <w:sz w:val="20"/>
                <w:szCs w:val="28"/>
              </w:rPr>
              <w:t>educate the organisation on</w:t>
            </w:r>
          </w:p>
          <w:p w14:paraId="1CE7D5F4" w14:textId="77777777" w:rsidR="00751747" w:rsidRPr="00DE0AC9" w:rsidRDefault="00751747" w:rsidP="00F22AE5">
            <w:pPr>
              <w:pStyle w:val="TableParagraph"/>
              <w:spacing w:line="220" w:lineRule="auto"/>
              <w:ind w:left="167"/>
              <w:rPr>
                <w:rFonts w:ascii="Calibri Light" w:hAnsi="Calibri Light" w:cs="Calibri Light"/>
                <w:sz w:val="20"/>
                <w:szCs w:val="28"/>
              </w:rPr>
            </w:pPr>
            <w:r w:rsidRPr="00DE0AC9">
              <w:rPr>
                <w:rFonts w:ascii="Calibri Light" w:hAnsi="Calibri Light" w:cs="Calibri Light"/>
                <w:b/>
                <w:color w:val="231F20"/>
                <w:sz w:val="20"/>
                <w:szCs w:val="28"/>
              </w:rPr>
              <w:t>accountability</w:t>
            </w:r>
            <w:r w:rsidRPr="00DE0AC9">
              <w:rPr>
                <w:rFonts w:ascii="Calibri Light" w:hAnsi="Calibri Light" w:cs="Calibri Light"/>
                <w:color w:val="231F20"/>
                <w:sz w:val="20"/>
                <w:szCs w:val="28"/>
              </w:rPr>
              <w:t>,</w:t>
            </w:r>
            <w:r w:rsidRPr="00DE0AC9">
              <w:rPr>
                <w:rFonts w:ascii="Calibri Light" w:hAnsi="Calibri Light" w:cs="Calibri Light"/>
                <w:color w:val="231F20"/>
                <w:spacing w:val="-8"/>
                <w:sz w:val="20"/>
                <w:szCs w:val="28"/>
              </w:rPr>
              <w:t xml:space="preserve"> </w:t>
            </w:r>
            <w:r w:rsidRPr="00DE0AC9">
              <w:rPr>
                <w:rFonts w:ascii="Calibri Light" w:hAnsi="Calibri Light" w:cs="Calibri Light"/>
                <w:color w:val="231F20"/>
                <w:sz w:val="20"/>
                <w:szCs w:val="28"/>
              </w:rPr>
              <w:t>the</w:t>
            </w:r>
            <w:r w:rsidRPr="00DE0AC9">
              <w:rPr>
                <w:rFonts w:ascii="Calibri Light" w:hAnsi="Calibri Light" w:cs="Calibri Light"/>
                <w:color w:val="231F20"/>
                <w:spacing w:val="-8"/>
                <w:sz w:val="20"/>
                <w:szCs w:val="28"/>
              </w:rPr>
              <w:t xml:space="preserve"> </w:t>
            </w:r>
            <w:r w:rsidRPr="00DE0AC9">
              <w:rPr>
                <w:rFonts w:ascii="Calibri Light" w:hAnsi="Calibri Light" w:cs="Calibri Light"/>
                <w:color w:val="231F20"/>
                <w:sz w:val="20"/>
                <w:szCs w:val="28"/>
              </w:rPr>
              <w:t>importance and value of it to improving</w:t>
            </w:r>
          </w:p>
          <w:p w14:paraId="0507AC63" w14:textId="77777777" w:rsidR="00751747" w:rsidRPr="00DE0AC9" w:rsidRDefault="00751747" w:rsidP="00F22AE5">
            <w:pPr>
              <w:pStyle w:val="TableParagraph"/>
              <w:spacing w:line="220" w:lineRule="auto"/>
              <w:ind w:left="167"/>
              <w:rPr>
                <w:rFonts w:ascii="Calibri Light" w:hAnsi="Calibri Light" w:cs="Calibri Light"/>
                <w:sz w:val="20"/>
                <w:szCs w:val="28"/>
              </w:rPr>
            </w:pPr>
            <w:r w:rsidRPr="00DE0AC9">
              <w:rPr>
                <w:rFonts w:ascii="Calibri Light" w:hAnsi="Calibri Light" w:cs="Calibri Light"/>
                <w:color w:val="231F20"/>
                <w:sz w:val="20"/>
                <w:szCs w:val="28"/>
              </w:rPr>
              <w:t>the RBA’s performance and buttressing</w:t>
            </w:r>
            <w:r w:rsidRPr="00DE0AC9">
              <w:rPr>
                <w:rFonts w:ascii="Calibri Light" w:hAnsi="Calibri Light" w:cs="Calibri Light"/>
                <w:color w:val="231F20"/>
                <w:spacing w:val="-5"/>
                <w:sz w:val="20"/>
                <w:szCs w:val="28"/>
              </w:rPr>
              <w:t xml:space="preserve"> </w:t>
            </w:r>
            <w:r w:rsidRPr="00DE0AC9">
              <w:rPr>
                <w:rFonts w:ascii="Calibri Light" w:hAnsi="Calibri Light" w:cs="Calibri Light"/>
                <w:color w:val="231F20"/>
                <w:sz w:val="20"/>
                <w:szCs w:val="28"/>
              </w:rPr>
              <w:t>its</w:t>
            </w:r>
            <w:r w:rsidRPr="00DE0AC9">
              <w:rPr>
                <w:rFonts w:ascii="Calibri Light" w:hAnsi="Calibri Light" w:cs="Calibri Light"/>
                <w:color w:val="231F20"/>
                <w:spacing w:val="-5"/>
                <w:sz w:val="20"/>
                <w:szCs w:val="28"/>
              </w:rPr>
              <w:t xml:space="preserve"> </w:t>
            </w:r>
            <w:r w:rsidRPr="00DE0AC9">
              <w:rPr>
                <w:rFonts w:ascii="Calibri Light" w:hAnsi="Calibri Light" w:cs="Calibri Light"/>
                <w:color w:val="231F20"/>
                <w:sz w:val="20"/>
                <w:szCs w:val="28"/>
              </w:rPr>
              <w:t>independence</w:t>
            </w:r>
          </w:p>
        </w:tc>
      </w:tr>
    </w:tbl>
    <w:p w14:paraId="38914591" w14:textId="77777777" w:rsidR="002C2D94" w:rsidRDefault="002C2D94" w:rsidP="002C2D94"/>
    <w:p w14:paraId="5FA2B12F" w14:textId="77777777" w:rsidR="00A42768" w:rsidRDefault="00A42768" w:rsidP="00A42768">
      <w:r w:rsidRPr="00A42768">
        <w:rPr>
          <w:b/>
          <w:bCs/>
        </w:rPr>
        <w:t>The RBA’s executive leaders should, in consultation with staff, develop a statement about the cultural change they are seeking and a plan for achieving it. These should</w:t>
      </w:r>
      <w:r w:rsidRPr="00A42768">
        <w:rPr>
          <w:b/>
          <w:bCs/>
          <w:spacing w:val="80"/>
        </w:rPr>
        <w:t xml:space="preserve"> </w:t>
      </w:r>
      <w:r w:rsidRPr="00A42768">
        <w:rPr>
          <w:b/>
          <w:bCs/>
        </w:rPr>
        <w:t>be</w:t>
      </w:r>
      <w:r w:rsidRPr="00A42768">
        <w:rPr>
          <w:b/>
          <w:bCs/>
          <w:spacing w:val="-1"/>
        </w:rPr>
        <w:t xml:space="preserve"> </w:t>
      </w:r>
      <w:r w:rsidRPr="00A42768">
        <w:rPr>
          <w:b/>
          <w:bCs/>
        </w:rPr>
        <w:t>set</w:t>
      </w:r>
      <w:r w:rsidRPr="00A42768">
        <w:rPr>
          <w:b/>
          <w:bCs/>
          <w:spacing w:val="-1"/>
        </w:rPr>
        <w:t xml:space="preserve"> </w:t>
      </w:r>
      <w:r w:rsidRPr="00A42768">
        <w:rPr>
          <w:b/>
          <w:bCs/>
        </w:rPr>
        <w:t>out</w:t>
      </w:r>
      <w:r w:rsidRPr="00A42768">
        <w:rPr>
          <w:b/>
          <w:bCs/>
          <w:spacing w:val="-1"/>
        </w:rPr>
        <w:t xml:space="preserve"> </w:t>
      </w:r>
      <w:r w:rsidRPr="00A42768">
        <w:rPr>
          <w:b/>
          <w:bCs/>
        </w:rPr>
        <w:t>in</w:t>
      </w:r>
      <w:r w:rsidRPr="00A42768">
        <w:rPr>
          <w:b/>
          <w:bCs/>
          <w:spacing w:val="-1"/>
        </w:rPr>
        <w:t xml:space="preserve"> </w:t>
      </w:r>
      <w:r w:rsidRPr="00A42768">
        <w:rPr>
          <w:b/>
          <w:bCs/>
        </w:rPr>
        <w:t>a</w:t>
      </w:r>
      <w:r w:rsidRPr="00A42768">
        <w:rPr>
          <w:b/>
          <w:bCs/>
          <w:spacing w:val="-1"/>
        </w:rPr>
        <w:t xml:space="preserve"> </w:t>
      </w:r>
      <w:r w:rsidRPr="00A42768">
        <w:rPr>
          <w:b/>
          <w:bCs/>
        </w:rPr>
        <w:t>Culture</w:t>
      </w:r>
      <w:r w:rsidRPr="00A42768">
        <w:rPr>
          <w:b/>
          <w:bCs/>
          <w:spacing w:val="-1"/>
        </w:rPr>
        <w:t xml:space="preserve"> </w:t>
      </w:r>
      <w:r w:rsidRPr="00A42768">
        <w:rPr>
          <w:b/>
          <w:bCs/>
        </w:rPr>
        <w:t>Plan</w:t>
      </w:r>
      <w:r>
        <w:rPr>
          <w:spacing w:val="-1"/>
        </w:rPr>
        <w:t xml:space="preserve"> </w:t>
      </w:r>
      <w:r>
        <w:t>that</w:t>
      </w:r>
      <w:r>
        <w:rPr>
          <w:spacing w:val="-1"/>
        </w:rPr>
        <w:t xml:space="preserve"> </w:t>
      </w:r>
      <w:r>
        <w:t>senior</w:t>
      </w:r>
      <w:r>
        <w:rPr>
          <w:spacing w:val="-1"/>
        </w:rPr>
        <w:t xml:space="preserve"> </w:t>
      </w:r>
      <w:r>
        <w:t>leaders</w:t>
      </w:r>
      <w:r>
        <w:rPr>
          <w:spacing w:val="-1"/>
        </w:rPr>
        <w:t xml:space="preserve"> </w:t>
      </w:r>
      <w:r>
        <w:t>explain</w:t>
      </w:r>
      <w:r>
        <w:rPr>
          <w:spacing w:val="-1"/>
        </w:rPr>
        <w:t xml:space="preserve"> </w:t>
      </w:r>
      <w:r>
        <w:t>to</w:t>
      </w:r>
      <w:r>
        <w:rPr>
          <w:spacing w:val="-1"/>
        </w:rPr>
        <w:t xml:space="preserve"> </w:t>
      </w:r>
      <w:r>
        <w:t>the</w:t>
      </w:r>
      <w:r>
        <w:rPr>
          <w:spacing w:val="-1"/>
        </w:rPr>
        <w:t xml:space="preserve"> </w:t>
      </w:r>
      <w:r>
        <w:t>staff.</w:t>
      </w:r>
      <w:r>
        <w:rPr>
          <w:spacing w:val="-1"/>
        </w:rPr>
        <w:t xml:space="preserve"> </w:t>
      </w:r>
      <w:r>
        <w:t>The</w:t>
      </w:r>
      <w:r>
        <w:rPr>
          <w:spacing w:val="-1"/>
        </w:rPr>
        <w:t xml:space="preserve"> </w:t>
      </w:r>
      <w:r>
        <w:t>Culture</w:t>
      </w:r>
      <w:r>
        <w:rPr>
          <w:spacing w:val="-1"/>
        </w:rPr>
        <w:t xml:space="preserve"> </w:t>
      </w:r>
      <w:r>
        <w:t>Plan</w:t>
      </w:r>
      <w:r>
        <w:rPr>
          <w:spacing w:val="-1"/>
        </w:rPr>
        <w:t xml:space="preserve"> </w:t>
      </w:r>
      <w:r>
        <w:t>should</w:t>
      </w:r>
      <w:r>
        <w:rPr>
          <w:spacing w:val="-1"/>
        </w:rPr>
        <w:t xml:space="preserve"> </w:t>
      </w:r>
      <w:r>
        <w:t>at a minimum include:</w:t>
      </w:r>
    </w:p>
    <w:p w14:paraId="7F744E9B" w14:textId="16B7EE56" w:rsidR="00A42768" w:rsidRDefault="00A42768" w:rsidP="0000278A">
      <w:pPr>
        <w:pStyle w:val="Bullet"/>
        <w:rPr>
          <w:rFonts w:ascii="Arial" w:hAnsi="Arial"/>
        </w:rPr>
      </w:pPr>
      <w:r>
        <w:t>Behaviours being assessed as part of formal performance reviews. The capability framework should reflect the expected behaviours and leaders’ performance needs to be genuinely assessed against it</w:t>
      </w:r>
      <w:r w:rsidR="0068598E">
        <w:rPr>
          <w:spacing w:val="-11"/>
        </w:rPr>
        <w:t>.</w:t>
      </w:r>
    </w:p>
    <w:p w14:paraId="2BF89E26" w14:textId="0C5A2B20" w:rsidR="00A42768" w:rsidRDefault="00A42768" w:rsidP="0000278A">
      <w:pPr>
        <w:pStyle w:val="Bullet"/>
        <w:rPr>
          <w:rFonts w:ascii="Arial" w:hAnsi="Arial"/>
        </w:rPr>
      </w:pPr>
      <w:r>
        <w:t>An approach to embed change into the organisation’s internal policies, processes, and systems. This includes in areas such as recruitment, performance and development, talent discussions, succession planning and training</w:t>
      </w:r>
      <w:r w:rsidR="0068598E">
        <w:rPr>
          <w:spacing w:val="-20"/>
        </w:rPr>
        <w:t>.</w:t>
      </w:r>
      <w:r>
        <w:rPr>
          <w:w w:val="85"/>
        </w:rPr>
        <w:t xml:space="preserve"> </w:t>
      </w:r>
      <w:r>
        <w:t>It should also consider promotions, rewards, and incentives</w:t>
      </w:r>
      <w:r w:rsidR="0068598E">
        <w:rPr>
          <w:spacing w:val="-20"/>
        </w:rPr>
        <w:t>.</w:t>
      </w:r>
    </w:p>
    <w:p w14:paraId="1F8F51E4" w14:textId="6ECA1CB5" w:rsidR="00BA23B5" w:rsidRPr="00BA23B5" w:rsidRDefault="00A42768" w:rsidP="0000278A">
      <w:pPr>
        <w:pStyle w:val="Bullet"/>
      </w:pPr>
      <w:r>
        <w:t>An approach to embed change in policy formulation and decision-making processes. Changes in the leadership behaviours are needed to ensure process and systems changes, such as to the Monetary Policy Board papers and processes (see Recommendation 9) and risk appetite (see Recommendation 11</w:t>
      </w:r>
      <w:r w:rsidR="0068598E">
        <w:rPr>
          <w:spacing w:val="-19"/>
        </w:rPr>
        <w:t>.</w:t>
      </w:r>
      <w:r>
        <w:rPr>
          <w:w w:val="117"/>
        </w:rPr>
        <w:t>1)</w:t>
      </w:r>
      <w:r>
        <w:rPr>
          <w:w w:val="99"/>
        </w:rPr>
        <w:t xml:space="preserve"> </w:t>
      </w:r>
      <w:r>
        <w:t>have their intended impact</w:t>
      </w:r>
      <w:r w:rsidR="0068598E">
        <w:rPr>
          <w:spacing w:val="-19"/>
        </w:rPr>
        <w:t>.</w:t>
      </w:r>
    </w:p>
    <w:p w14:paraId="64157AA2" w14:textId="7D4727D3" w:rsidR="00BA23B5" w:rsidRDefault="00BA23B5" w:rsidP="00BA23B5">
      <w:r w:rsidRPr="00BA23B5">
        <w:t>Th</w:t>
      </w:r>
      <w:r w:rsidR="00925554">
        <w:t>e</w:t>
      </w:r>
      <w:r w:rsidRPr="00BA23B5">
        <w:rPr>
          <w:spacing w:val="-1"/>
        </w:rPr>
        <w:t xml:space="preserve"> </w:t>
      </w:r>
      <w:r w:rsidRPr="00BA23B5">
        <w:t>Culture Plan can be a key component of the RBA’s broader implementation roadmap (see Recommendation 14</w:t>
      </w:r>
      <w:r w:rsidR="0068598E">
        <w:t>.</w:t>
      </w:r>
      <w:r w:rsidRPr="00BA23B5">
        <w:t>5)</w:t>
      </w:r>
      <w:r w:rsidR="0068598E">
        <w:t>.</w:t>
      </w:r>
    </w:p>
    <w:p w14:paraId="270E8A98" w14:textId="77777777" w:rsidR="00BA23B5" w:rsidRDefault="00BA23B5" w:rsidP="00BA23B5">
      <w:r w:rsidRPr="00BA23B5">
        <w:rPr>
          <w:rFonts w:cs="Calibri Light"/>
          <w:b/>
        </w:rPr>
        <w:lastRenderedPageBreak/>
        <w:t xml:space="preserve">The RBA’s executive should lead a process involving staff members to update the RBA values. </w:t>
      </w:r>
      <w:r w:rsidRPr="00BA23B5">
        <w:rPr>
          <w:rFonts w:cs="Calibri Light"/>
        </w:rPr>
        <w:t>The Government’s decision to extend the APS values across all agencies covered by the PGPA</w:t>
      </w:r>
      <w:r w:rsidRPr="00BA23B5">
        <w:rPr>
          <w:rFonts w:cs="Calibri Light"/>
          <w:spacing w:val="-2"/>
        </w:rPr>
        <w:t xml:space="preserve"> </w:t>
      </w:r>
      <w:r w:rsidRPr="00BA23B5">
        <w:rPr>
          <w:rFonts w:cs="Calibri Light"/>
        </w:rPr>
        <w:t>Act</w:t>
      </w:r>
      <w:r w:rsidRPr="00BA23B5">
        <w:rPr>
          <w:rFonts w:cs="Calibri Light"/>
          <w:spacing w:val="-2"/>
        </w:rPr>
        <w:t xml:space="preserve"> </w:t>
      </w:r>
      <w:r w:rsidRPr="00BA23B5">
        <w:rPr>
          <w:rFonts w:cs="Calibri Light"/>
        </w:rPr>
        <w:t>is</w:t>
      </w:r>
      <w:r w:rsidRPr="00BA23B5">
        <w:rPr>
          <w:rFonts w:cs="Calibri Light"/>
          <w:spacing w:val="-2"/>
        </w:rPr>
        <w:t xml:space="preserve"> </w:t>
      </w:r>
      <w:r w:rsidRPr="00BA23B5">
        <w:rPr>
          <w:rFonts w:cs="Calibri Light"/>
        </w:rPr>
        <w:t>an</w:t>
      </w:r>
      <w:r w:rsidRPr="00BA23B5">
        <w:rPr>
          <w:rFonts w:cs="Calibri Light"/>
          <w:spacing w:val="-2"/>
        </w:rPr>
        <w:t xml:space="preserve"> </w:t>
      </w:r>
      <w:r w:rsidRPr="00BA23B5">
        <w:rPr>
          <w:rFonts w:cs="Calibri Light"/>
        </w:rPr>
        <w:t>opp</w:t>
      </w:r>
      <w:r w:rsidRPr="00BA23B5">
        <w:t>ortunity</w:t>
      </w:r>
      <w:r w:rsidRPr="00BA23B5">
        <w:rPr>
          <w:spacing w:val="-2"/>
        </w:rPr>
        <w:t xml:space="preserve"> </w:t>
      </w:r>
      <w:r w:rsidRPr="00BA23B5">
        <w:t>to</w:t>
      </w:r>
      <w:r w:rsidRPr="00BA23B5">
        <w:rPr>
          <w:spacing w:val="-2"/>
        </w:rPr>
        <w:t xml:space="preserve"> </w:t>
      </w:r>
      <w:r w:rsidRPr="00BA23B5">
        <w:t>reflect</w:t>
      </w:r>
      <w:r w:rsidRPr="00BA23B5">
        <w:rPr>
          <w:spacing w:val="-2"/>
        </w:rPr>
        <w:t xml:space="preserve"> </w:t>
      </w:r>
      <w:r w:rsidRPr="00BA23B5">
        <w:t>on</w:t>
      </w:r>
      <w:r w:rsidRPr="00BA23B5">
        <w:rPr>
          <w:spacing w:val="-2"/>
        </w:rPr>
        <w:t xml:space="preserve"> </w:t>
      </w:r>
      <w:r w:rsidRPr="00BA23B5">
        <w:t>and</w:t>
      </w:r>
      <w:r w:rsidRPr="00BA23B5">
        <w:rPr>
          <w:spacing w:val="-2"/>
        </w:rPr>
        <w:t xml:space="preserve"> </w:t>
      </w:r>
      <w:r w:rsidRPr="00BA23B5">
        <w:t>update</w:t>
      </w:r>
      <w:r w:rsidRPr="00BA23B5">
        <w:rPr>
          <w:spacing w:val="-2"/>
        </w:rPr>
        <w:t xml:space="preserve"> </w:t>
      </w:r>
      <w:r w:rsidRPr="00BA23B5">
        <w:t>the</w:t>
      </w:r>
      <w:r w:rsidRPr="00BA23B5">
        <w:rPr>
          <w:spacing w:val="-2"/>
        </w:rPr>
        <w:t xml:space="preserve"> </w:t>
      </w:r>
      <w:r w:rsidRPr="00BA23B5">
        <w:t>RBA’s</w:t>
      </w:r>
      <w:r w:rsidRPr="00BA23B5">
        <w:rPr>
          <w:spacing w:val="-2"/>
        </w:rPr>
        <w:t xml:space="preserve"> </w:t>
      </w:r>
      <w:r w:rsidRPr="00BA23B5">
        <w:t>values.</w:t>
      </w:r>
      <w:r w:rsidRPr="00BA23B5">
        <w:rPr>
          <w:spacing w:val="-2"/>
        </w:rPr>
        <w:t xml:space="preserve"> </w:t>
      </w:r>
      <w:r w:rsidRPr="00BA23B5">
        <w:t>Agencies</w:t>
      </w:r>
      <w:r w:rsidRPr="00BA23B5">
        <w:rPr>
          <w:spacing w:val="-2"/>
        </w:rPr>
        <w:t xml:space="preserve"> </w:t>
      </w:r>
      <w:r w:rsidRPr="00BA23B5">
        <w:t>can</w:t>
      </w:r>
      <w:r w:rsidRPr="00BA23B5">
        <w:rPr>
          <w:spacing w:val="-2"/>
        </w:rPr>
        <w:t xml:space="preserve"> </w:t>
      </w:r>
      <w:r w:rsidRPr="00BA23B5">
        <w:t>continue</w:t>
      </w:r>
      <w:r w:rsidRPr="00BA23B5">
        <w:rPr>
          <w:spacing w:val="-2"/>
        </w:rPr>
        <w:t xml:space="preserve"> </w:t>
      </w:r>
      <w:r w:rsidRPr="00BA23B5">
        <w:t>to</w:t>
      </w:r>
      <w:r w:rsidRPr="00BA23B5">
        <w:rPr>
          <w:spacing w:val="-2"/>
        </w:rPr>
        <w:t xml:space="preserve"> </w:t>
      </w:r>
      <w:r w:rsidRPr="00BA23B5">
        <w:t>have agency-specific values that co-exist alongside the common set of public sector values. As such, the RBA</w:t>
      </w:r>
      <w:r w:rsidRPr="00BA23B5">
        <w:rPr>
          <w:spacing w:val="-5"/>
        </w:rPr>
        <w:t xml:space="preserve"> </w:t>
      </w:r>
      <w:r w:rsidRPr="00BA23B5">
        <w:t>should</w:t>
      </w:r>
      <w:r w:rsidRPr="00BA23B5">
        <w:rPr>
          <w:spacing w:val="-5"/>
        </w:rPr>
        <w:t xml:space="preserve"> </w:t>
      </w:r>
      <w:r w:rsidRPr="00BA23B5">
        <w:t>refresh</w:t>
      </w:r>
      <w:r w:rsidRPr="00BA23B5">
        <w:rPr>
          <w:spacing w:val="-5"/>
        </w:rPr>
        <w:t xml:space="preserve"> </w:t>
      </w:r>
      <w:r w:rsidRPr="00BA23B5">
        <w:t>its</w:t>
      </w:r>
      <w:r w:rsidRPr="00BA23B5">
        <w:rPr>
          <w:spacing w:val="-5"/>
        </w:rPr>
        <w:t xml:space="preserve"> </w:t>
      </w:r>
      <w:r w:rsidRPr="00BA23B5">
        <w:t>values</w:t>
      </w:r>
      <w:r w:rsidRPr="00BA23B5">
        <w:rPr>
          <w:spacing w:val="-5"/>
        </w:rPr>
        <w:t xml:space="preserve"> </w:t>
      </w:r>
      <w:r w:rsidRPr="00BA23B5">
        <w:t>so</w:t>
      </w:r>
      <w:r w:rsidRPr="00BA23B5">
        <w:rPr>
          <w:spacing w:val="-5"/>
        </w:rPr>
        <w:t xml:space="preserve"> </w:t>
      </w:r>
      <w:r w:rsidRPr="00BA23B5">
        <w:t>that</w:t>
      </w:r>
      <w:r w:rsidRPr="00BA23B5">
        <w:rPr>
          <w:spacing w:val="-5"/>
        </w:rPr>
        <w:t xml:space="preserve"> </w:t>
      </w:r>
      <w:r w:rsidRPr="00BA23B5">
        <w:t>they</w:t>
      </w:r>
      <w:r w:rsidRPr="00BA23B5">
        <w:rPr>
          <w:spacing w:val="-5"/>
        </w:rPr>
        <w:t xml:space="preserve"> </w:t>
      </w:r>
      <w:r w:rsidRPr="00BA23B5">
        <w:t>complement</w:t>
      </w:r>
      <w:r w:rsidRPr="00BA23B5">
        <w:rPr>
          <w:spacing w:val="-5"/>
        </w:rPr>
        <w:t xml:space="preserve"> </w:t>
      </w:r>
      <w:r w:rsidRPr="00BA23B5">
        <w:t>these</w:t>
      </w:r>
      <w:r w:rsidRPr="00BA23B5">
        <w:rPr>
          <w:spacing w:val="-5"/>
        </w:rPr>
        <w:t xml:space="preserve"> </w:t>
      </w:r>
      <w:r w:rsidRPr="00BA23B5">
        <w:t>and</w:t>
      </w:r>
      <w:r w:rsidRPr="00BA23B5">
        <w:rPr>
          <w:spacing w:val="-5"/>
        </w:rPr>
        <w:t xml:space="preserve"> </w:t>
      </w:r>
      <w:r w:rsidRPr="00BA23B5">
        <w:t>promote</w:t>
      </w:r>
      <w:r w:rsidRPr="00BA23B5">
        <w:rPr>
          <w:spacing w:val="-5"/>
        </w:rPr>
        <w:t xml:space="preserve"> </w:t>
      </w:r>
      <w:r w:rsidRPr="00BA23B5">
        <w:t>the</w:t>
      </w:r>
      <w:r w:rsidRPr="00BA23B5">
        <w:rPr>
          <w:spacing w:val="-5"/>
        </w:rPr>
        <w:t xml:space="preserve"> </w:t>
      </w:r>
      <w:r w:rsidRPr="00BA23B5">
        <w:t>particular</w:t>
      </w:r>
      <w:r w:rsidRPr="00BA23B5">
        <w:rPr>
          <w:spacing w:val="-5"/>
        </w:rPr>
        <w:t xml:space="preserve"> </w:t>
      </w:r>
      <w:r w:rsidRPr="00BA23B5">
        <w:t>behaviours and principles to which RBA staff members are expected to adhere.</w:t>
      </w:r>
    </w:p>
    <w:p w14:paraId="1BA639F8" w14:textId="77777777" w:rsidR="00BA23B5" w:rsidRDefault="00BA23B5" w:rsidP="00BA23B5">
      <w:pPr>
        <w:pStyle w:val="Heading4"/>
      </w:pPr>
      <w:r w:rsidRPr="00BA23B5">
        <w:t>Assess</w:t>
      </w:r>
      <w:r w:rsidRPr="00BA23B5">
        <w:rPr>
          <w:spacing w:val="4"/>
        </w:rPr>
        <w:t xml:space="preserve"> </w:t>
      </w:r>
      <w:r w:rsidRPr="00BA23B5">
        <w:t>impact</w:t>
      </w:r>
      <w:r w:rsidRPr="00BA23B5">
        <w:rPr>
          <w:spacing w:val="5"/>
        </w:rPr>
        <w:t xml:space="preserve"> </w:t>
      </w:r>
      <w:r w:rsidRPr="00BA23B5">
        <w:t>and</w:t>
      </w:r>
      <w:r w:rsidRPr="00BA23B5">
        <w:rPr>
          <w:spacing w:val="4"/>
        </w:rPr>
        <w:t xml:space="preserve"> </w:t>
      </w:r>
      <w:r w:rsidRPr="00BA23B5">
        <w:t>address</w:t>
      </w:r>
      <w:r w:rsidRPr="00BA23B5">
        <w:rPr>
          <w:spacing w:val="5"/>
        </w:rPr>
        <w:t xml:space="preserve"> </w:t>
      </w:r>
      <w:r w:rsidRPr="00BA23B5">
        <w:rPr>
          <w:spacing w:val="-4"/>
        </w:rPr>
        <w:t>gaps</w:t>
      </w:r>
    </w:p>
    <w:p w14:paraId="530AB1BD" w14:textId="77777777" w:rsidR="00BA23B5" w:rsidRPr="00F44138" w:rsidRDefault="00BA23B5" w:rsidP="00BA23B5">
      <w:pPr>
        <w:rPr>
          <w:szCs w:val="22"/>
        </w:rPr>
      </w:pPr>
      <w:r w:rsidRPr="00F44138">
        <w:rPr>
          <w:szCs w:val="22"/>
        </w:rPr>
        <w:t>Even with the best of intent, leaders can have blind spots as to how their actions are received by others. This is why it is important to measure the change, receive frequent feedback and adjust approaches openly and pragmatically. These actions will help to ensure that leaders’ behaviours and organisational initiatives are having the intended impact for staff members.</w:t>
      </w:r>
    </w:p>
    <w:p w14:paraId="3EB17E06" w14:textId="4FB0B062" w:rsidR="00BA23B5" w:rsidRPr="00F44138" w:rsidRDefault="00BA23B5" w:rsidP="00BA23B5">
      <w:pPr>
        <w:rPr>
          <w:rFonts w:cs="Calibri Light"/>
          <w:szCs w:val="22"/>
        </w:rPr>
      </w:pPr>
      <w:r w:rsidRPr="00F44138">
        <w:rPr>
          <w:rFonts w:cs="Calibri Light"/>
          <w:b/>
          <w:szCs w:val="22"/>
        </w:rPr>
        <w:t xml:space="preserve">The RBA should run an annual staff engagement survey to assess progress and focus actions on gaps. </w:t>
      </w:r>
      <w:r w:rsidRPr="00F44138">
        <w:rPr>
          <w:rFonts w:cs="Calibri Light"/>
          <w:szCs w:val="22"/>
        </w:rPr>
        <w:t>Currently, the RBA runs a biennial staff engagement survey. Increased frequency will enable it to identify issues earlier and set and monitor progress against targets more closely. It will also enable it to share updates with the organisation and the Governance Board more regularly. The surveys should be supported by conversations with staff members about the results, and what changes they would like to see. Where ongoing matters or issues of particular concern</w:t>
      </w:r>
      <w:r w:rsidRPr="00F44138">
        <w:rPr>
          <w:rFonts w:cs="Calibri Light"/>
          <w:spacing w:val="80"/>
          <w:szCs w:val="22"/>
        </w:rPr>
        <w:t xml:space="preserve"> </w:t>
      </w:r>
      <w:r w:rsidRPr="00F44138">
        <w:rPr>
          <w:rFonts w:cs="Calibri Light"/>
          <w:szCs w:val="22"/>
        </w:rPr>
        <w:t>are identified, these should attract stronger focus. This may involve deeper discussions with staff members and further analysis to help develop more targeted actions. Where possible and relevant, survey results should be benchmarked against the APS.</w:t>
      </w:r>
    </w:p>
    <w:p w14:paraId="3D8CAF65" w14:textId="586B232E" w:rsidR="00BA23B5" w:rsidRPr="00F44138" w:rsidRDefault="00BA23B5" w:rsidP="00BA23B5">
      <w:pPr>
        <w:rPr>
          <w:rFonts w:cs="Calibri Light"/>
          <w:szCs w:val="22"/>
        </w:rPr>
      </w:pPr>
      <w:r w:rsidRPr="00F44138">
        <w:rPr>
          <w:rFonts w:cs="Calibri Light"/>
          <w:b/>
          <w:szCs w:val="22"/>
        </w:rPr>
        <w:t>Leaders should be clear that they welcome feedback at any time</w:t>
      </w:r>
      <w:r w:rsidRPr="00F44138">
        <w:rPr>
          <w:rFonts w:cs="Calibri Light"/>
          <w:b/>
          <w:spacing w:val="-1"/>
          <w:szCs w:val="22"/>
        </w:rPr>
        <w:t xml:space="preserve"> </w:t>
      </w:r>
      <w:r w:rsidRPr="00F44138">
        <w:rPr>
          <w:rFonts w:cs="Calibri Light"/>
          <w:szCs w:val="22"/>
        </w:rPr>
        <w:t>about how organisational changes are being experienced by staff and on their performance as leaders. Annual externally facilitated 360-degree feedback for leaders (see Recommendation 11.2) will support this intent. Staff</w:t>
      </w:r>
      <w:r w:rsidRPr="00F44138">
        <w:rPr>
          <w:rFonts w:cs="Calibri Light"/>
          <w:spacing w:val="-2"/>
          <w:szCs w:val="22"/>
        </w:rPr>
        <w:t xml:space="preserve"> </w:t>
      </w:r>
      <w:r w:rsidRPr="00F44138">
        <w:rPr>
          <w:rFonts w:cs="Calibri Light"/>
          <w:szCs w:val="22"/>
        </w:rPr>
        <w:t>members</w:t>
      </w:r>
      <w:r w:rsidRPr="00F44138">
        <w:rPr>
          <w:rFonts w:cs="Calibri Light"/>
          <w:spacing w:val="1"/>
          <w:szCs w:val="22"/>
        </w:rPr>
        <w:t xml:space="preserve"> </w:t>
      </w:r>
      <w:r w:rsidRPr="00F44138">
        <w:rPr>
          <w:rFonts w:cs="Calibri Light"/>
          <w:szCs w:val="22"/>
        </w:rPr>
        <w:t>also</w:t>
      </w:r>
      <w:r w:rsidRPr="00F44138">
        <w:rPr>
          <w:rFonts w:cs="Calibri Light"/>
          <w:spacing w:val="1"/>
          <w:szCs w:val="22"/>
        </w:rPr>
        <w:t xml:space="preserve"> </w:t>
      </w:r>
      <w:r w:rsidRPr="00F44138">
        <w:rPr>
          <w:rFonts w:cs="Calibri Light"/>
          <w:szCs w:val="22"/>
        </w:rPr>
        <w:t>need</w:t>
      </w:r>
      <w:r w:rsidRPr="00F44138">
        <w:rPr>
          <w:rFonts w:cs="Calibri Light"/>
          <w:spacing w:val="1"/>
          <w:szCs w:val="22"/>
        </w:rPr>
        <w:t xml:space="preserve"> </w:t>
      </w:r>
      <w:r w:rsidRPr="00F44138">
        <w:rPr>
          <w:rFonts w:cs="Calibri Light"/>
          <w:szCs w:val="22"/>
        </w:rPr>
        <w:t>to</w:t>
      </w:r>
      <w:r w:rsidRPr="00F44138">
        <w:rPr>
          <w:rFonts w:cs="Calibri Light"/>
          <w:spacing w:val="1"/>
          <w:szCs w:val="22"/>
        </w:rPr>
        <w:t xml:space="preserve"> </w:t>
      </w:r>
      <w:r w:rsidRPr="00F44138">
        <w:rPr>
          <w:rFonts w:cs="Calibri Light"/>
          <w:szCs w:val="22"/>
        </w:rPr>
        <w:t>see</w:t>
      </w:r>
      <w:r w:rsidRPr="00F44138">
        <w:rPr>
          <w:rFonts w:cs="Calibri Light"/>
          <w:spacing w:val="1"/>
          <w:szCs w:val="22"/>
        </w:rPr>
        <w:t xml:space="preserve"> </w:t>
      </w:r>
      <w:r w:rsidRPr="00F44138">
        <w:rPr>
          <w:rFonts w:cs="Calibri Light"/>
          <w:szCs w:val="22"/>
        </w:rPr>
        <w:t>commitment</w:t>
      </w:r>
      <w:r w:rsidRPr="00F44138">
        <w:rPr>
          <w:rFonts w:cs="Calibri Light"/>
          <w:spacing w:val="1"/>
          <w:szCs w:val="22"/>
        </w:rPr>
        <w:t xml:space="preserve"> </w:t>
      </w:r>
      <w:r w:rsidRPr="00F44138">
        <w:rPr>
          <w:rFonts w:cs="Calibri Light"/>
          <w:szCs w:val="22"/>
        </w:rPr>
        <w:t>from</w:t>
      </w:r>
      <w:r w:rsidRPr="00F44138">
        <w:rPr>
          <w:rFonts w:cs="Calibri Light"/>
          <w:spacing w:val="1"/>
          <w:szCs w:val="22"/>
        </w:rPr>
        <w:t xml:space="preserve"> </w:t>
      </w:r>
      <w:r w:rsidRPr="00F44138">
        <w:rPr>
          <w:rFonts w:cs="Calibri Light"/>
          <w:szCs w:val="22"/>
        </w:rPr>
        <w:t>leaders</w:t>
      </w:r>
      <w:r w:rsidRPr="00F44138">
        <w:rPr>
          <w:rFonts w:cs="Calibri Light"/>
          <w:spacing w:val="1"/>
          <w:szCs w:val="22"/>
        </w:rPr>
        <w:t xml:space="preserve"> </w:t>
      </w:r>
      <w:r w:rsidRPr="00F44138">
        <w:rPr>
          <w:rFonts w:cs="Calibri Light"/>
          <w:szCs w:val="22"/>
        </w:rPr>
        <w:t>to</w:t>
      </w:r>
      <w:r w:rsidRPr="00F44138">
        <w:rPr>
          <w:rFonts w:cs="Calibri Light"/>
          <w:spacing w:val="1"/>
          <w:szCs w:val="22"/>
        </w:rPr>
        <w:t xml:space="preserve"> </w:t>
      </w:r>
      <w:r w:rsidRPr="00F44138">
        <w:rPr>
          <w:rFonts w:cs="Calibri Light"/>
          <w:szCs w:val="22"/>
        </w:rPr>
        <w:t>addressing</w:t>
      </w:r>
      <w:r w:rsidRPr="00F44138">
        <w:rPr>
          <w:rFonts w:cs="Calibri Light"/>
          <w:spacing w:val="1"/>
          <w:szCs w:val="22"/>
        </w:rPr>
        <w:t xml:space="preserve"> </w:t>
      </w:r>
      <w:r w:rsidRPr="00F44138">
        <w:rPr>
          <w:rFonts w:cs="Calibri Light"/>
          <w:szCs w:val="22"/>
        </w:rPr>
        <w:t>matters</w:t>
      </w:r>
      <w:r w:rsidRPr="00F44138">
        <w:rPr>
          <w:rFonts w:cs="Calibri Light"/>
          <w:spacing w:val="1"/>
          <w:szCs w:val="22"/>
        </w:rPr>
        <w:t xml:space="preserve"> </w:t>
      </w:r>
      <w:r w:rsidRPr="00F44138">
        <w:rPr>
          <w:rFonts w:cs="Calibri Light"/>
          <w:spacing w:val="-2"/>
          <w:szCs w:val="22"/>
        </w:rPr>
        <w:t>raised.</w:t>
      </w:r>
    </w:p>
    <w:p w14:paraId="5931973F" w14:textId="1C560BC5" w:rsidR="00BA23B5" w:rsidRPr="00F44138" w:rsidRDefault="00BA23B5" w:rsidP="00BA23B5">
      <w:pPr>
        <w:rPr>
          <w:rFonts w:cs="Calibri Light"/>
          <w:szCs w:val="22"/>
        </w:rPr>
      </w:pPr>
      <w:r w:rsidRPr="00F44138">
        <w:rPr>
          <w:rFonts w:cs="Calibri Light"/>
          <w:szCs w:val="22"/>
        </w:rPr>
        <w:t>Executive leaders should consider putting in place a regular forum for themselves where they discuss</w:t>
      </w:r>
      <w:r w:rsidRPr="00F44138">
        <w:rPr>
          <w:rFonts w:cs="Calibri Light"/>
          <w:spacing w:val="-1"/>
          <w:szCs w:val="22"/>
        </w:rPr>
        <w:t xml:space="preserve"> </w:t>
      </w:r>
      <w:r w:rsidRPr="00F44138">
        <w:rPr>
          <w:rFonts w:cs="Calibri Light"/>
          <w:szCs w:val="22"/>
        </w:rPr>
        <w:t>how</w:t>
      </w:r>
      <w:r w:rsidRPr="00F44138">
        <w:rPr>
          <w:rFonts w:cs="Calibri Light"/>
          <w:spacing w:val="-1"/>
          <w:szCs w:val="22"/>
        </w:rPr>
        <w:t xml:space="preserve"> </w:t>
      </w:r>
      <w:r w:rsidRPr="00F44138">
        <w:rPr>
          <w:rFonts w:cs="Calibri Light"/>
          <w:szCs w:val="22"/>
        </w:rPr>
        <w:t>they</w:t>
      </w:r>
      <w:r w:rsidRPr="00F44138">
        <w:rPr>
          <w:rFonts w:cs="Calibri Light"/>
          <w:spacing w:val="-1"/>
          <w:szCs w:val="22"/>
        </w:rPr>
        <w:t xml:space="preserve"> </w:t>
      </w:r>
      <w:r w:rsidRPr="00F44138">
        <w:rPr>
          <w:rFonts w:cs="Calibri Light"/>
          <w:szCs w:val="22"/>
        </w:rPr>
        <w:t>are</w:t>
      </w:r>
      <w:r w:rsidRPr="00F44138">
        <w:rPr>
          <w:rFonts w:cs="Calibri Light"/>
          <w:spacing w:val="-1"/>
          <w:szCs w:val="22"/>
        </w:rPr>
        <w:t xml:space="preserve"> </w:t>
      </w:r>
      <w:r w:rsidRPr="00F44138">
        <w:rPr>
          <w:rFonts w:cs="Calibri Light"/>
          <w:szCs w:val="22"/>
        </w:rPr>
        <w:t>working</w:t>
      </w:r>
      <w:r w:rsidRPr="00F44138">
        <w:rPr>
          <w:rFonts w:cs="Calibri Light"/>
          <w:spacing w:val="-1"/>
          <w:szCs w:val="22"/>
        </w:rPr>
        <w:t xml:space="preserve"> </w:t>
      </w:r>
      <w:r w:rsidRPr="00F44138">
        <w:rPr>
          <w:rFonts w:cs="Calibri Light"/>
          <w:szCs w:val="22"/>
        </w:rPr>
        <w:t>together</w:t>
      </w:r>
      <w:r w:rsidRPr="00F44138">
        <w:rPr>
          <w:rFonts w:cs="Calibri Light"/>
          <w:spacing w:val="-1"/>
          <w:szCs w:val="22"/>
        </w:rPr>
        <w:t xml:space="preserve"> </w:t>
      </w:r>
      <w:r w:rsidRPr="00F44138">
        <w:rPr>
          <w:rFonts w:cs="Calibri Light"/>
          <w:szCs w:val="22"/>
        </w:rPr>
        <w:t>as</w:t>
      </w:r>
      <w:r w:rsidRPr="00F44138">
        <w:rPr>
          <w:rFonts w:cs="Calibri Light"/>
          <w:spacing w:val="-1"/>
          <w:szCs w:val="22"/>
        </w:rPr>
        <w:t xml:space="preserve"> </w:t>
      </w:r>
      <w:r w:rsidRPr="00F44138">
        <w:rPr>
          <w:rFonts w:cs="Calibri Light"/>
          <w:szCs w:val="22"/>
        </w:rPr>
        <w:t>a</w:t>
      </w:r>
      <w:r w:rsidRPr="00F44138">
        <w:rPr>
          <w:rFonts w:cs="Calibri Light"/>
          <w:spacing w:val="-1"/>
          <w:szCs w:val="22"/>
        </w:rPr>
        <w:t xml:space="preserve"> </w:t>
      </w:r>
      <w:r w:rsidRPr="00F44138">
        <w:rPr>
          <w:rFonts w:cs="Calibri Light"/>
          <w:szCs w:val="22"/>
        </w:rPr>
        <w:t>team,</w:t>
      </w:r>
      <w:r w:rsidRPr="00F44138">
        <w:rPr>
          <w:rFonts w:cs="Calibri Light"/>
          <w:spacing w:val="-1"/>
          <w:szCs w:val="22"/>
        </w:rPr>
        <w:t xml:space="preserve"> </w:t>
      </w:r>
      <w:r w:rsidRPr="00F44138">
        <w:rPr>
          <w:rFonts w:cs="Calibri Light"/>
          <w:szCs w:val="22"/>
        </w:rPr>
        <w:t>provide</w:t>
      </w:r>
      <w:r w:rsidRPr="00F44138">
        <w:rPr>
          <w:rFonts w:cs="Calibri Light"/>
          <w:spacing w:val="-1"/>
          <w:szCs w:val="22"/>
        </w:rPr>
        <w:t xml:space="preserve"> </w:t>
      </w:r>
      <w:r w:rsidRPr="00F44138">
        <w:rPr>
          <w:rFonts w:cs="Calibri Light"/>
          <w:szCs w:val="22"/>
        </w:rPr>
        <w:t>feedback</w:t>
      </w:r>
      <w:r w:rsidRPr="00F44138">
        <w:rPr>
          <w:rFonts w:cs="Calibri Light"/>
          <w:spacing w:val="-1"/>
          <w:szCs w:val="22"/>
        </w:rPr>
        <w:t xml:space="preserve"> </w:t>
      </w:r>
      <w:r w:rsidRPr="00F44138">
        <w:rPr>
          <w:rFonts w:cs="Calibri Light"/>
          <w:szCs w:val="22"/>
        </w:rPr>
        <w:t>and</w:t>
      </w:r>
      <w:r w:rsidRPr="00F44138">
        <w:rPr>
          <w:rFonts w:cs="Calibri Light"/>
          <w:spacing w:val="-1"/>
          <w:szCs w:val="22"/>
        </w:rPr>
        <w:t xml:space="preserve"> </w:t>
      </w:r>
      <w:r w:rsidRPr="00F44138">
        <w:rPr>
          <w:rFonts w:cs="Calibri Light"/>
          <w:szCs w:val="22"/>
        </w:rPr>
        <w:t>hold</w:t>
      </w:r>
      <w:r w:rsidRPr="00F44138">
        <w:rPr>
          <w:rFonts w:cs="Calibri Light"/>
          <w:spacing w:val="-1"/>
          <w:szCs w:val="22"/>
        </w:rPr>
        <w:t xml:space="preserve"> </w:t>
      </w:r>
      <w:r w:rsidRPr="00F44138">
        <w:rPr>
          <w:rFonts w:cs="Calibri Light"/>
          <w:szCs w:val="22"/>
        </w:rPr>
        <w:t>each</w:t>
      </w:r>
      <w:r w:rsidRPr="00F44138">
        <w:rPr>
          <w:rFonts w:cs="Calibri Light"/>
          <w:spacing w:val="-1"/>
          <w:szCs w:val="22"/>
        </w:rPr>
        <w:t xml:space="preserve"> </w:t>
      </w:r>
      <w:r w:rsidRPr="00F44138">
        <w:rPr>
          <w:rFonts w:cs="Calibri Light"/>
          <w:szCs w:val="22"/>
        </w:rPr>
        <w:t>other</w:t>
      </w:r>
      <w:r w:rsidRPr="00F44138">
        <w:rPr>
          <w:rFonts w:cs="Calibri Light"/>
          <w:spacing w:val="-1"/>
          <w:szCs w:val="22"/>
        </w:rPr>
        <w:t xml:space="preserve"> </w:t>
      </w:r>
      <w:r w:rsidRPr="00F44138">
        <w:rPr>
          <w:rFonts w:cs="Calibri Light"/>
          <w:szCs w:val="22"/>
        </w:rPr>
        <w:t>to</w:t>
      </w:r>
      <w:r w:rsidRPr="00F44138">
        <w:rPr>
          <w:rFonts w:cs="Calibri Light"/>
          <w:spacing w:val="-1"/>
          <w:szCs w:val="22"/>
        </w:rPr>
        <w:t xml:space="preserve"> </w:t>
      </w:r>
      <w:r w:rsidRPr="00F44138">
        <w:rPr>
          <w:rFonts w:cs="Calibri Light"/>
          <w:szCs w:val="22"/>
        </w:rPr>
        <w:t>account on behaviours</w:t>
      </w:r>
      <w:r w:rsidR="0068598E" w:rsidRPr="00F44138">
        <w:rPr>
          <w:rFonts w:cs="Calibri Light"/>
          <w:spacing w:val="-17"/>
          <w:szCs w:val="22"/>
        </w:rPr>
        <w:t>.</w:t>
      </w:r>
    </w:p>
    <w:p w14:paraId="79597287" w14:textId="7C5EDA14" w:rsidR="00BA23B5" w:rsidRPr="00F44138" w:rsidRDefault="00BA23B5" w:rsidP="00BA7C8E">
      <w:pPr>
        <w:rPr>
          <w:w w:val="85"/>
          <w:szCs w:val="22"/>
        </w:rPr>
      </w:pPr>
      <w:r w:rsidRPr="00F44138">
        <w:rPr>
          <w:rFonts w:cs="Calibri Light"/>
          <w:b/>
          <w:bCs/>
          <w:szCs w:val="22"/>
        </w:rPr>
        <w:t>Leaders need to measure and be transparent on progress against the Culture Plan</w:t>
      </w:r>
      <w:r w:rsidRPr="00F44138">
        <w:rPr>
          <w:rFonts w:cs="Calibri Light"/>
          <w:szCs w:val="22"/>
        </w:rPr>
        <w:t>.</w:t>
      </w:r>
      <w:r w:rsidRPr="00F44138">
        <w:rPr>
          <w:rFonts w:cs="Calibri Light"/>
          <w:spacing w:val="-1"/>
          <w:szCs w:val="22"/>
        </w:rPr>
        <w:t xml:space="preserve"> </w:t>
      </w:r>
      <w:r w:rsidRPr="00F44138">
        <w:rPr>
          <w:rFonts w:cs="Calibri Light"/>
          <w:szCs w:val="22"/>
        </w:rPr>
        <w:t>Th</w:t>
      </w:r>
      <w:r w:rsidRPr="00F44138">
        <w:rPr>
          <w:szCs w:val="22"/>
        </w:rPr>
        <w:t>is is discussed in more detail in Recommendation 13</w:t>
      </w:r>
      <w:r w:rsidR="0068598E" w:rsidRPr="00F44138">
        <w:rPr>
          <w:spacing w:val="-18"/>
          <w:szCs w:val="22"/>
        </w:rPr>
        <w:t>.</w:t>
      </w:r>
      <w:r w:rsidRPr="00F44138">
        <w:rPr>
          <w:w w:val="126"/>
          <w:szCs w:val="22"/>
        </w:rPr>
        <w:t>2</w:t>
      </w:r>
      <w:r w:rsidR="0068598E" w:rsidRPr="00F44138">
        <w:rPr>
          <w:spacing w:val="-17"/>
          <w:w w:val="99"/>
          <w:szCs w:val="22"/>
        </w:rPr>
        <w:t>.</w:t>
      </w:r>
    </w:p>
    <w:p w14:paraId="4A5E30C9" w14:textId="77777777" w:rsidR="00C775EE" w:rsidRDefault="00C775EE" w:rsidP="00C775EE">
      <w:pPr>
        <w:pStyle w:val="Heading4"/>
      </w:pPr>
      <w:r>
        <w:t>Supporting</w:t>
      </w:r>
      <w:r>
        <w:rPr>
          <w:spacing w:val="8"/>
        </w:rPr>
        <w:t xml:space="preserve"> </w:t>
      </w:r>
      <w:r>
        <w:rPr>
          <w:spacing w:val="-2"/>
        </w:rPr>
        <w:t>assessment</w:t>
      </w:r>
    </w:p>
    <w:p w14:paraId="353132E6" w14:textId="3ECF5184" w:rsidR="00C775EE" w:rsidRDefault="00C775EE" w:rsidP="00C775EE">
      <w:r>
        <w:t>The RBA’s leaders are central to shaping a culture that supports long-term high performance and the changes set out by this Review. Their behaviours guide the actions of those around them, shaping culture</w:t>
      </w:r>
      <w:r w:rsidR="0068598E">
        <w:rPr>
          <w:spacing w:val="-18"/>
        </w:rPr>
        <w:t>.</w:t>
      </w:r>
      <w:r>
        <w:rPr>
          <w:w w:val="85"/>
        </w:rPr>
        <w:t xml:space="preserve"> </w:t>
      </w:r>
      <w:r>
        <w:t>Leaders’ behaviours can either reinforce or undermine organisational values</w:t>
      </w:r>
      <w:r w:rsidR="0068598E">
        <w:rPr>
          <w:spacing w:val="-18"/>
        </w:rPr>
        <w:t>.</w:t>
      </w:r>
      <w:r>
        <w:rPr>
          <w:w w:val="85"/>
        </w:rPr>
        <w:t xml:space="preserve"> </w:t>
      </w:r>
      <w:r>
        <w:rPr>
          <w:color w:val="231F20"/>
        </w:rPr>
        <w:t>Leaders</w:t>
      </w:r>
      <w:r>
        <w:rPr>
          <w:color w:val="231F20"/>
          <w:spacing w:val="-2"/>
        </w:rPr>
        <w:t xml:space="preserve"> </w:t>
      </w:r>
      <w:r>
        <w:rPr>
          <w:color w:val="231F20"/>
        </w:rPr>
        <w:t>therefore</w:t>
      </w:r>
      <w:r>
        <w:rPr>
          <w:color w:val="231F20"/>
          <w:spacing w:val="1"/>
        </w:rPr>
        <w:t xml:space="preserve"> </w:t>
      </w:r>
      <w:r>
        <w:rPr>
          <w:color w:val="231F20"/>
        </w:rPr>
        <w:t>need to</w:t>
      </w:r>
      <w:r>
        <w:rPr>
          <w:color w:val="231F20"/>
          <w:spacing w:val="1"/>
        </w:rPr>
        <w:t xml:space="preserve"> </w:t>
      </w:r>
      <w:r>
        <w:rPr>
          <w:color w:val="231F20"/>
        </w:rPr>
        <w:t>be</w:t>
      </w:r>
      <w:r>
        <w:rPr>
          <w:color w:val="231F20"/>
          <w:spacing w:val="1"/>
        </w:rPr>
        <w:t xml:space="preserve"> </w:t>
      </w:r>
      <w:r>
        <w:rPr>
          <w:color w:val="231F20"/>
        </w:rPr>
        <w:t>conscious and</w:t>
      </w:r>
      <w:r>
        <w:rPr>
          <w:color w:val="231F20"/>
          <w:spacing w:val="1"/>
        </w:rPr>
        <w:t xml:space="preserve"> </w:t>
      </w:r>
      <w:r>
        <w:rPr>
          <w:color w:val="231F20"/>
        </w:rPr>
        <w:t>deliberate in</w:t>
      </w:r>
      <w:r>
        <w:rPr>
          <w:color w:val="231F20"/>
          <w:spacing w:val="1"/>
        </w:rPr>
        <w:t xml:space="preserve"> </w:t>
      </w:r>
      <w:r>
        <w:rPr>
          <w:color w:val="231F20"/>
        </w:rPr>
        <w:t>their</w:t>
      </w:r>
      <w:r>
        <w:rPr>
          <w:color w:val="231F20"/>
          <w:spacing w:val="1"/>
        </w:rPr>
        <w:t xml:space="preserve"> </w:t>
      </w:r>
      <w:r>
        <w:rPr>
          <w:color w:val="231F20"/>
        </w:rPr>
        <w:t>behaviours, actions</w:t>
      </w:r>
      <w:r>
        <w:rPr>
          <w:color w:val="231F20"/>
          <w:spacing w:val="1"/>
        </w:rPr>
        <w:t xml:space="preserve"> </w:t>
      </w:r>
      <w:r>
        <w:rPr>
          <w:color w:val="231F20"/>
        </w:rPr>
        <w:t>and</w:t>
      </w:r>
      <w:r>
        <w:rPr>
          <w:color w:val="231F20"/>
          <w:spacing w:val="1"/>
        </w:rPr>
        <w:t xml:space="preserve"> </w:t>
      </w:r>
      <w:r>
        <w:rPr>
          <w:color w:val="231F20"/>
          <w:spacing w:val="-2"/>
        </w:rPr>
        <w:t xml:space="preserve">words, </w:t>
      </w:r>
      <w:r>
        <w:rPr>
          <w:color w:val="231F20"/>
        </w:rPr>
        <w:t>and</w:t>
      </w:r>
      <w:r>
        <w:rPr>
          <w:color w:val="231F20"/>
          <w:spacing w:val="-1"/>
        </w:rPr>
        <w:t xml:space="preserve"> </w:t>
      </w:r>
      <w:r>
        <w:rPr>
          <w:color w:val="231F20"/>
        </w:rPr>
        <w:t>these need</w:t>
      </w:r>
      <w:r>
        <w:rPr>
          <w:color w:val="231F20"/>
          <w:spacing w:val="-1"/>
        </w:rPr>
        <w:t xml:space="preserve"> </w:t>
      </w:r>
      <w:r>
        <w:rPr>
          <w:color w:val="231F20"/>
        </w:rPr>
        <w:t>to be</w:t>
      </w:r>
      <w:r>
        <w:rPr>
          <w:color w:val="231F20"/>
          <w:spacing w:val="-1"/>
        </w:rPr>
        <w:t xml:space="preserve"> </w:t>
      </w:r>
      <w:r>
        <w:rPr>
          <w:color w:val="231F20"/>
        </w:rPr>
        <w:t>consistent with</w:t>
      </w:r>
      <w:r>
        <w:rPr>
          <w:color w:val="231F20"/>
          <w:spacing w:val="-1"/>
        </w:rPr>
        <w:t xml:space="preserve"> </w:t>
      </w:r>
      <w:r>
        <w:rPr>
          <w:color w:val="231F20"/>
        </w:rPr>
        <w:t>and reinforce</w:t>
      </w:r>
      <w:r>
        <w:rPr>
          <w:color w:val="231F20"/>
          <w:spacing w:val="-1"/>
        </w:rPr>
        <w:t xml:space="preserve"> </w:t>
      </w:r>
      <w:r>
        <w:rPr>
          <w:color w:val="231F20"/>
        </w:rPr>
        <w:t xml:space="preserve">each </w:t>
      </w:r>
      <w:r>
        <w:rPr>
          <w:color w:val="231F20"/>
          <w:spacing w:val="-2"/>
        </w:rPr>
        <w:t>other.</w:t>
      </w:r>
    </w:p>
    <w:p w14:paraId="3B7A6CB5" w14:textId="1E1D40CC" w:rsidR="00C775EE" w:rsidRDefault="00C775EE" w:rsidP="00C775EE">
      <w:r>
        <w:t>The RBA’s strengths include its high calibre and well-regarded staff with a strong commitment to public service, intellectual rigour and high-quality outputs, and a collegiate environment. As noted in Chapter 4, the RBA’s leadership is looking to build on these by implementing a raft of change initiatives including efforts to make policy forums more inclusive, initiatives to encourage staff to speak up and improvements to risk management</w:t>
      </w:r>
      <w:r w:rsidR="0068598E">
        <w:rPr>
          <w:spacing w:val="-22"/>
        </w:rPr>
        <w:t>.</w:t>
      </w:r>
      <w:r>
        <w:rPr>
          <w:w w:val="85"/>
        </w:rPr>
        <w:t xml:space="preserve"> </w:t>
      </w:r>
      <w:r>
        <w:t>However, despite these positive steps the lived experience of staff does not always align with the intent and words of leaders. At times leaders’ decisions and actions are seen as inconsistent with the stated process or direction and can undermine the intended impact. For example:</w:t>
      </w:r>
    </w:p>
    <w:p w14:paraId="62A93CB6" w14:textId="77777777" w:rsidR="00C775EE" w:rsidRDefault="00C775EE" w:rsidP="0000278A">
      <w:pPr>
        <w:pStyle w:val="Bullet"/>
        <w:rPr>
          <w:rFonts w:ascii="Arial" w:hAnsi="Arial"/>
        </w:rPr>
      </w:pPr>
      <w:r>
        <w:t>The new career framework places stronger emphasis on leadership capabilities but this message is diluted when staff perceive opportunities to still be awarded largely based on technical expertise.</w:t>
      </w:r>
    </w:p>
    <w:p w14:paraId="118AED9C" w14:textId="77777777" w:rsidR="00C775EE" w:rsidRDefault="00C775EE" w:rsidP="0000278A">
      <w:pPr>
        <w:pStyle w:val="Bullet"/>
        <w:rPr>
          <w:rFonts w:ascii="Arial" w:hAnsi="Arial"/>
        </w:rPr>
      </w:pPr>
      <w:r>
        <w:lastRenderedPageBreak/>
        <w:t>Senior leaders are thought to have good intentions on diversity and inclusion, but RBA Review Staff Survey results show many staff members do not think this is translating into action or outcomes (</w:t>
      </w:r>
      <w:r>
        <w:rPr>
          <w:color w:val="231F20"/>
        </w:rPr>
        <w:t>Chart 4.13: Staff perceptions of diversity and inclusion, Chapter 4)</w:t>
      </w:r>
      <w:r>
        <w:rPr>
          <w:i/>
          <w:color w:val="231F20"/>
        </w:rPr>
        <w:t>.</w:t>
      </w:r>
    </w:p>
    <w:p w14:paraId="19CA24D5" w14:textId="664D3AC3" w:rsidR="00C775EE" w:rsidRDefault="00C775EE" w:rsidP="0000278A">
      <w:pPr>
        <w:pStyle w:val="Bullet"/>
        <w:rPr>
          <w:rFonts w:ascii="Arial" w:hAnsi="Arial"/>
        </w:rPr>
      </w:pPr>
      <w:r>
        <w:t>Of the RBA Review Staff Survey respondents who experienced or witnessed bullying or harassment, around half did not report the behaviour, and the most common reason given for</w:t>
      </w:r>
      <w:r>
        <w:rPr>
          <w:spacing w:val="-1"/>
        </w:rPr>
        <w:t xml:space="preserve"> </w:t>
      </w:r>
      <w:r>
        <w:t>not</w:t>
      </w:r>
      <w:r>
        <w:rPr>
          <w:spacing w:val="-1"/>
        </w:rPr>
        <w:t xml:space="preserve"> </w:t>
      </w:r>
      <w:r>
        <w:t>reporting</w:t>
      </w:r>
      <w:r>
        <w:rPr>
          <w:spacing w:val="-1"/>
        </w:rPr>
        <w:t xml:space="preserve"> </w:t>
      </w:r>
      <w:r>
        <w:t>was</w:t>
      </w:r>
      <w:r>
        <w:rPr>
          <w:spacing w:val="-1"/>
        </w:rPr>
        <w:t xml:space="preserve"> </w:t>
      </w:r>
      <w:r>
        <w:t>‘I</w:t>
      </w:r>
      <w:r>
        <w:rPr>
          <w:spacing w:val="-1"/>
        </w:rPr>
        <w:t xml:space="preserve"> </w:t>
      </w:r>
      <w:r>
        <w:t>did</w:t>
      </w:r>
      <w:r>
        <w:rPr>
          <w:spacing w:val="-1"/>
        </w:rPr>
        <w:t xml:space="preserve"> </w:t>
      </w:r>
      <w:r>
        <w:t>not</w:t>
      </w:r>
      <w:r>
        <w:rPr>
          <w:spacing w:val="-1"/>
        </w:rPr>
        <w:t xml:space="preserve"> </w:t>
      </w:r>
      <w:r>
        <w:t>think</w:t>
      </w:r>
      <w:r>
        <w:rPr>
          <w:spacing w:val="-1"/>
        </w:rPr>
        <w:t xml:space="preserve"> </w:t>
      </w:r>
      <w:r>
        <w:t>action</w:t>
      </w:r>
      <w:r>
        <w:rPr>
          <w:spacing w:val="-1"/>
        </w:rPr>
        <w:t xml:space="preserve"> </w:t>
      </w:r>
      <w:r>
        <w:t>would</w:t>
      </w:r>
      <w:r>
        <w:rPr>
          <w:spacing w:val="-1"/>
        </w:rPr>
        <w:t xml:space="preserve"> </w:t>
      </w:r>
      <w:r>
        <w:t>be</w:t>
      </w:r>
      <w:r>
        <w:rPr>
          <w:spacing w:val="-1"/>
        </w:rPr>
        <w:t xml:space="preserve"> </w:t>
      </w:r>
      <w:r>
        <w:t>taken’</w:t>
      </w:r>
      <w:r w:rsidR="0068598E">
        <w:rPr>
          <w:spacing w:val="-25"/>
        </w:rPr>
        <w:t>.</w:t>
      </w:r>
      <w:r>
        <w:rPr>
          <w:w w:val="85"/>
        </w:rPr>
        <w:t xml:space="preserve"> </w:t>
      </w:r>
      <w:r>
        <w:t>This</w:t>
      </w:r>
      <w:r>
        <w:rPr>
          <w:spacing w:val="-1"/>
        </w:rPr>
        <w:t xml:space="preserve"> </w:t>
      </w:r>
      <w:r>
        <w:t>problem</w:t>
      </w:r>
      <w:r>
        <w:rPr>
          <w:spacing w:val="-1"/>
        </w:rPr>
        <w:t xml:space="preserve"> </w:t>
      </w:r>
      <w:r>
        <w:t>is</w:t>
      </w:r>
      <w:r>
        <w:rPr>
          <w:spacing w:val="-1"/>
        </w:rPr>
        <w:t xml:space="preserve"> </w:t>
      </w:r>
      <w:r>
        <w:t>shared</w:t>
      </w:r>
      <w:r>
        <w:rPr>
          <w:spacing w:val="-1"/>
        </w:rPr>
        <w:t xml:space="preserve"> </w:t>
      </w:r>
      <w:r>
        <w:t>with</w:t>
      </w:r>
      <w:r>
        <w:rPr>
          <w:spacing w:val="-1"/>
        </w:rPr>
        <w:t xml:space="preserve"> </w:t>
      </w:r>
      <w:r>
        <w:t>the APS as a whole.</w:t>
      </w:r>
    </w:p>
    <w:p w14:paraId="7AF3CAD4" w14:textId="77777777" w:rsidR="00C775EE" w:rsidRDefault="00C775EE" w:rsidP="0000278A">
      <w:pPr>
        <w:pStyle w:val="Bullet"/>
        <w:rPr>
          <w:rFonts w:ascii="Arial" w:hAnsi="Arial"/>
        </w:rPr>
      </w:pPr>
      <w:r>
        <w:t>Several staff members noted that they want to be innovative, but lack the incentive given senior leaders are quick to shut down ideas if they do not conform to the RBA’s ‘way of doing things’.</w:t>
      </w:r>
    </w:p>
    <w:p w14:paraId="19DA7BAF" w14:textId="56F15D77" w:rsidR="004F5A1A" w:rsidRPr="004F5A1A" w:rsidRDefault="00C775EE" w:rsidP="0000278A">
      <w:pPr>
        <w:pStyle w:val="Bullet"/>
        <w:rPr>
          <w:rFonts w:ascii="Arial" w:hAnsi="Arial"/>
        </w:rPr>
      </w:pPr>
      <w:r>
        <w:t>Although the RBA has released podcasts and articles on the value of research, some staff members noted a lack of engagement from senior leaders in staff-driven research and policy discussions. One submission noted that this creates the perception that staff members are ‘just talking to themselves’</w:t>
      </w:r>
      <w:r w:rsidR="0068598E">
        <w:rPr>
          <w:spacing w:val="-11"/>
        </w:rPr>
        <w:t>.</w:t>
      </w:r>
    </w:p>
    <w:p w14:paraId="04BC5A3A" w14:textId="4DC50194" w:rsidR="00C775EE" w:rsidRDefault="00C775EE" w:rsidP="004F5A1A">
      <w:pPr>
        <w:pStyle w:val="Heading3"/>
      </w:pPr>
      <w:r>
        <w:t>Recommendation</w:t>
      </w:r>
      <w:r>
        <w:rPr>
          <w:spacing w:val="-10"/>
        </w:rPr>
        <w:t xml:space="preserve"> </w:t>
      </w:r>
      <w:r>
        <w:t>13.2:</w:t>
      </w:r>
      <w:r>
        <w:rPr>
          <w:spacing w:val="-10"/>
        </w:rPr>
        <w:t xml:space="preserve"> </w:t>
      </w:r>
      <w:r>
        <w:t>The</w:t>
      </w:r>
      <w:r>
        <w:rPr>
          <w:spacing w:val="-10"/>
        </w:rPr>
        <w:t xml:space="preserve"> </w:t>
      </w:r>
      <w:r>
        <w:t>RBA</w:t>
      </w:r>
      <w:r>
        <w:rPr>
          <w:spacing w:val="-10"/>
        </w:rPr>
        <w:t xml:space="preserve"> </w:t>
      </w:r>
      <w:r>
        <w:t>makes</w:t>
      </w:r>
      <w:r>
        <w:rPr>
          <w:spacing w:val="-10"/>
        </w:rPr>
        <w:t xml:space="preserve"> </w:t>
      </w:r>
      <w:r>
        <w:t>itself</w:t>
      </w:r>
      <w:r>
        <w:rPr>
          <w:spacing w:val="-10"/>
        </w:rPr>
        <w:t xml:space="preserve"> </w:t>
      </w:r>
      <w:r>
        <w:t>publicly</w:t>
      </w:r>
      <w:r>
        <w:rPr>
          <w:spacing w:val="-10"/>
        </w:rPr>
        <w:t xml:space="preserve"> </w:t>
      </w:r>
      <w:r>
        <w:t>accountable</w:t>
      </w:r>
      <w:r>
        <w:rPr>
          <w:spacing w:val="-10"/>
        </w:rPr>
        <w:t xml:space="preserve"> </w:t>
      </w:r>
      <w:r>
        <w:t>for delivering on change</w:t>
      </w:r>
    </w:p>
    <w:p w14:paraId="19C48C0F" w14:textId="5C964DFC" w:rsidR="00BA7C8E" w:rsidRDefault="00C775EE" w:rsidP="00C775EE">
      <w:pPr>
        <w:rPr>
          <w:color w:val="231F20"/>
        </w:rPr>
      </w:pPr>
      <w:r>
        <w:rPr>
          <w:color w:val="231F20"/>
        </w:rPr>
        <w:t>Accountability and transparency are important to many aspects of the RBA’s role. They build public trust in the strength and integrity of the institution. They enable the RBA to show it is a well-run institution, explain its monetary policy decisions and strategy, and demonstrate it pursues ongoing organisational renewal</w:t>
      </w:r>
      <w:r w:rsidR="0068598E">
        <w:rPr>
          <w:color w:val="231F20"/>
          <w:spacing w:val="-19"/>
        </w:rPr>
        <w:t>.</w:t>
      </w:r>
      <w:r>
        <w:rPr>
          <w:color w:val="231F20"/>
        </w:rPr>
        <w:t xml:space="preserve"> These in turn help to buttress the independence of the RBA, which is</w:t>
      </w:r>
      <w:r>
        <w:rPr>
          <w:color w:val="231F20"/>
          <w:spacing w:val="40"/>
        </w:rPr>
        <w:t xml:space="preserve"> </w:t>
      </w:r>
      <w:r>
        <w:rPr>
          <w:color w:val="231F20"/>
        </w:rPr>
        <w:t>central to effective monetary policy decision making. Increasing transparency and inviting more external scrutiny and challenge will help the RBA to publicly demonstrate its accountability, improve its policy deliberations and be a source of ideas on how to improve the organisation.</w:t>
      </w:r>
    </w:p>
    <w:p w14:paraId="53D7BA44" w14:textId="3C460677" w:rsidR="00FC0D65" w:rsidRDefault="00FC0D65" w:rsidP="00FC0D65">
      <w:r>
        <w:t>The</w:t>
      </w:r>
      <w:r>
        <w:rPr>
          <w:spacing w:val="-1"/>
        </w:rPr>
        <w:t xml:space="preserve"> </w:t>
      </w:r>
      <w:r>
        <w:t>Review</w:t>
      </w:r>
      <w:r>
        <w:rPr>
          <w:spacing w:val="1"/>
        </w:rPr>
        <w:t xml:space="preserve"> </w:t>
      </w:r>
      <w:r>
        <w:t>offers</w:t>
      </w:r>
      <w:r>
        <w:rPr>
          <w:spacing w:val="1"/>
        </w:rPr>
        <w:t xml:space="preserve"> </w:t>
      </w:r>
      <w:r>
        <w:t>suggestions</w:t>
      </w:r>
      <w:r>
        <w:rPr>
          <w:spacing w:val="1"/>
        </w:rPr>
        <w:t xml:space="preserve"> </w:t>
      </w:r>
      <w:r>
        <w:t>for</w:t>
      </w:r>
      <w:r>
        <w:rPr>
          <w:spacing w:val="1"/>
        </w:rPr>
        <w:t xml:space="preserve"> </w:t>
      </w:r>
      <w:r>
        <w:t>implementing</w:t>
      </w:r>
      <w:r>
        <w:rPr>
          <w:spacing w:val="1"/>
        </w:rPr>
        <w:t xml:space="preserve"> </w:t>
      </w:r>
      <w:r>
        <w:t>Recommendation</w:t>
      </w:r>
      <w:r>
        <w:rPr>
          <w:spacing w:val="1"/>
        </w:rPr>
        <w:t xml:space="preserve"> </w:t>
      </w:r>
      <w:r>
        <w:t>13.2,</w:t>
      </w:r>
      <w:r>
        <w:rPr>
          <w:spacing w:val="1"/>
        </w:rPr>
        <w:t xml:space="preserve"> </w:t>
      </w:r>
      <w:r>
        <w:t>highlighted</w:t>
      </w:r>
      <w:r>
        <w:rPr>
          <w:spacing w:val="1"/>
        </w:rPr>
        <w:t xml:space="preserve"> </w:t>
      </w:r>
      <w:r>
        <w:t>in</w:t>
      </w:r>
      <w:r>
        <w:rPr>
          <w:spacing w:val="1"/>
        </w:rPr>
        <w:t xml:space="preserve"> </w:t>
      </w:r>
      <w:r>
        <w:t>bold</w:t>
      </w:r>
      <w:r>
        <w:rPr>
          <w:spacing w:val="2"/>
        </w:rPr>
        <w:t xml:space="preserve"> </w:t>
      </w:r>
      <w:r>
        <w:rPr>
          <w:spacing w:val="-4"/>
        </w:rPr>
        <w:t xml:space="preserve">text </w:t>
      </w:r>
      <w:r>
        <w:t>throughout</w:t>
      </w:r>
      <w:r>
        <w:rPr>
          <w:spacing w:val="2"/>
        </w:rPr>
        <w:t xml:space="preserve"> </w:t>
      </w:r>
      <w:r>
        <w:t>this</w:t>
      </w:r>
      <w:r>
        <w:rPr>
          <w:spacing w:val="2"/>
        </w:rPr>
        <w:t xml:space="preserve"> </w:t>
      </w:r>
      <w:r>
        <w:rPr>
          <w:spacing w:val="-2"/>
        </w:rPr>
        <w:t>section:</w:t>
      </w:r>
    </w:p>
    <w:p w14:paraId="3CCEF0BF" w14:textId="607AE26C" w:rsidR="00FC0D65" w:rsidRDefault="00FC0D65" w:rsidP="00FC0D65">
      <w:r w:rsidRPr="00FC0D65">
        <w:rPr>
          <w:rFonts w:cs="Calibri Light"/>
          <w:b/>
        </w:rPr>
        <w:t>The Governance Board should hold leaders to account for delivering cultural change.</w:t>
      </w:r>
      <w:r w:rsidRPr="00FC0D65">
        <w:rPr>
          <w:rFonts w:cs="Calibri Light"/>
          <w:b/>
          <w:spacing w:val="40"/>
        </w:rPr>
        <w:t xml:space="preserve"> </w:t>
      </w:r>
      <w:r w:rsidRPr="00FC0D65">
        <w:rPr>
          <w:rFonts w:cs="Calibri Light"/>
        </w:rPr>
        <w:t>As discussed in Chapter 5, an important function of the Governance Board will be to hold senior leaders</w:t>
      </w:r>
      <w:r>
        <w:t xml:space="preserve"> to account for progress in delivering the recommendations of this Review</w:t>
      </w:r>
      <w:r w:rsidR="0068598E">
        <w:rPr>
          <w:spacing w:val="-19"/>
        </w:rPr>
        <w:t>.</w:t>
      </w:r>
      <w:r>
        <w:rPr>
          <w:w w:val="85"/>
        </w:rPr>
        <w:t xml:space="preserve"> </w:t>
      </w:r>
      <w:r>
        <w:t>This should include a strong focus on the plan for cultural change</w:t>
      </w:r>
      <w:r w:rsidR="0068598E">
        <w:rPr>
          <w:spacing w:val="-23"/>
        </w:rPr>
        <w:t>.</w:t>
      </w:r>
      <w:r>
        <w:rPr>
          <w:w w:val="85"/>
        </w:rPr>
        <w:t xml:space="preserve"> </w:t>
      </w:r>
      <w:r>
        <w:t xml:space="preserve">The Governance Board needs to monitor </w:t>
      </w:r>
      <w:r>
        <w:rPr>
          <w:color w:val="231F20"/>
        </w:rPr>
        <w:t>progress regularly and challenge senior leaders where positive change is not evident, or progress is too slow. The Governance Board should ensure senior leaders are open and transparent with staff on plans and progress</w:t>
      </w:r>
      <w:r w:rsidR="0068598E">
        <w:rPr>
          <w:color w:val="231F20"/>
          <w:spacing w:val="-9"/>
        </w:rPr>
        <w:t>.</w:t>
      </w:r>
    </w:p>
    <w:p w14:paraId="69F6A1CE" w14:textId="77777777" w:rsidR="00FC0D65" w:rsidRDefault="00FC0D65" w:rsidP="00FC0D65">
      <w:r>
        <w:t>The Governance Board should assess how effectively the organisational and cultural changes</w:t>
      </w:r>
      <w:r>
        <w:rPr>
          <w:spacing w:val="40"/>
        </w:rPr>
        <w:t xml:space="preserve"> </w:t>
      </w:r>
      <w:r>
        <w:t>(see Chapter 4) have been implemented, in terms of progress on initiatives but more importantly in terms of staff experience. The Governance Board can highlight and celebrate success in organisational renewal. The Governance Board should also seek to identify future priorities for organisational renewal. Priority issues may shift over time, including as progress is made on the priorities identified in this Review.</w:t>
      </w:r>
    </w:p>
    <w:p w14:paraId="627A4A3C" w14:textId="07B5AC95" w:rsidR="00FC0D65" w:rsidRDefault="00FC0D65" w:rsidP="00FC0D65">
      <w:r w:rsidRPr="00FC0D65">
        <w:rPr>
          <w:rFonts w:cs="Calibri Light"/>
          <w:b/>
        </w:rPr>
        <w:t xml:space="preserve">The Governance Board should assess progress on recommendation implementation and report publicly by June 2025. </w:t>
      </w:r>
      <w:r w:rsidRPr="00FC0D65">
        <w:rPr>
          <w:rFonts w:cs="Calibri Light"/>
        </w:rPr>
        <w:t>After the Governance Board is formed, it should monitor and assess progress on implementation of the Review’s recommendations against the RBA’s</w:t>
      </w:r>
      <w:r>
        <w:rPr>
          <w:rFonts w:cs="Calibri Light"/>
        </w:rPr>
        <w:t xml:space="preserve"> </w:t>
      </w:r>
      <w:r>
        <w:rPr>
          <w:color w:val="231F20"/>
        </w:rPr>
        <w:t>implementation</w:t>
      </w:r>
      <w:r>
        <w:rPr>
          <w:color w:val="231F20"/>
          <w:spacing w:val="-6"/>
        </w:rPr>
        <w:t xml:space="preserve"> </w:t>
      </w:r>
      <w:r>
        <w:rPr>
          <w:color w:val="231F20"/>
        </w:rPr>
        <w:t>roadmap</w:t>
      </w:r>
      <w:r>
        <w:rPr>
          <w:color w:val="231F20"/>
          <w:spacing w:val="-5"/>
        </w:rPr>
        <w:t xml:space="preserve"> </w:t>
      </w:r>
      <w:r>
        <w:rPr>
          <w:color w:val="231F20"/>
        </w:rPr>
        <w:t>(see</w:t>
      </w:r>
      <w:r>
        <w:rPr>
          <w:color w:val="231F20"/>
          <w:spacing w:val="-5"/>
        </w:rPr>
        <w:t xml:space="preserve"> </w:t>
      </w:r>
      <w:r>
        <w:rPr>
          <w:color w:val="231F20"/>
        </w:rPr>
        <w:t>Recommendation</w:t>
      </w:r>
      <w:r>
        <w:rPr>
          <w:color w:val="231F20"/>
          <w:spacing w:val="-5"/>
        </w:rPr>
        <w:t xml:space="preserve"> </w:t>
      </w:r>
      <w:r>
        <w:rPr>
          <w:color w:val="231F20"/>
        </w:rPr>
        <w:t>14</w:t>
      </w:r>
      <w:r w:rsidR="0068598E">
        <w:rPr>
          <w:color w:val="231F20"/>
          <w:spacing w:val="-25"/>
        </w:rPr>
        <w:t>.</w:t>
      </w:r>
      <w:r>
        <w:rPr>
          <w:color w:val="231F20"/>
          <w:w w:val="117"/>
        </w:rPr>
        <w:t>5)</w:t>
      </w:r>
      <w:r w:rsidR="0068598E">
        <w:rPr>
          <w:color w:val="231F20"/>
          <w:spacing w:val="-25"/>
          <w:w w:val="99"/>
        </w:rPr>
        <w:t>.</w:t>
      </w:r>
      <w:r>
        <w:rPr>
          <w:color w:val="231F20"/>
          <w:w w:val="85"/>
        </w:rPr>
        <w:t xml:space="preserve"> </w:t>
      </w:r>
      <w:r>
        <w:rPr>
          <w:color w:val="231F20"/>
        </w:rPr>
        <w:t>An</w:t>
      </w:r>
      <w:r>
        <w:rPr>
          <w:color w:val="231F20"/>
          <w:spacing w:val="-5"/>
        </w:rPr>
        <w:t xml:space="preserve"> </w:t>
      </w:r>
      <w:r>
        <w:rPr>
          <w:color w:val="231F20"/>
        </w:rPr>
        <w:t>assessment</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RBA’s</w:t>
      </w:r>
      <w:r>
        <w:rPr>
          <w:color w:val="231F20"/>
          <w:spacing w:val="-5"/>
        </w:rPr>
        <w:t xml:space="preserve"> </w:t>
      </w:r>
      <w:r>
        <w:rPr>
          <w:color w:val="231F20"/>
        </w:rPr>
        <w:t>progress</w:t>
      </w:r>
      <w:r>
        <w:rPr>
          <w:color w:val="231F20"/>
          <w:spacing w:val="-5"/>
        </w:rPr>
        <w:t xml:space="preserve"> </w:t>
      </w:r>
      <w:r>
        <w:rPr>
          <w:color w:val="231F20"/>
        </w:rPr>
        <w:t>should be released publicly by June 2025 as part of demonstrating accountability for delivery against the Review’s recommendations</w:t>
      </w:r>
      <w:r w:rsidR="0068598E">
        <w:rPr>
          <w:color w:val="231F20"/>
          <w:spacing w:val="-17"/>
        </w:rPr>
        <w:t>.</w:t>
      </w:r>
    </w:p>
    <w:p w14:paraId="087ED5AA" w14:textId="77777777" w:rsidR="00FC0D65" w:rsidRDefault="00FC0D65" w:rsidP="0068692B">
      <w:r>
        <w:t>The Review recognises that some recommendations will take time to action and for the impact</w:t>
      </w:r>
      <w:r>
        <w:rPr>
          <w:spacing w:val="80"/>
        </w:rPr>
        <w:t xml:space="preserve"> </w:t>
      </w:r>
      <w:r>
        <w:t>to be felt, particularly in relation to cultural change. The Governance Board should consider what mechanisms it could use for future transparency and public accountability on ongoing progress.</w:t>
      </w:r>
    </w:p>
    <w:p w14:paraId="04D78386" w14:textId="2CA7160D" w:rsidR="00FC0D65" w:rsidRPr="0068692B" w:rsidRDefault="00FC0D65" w:rsidP="0068692B">
      <w:pPr>
        <w:rPr>
          <w:rFonts w:cs="Calibri Light"/>
        </w:rPr>
      </w:pPr>
      <w:r w:rsidRPr="0068692B">
        <w:rPr>
          <w:rFonts w:cs="Calibri Light"/>
          <w:b/>
        </w:rPr>
        <w:t xml:space="preserve">The RBA should be included in 5-yearly Australian Public Service capability reviews to identify new opportunities for growth. </w:t>
      </w:r>
      <w:r w:rsidRPr="0068692B">
        <w:rPr>
          <w:rFonts w:cs="Calibri Light"/>
        </w:rPr>
        <w:t xml:space="preserve">This is distinct from the recommended regular reviews of the monetary </w:t>
      </w:r>
      <w:r w:rsidRPr="0068692B">
        <w:rPr>
          <w:rFonts w:cs="Calibri Light"/>
        </w:rPr>
        <w:lastRenderedPageBreak/>
        <w:t xml:space="preserve">policy framework and tools (see Recommendation 4), the goal of which is to ensure the framework is fit for purpose and inform renewals of the </w:t>
      </w:r>
      <w:r w:rsidRPr="0068692B">
        <w:rPr>
          <w:rFonts w:cs="Calibri Light"/>
          <w:i/>
        </w:rPr>
        <w:t>Statement on the Conduct of Monetary Policy</w:t>
      </w:r>
      <w:r w:rsidR="0068598E">
        <w:rPr>
          <w:rFonts w:cs="Calibri Light"/>
          <w:spacing w:val="-17"/>
        </w:rPr>
        <w:t>.</w:t>
      </w:r>
    </w:p>
    <w:p w14:paraId="5ADD57F6" w14:textId="77777777" w:rsidR="00FC0D65" w:rsidRDefault="00FC0D65" w:rsidP="0068692B">
      <w:r>
        <w:t>Capability reviews are forward-looking reviews that independently assess an organisation’s ability</w:t>
      </w:r>
      <w:r>
        <w:rPr>
          <w:spacing w:val="80"/>
        </w:rPr>
        <w:t xml:space="preserve"> </w:t>
      </w:r>
      <w:r>
        <w:t>to</w:t>
      </w:r>
      <w:r>
        <w:rPr>
          <w:spacing w:val="-5"/>
        </w:rPr>
        <w:t xml:space="preserve"> </w:t>
      </w:r>
      <w:r>
        <w:t>meet</w:t>
      </w:r>
      <w:r>
        <w:rPr>
          <w:spacing w:val="-5"/>
        </w:rPr>
        <w:t xml:space="preserve"> </w:t>
      </w:r>
      <w:r>
        <w:t>future</w:t>
      </w:r>
      <w:r>
        <w:rPr>
          <w:spacing w:val="-5"/>
        </w:rPr>
        <w:t xml:space="preserve"> </w:t>
      </w:r>
      <w:r>
        <w:t>objectives</w:t>
      </w:r>
      <w:r>
        <w:rPr>
          <w:spacing w:val="-5"/>
        </w:rPr>
        <w:t xml:space="preserve"> </w:t>
      </w:r>
      <w:r>
        <w:t>and</w:t>
      </w:r>
      <w:r>
        <w:rPr>
          <w:spacing w:val="-5"/>
        </w:rPr>
        <w:t xml:space="preserve"> </w:t>
      </w:r>
      <w:r>
        <w:t>challenges.</w:t>
      </w:r>
      <w:r>
        <w:rPr>
          <w:spacing w:val="-5"/>
        </w:rPr>
        <w:t xml:space="preserve"> </w:t>
      </w:r>
      <w:r>
        <w:t>They</w:t>
      </w:r>
      <w:r>
        <w:rPr>
          <w:spacing w:val="-5"/>
        </w:rPr>
        <w:t xml:space="preserve"> </w:t>
      </w:r>
      <w:r>
        <w:t>aim</w:t>
      </w:r>
      <w:r>
        <w:rPr>
          <w:spacing w:val="-5"/>
        </w:rPr>
        <w:t xml:space="preserve"> </w:t>
      </w:r>
      <w:r>
        <w:t>to</w:t>
      </w:r>
      <w:r>
        <w:rPr>
          <w:spacing w:val="-5"/>
        </w:rPr>
        <w:t xml:space="preserve"> </w:t>
      </w:r>
      <w:r>
        <w:t>facilitate</w:t>
      </w:r>
      <w:r>
        <w:rPr>
          <w:spacing w:val="-5"/>
        </w:rPr>
        <w:t xml:space="preserve"> </w:t>
      </w:r>
      <w:r>
        <w:t>discussions</w:t>
      </w:r>
      <w:r>
        <w:rPr>
          <w:spacing w:val="-5"/>
        </w:rPr>
        <w:t xml:space="preserve"> </w:t>
      </w:r>
      <w:r>
        <w:t>around</w:t>
      </w:r>
      <w:r>
        <w:rPr>
          <w:spacing w:val="-5"/>
        </w:rPr>
        <w:t xml:space="preserve"> </w:t>
      </w:r>
      <w:r>
        <w:t>an</w:t>
      </w:r>
      <w:r>
        <w:rPr>
          <w:spacing w:val="-5"/>
        </w:rPr>
        <w:t xml:space="preserve"> </w:t>
      </w:r>
      <w:r>
        <w:t>organisation’s desired future state, highlight capability gaps and identify opportunities to address them.</w:t>
      </w:r>
    </w:p>
    <w:p w14:paraId="78845F9E" w14:textId="77777777" w:rsidR="00FC0D65" w:rsidRDefault="00FC0D65" w:rsidP="0068692B">
      <w:r>
        <w:t>Being subject to 5-yearly capability reviews will help the RBA continue to adapt and maintain its ability to perform at a high level into the future. Future capability reviews will also allow monitoring, tracking of progress and external reporting in areas such as cultural change where outcomes take significantly longer periods of time to achieve.</w:t>
      </w:r>
    </w:p>
    <w:p w14:paraId="2B8A65CD" w14:textId="77777777" w:rsidR="00685FA7" w:rsidRDefault="00FC0D65" w:rsidP="00685FA7">
      <w:pPr>
        <w:rPr>
          <w:color w:val="231F20"/>
          <w:spacing w:val="-2"/>
        </w:rPr>
      </w:pPr>
      <w:r>
        <w:t>This</w:t>
      </w:r>
      <w:r>
        <w:rPr>
          <w:spacing w:val="-12"/>
        </w:rPr>
        <w:t xml:space="preserve"> </w:t>
      </w:r>
      <w:r>
        <w:t>recommendation</w:t>
      </w:r>
      <w:r>
        <w:rPr>
          <w:spacing w:val="-9"/>
        </w:rPr>
        <w:t xml:space="preserve"> </w:t>
      </w:r>
      <w:r>
        <w:t>is</w:t>
      </w:r>
      <w:r>
        <w:rPr>
          <w:spacing w:val="-9"/>
        </w:rPr>
        <w:t xml:space="preserve"> </w:t>
      </w:r>
      <w:r>
        <w:t>consistent</w:t>
      </w:r>
      <w:r>
        <w:rPr>
          <w:spacing w:val="-10"/>
        </w:rPr>
        <w:t xml:space="preserve"> </w:t>
      </w:r>
      <w:r>
        <w:t>with</w:t>
      </w:r>
      <w:r>
        <w:rPr>
          <w:spacing w:val="-9"/>
        </w:rPr>
        <w:t xml:space="preserve"> </w:t>
      </w:r>
      <w:r>
        <w:t>the</w:t>
      </w:r>
      <w:r>
        <w:rPr>
          <w:spacing w:val="-9"/>
        </w:rPr>
        <w:t xml:space="preserve"> </w:t>
      </w:r>
      <w:r>
        <w:t>Australian</w:t>
      </w:r>
      <w:r>
        <w:rPr>
          <w:spacing w:val="-10"/>
        </w:rPr>
        <w:t xml:space="preserve"> </w:t>
      </w:r>
      <w:r>
        <w:t>Government’s</w:t>
      </w:r>
      <w:r>
        <w:rPr>
          <w:spacing w:val="-9"/>
        </w:rPr>
        <w:t xml:space="preserve"> </w:t>
      </w:r>
      <w:r>
        <w:t>commitment</w:t>
      </w:r>
      <w:r>
        <w:rPr>
          <w:spacing w:val="-9"/>
        </w:rPr>
        <w:t xml:space="preserve"> </w:t>
      </w:r>
      <w:r>
        <w:t>for</w:t>
      </w:r>
      <w:r>
        <w:rPr>
          <w:spacing w:val="-9"/>
        </w:rPr>
        <w:t xml:space="preserve"> </w:t>
      </w:r>
      <w:r>
        <w:rPr>
          <w:spacing w:val="-2"/>
        </w:rPr>
        <w:t>independent,</w:t>
      </w:r>
      <w:r w:rsidR="0068692B">
        <w:rPr>
          <w:spacing w:val="-2"/>
        </w:rPr>
        <w:t xml:space="preserve"> </w:t>
      </w:r>
      <w:r>
        <w:rPr>
          <w:color w:val="231F20"/>
        </w:rPr>
        <w:t>fully</w:t>
      </w:r>
      <w:r>
        <w:rPr>
          <w:color w:val="231F20"/>
          <w:spacing w:val="-7"/>
        </w:rPr>
        <w:t xml:space="preserve"> </w:t>
      </w:r>
      <w:r>
        <w:rPr>
          <w:color w:val="231F20"/>
        </w:rPr>
        <w:t>transparent,</w:t>
      </w:r>
      <w:r>
        <w:rPr>
          <w:color w:val="231F20"/>
          <w:spacing w:val="-6"/>
        </w:rPr>
        <w:t xml:space="preserve"> </w:t>
      </w:r>
      <w:r>
        <w:rPr>
          <w:color w:val="231F20"/>
        </w:rPr>
        <w:t>and</w:t>
      </w:r>
      <w:r>
        <w:rPr>
          <w:color w:val="231F20"/>
          <w:spacing w:val="-6"/>
        </w:rPr>
        <w:t xml:space="preserve"> </w:t>
      </w:r>
      <w:r>
        <w:rPr>
          <w:color w:val="231F20"/>
        </w:rPr>
        <w:t>forward-looking</w:t>
      </w:r>
      <w:r>
        <w:rPr>
          <w:color w:val="231F20"/>
          <w:spacing w:val="-6"/>
        </w:rPr>
        <w:t xml:space="preserve"> </w:t>
      </w:r>
      <w:r>
        <w:rPr>
          <w:color w:val="231F20"/>
        </w:rPr>
        <w:t>capability</w:t>
      </w:r>
      <w:r>
        <w:rPr>
          <w:color w:val="231F20"/>
          <w:spacing w:val="-6"/>
        </w:rPr>
        <w:t xml:space="preserve"> </w:t>
      </w:r>
      <w:r>
        <w:rPr>
          <w:color w:val="231F20"/>
        </w:rPr>
        <w:t>reviews</w:t>
      </w:r>
      <w:r>
        <w:rPr>
          <w:color w:val="231F20"/>
          <w:spacing w:val="-6"/>
        </w:rPr>
        <w:t xml:space="preserve"> </w:t>
      </w:r>
      <w:r>
        <w:rPr>
          <w:color w:val="231F20"/>
        </w:rPr>
        <w:t>of</w:t>
      </w:r>
      <w:r>
        <w:rPr>
          <w:color w:val="231F20"/>
          <w:spacing w:val="-7"/>
        </w:rPr>
        <w:t xml:space="preserve"> </w:t>
      </w:r>
      <w:r>
        <w:rPr>
          <w:color w:val="231F20"/>
        </w:rPr>
        <w:t>departments</w:t>
      </w:r>
      <w:r>
        <w:rPr>
          <w:color w:val="231F20"/>
          <w:spacing w:val="-6"/>
        </w:rPr>
        <w:t xml:space="preserve"> </w:t>
      </w:r>
      <w:r>
        <w:rPr>
          <w:color w:val="231F20"/>
        </w:rPr>
        <w:t>of</w:t>
      </w:r>
      <w:r>
        <w:rPr>
          <w:color w:val="231F20"/>
          <w:spacing w:val="-6"/>
        </w:rPr>
        <w:t xml:space="preserve"> </w:t>
      </w:r>
      <w:r>
        <w:rPr>
          <w:color w:val="231F20"/>
        </w:rPr>
        <w:t>state</w:t>
      </w:r>
      <w:r>
        <w:rPr>
          <w:color w:val="231F20"/>
          <w:spacing w:val="-6"/>
        </w:rPr>
        <w:t xml:space="preserve"> </w:t>
      </w:r>
      <w:r>
        <w:rPr>
          <w:color w:val="231F20"/>
        </w:rPr>
        <w:t>and</w:t>
      </w:r>
      <w:r>
        <w:rPr>
          <w:color w:val="231F20"/>
          <w:spacing w:val="-6"/>
        </w:rPr>
        <w:t xml:space="preserve"> </w:t>
      </w:r>
      <w:r>
        <w:rPr>
          <w:color w:val="231F20"/>
        </w:rPr>
        <w:t>major</w:t>
      </w:r>
      <w:r>
        <w:rPr>
          <w:color w:val="231F20"/>
          <w:spacing w:val="-6"/>
        </w:rPr>
        <w:t xml:space="preserve"> </w:t>
      </w:r>
      <w:r>
        <w:rPr>
          <w:color w:val="231F20"/>
          <w:spacing w:val="-2"/>
        </w:rPr>
        <w:t>agencies.</w:t>
      </w:r>
    </w:p>
    <w:p w14:paraId="4BCD1A68" w14:textId="77777777" w:rsidR="00685FA7" w:rsidRDefault="00685FA7" w:rsidP="00685FA7">
      <w:pPr>
        <w:pStyle w:val="Heading4"/>
      </w:pPr>
      <w:r>
        <w:t>Supporting</w:t>
      </w:r>
      <w:r>
        <w:rPr>
          <w:spacing w:val="8"/>
        </w:rPr>
        <w:t xml:space="preserve"> </w:t>
      </w:r>
      <w:r>
        <w:rPr>
          <w:spacing w:val="-2"/>
        </w:rPr>
        <w:t>assessment</w:t>
      </w:r>
    </w:p>
    <w:p w14:paraId="02A188C6" w14:textId="21526EF4" w:rsidR="00685FA7" w:rsidRDefault="00685FA7" w:rsidP="00685FA7">
      <w:r>
        <w:t>As</w:t>
      </w:r>
      <w:r>
        <w:rPr>
          <w:spacing w:val="-1"/>
        </w:rPr>
        <w:t xml:space="preserve"> </w:t>
      </w:r>
      <w:r>
        <w:t>discussed</w:t>
      </w:r>
      <w:r>
        <w:rPr>
          <w:spacing w:val="2"/>
        </w:rPr>
        <w:t xml:space="preserve"> </w:t>
      </w:r>
      <w:r>
        <w:t>throughout</w:t>
      </w:r>
      <w:r>
        <w:rPr>
          <w:spacing w:val="1"/>
        </w:rPr>
        <w:t xml:space="preserve"> </w:t>
      </w:r>
      <w:r>
        <w:t>the</w:t>
      </w:r>
      <w:r>
        <w:rPr>
          <w:spacing w:val="2"/>
        </w:rPr>
        <w:t xml:space="preserve"> </w:t>
      </w:r>
      <w:r>
        <w:t>report,</w:t>
      </w:r>
      <w:r>
        <w:rPr>
          <w:spacing w:val="2"/>
        </w:rPr>
        <w:t xml:space="preserve"> </w:t>
      </w:r>
      <w:r>
        <w:t>the</w:t>
      </w:r>
      <w:r>
        <w:rPr>
          <w:spacing w:val="1"/>
        </w:rPr>
        <w:t xml:space="preserve"> </w:t>
      </w:r>
      <w:r>
        <w:t>independence</w:t>
      </w:r>
      <w:r>
        <w:rPr>
          <w:spacing w:val="2"/>
        </w:rPr>
        <w:t xml:space="preserve"> </w:t>
      </w:r>
      <w:r>
        <w:t>of</w:t>
      </w:r>
      <w:r>
        <w:rPr>
          <w:spacing w:val="2"/>
        </w:rPr>
        <w:t xml:space="preserve"> </w:t>
      </w:r>
      <w:r>
        <w:t>the</w:t>
      </w:r>
      <w:r>
        <w:rPr>
          <w:spacing w:val="1"/>
        </w:rPr>
        <w:t xml:space="preserve"> </w:t>
      </w:r>
      <w:r>
        <w:t>RBA’s</w:t>
      </w:r>
      <w:r>
        <w:rPr>
          <w:spacing w:val="2"/>
        </w:rPr>
        <w:t xml:space="preserve"> </w:t>
      </w:r>
      <w:r>
        <w:t>actions</w:t>
      </w:r>
      <w:r>
        <w:rPr>
          <w:spacing w:val="2"/>
        </w:rPr>
        <w:t xml:space="preserve"> </w:t>
      </w:r>
      <w:r>
        <w:t>needs</w:t>
      </w:r>
      <w:r>
        <w:rPr>
          <w:spacing w:val="1"/>
        </w:rPr>
        <w:t xml:space="preserve"> </w:t>
      </w:r>
      <w:r>
        <w:t>to</w:t>
      </w:r>
      <w:r>
        <w:rPr>
          <w:spacing w:val="2"/>
        </w:rPr>
        <w:t xml:space="preserve"> </w:t>
      </w:r>
      <w:r>
        <w:t>be</w:t>
      </w:r>
      <w:r>
        <w:rPr>
          <w:spacing w:val="2"/>
        </w:rPr>
        <w:t xml:space="preserve"> </w:t>
      </w:r>
      <w:r>
        <w:rPr>
          <w:spacing w:val="-2"/>
        </w:rPr>
        <w:t xml:space="preserve">matched </w:t>
      </w:r>
      <w:r>
        <w:t>with</w:t>
      </w:r>
      <w:r>
        <w:rPr>
          <w:spacing w:val="4"/>
        </w:rPr>
        <w:t xml:space="preserve"> </w:t>
      </w:r>
      <w:r>
        <w:t>clarity</w:t>
      </w:r>
      <w:r>
        <w:rPr>
          <w:spacing w:val="4"/>
        </w:rPr>
        <w:t xml:space="preserve"> </w:t>
      </w:r>
      <w:r>
        <w:t>of</w:t>
      </w:r>
      <w:r>
        <w:rPr>
          <w:spacing w:val="4"/>
        </w:rPr>
        <w:t xml:space="preserve"> </w:t>
      </w:r>
      <w:r>
        <w:t>mission,</w:t>
      </w:r>
      <w:r>
        <w:rPr>
          <w:spacing w:val="4"/>
        </w:rPr>
        <w:t xml:space="preserve"> </w:t>
      </w:r>
      <w:r>
        <w:t>capability</w:t>
      </w:r>
      <w:r>
        <w:rPr>
          <w:spacing w:val="4"/>
        </w:rPr>
        <w:t xml:space="preserve"> </w:t>
      </w:r>
      <w:r>
        <w:t>to</w:t>
      </w:r>
      <w:r>
        <w:rPr>
          <w:spacing w:val="4"/>
        </w:rPr>
        <w:t xml:space="preserve"> </w:t>
      </w:r>
      <w:r>
        <w:t>deliver</w:t>
      </w:r>
      <w:r>
        <w:rPr>
          <w:spacing w:val="4"/>
        </w:rPr>
        <w:t xml:space="preserve"> </w:t>
      </w:r>
      <w:r>
        <w:t>and</w:t>
      </w:r>
      <w:r>
        <w:rPr>
          <w:spacing w:val="4"/>
        </w:rPr>
        <w:t xml:space="preserve"> </w:t>
      </w:r>
      <w:r>
        <w:t>accountability</w:t>
      </w:r>
      <w:r>
        <w:rPr>
          <w:spacing w:val="4"/>
        </w:rPr>
        <w:t xml:space="preserve"> </w:t>
      </w:r>
      <w:r>
        <w:t>for</w:t>
      </w:r>
      <w:r>
        <w:rPr>
          <w:spacing w:val="4"/>
        </w:rPr>
        <w:t xml:space="preserve"> </w:t>
      </w:r>
      <w:r>
        <w:rPr>
          <w:spacing w:val="-2"/>
        </w:rPr>
        <w:t>performance.</w:t>
      </w:r>
    </w:p>
    <w:p w14:paraId="0A08D113" w14:textId="77777777" w:rsidR="00685FA7" w:rsidRPr="00FB2493" w:rsidRDefault="00685FA7" w:rsidP="00FB2493">
      <w:pPr>
        <w:rPr>
          <w:b/>
          <w:bCs/>
        </w:rPr>
      </w:pPr>
      <w:r w:rsidRPr="00FB2493">
        <w:rPr>
          <w:b/>
          <w:bCs/>
        </w:rPr>
        <w:t>Accountability</w:t>
      </w:r>
      <w:r w:rsidRPr="00FB2493">
        <w:rPr>
          <w:b/>
          <w:bCs/>
          <w:spacing w:val="3"/>
        </w:rPr>
        <w:t xml:space="preserve"> </w:t>
      </w:r>
      <w:r w:rsidRPr="00FB2493">
        <w:rPr>
          <w:b/>
          <w:bCs/>
        </w:rPr>
        <w:t>supports</w:t>
      </w:r>
      <w:r w:rsidRPr="00FB2493">
        <w:rPr>
          <w:b/>
          <w:bCs/>
          <w:spacing w:val="5"/>
        </w:rPr>
        <w:t xml:space="preserve"> </w:t>
      </w:r>
      <w:r w:rsidRPr="00FB2493">
        <w:rPr>
          <w:b/>
          <w:bCs/>
        </w:rPr>
        <w:t>organisational</w:t>
      </w:r>
      <w:r w:rsidRPr="00FB2493">
        <w:rPr>
          <w:b/>
          <w:bCs/>
          <w:spacing w:val="5"/>
        </w:rPr>
        <w:t xml:space="preserve"> </w:t>
      </w:r>
      <w:r w:rsidRPr="00FB2493">
        <w:rPr>
          <w:b/>
          <w:bCs/>
        </w:rPr>
        <w:t>performance</w:t>
      </w:r>
      <w:r w:rsidRPr="00FB2493">
        <w:rPr>
          <w:b/>
          <w:bCs/>
          <w:spacing w:val="5"/>
        </w:rPr>
        <w:t xml:space="preserve"> </w:t>
      </w:r>
      <w:r w:rsidRPr="00FB2493">
        <w:rPr>
          <w:b/>
          <w:bCs/>
        </w:rPr>
        <w:t>and</w:t>
      </w:r>
      <w:r w:rsidRPr="00FB2493">
        <w:rPr>
          <w:b/>
          <w:bCs/>
          <w:spacing w:val="6"/>
        </w:rPr>
        <w:t xml:space="preserve"> </w:t>
      </w:r>
      <w:r w:rsidRPr="00FB2493">
        <w:rPr>
          <w:b/>
          <w:bCs/>
          <w:spacing w:val="-2"/>
        </w:rPr>
        <w:t>independence</w:t>
      </w:r>
    </w:p>
    <w:p w14:paraId="0F4981C7" w14:textId="77777777" w:rsidR="00685FA7" w:rsidRDefault="00685FA7" w:rsidP="00F26E01">
      <w:r>
        <w:t>Strong accountability is critical to ensuring that public institutions perform well. As discussed previously, accountability and transparency are critical pillars to support the independence of the RBA, which in turn is essential for effective setting of monetary policy. As former Chairman of the US Federal Reserve Ben Bernanke has observed, independence does not exempt organisations from external scrutiny or challenge:</w:t>
      </w:r>
    </w:p>
    <w:p w14:paraId="1204586C" w14:textId="77777777" w:rsidR="00685FA7" w:rsidRDefault="00685FA7" w:rsidP="00685FA7">
      <w:pPr>
        <w:pStyle w:val="BodyText"/>
        <w:spacing w:before="7"/>
        <w:rPr>
          <w:sz w:val="16"/>
        </w:rPr>
      </w:pPr>
    </w:p>
    <w:p w14:paraId="426F0463" w14:textId="0B40E4CF" w:rsidR="00685FA7" w:rsidRPr="00F26E01" w:rsidRDefault="00685FA7" w:rsidP="00F26E01">
      <w:pPr>
        <w:pStyle w:val="italicquote"/>
      </w:pPr>
      <w:r>
        <w:t>‘Central</w:t>
      </w:r>
      <w:r>
        <w:rPr>
          <w:spacing w:val="-2"/>
        </w:rPr>
        <w:t xml:space="preserve"> </w:t>
      </w:r>
      <w:r>
        <w:t>bank</w:t>
      </w:r>
      <w:r>
        <w:rPr>
          <w:spacing w:val="-2"/>
        </w:rPr>
        <w:t xml:space="preserve"> </w:t>
      </w:r>
      <w:r>
        <w:t>independence</w:t>
      </w:r>
      <w:r>
        <w:rPr>
          <w:spacing w:val="-2"/>
        </w:rPr>
        <w:t xml:space="preserve"> </w:t>
      </w:r>
      <w:r>
        <w:t>is</w:t>
      </w:r>
      <w:r>
        <w:rPr>
          <w:spacing w:val="-2"/>
        </w:rPr>
        <w:t xml:space="preserve"> </w:t>
      </w:r>
      <w:r>
        <w:t>essential,</w:t>
      </w:r>
      <w:r>
        <w:rPr>
          <w:spacing w:val="-2"/>
        </w:rPr>
        <w:t xml:space="preserve"> </w:t>
      </w:r>
      <w:r>
        <w:t>but,</w:t>
      </w:r>
      <w:r>
        <w:rPr>
          <w:spacing w:val="-2"/>
        </w:rPr>
        <w:t xml:space="preserve"> </w:t>
      </w:r>
      <w:r>
        <w:t>as</w:t>
      </w:r>
      <w:r>
        <w:rPr>
          <w:spacing w:val="-2"/>
        </w:rPr>
        <w:t xml:space="preserve"> </w:t>
      </w:r>
      <w:r>
        <w:t>I</w:t>
      </w:r>
      <w:r>
        <w:rPr>
          <w:spacing w:val="-2"/>
        </w:rPr>
        <w:t xml:space="preserve"> </w:t>
      </w:r>
      <w:r>
        <w:t>have</w:t>
      </w:r>
      <w:r>
        <w:rPr>
          <w:spacing w:val="-2"/>
        </w:rPr>
        <w:t xml:space="preserve"> </w:t>
      </w:r>
      <w:r>
        <w:t>noted,</w:t>
      </w:r>
      <w:r>
        <w:rPr>
          <w:spacing w:val="-2"/>
        </w:rPr>
        <w:t xml:space="preserve"> </w:t>
      </w:r>
      <w:r>
        <w:t>it</w:t>
      </w:r>
      <w:r>
        <w:rPr>
          <w:spacing w:val="-2"/>
        </w:rPr>
        <w:t xml:space="preserve"> </w:t>
      </w:r>
      <w:r>
        <w:t>cannot</w:t>
      </w:r>
      <w:r>
        <w:rPr>
          <w:spacing w:val="-2"/>
        </w:rPr>
        <w:t xml:space="preserve"> </w:t>
      </w:r>
      <w:r>
        <w:t>be</w:t>
      </w:r>
      <w:r>
        <w:rPr>
          <w:spacing w:val="-2"/>
        </w:rPr>
        <w:t xml:space="preserve"> </w:t>
      </w:r>
      <w:r>
        <w:t>unconditional.</w:t>
      </w:r>
      <w:r>
        <w:rPr>
          <w:spacing w:val="-2"/>
        </w:rPr>
        <w:t xml:space="preserve"> </w:t>
      </w:r>
      <w:r>
        <w:t xml:space="preserve">Democratic principles demand that, as an agent of the government, a central bank must be accountable </w:t>
      </w:r>
      <w:r w:rsidRPr="00F26E01">
        <w:t>in</w:t>
      </w:r>
      <w:r w:rsidR="00F26E01">
        <w:t xml:space="preserve"> </w:t>
      </w:r>
      <w:r w:rsidRPr="00F26E01">
        <w:t>the</w:t>
      </w:r>
      <w:r>
        <w:rPr>
          <w:spacing w:val="-2"/>
        </w:rPr>
        <w:t xml:space="preserve"> </w:t>
      </w:r>
      <w:r>
        <w:t>pursuit</w:t>
      </w:r>
      <w:r>
        <w:rPr>
          <w:spacing w:val="-2"/>
        </w:rPr>
        <w:t xml:space="preserve"> </w:t>
      </w:r>
      <w:r>
        <w:t>of</w:t>
      </w:r>
      <w:r>
        <w:rPr>
          <w:spacing w:val="-2"/>
        </w:rPr>
        <w:t xml:space="preserve"> </w:t>
      </w:r>
      <w:r>
        <w:t>its</w:t>
      </w:r>
      <w:r>
        <w:rPr>
          <w:spacing w:val="-2"/>
        </w:rPr>
        <w:t xml:space="preserve"> </w:t>
      </w:r>
      <w:r>
        <w:t>mandated</w:t>
      </w:r>
      <w:r>
        <w:rPr>
          <w:spacing w:val="-2"/>
        </w:rPr>
        <w:t xml:space="preserve"> </w:t>
      </w:r>
      <w:r>
        <w:t>goals,</w:t>
      </w:r>
      <w:r>
        <w:rPr>
          <w:spacing w:val="-2"/>
        </w:rPr>
        <w:t xml:space="preserve"> </w:t>
      </w:r>
      <w:r>
        <w:t>responsive</w:t>
      </w:r>
      <w:r>
        <w:rPr>
          <w:spacing w:val="-2"/>
        </w:rPr>
        <w:t xml:space="preserve"> </w:t>
      </w:r>
      <w:r>
        <w:t>to</w:t>
      </w:r>
      <w:r>
        <w:rPr>
          <w:spacing w:val="-2"/>
        </w:rPr>
        <w:t xml:space="preserve"> </w:t>
      </w:r>
      <w:r>
        <w:t>the</w:t>
      </w:r>
      <w:r>
        <w:rPr>
          <w:spacing w:val="-2"/>
        </w:rPr>
        <w:t xml:space="preserve"> </w:t>
      </w:r>
      <w:r>
        <w:t>public</w:t>
      </w:r>
      <w:r>
        <w:rPr>
          <w:spacing w:val="-2"/>
        </w:rPr>
        <w:t xml:space="preserve"> </w:t>
      </w:r>
      <w:r>
        <w:t>and</w:t>
      </w:r>
      <w:r>
        <w:rPr>
          <w:spacing w:val="-2"/>
        </w:rPr>
        <w:t xml:space="preserve"> </w:t>
      </w:r>
      <w:r>
        <w:t>its</w:t>
      </w:r>
      <w:r>
        <w:rPr>
          <w:spacing w:val="-2"/>
        </w:rPr>
        <w:t xml:space="preserve"> </w:t>
      </w:r>
      <w:r>
        <w:t>elected</w:t>
      </w:r>
      <w:r>
        <w:rPr>
          <w:spacing w:val="-2"/>
        </w:rPr>
        <w:t xml:space="preserve"> </w:t>
      </w:r>
      <w:r>
        <w:t>representatives,</w:t>
      </w:r>
      <w:r>
        <w:rPr>
          <w:spacing w:val="-2"/>
        </w:rPr>
        <w:t xml:space="preserve"> </w:t>
      </w:r>
      <w:r>
        <w:t>and transparent in its policies.’</w:t>
      </w:r>
    </w:p>
    <w:p w14:paraId="29A61AC7" w14:textId="44363A81" w:rsidR="00685FA7" w:rsidRDefault="00685FA7" w:rsidP="00F26E01">
      <w:pPr>
        <w:pStyle w:val="italicquote"/>
        <w:rPr>
          <w:spacing w:val="-4"/>
        </w:rPr>
      </w:pPr>
      <w:r>
        <w:t>–</w:t>
      </w:r>
      <w:r>
        <w:rPr>
          <w:spacing w:val="-4"/>
        </w:rPr>
        <w:t xml:space="preserve"> </w:t>
      </w:r>
      <w:r>
        <w:t>Ben</w:t>
      </w:r>
      <w:r>
        <w:rPr>
          <w:spacing w:val="-2"/>
        </w:rPr>
        <w:t xml:space="preserve"> </w:t>
      </w:r>
      <w:r>
        <w:t>Bernanke,</w:t>
      </w:r>
      <w:r>
        <w:rPr>
          <w:spacing w:val="-1"/>
        </w:rPr>
        <w:t xml:space="preserve"> </w:t>
      </w:r>
      <w:r>
        <w:rPr>
          <w:spacing w:val="-4"/>
        </w:rPr>
        <w:t>2010</w:t>
      </w:r>
    </w:p>
    <w:p w14:paraId="1A16E57E" w14:textId="77777777" w:rsidR="00F26E01" w:rsidRPr="00F26E01" w:rsidRDefault="00F26E01" w:rsidP="00F26E01">
      <w:pPr>
        <w:pStyle w:val="italicquote"/>
        <w:ind w:left="0"/>
      </w:pPr>
    </w:p>
    <w:p w14:paraId="645E1DE8" w14:textId="77777777" w:rsidR="00685FA7" w:rsidRDefault="00685FA7" w:rsidP="00F26E01">
      <w:r>
        <w:t>The Review has outlined some of the important accountability mechanisms that the RBA has, including formal requirements to report under the PGPA Act, appearances before parliamentary committees, publication of decisions and statements on monetary policy, regular reports, and speeches.</w:t>
      </w:r>
    </w:p>
    <w:p w14:paraId="09AE306A" w14:textId="77777777" w:rsidR="00685FA7" w:rsidRDefault="00685FA7" w:rsidP="00F26E01">
      <w:r>
        <w:t>The Review has identified several areas where stronger accountability would improve the RBA’s performance and benefit the Australian community (see Box 6.1)</w:t>
      </w: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006963" w14:paraId="05F99039" w14:textId="77777777" w:rsidTr="009833C9">
        <w:tc>
          <w:tcPr>
            <w:tcW w:w="5000" w:type="pct"/>
            <w:tcBorders>
              <w:top w:val="nil"/>
              <w:left w:val="nil"/>
              <w:bottom w:val="nil"/>
              <w:right w:val="nil"/>
            </w:tcBorders>
            <w:shd w:val="clear" w:color="auto" w:fill="F9EEDB" w:themeFill="accent6"/>
          </w:tcPr>
          <w:p w14:paraId="5CD528F0" w14:textId="77777777" w:rsidR="00006963" w:rsidRDefault="00006963" w:rsidP="00006963">
            <w:pPr>
              <w:pStyle w:val="BoxHeading"/>
              <w:rPr>
                <w:spacing w:val="-2"/>
              </w:rPr>
            </w:pPr>
            <w:r>
              <w:lastRenderedPageBreak/>
              <w:t>Box</w:t>
            </w:r>
            <w:r>
              <w:rPr>
                <w:spacing w:val="-2"/>
              </w:rPr>
              <w:t xml:space="preserve"> </w:t>
            </w:r>
            <w:r>
              <w:t xml:space="preserve">6.1: Strengthening RBA accountability – measures from the </w:t>
            </w:r>
            <w:r>
              <w:rPr>
                <w:spacing w:val="-2"/>
              </w:rPr>
              <w:t>Review</w:t>
            </w:r>
          </w:p>
          <w:p w14:paraId="3C6C3F3A" w14:textId="31075611" w:rsidR="009833C9" w:rsidRDefault="009833C9" w:rsidP="009833C9">
            <w:pPr>
              <w:pStyle w:val="BoxText"/>
            </w:pPr>
            <w:r w:rsidRPr="009833C9">
              <w:rPr>
                <w:b/>
                <w:bCs/>
              </w:rPr>
              <w:t>Clearer</w:t>
            </w:r>
            <w:r w:rsidRPr="009833C9">
              <w:rPr>
                <w:b/>
                <w:bCs/>
                <w:spacing w:val="-6"/>
              </w:rPr>
              <w:t xml:space="preserve"> </w:t>
            </w:r>
            <w:r w:rsidRPr="009833C9">
              <w:rPr>
                <w:b/>
                <w:bCs/>
              </w:rPr>
              <w:t>objectives</w:t>
            </w:r>
            <w:r w:rsidRPr="009833C9">
              <w:rPr>
                <w:b/>
                <w:bCs/>
                <w:spacing w:val="-4"/>
              </w:rPr>
              <w:t xml:space="preserve"> </w:t>
            </w:r>
            <w:r w:rsidRPr="009833C9">
              <w:rPr>
                <w:b/>
                <w:bCs/>
              </w:rPr>
              <w:t>in</w:t>
            </w:r>
            <w:r w:rsidRPr="009833C9">
              <w:rPr>
                <w:b/>
                <w:bCs/>
                <w:spacing w:val="-4"/>
              </w:rPr>
              <w:t xml:space="preserve"> </w:t>
            </w:r>
            <w:r w:rsidRPr="009833C9">
              <w:rPr>
                <w:b/>
                <w:bCs/>
              </w:rPr>
              <w:t>the</w:t>
            </w:r>
            <w:r w:rsidRPr="009833C9">
              <w:rPr>
                <w:b/>
                <w:bCs/>
                <w:spacing w:val="-4"/>
              </w:rPr>
              <w:t xml:space="preserve"> </w:t>
            </w:r>
            <w:r w:rsidRPr="009833C9">
              <w:rPr>
                <w:b/>
                <w:bCs/>
              </w:rPr>
              <w:t>RBA</w:t>
            </w:r>
            <w:r w:rsidRPr="009833C9">
              <w:rPr>
                <w:b/>
                <w:bCs/>
                <w:spacing w:val="-4"/>
              </w:rPr>
              <w:t xml:space="preserve"> </w:t>
            </w:r>
            <w:r w:rsidRPr="009833C9">
              <w:rPr>
                <w:b/>
                <w:bCs/>
              </w:rPr>
              <w:t>Act</w:t>
            </w:r>
            <w:r w:rsidRPr="009833C9">
              <w:rPr>
                <w:b/>
                <w:bCs/>
                <w:spacing w:val="-4"/>
              </w:rPr>
              <w:t xml:space="preserve"> </w:t>
            </w:r>
            <w:r w:rsidRPr="009833C9">
              <w:rPr>
                <w:b/>
                <w:bCs/>
              </w:rPr>
              <w:t>and</w:t>
            </w:r>
            <w:r w:rsidRPr="009833C9">
              <w:rPr>
                <w:b/>
                <w:bCs/>
                <w:spacing w:val="-3"/>
              </w:rPr>
              <w:t xml:space="preserve"> </w:t>
            </w:r>
            <w:r w:rsidRPr="009833C9">
              <w:rPr>
                <w:b/>
                <w:bCs/>
              </w:rPr>
              <w:t>Statement</w:t>
            </w:r>
            <w:r w:rsidRPr="009833C9">
              <w:rPr>
                <w:b/>
                <w:bCs/>
                <w:spacing w:val="-4"/>
              </w:rPr>
              <w:t xml:space="preserve"> </w:t>
            </w:r>
            <w:r w:rsidRPr="009833C9">
              <w:rPr>
                <w:b/>
                <w:bCs/>
              </w:rPr>
              <w:t>on</w:t>
            </w:r>
            <w:r w:rsidRPr="009833C9">
              <w:rPr>
                <w:b/>
                <w:bCs/>
                <w:spacing w:val="-4"/>
              </w:rPr>
              <w:t xml:space="preserve"> </w:t>
            </w:r>
            <w:r w:rsidRPr="009833C9">
              <w:rPr>
                <w:b/>
                <w:bCs/>
              </w:rPr>
              <w:t>the</w:t>
            </w:r>
            <w:r w:rsidRPr="009833C9">
              <w:rPr>
                <w:b/>
                <w:bCs/>
                <w:spacing w:val="-4"/>
              </w:rPr>
              <w:t xml:space="preserve"> </w:t>
            </w:r>
            <w:r w:rsidRPr="009833C9">
              <w:rPr>
                <w:b/>
                <w:bCs/>
              </w:rPr>
              <w:t>Conduct</w:t>
            </w:r>
            <w:r w:rsidRPr="009833C9">
              <w:rPr>
                <w:b/>
                <w:bCs/>
                <w:spacing w:val="-4"/>
              </w:rPr>
              <w:t xml:space="preserve"> </w:t>
            </w:r>
            <w:r w:rsidRPr="009833C9">
              <w:rPr>
                <w:b/>
                <w:bCs/>
              </w:rPr>
              <w:t>of</w:t>
            </w:r>
            <w:r w:rsidRPr="009833C9">
              <w:rPr>
                <w:b/>
                <w:bCs/>
                <w:spacing w:val="-4"/>
              </w:rPr>
              <w:t xml:space="preserve"> </w:t>
            </w:r>
            <w:r w:rsidRPr="009833C9">
              <w:rPr>
                <w:b/>
                <w:bCs/>
              </w:rPr>
              <w:t>Monetary</w:t>
            </w:r>
            <w:r w:rsidRPr="009833C9">
              <w:rPr>
                <w:b/>
                <w:bCs/>
                <w:spacing w:val="-3"/>
              </w:rPr>
              <w:t xml:space="preserve"> </w:t>
            </w:r>
            <w:r w:rsidRPr="009833C9">
              <w:rPr>
                <w:b/>
                <w:bCs/>
                <w:spacing w:val="-2"/>
              </w:rPr>
              <w:t xml:space="preserve">Policy. </w:t>
            </w:r>
            <w:r>
              <w:t>More explicitly outlining the RBA’s dual objectives of price stability and full employment,</w:t>
            </w:r>
            <w:r>
              <w:rPr>
                <w:spacing w:val="40"/>
              </w:rPr>
              <w:t xml:space="preserve"> </w:t>
            </w:r>
            <w:r>
              <w:t>how</w:t>
            </w:r>
            <w:r>
              <w:rPr>
                <w:spacing w:val="-3"/>
              </w:rPr>
              <w:t xml:space="preserve"> </w:t>
            </w:r>
            <w:r>
              <w:t>the</w:t>
            </w:r>
            <w:r>
              <w:rPr>
                <w:spacing w:val="-3"/>
              </w:rPr>
              <w:t xml:space="preserve"> </w:t>
            </w:r>
            <w:r>
              <w:t>RBA</w:t>
            </w:r>
            <w:r>
              <w:rPr>
                <w:spacing w:val="-3"/>
              </w:rPr>
              <w:t xml:space="preserve"> </w:t>
            </w:r>
            <w:r>
              <w:t>approaches</w:t>
            </w:r>
            <w:r>
              <w:rPr>
                <w:spacing w:val="-3"/>
              </w:rPr>
              <w:t xml:space="preserve"> </w:t>
            </w:r>
            <w:r>
              <w:t>flexibility</w:t>
            </w:r>
            <w:r>
              <w:rPr>
                <w:spacing w:val="-3"/>
              </w:rPr>
              <w:t xml:space="preserve"> </w:t>
            </w:r>
            <w:r>
              <w:t>in</w:t>
            </w:r>
            <w:r>
              <w:rPr>
                <w:spacing w:val="-3"/>
              </w:rPr>
              <w:t xml:space="preserve"> </w:t>
            </w:r>
            <w:r>
              <w:t>its</w:t>
            </w:r>
            <w:r>
              <w:rPr>
                <w:spacing w:val="-3"/>
              </w:rPr>
              <w:t xml:space="preserve"> </w:t>
            </w:r>
            <w:r>
              <w:t>framework,</w:t>
            </w:r>
            <w:r>
              <w:rPr>
                <w:spacing w:val="-3"/>
              </w:rPr>
              <w:t xml:space="preserve"> </w:t>
            </w:r>
            <w:r>
              <w:t>as</w:t>
            </w:r>
            <w:r>
              <w:rPr>
                <w:spacing w:val="-3"/>
              </w:rPr>
              <w:t xml:space="preserve"> </w:t>
            </w:r>
            <w:r>
              <w:t>well</w:t>
            </w:r>
            <w:r>
              <w:rPr>
                <w:spacing w:val="-3"/>
              </w:rPr>
              <w:t xml:space="preserve"> </w:t>
            </w:r>
            <w:r>
              <w:t>as</w:t>
            </w:r>
            <w:r>
              <w:rPr>
                <w:spacing w:val="-3"/>
              </w:rPr>
              <w:t xml:space="preserve"> </w:t>
            </w:r>
            <w:r>
              <w:t>its</w:t>
            </w:r>
            <w:r>
              <w:rPr>
                <w:spacing w:val="-3"/>
              </w:rPr>
              <w:t xml:space="preserve"> </w:t>
            </w:r>
            <w:r>
              <w:t>role</w:t>
            </w:r>
            <w:r>
              <w:rPr>
                <w:spacing w:val="-3"/>
              </w:rPr>
              <w:t xml:space="preserve"> </w:t>
            </w:r>
            <w:r>
              <w:t>in</w:t>
            </w:r>
            <w:r>
              <w:rPr>
                <w:spacing w:val="-3"/>
              </w:rPr>
              <w:t xml:space="preserve"> </w:t>
            </w:r>
            <w:r>
              <w:t>supporting</w:t>
            </w:r>
            <w:r>
              <w:rPr>
                <w:spacing w:val="-3"/>
              </w:rPr>
              <w:t xml:space="preserve"> </w:t>
            </w:r>
            <w:r>
              <w:t>financial stability, will strengthen accountability for delivering on its mandate (see Chapter 2).</w:t>
            </w:r>
          </w:p>
          <w:p w14:paraId="1FC26897" w14:textId="77777777" w:rsidR="009833C9" w:rsidRDefault="009833C9" w:rsidP="009833C9">
            <w:pPr>
              <w:pStyle w:val="BoxText"/>
            </w:pPr>
            <w:r w:rsidRPr="009833C9">
              <w:rPr>
                <w:b/>
                <w:bCs/>
              </w:rPr>
              <w:t xml:space="preserve">Accountability for monetary policy decision making. </w:t>
            </w:r>
            <w:r>
              <w:t>A dedicated Monetary Policy Board, with more and varied external communications by the Governor and Board members will increase transparency around how and why policy decisions are taken (see Chapter 3).</w:t>
            </w:r>
          </w:p>
          <w:p w14:paraId="00333E81" w14:textId="71E339E7" w:rsidR="009833C9" w:rsidRDefault="009833C9" w:rsidP="009833C9">
            <w:pPr>
              <w:pStyle w:val="BoxText"/>
            </w:pPr>
            <w:r w:rsidRPr="009833C9">
              <w:rPr>
                <w:rFonts w:hAnsi="Open Sans"/>
                <w:b/>
                <w:bCs/>
              </w:rPr>
              <w:t>Accountability for individuals</w:t>
            </w:r>
            <w:r w:rsidRPr="009833C9">
              <w:rPr>
                <w:rFonts w:hAnsi="Open Sans"/>
                <w:b/>
                <w:bCs/>
              </w:rPr>
              <w:t>’</w:t>
            </w:r>
            <w:r w:rsidRPr="009833C9">
              <w:rPr>
                <w:rFonts w:hAnsi="Open Sans"/>
                <w:b/>
                <w:bCs/>
              </w:rPr>
              <w:t xml:space="preserve"> performance. </w:t>
            </w:r>
            <w:r>
              <w:t>Holding managers and executive leaders to account for delivering on their people leadership responsibilities (such as performance management and staff development) will drive a more engaged, capable and adaptable workforce to deliver the RBA’s objectives (see Chapter 4)</w:t>
            </w:r>
            <w:r w:rsidR="0068598E">
              <w:rPr>
                <w:spacing w:val="-16"/>
              </w:rPr>
              <w:t>.</w:t>
            </w:r>
          </w:p>
          <w:p w14:paraId="36E839AE" w14:textId="48F17F94" w:rsidR="00006963" w:rsidRPr="00006963" w:rsidRDefault="009833C9" w:rsidP="009833C9">
            <w:pPr>
              <w:pStyle w:val="BoxText"/>
            </w:pPr>
            <w:r w:rsidRPr="009833C9">
              <w:rPr>
                <w:b/>
                <w:bCs/>
              </w:rPr>
              <w:t>Oversight of executive management.</w:t>
            </w:r>
            <w:r>
              <w:t xml:space="preserve"> The establishment of a Corporate Governance Board as the accountable authority of the RBA, complemented by a new COO (see Chapter 4), broadens responsibilities and accountabilities across the institution and will apply more scrutiny to how the RBA is being run by its executive leaders (see Chapter 5).</w:t>
            </w:r>
          </w:p>
        </w:tc>
      </w:tr>
    </w:tbl>
    <w:p w14:paraId="59A4164D" w14:textId="77777777" w:rsidR="008C37B9" w:rsidRDefault="008C37B9" w:rsidP="008C37B9">
      <w:pPr>
        <w:pStyle w:val="Heading4"/>
      </w:pPr>
      <w:r>
        <w:t>Delivering</w:t>
      </w:r>
      <w:r>
        <w:rPr>
          <w:spacing w:val="-2"/>
        </w:rPr>
        <w:t xml:space="preserve"> </w:t>
      </w:r>
      <w:r>
        <w:t>organisational and cultural</w:t>
      </w:r>
      <w:r>
        <w:rPr>
          <w:spacing w:val="1"/>
        </w:rPr>
        <w:t xml:space="preserve"> </w:t>
      </w:r>
      <w:r>
        <w:rPr>
          <w:spacing w:val="-2"/>
        </w:rPr>
        <w:t>change</w:t>
      </w:r>
    </w:p>
    <w:p w14:paraId="06F87333" w14:textId="77777777" w:rsidR="008C37B9" w:rsidRDefault="008C37B9" w:rsidP="008C37B9">
      <w:r>
        <w:t>The importance of strong accountability mechanisms extends to the new Governance Board working with the RBA’s leaders to ensure the changes recommended by this Review are delivered (see Chapter 5). Ongoing scrutiny and guidance by the Governance Board and external parties will help the RBA to look for ways to continuously improve.</w:t>
      </w:r>
    </w:p>
    <w:p w14:paraId="04681C3C" w14:textId="77777777" w:rsidR="008C37B9" w:rsidRDefault="008C37B9" w:rsidP="008C37B9">
      <w:r>
        <w:t>The Governance Board provides a mechanism to help enable, provide advice and ensure progress on challenging issues. By regularly monitoring progress, the Governance Board can help to steer change and ensure that impacts are being felt by staff members.</w:t>
      </w:r>
    </w:p>
    <w:p w14:paraId="290FDFD2" w14:textId="77777777" w:rsidR="008C37B9" w:rsidRPr="008C37B9" w:rsidRDefault="008C37B9" w:rsidP="008C37B9">
      <w:pPr>
        <w:rPr>
          <w:b/>
          <w:bCs/>
        </w:rPr>
      </w:pPr>
      <w:r w:rsidRPr="008C37B9">
        <w:rPr>
          <w:b/>
          <w:bCs/>
        </w:rPr>
        <w:t>External</w:t>
      </w:r>
      <w:r w:rsidRPr="008C37B9">
        <w:rPr>
          <w:b/>
          <w:bCs/>
          <w:spacing w:val="1"/>
        </w:rPr>
        <w:t xml:space="preserve"> </w:t>
      </w:r>
      <w:r w:rsidRPr="008C37B9">
        <w:rPr>
          <w:b/>
          <w:bCs/>
        </w:rPr>
        <w:t>reviews</w:t>
      </w:r>
      <w:r w:rsidRPr="008C37B9">
        <w:rPr>
          <w:b/>
          <w:bCs/>
          <w:spacing w:val="2"/>
        </w:rPr>
        <w:t xml:space="preserve"> </w:t>
      </w:r>
      <w:r w:rsidRPr="008C37B9">
        <w:rPr>
          <w:b/>
          <w:bCs/>
        </w:rPr>
        <w:t>for</w:t>
      </w:r>
      <w:r w:rsidRPr="008C37B9">
        <w:rPr>
          <w:b/>
          <w:bCs/>
          <w:spacing w:val="1"/>
        </w:rPr>
        <w:t xml:space="preserve"> </w:t>
      </w:r>
      <w:r w:rsidRPr="008C37B9">
        <w:rPr>
          <w:b/>
          <w:bCs/>
        </w:rPr>
        <w:t>organisational</w:t>
      </w:r>
      <w:r w:rsidRPr="008C37B9">
        <w:rPr>
          <w:b/>
          <w:bCs/>
          <w:spacing w:val="2"/>
        </w:rPr>
        <w:t xml:space="preserve"> </w:t>
      </w:r>
      <w:r w:rsidRPr="008C37B9">
        <w:rPr>
          <w:b/>
          <w:bCs/>
        </w:rPr>
        <w:t>improvement</w:t>
      </w:r>
      <w:r w:rsidRPr="008C37B9">
        <w:rPr>
          <w:b/>
          <w:bCs/>
          <w:spacing w:val="1"/>
        </w:rPr>
        <w:t xml:space="preserve"> </w:t>
      </w:r>
      <w:r w:rsidRPr="008C37B9">
        <w:rPr>
          <w:b/>
          <w:bCs/>
        </w:rPr>
        <w:t>and</w:t>
      </w:r>
      <w:r w:rsidRPr="008C37B9">
        <w:rPr>
          <w:b/>
          <w:bCs/>
          <w:spacing w:val="2"/>
        </w:rPr>
        <w:t xml:space="preserve"> </w:t>
      </w:r>
      <w:r w:rsidRPr="008C37B9">
        <w:rPr>
          <w:b/>
          <w:bCs/>
          <w:spacing w:val="-2"/>
        </w:rPr>
        <w:t>renewal</w:t>
      </w:r>
    </w:p>
    <w:p w14:paraId="610A53B4" w14:textId="77777777" w:rsidR="008C37B9" w:rsidRDefault="008C37B9" w:rsidP="008C37B9">
      <w:r>
        <w:t>The RBA has not been the subject of recent or regular external review. Prior to this Review, the last time the RBA was fully and independently examined was as part of the Campbell Review</w:t>
      </w:r>
      <w:r>
        <w:rPr>
          <w:spacing w:val="40"/>
        </w:rPr>
        <w:t xml:space="preserve"> </w:t>
      </w:r>
      <w:r>
        <w:t>which issued its final report in 1981. The RBA was in part examined as part of the Wallis Inquiry in 1997, which recommended shifting bank prudential supervision into a new prudential regulator. While the 2014 Murray Inquiry could consider the RBA’s conduct of monetary policy, the terms of reference explicitly ruled out making any recommendations in this area.</w:t>
      </w:r>
    </w:p>
    <w:p w14:paraId="643A071E" w14:textId="326FC453" w:rsidR="008C37B9" w:rsidRDefault="008C37B9" w:rsidP="008C37B9">
      <w:r>
        <w:t>The Australian Public Service capability review structure would provide a useful framework for future reviews</w:t>
      </w:r>
      <w:r w:rsidR="0068598E">
        <w:rPr>
          <w:spacing w:val="-20"/>
        </w:rPr>
        <w:t>.</w:t>
      </w:r>
      <w:r>
        <w:rPr>
          <w:w w:val="85"/>
        </w:rPr>
        <w:t xml:space="preserve"> </w:t>
      </w:r>
      <w:r>
        <w:t>These reviews are independent and provide advice on how an organisation needs to set itself up to meet future challenges. Capability reviews are consistent with organisational independence. They provide a source of advice and independent evidence base for improvement. They are honest and constructive. They do not override the ultimate responsibility of accountable authorities to choose how to run their organisation. They would enable the RBA to pursue ongoing organisational improvement</w:t>
      </w:r>
      <w:r w:rsidR="0068598E">
        <w:rPr>
          <w:spacing w:val="-17"/>
        </w:rPr>
        <w:t>.</w:t>
      </w:r>
    </w:p>
    <w:p w14:paraId="6A3E2283" w14:textId="77777777" w:rsidR="002674C7" w:rsidRDefault="002674C7">
      <w:pPr>
        <w:spacing w:before="0" w:after="160" w:line="259" w:lineRule="auto"/>
        <w:rPr>
          <w:rFonts w:ascii="Calibri" w:hAnsi="Calibri" w:cs="Arial"/>
          <w:b/>
          <w:color w:val="204060" w:themeColor="accent1"/>
          <w:kern w:val="32"/>
          <w:sz w:val="44"/>
          <w:szCs w:val="36"/>
        </w:rPr>
      </w:pPr>
      <w:r>
        <w:br w:type="page"/>
      </w:r>
    </w:p>
    <w:p w14:paraId="201EC235" w14:textId="67B6C8B1" w:rsidR="003B0BC8" w:rsidRDefault="003B0BC8" w:rsidP="003B0BC8">
      <w:pPr>
        <w:pStyle w:val="Heading1"/>
      </w:pPr>
      <w:bookmarkStart w:id="63" w:name="_Toc134221033"/>
      <w:r w:rsidRPr="003B0BC8">
        <w:lastRenderedPageBreak/>
        <w:t>Chapter</w:t>
      </w:r>
      <w:r>
        <w:rPr>
          <w:spacing w:val="-21"/>
        </w:rPr>
        <w:t xml:space="preserve"> </w:t>
      </w:r>
      <w:r>
        <w:t>7:</w:t>
      </w:r>
      <w:r>
        <w:rPr>
          <w:spacing w:val="-20"/>
        </w:rPr>
        <w:t xml:space="preserve"> </w:t>
      </w:r>
      <w:r>
        <w:t>Implementing</w:t>
      </w:r>
      <w:r>
        <w:rPr>
          <w:spacing w:val="-20"/>
        </w:rPr>
        <w:t xml:space="preserve"> </w:t>
      </w:r>
      <w:r>
        <w:t>the</w:t>
      </w:r>
      <w:r>
        <w:rPr>
          <w:spacing w:val="-20"/>
        </w:rPr>
        <w:t xml:space="preserve"> </w:t>
      </w:r>
      <w:r>
        <w:t>Review</w:t>
      </w:r>
      <w:bookmarkEnd w:id="63"/>
    </w:p>
    <w:p w14:paraId="3550BCD2" w14:textId="77777777" w:rsidR="003B0BC8" w:rsidRPr="003B0BC8" w:rsidRDefault="003B0BC8" w:rsidP="003B0BC8"/>
    <w:tbl>
      <w:tblPr>
        <w:tblW w:w="5000" w:type="pct"/>
        <w:tblBorders>
          <w:top w:val="single" w:sz="2" w:space="0" w:color="1F4060"/>
          <w:left w:val="single" w:sz="2" w:space="0" w:color="1F4060"/>
          <w:bottom w:val="single" w:sz="2" w:space="0" w:color="1F4060"/>
          <w:right w:val="single" w:sz="2" w:space="0" w:color="1F4060"/>
          <w:insideH w:val="single" w:sz="2" w:space="0" w:color="1F4060"/>
          <w:insideV w:val="single" w:sz="2" w:space="0" w:color="1F4060"/>
        </w:tblBorders>
        <w:tblCellMar>
          <w:left w:w="0" w:type="dxa"/>
          <w:right w:w="0" w:type="dxa"/>
        </w:tblCellMar>
        <w:tblLook w:val="01E0" w:firstRow="1" w:lastRow="1" w:firstColumn="1" w:lastColumn="1" w:noHBand="0" w:noVBand="0"/>
      </w:tblPr>
      <w:tblGrid>
        <w:gridCol w:w="9064"/>
      </w:tblGrid>
      <w:tr w:rsidR="003B0BC8" w14:paraId="3C43164F" w14:textId="77777777" w:rsidTr="003B0BC8">
        <w:trPr>
          <w:trHeight w:val="1506"/>
        </w:trPr>
        <w:tc>
          <w:tcPr>
            <w:tcW w:w="5000" w:type="pct"/>
          </w:tcPr>
          <w:p w14:paraId="2D01E1E0" w14:textId="4D60B9D6" w:rsidR="003B0BC8" w:rsidRPr="0068598E" w:rsidRDefault="003B0BC8" w:rsidP="0068598E">
            <w:pPr>
              <w:pStyle w:val="BoxText"/>
              <w:ind w:left="284"/>
            </w:pPr>
            <w:r w:rsidRPr="0068598E">
              <w:t>This chapter considers the best way for the Australian Government and the RBA to implement the recommendations of this Review so that changes are managed smoothly and align with the Review’s intent. It recommends a process for implementation to ensure continuity of core operations and effective delivery of the changes. It then outlines how, in the absence of legislative change, the Review’s aims could be partially met.</w:t>
            </w:r>
          </w:p>
        </w:tc>
      </w:tr>
    </w:tbl>
    <w:p w14:paraId="5B8BDF30" w14:textId="49815331" w:rsidR="003B0BC8" w:rsidRDefault="003B0BC8" w:rsidP="003B0BC8">
      <w:r>
        <w:t>The Review’s recommendations aim to heed the lessons of the past and help build a stronger RBA that is ready for the challenges of the future. The work should begin now, and the implementation should be planned methodically and well-paced over time. This should minimise disruption to the RBA’s functions and to achieve sustained benefits.</w:t>
      </w:r>
    </w:p>
    <w:p w14:paraId="1FFE1C5E" w14:textId="4BE03B43" w:rsidR="003B0BC8" w:rsidRDefault="003B0BC8" w:rsidP="003B0BC8">
      <w:r>
        <w:t>The RBA is a strong institution and the recommended changes should not be seen as responding</w:t>
      </w:r>
      <w:r>
        <w:rPr>
          <w:spacing w:val="80"/>
        </w:rPr>
        <w:t xml:space="preserve"> </w:t>
      </w:r>
      <w:r>
        <w:t>to immediate events and issues</w:t>
      </w:r>
      <w:r w:rsidR="0068598E">
        <w:rPr>
          <w:spacing w:val="-21"/>
        </w:rPr>
        <w:t>.</w:t>
      </w:r>
      <w:r>
        <w:rPr>
          <w:w w:val="85"/>
        </w:rPr>
        <w:t xml:space="preserve"> </w:t>
      </w:r>
      <w:r>
        <w:t>Implementation should not, and cannot, be completed overnight</w:t>
      </w:r>
      <w:r w:rsidR="0068598E">
        <w:rPr>
          <w:spacing w:val="-21"/>
        </w:rPr>
        <w:t>.</w:t>
      </w:r>
      <w:r>
        <w:t xml:space="preserve"> Some of the Review’s recommendations, such as those that require legislation or new appointment processes, will require time to be put into effect. Changes to how an institution operates and how it feels to its staff also take time to become embedded.</w:t>
      </w:r>
    </w:p>
    <w:p w14:paraId="7292F326" w14:textId="7E2CE29C" w:rsidR="003B0BC8" w:rsidRDefault="003B0BC8" w:rsidP="003B0BC8">
      <w:r>
        <w:t>The Review suggests that in implementation, the RBA and Government focus on both the specific recommendations and their broad intent</w:t>
      </w:r>
      <w:r w:rsidR="0068598E">
        <w:rPr>
          <w:spacing w:val="-24"/>
        </w:rPr>
        <w:t>.</w:t>
      </w:r>
      <w:r>
        <w:rPr>
          <w:w w:val="85"/>
        </w:rPr>
        <w:t xml:space="preserve"> </w:t>
      </w:r>
      <w:r>
        <w:t>The preceding chapters provide detail on the suggested approach to implementing each recommendation. In many cases, the more significant challenge is to achieve the underlying behavioural and cultural change that the recommendations seek.</w:t>
      </w:r>
    </w:p>
    <w:p w14:paraId="40E0E85C" w14:textId="77777777" w:rsidR="00F26703" w:rsidRDefault="00F26703">
      <w:pPr>
        <w:spacing w:before="0" w:after="160" w:line="259" w:lineRule="auto"/>
        <w:rPr>
          <w:rFonts w:ascii="Calibri" w:hAnsi="Calibri" w:cs="Arial"/>
          <w:iCs/>
          <w:color w:val="2C384A"/>
          <w:kern w:val="32"/>
          <w:sz w:val="36"/>
          <w:szCs w:val="28"/>
        </w:rPr>
      </w:pPr>
      <w:r>
        <w:br w:type="page"/>
      </w:r>
    </w:p>
    <w:p w14:paraId="3ABA3081" w14:textId="317DC44F" w:rsidR="00F26703" w:rsidRDefault="00F26703" w:rsidP="00F26703">
      <w:pPr>
        <w:pStyle w:val="Heading2"/>
      </w:pPr>
      <w:bookmarkStart w:id="64" w:name="_Toc134221034"/>
      <w:r w:rsidRPr="00F26703">
        <w:lastRenderedPageBreak/>
        <w:t>Recommendation 14: Ensure continuity through the implementation process</w:t>
      </w:r>
      <w:bookmarkEnd w:id="64"/>
    </w:p>
    <w:tbl>
      <w:tblPr>
        <w:tblW w:w="5000" w:type="pct"/>
        <w:tblCellMar>
          <w:left w:w="0" w:type="dxa"/>
          <w:right w:w="0" w:type="dxa"/>
        </w:tblCellMar>
        <w:tblLook w:val="01E0" w:firstRow="1" w:lastRow="1" w:firstColumn="1" w:lastColumn="1" w:noHBand="0" w:noVBand="0"/>
      </w:tblPr>
      <w:tblGrid>
        <w:gridCol w:w="847"/>
        <w:gridCol w:w="8223"/>
      </w:tblGrid>
      <w:tr w:rsidR="00F26703" w14:paraId="7BEAE8E3" w14:textId="77777777" w:rsidTr="00F22AE5">
        <w:trPr>
          <w:trHeight w:val="590"/>
        </w:trPr>
        <w:tc>
          <w:tcPr>
            <w:tcW w:w="5000" w:type="pct"/>
            <w:gridSpan w:val="2"/>
            <w:tcBorders>
              <w:bottom w:val="single" w:sz="8" w:space="0" w:color="ECEDE9"/>
            </w:tcBorders>
          </w:tcPr>
          <w:p w14:paraId="0BBD657B" w14:textId="77777777" w:rsidR="00F26703" w:rsidRDefault="00F26703" w:rsidP="00F22AE5">
            <w:pPr>
              <w:pStyle w:val="Heading4"/>
            </w:pPr>
            <w:r w:rsidRPr="00316826">
              <w:t>Recommendation</w:t>
            </w:r>
            <w:r>
              <w:rPr>
                <w:spacing w:val="-2"/>
              </w:rPr>
              <w:t xml:space="preserve"> </w:t>
            </w:r>
            <w:r>
              <w:t>14:</w:t>
            </w:r>
            <w:r>
              <w:rPr>
                <w:spacing w:val="1"/>
              </w:rPr>
              <w:t xml:space="preserve"> </w:t>
            </w:r>
            <w:r>
              <w:t>Ensure continuity</w:t>
            </w:r>
            <w:r>
              <w:rPr>
                <w:spacing w:val="1"/>
              </w:rPr>
              <w:t xml:space="preserve"> </w:t>
            </w:r>
            <w:r>
              <w:t>through the</w:t>
            </w:r>
            <w:r>
              <w:rPr>
                <w:spacing w:val="1"/>
              </w:rPr>
              <w:t xml:space="preserve"> </w:t>
            </w:r>
            <w:r>
              <w:t>implementation</w:t>
            </w:r>
            <w:r>
              <w:rPr>
                <w:spacing w:val="1"/>
              </w:rPr>
              <w:t xml:space="preserve"> </w:t>
            </w:r>
            <w:r>
              <w:rPr>
                <w:spacing w:val="-2"/>
              </w:rPr>
              <w:t>process</w:t>
            </w:r>
          </w:p>
        </w:tc>
      </w:tr>
      <w:tr w:rsidR="00F26703" w14:paraId="69F93E47" w14:textId="77777777" w:rsidTr="00F22AE5">
        <w:trPr>
          <w:trHeight w:val="801"/>
        </w:trPr>
        <w:tc>
          <w:tcPr>
            <w:tcW w:w="467" w:type="pct"/>
            <w:tcBorders>
              <w:top w:val="single" w:sz="8" w:space="0" w:color="ECEDE9"/>
              <w:bottom w:val="single" w:sz="8" w:space="0" w:color="ECEDE9"/>
            </w:tcBorders>
          </w:tcPr>
          <w:p w14:paraId="7DF5380F" w14:textId="77777777" w:rsidR="00F26703" w:rsidRDefault="00F26703" w:rsidP="00F22AE5">
            <w:r>
              <w:t>14.1</w:t>
            </w:r>
          </w:p>
        </w:tc>
        <w:tc>
          <w:tcPr>
            <w:tcW w:w="4533" w:type="pct"/>
            <w:tcBorders>
              <w:top w:val="single" w:sz="8" w:space="0" w:color="ECEDE9"/>
              <w:bottom w:val="single" w:sz="8" w:space="0" w:color="ECEDE9"/>
            </w:tcBorders>
          </w:tcPr>
          <w:p w14:paraId="4374915C" w14:textId="77777777" w:rsidR="00F26703" w:rsidRDefault="00F26703" w:rsidP="00F22AE5">
            <w:r>
              <w:t>For recommendations that require legislation, the Government should legislate the changes to commence on 1 July 2024, to allow time to plan and prepare.</w:t>
            </w:r>
          </w:p>
        </w:tc>
      </w:tr>
      <w:tr w:rsidR="00F26703" w14:paraId="626DF43E" w14:textId="77777777" w:rsidTr="00F22AE5">
        <w:trPr>
          <w:trHeight w:val="1261"/>
        </w:trPr>
        <w:tc>
          <w:tcPr>
            <w:tcW w:w="467" w:type="pct"/>
            <w:tcBorders>
              <w:top w:val="single" w:sz="8" w:space="0" w:color="ECEDE9"/>
              <w:bottom w:val="single" w:sz="8" w:space="0" w:color="ECEDE9"/>
            </w:tcBorders>
          </w:tcPr>
          <w:p w14:paraId="19D70B0D" w14:textId="77777777" w:rsidR="00F26703" w:rsidRDefault="00F26703" w:rsidP="00F22AE5">
            <w:r>
              <w:t>14.2</w:t>
            </w:r>
          </w:p>
        </w:tc>
        <w:tc>
          <w:tcPr>
            <w:tcW w:w="4533" w:type="pct"/>
            <w:tcBorders>
              <w:top w:val="single" w:sz="8" w:space="0" w:color="ECEDE9"/>
              <w:bottom w:val="single" w:sz="8" w:space="0" w:color="ECEDE9"/>
            </w:tcBorders>
          </w:tcPr>
          <w:p w14:paraId="69CFC2B8" w14:textId="77777777" w:rsidR="00F26703" w:rsidRDefault="00F26703" w:rsidP="00F22AE5">
            <w:r>
              <w:t>The Government should make any new appointments to the existing Reserve Bank Board</w:t>
            </w:r>
            <w:r>
              <w:rPr>
                <w:spacing w:val="-1"/>
              </w:rPr>
              <w:t xml:space="preserve"> </w:t>
            </w:r>
            <w:r>
              <w:t>before</w:t>
            </w:r>
            <w:r>
              <w:rPr>
                <w:spacing w:val="-1"/>
              </w:rPr>
              <w:t xml:space="preserve"> </w:t>
            </w:r>
            <w:r>
              <w:t>1</w:t>
            </w:r>
            <w:r>
              <w:rPr>
                <w:spacing w:val="-1"/>
              </w:rPr>
              <w:t xml:space="preserve"> </w:t>
            </w:r>
            <w:r>
              <w:t>July</w:t>
            </w:r>
            <w:r>
              <w:rPr>
                <w:spacing w:val="-1"/>
              </w:rPr>
              <w:t xml:space="preserve"> </w:t>
            </w:r>
            <w:r>
              <w:t>2024</w:t>
            </w:r>
            <w:r>
              <w:rPr>
                <w:spacing w:val="-1"/>
              </w:rPr>
              <w:t xml:space="preserve"> </w:t>
            </w:r>
            <w:r>
              <w:t>using</w:t>
            </w:r>
            <w:r>
              <w:rPr>
                <w:spacing w:val="-1"/>
              </w:rPr>
              <w:t xml:space="preserve"> </w:t>
            </w:r>
            <w:r>
              <w:t>an</w:t>
            </w:r>
            <w:r>
              <w:rPr>
                <w:spacing w:val="-1"/>
              </w:rPr>
              <w:t xml:space="preserve"> </w:t>
            </w:r>
            <w:r>
              <w:t>interim</w:t>
            </w:r>
            <w:r>
              <w:rPr>
                <w:spacing w:val="-1"/>
              </w:rPr>
              <w:t xml:space="preserve"> </w:t>
            </w:r>
            <w:r>
              <w:t>skills</w:t>
            </w:r>
            <w:r>
              <w:rPr>
                <w:spacing w:val="-1"/>
              </w:rPr>
              <w:t xml:space="preserve"> </w:t>
            </w:r>
            <w:r>
              <w:t>and</w:t>
            </w:r>
            <w:r>
              <w:rPr>
                <w:spacing w:val="-1"/>
              </w:rPr>
              <w:t xml:space="preserve"> </w:t>
            </w:r>
            <w:r>
              <w:t>experience</w:t>
            </w:r>
            <w:r>
              <w:rPr>
                <w:spacing w:val="-1"/>
              </w:rPr>
              <w:t xml:space="preserve"> </w:t>
            </w:r>
            <w:r>
              <w:t>matrix,</w:t>
            </w:r>
            <w:r>
              <w:rPr>
                <w:spacing w:val="-1"/>
              </w:rPr>
              <w:t xml:space="preserve"> </w:t>
            </w:r>
            <w:r>
              <w:t>expressions of interest, and a process managed by the Treasury Secretary, the Governor of the RBA and a third party.</w:t>
            </w:r>
          </w:p>
        </w:tc>
      </w:tr>
      <w:tr w:rsidR="00F26703" w14:paraId="66939B5D" w14:textId="77777777" w:rsidTr="00F22AE5">
        <w:trPr>
          <w:trHeight w:val="2521"/>
        </w:trPr>
        <w:tc>
          <w:tcPr>
            <w:tcW w:w="467" w:type="pct"/>
            <w:tcBorders>
              <w:top w:val="single" w:sz="8" w:space="0" w:color="ECEDE9"/>
              <w:bottom w:val="single" w:sz="8" w:space="0" w:color="ECEDE9"/>
            </w:tcBorders>
          </w:tcPr>
          <w:p w14:paraId="2F3FE1D7" w14:textId="77777777" w:rsidR="00F26703" w:rsidRDefault="00F26703" w:rsidP="00F22AE5">
            <w:r>
              <w:t>14.3</w:t>
            </w:r>
          </w:p>
        </w:tc>
        <w:tc>
          <w:tcPr>
            <w:tcW w:w="4533" w:type="pct"/>
            <w:tcBorders>
              <w:top w:val="single" w:sz="8" w:space="0" w:color="ECEDE9"/>
              <w:bottom w:val="single" w:sz="8" w:space="0" w:color="ECEDE9"/>
            </w:tcBorders>
          </w:tcPr>
          <w:p w14:paraId="40C7BD7D" w14:textId="77777777" w:rsidR="00F26703" w:rsidRDefault="00F26703" w:rsidP="00F22AE5">
            <w:r>
              <w:t>The Government should make Board appointments with a view to supporting the continuity of decision making now and in the future by:</w:t>
            </w:r>
          </w:p>
          <w:p w14:paraId="49BD29B8" w14:textId="77777777" w:rsidR="00F26703" w:rsidRDefault="00F26703" w:rsidP="0000278A">
            <w:pPr>
              <w:pStyle w:val="Bullet"/>
            </w:pPr>
            <w:r>
              <w:t>making new appointments to the existing Reserve Bank Board on the basis these members would complete their terms as members of the Monetary Policy Board</w:t>
            </w:r>
          </w:p>
          <w:p w14:paraId="78F6525B" w14:textId="77777777" w:rsidR="00F26703" w:rsidRDefault="00F26703" w:rsidP="0000278A">
            <w:pPr>
              <w:pStyle w:val="Bullet"/>
            </w:pPr>
            <w:r>
              <w:t>asking other existing Reserve Bank Board members to continue their term on one of the new Boards</w:t>
            </w:r>
          </w:p>
          <w:p w14:paraId="1CC25716" w14:textId="77777777" w:rsidR="00F26703" w:rsidRDefault="00F26703" w:rsidP="0000278A">
            <w:pPr>
              <w:pStyle w:val="Bullet"/>
            </w:pPr>
            <w:r>
              <w:t>varying the terms of appointees to the new Boards, as needed, to avoid bunching of future appointment dates.</w:t>
            </w:r>
          </w:p>
        </w:tc>
      </w:tr>
      <w:tr w:rsidR="00F26703" w14:paraId="4038C261" w14:textId="77777777" w:rsidTr="00F22AE5">
        <w:trPr>
          <w:trHeight w:val="1031"/>
        </w:trPr>
        <w:tc>
          <w:tcPr>
            <w:tcW w:w="467" w:type="pct"/>
            <w:tcBorders>
              <w:top w:val="single" w:sz="8" w:space="0" w:color="ECEDE9"/>
              <w:bottom w:val="single" w:sz="8" w:space="0" w:color="ECEDE9"/>
            </w:tcBorders>
          </w:tcPr>
          <w:p w14:paraId="47BC3DB7" w14:textId="77777777" w:rsidR="00F26703" w:rsidRDefault="00F26703" w:rsidP="00F22AE5">
            <w:r>
              <w:t>14.4</w:t>
            </w:r>
          </w:p>
        </w:tc>
        <w:tc>
          <w:tcPr>
            <w:tcW w:w="4533" w:type="pct"/>
            <w:tcBorders>
              <w:top w:val="single" w:sz="8" w:space="0" w:color="ECEDE9"/>
              <w:bottom w:val="single" w:sz="8" w:space="0" w:color="ECEDE9"/>
            </w:tcBorders>
          </w:tcPr>
          <w:p w14:paraId="1B9863C8" w14:textId="77777777" w:rsidR="00F26703" w:rsidRDefault="00F26703" w:rsidP="00F22AE5">
            <w:r>
              <w:t>The Government should consult with the Shadow Treasurer about the implementation of the recommendations of the Review, to ensure broad bipartisan support for the new arrangements.</w:t>
            </w:r>
          </w:p>
        </w:tc>
      </w:tr>
      <w:tr w:rsidR="00F26703" w14:paraId="430F9FD1" w14:textId="77777777" w:rsidTr="00F22AE5">
        <w:trPr>
          <w:trHeight w:val="1031"/>
        </w:trPr>
        <w:tc>
          <w:tcPr>
            <w:tcW w:w="467" w:type="pct"/>
            <w:tcBorders>
              <w:top w:val="single" w:sz="8" w:space="0" w:color="ECEDE9"/>
              <w:bottom w:val="single" w:sz="8" w:space="0" w:color="ECEDE9"/>
            </w:tcBorders>
          </w:tcPr>
          <w:p w14:paraId="5C85CB18" w14:textId="77777777" w:rsidR="00F26703" w:rsidRDefault="00F26703" w:rsidP="00F22AE5">
            <w:r>
              <w:t>14.5</w:t>
            </w:r>
          </w:p>
        </w:tc>
        <w:tc>
          <w:tcPr>
            <w:tcW w:w="4533" w:type="pct"/>
            <w:tcBorders>
              <w:top w:val="single" w:sz="8" w:space="0" w:color="ECEDE9"/>
              <w:bottom w:val="single" w:sz="8" w:space="0" w:color="ECEDE9"/>
            </w:tcBorders>
          </w:tcPr>
          <w:p w14:paraId="13CD38FB" w14:textId="77777777" w:rsidR="00F26703" w:rsidRDefault="00F26703" w:rsidP="00F22AE5">
            <w:r>
              <w:t xml:space="preserve">The RBA should develop an implementation roadmap to progress the Review’s recommendations that creates clear accountabilities and milestones and ensures </w:t>
            </w:r>
            <w:r>
              <w:rPr>
                <w:spacing w:val="-2"/>
              </w:rPr>
              <w:t>continuity of the RBA’s functions, taking into account the Government’s legislative plans.</w:t>
            </w:r>
          </w:p>
        </w:tc>
      </w:tr>
      <w:tr w:rsidR="00F26703" w14:paraId="4B5D96F9" w14:textId="77777777" w:rsidTr="00F22AE5">
        <w:trPr>
          <w:trHeight w:val="1031"/>
        </w:trPr>
        <w:tc>
          <w:tcPr>
            <w:tcW w:w="467" w:type="pct"/>
            <w:tcBorders>
              <w:top w:val="single" w:sz="8" w:space="0" w:color="ECEDE9"/>
              <w:bottom w:val="single" w:sz="8" w:space="0" w:color="ECEDE9"/>
            </w:tcBorders>
          </w:tcPr>
          <w:p w14:paraId="4972FC54" w14:textId="77777777" w:rsidR="00F26703" w:rsidRDefault="00F26703" w:rsidP="00F22AE5">
            <w:r>
              <w:t>14.6</w:t>
            </w:r>
          </w:p>
        </w:tc>
        <w:tc>
          <w:tcPr>
            <w:tcW w:w="4533" w:type="pct"/>
            <w:tcBorders>
              <w:top w:val="single" w:sz="8" w:space="0" w:color="ECEDE9"/>
              <w:bottom w:val="single" w:sz="8" w:space="0" w:color="ECEDE9"/>
            </w:tcBorders>
          </w:tcPr>
          <w:p w14:paraId="5B46EF77" w14:textId="77777777" w:rsidR="00F26703" w:rsidRDefault="00F26703" w:rsidP="00F22AE5">
            <w:r>
              <w:t>For</w:t>
            </w:r>
            <w:r>
              <w:rPr>
                <w:spacing w:val="-9"/>
              </w:rPr>
              <w:t xml:space="preserve"> </w:t>
            </w:r>
            <w:r>
              <w:t>recommendations</w:t>
            </w:r>
            <w:r>
              <w:rPr>
                <w:spacing w:val="-9"/>
              </w:rPr>
              <w:t xml:space="preserve"> </w:t>
            </w:r>
            <w:r>
              <w:t>that</w:t>
            </w:r>
            <w:r>
              <w:rPr>
                <w:spacing w:val="-9"/>
              </w:rPr>
              <w:t xml:space="preserve"> </w:t>
            </w:r>
            <w:r>
              <w:t>do</w:t>
            </w:r>
            <w:r>
              <w:rPr>
                <w:spacing w:val="-9"/>
              </w:rPr>
              <w:t xml:space="preserve"> </w:t>
            </w:r>
            <w:r>
              <w:t>not</w:t>
            </w:r>
            <w:r>
              <w:rPr>
                <w:spacing w:val="-9"/>
              </w:rPr>
              <w:t xml:space="preserve"> </w:t>
            </w:r>
            <w:r>
              <w:t>require</w:t>
            </w:r>
            <w:r>
              <w:rPr>
                <w:spacing w:val="-9"/>
              </w:rPr>
              <w:t xml:space="preserve"> </w:t>
            </w:r>
            <w:r>
              <w:t>legislation,</w:t>
            </w:r>
            <w:r>
              <w:rPr>
                <w:spacing w:val="-9"/>
              </w:rPr>
              <w:t xml:space="preserve"> </w:t>
            </w:r>
            <w:r>
              <w:t>the</w:t>
            </w:r>
            <w:r>
              <w:rPr>
                <w:spacing w:val="-9"/>
              </w:rPr>
              <w:t xml:space="preserve"> </w:t>
            </w:r>
            <w:r>
              <w:t>RBA</w:t>
            </w:r>
            <w:r>
              <w:rPr>
                <w:spacing w:val="-9"/>
              </w:rPr>
              <w:t xml:space="preserve"> </w:t>
            </w:r>
            <w:r>
              <w:t>should</w:t>
            </w:r>
            <w:r>
              <w:rPr>
                <w:spacing w:val="-9"/>
              </w:rPr>
              <w:t xml:space="preserve"> </w:t>
            </w:r>
            <w:r>
              <w:t>in</w:t>
            </w:r>
            <w:r>
              <w:rPr>
                <w:spacing w:val="-9"/>
              </w:rPr>
              <w:t xml:space="preserve"> </w:t>
            </w:r>
            <w:r>
              <w:t>2023</w:t>
            </w:r>
            <w:r>
              <w:rPr>
                <w:spacing w:val="-9"/>
              </w:rPr>
              <w:t xml:space="preserve"> </w:t>
            </w:r>
            <w:r>
              <w:t>prioritise implementing the recommendations that strengthen monetary policy decision making, communications and the RBA’s management, culture and operations.</w:t>
            </w:r>
          </w:p>
        </w:tc>
      </w:tr>
      <w:tr w:rsidR="00F26703" w14:paraId="01A03E87" w14:textId="77777777" w:rsidTr="00F22AE5">
        <w:trPr>
          <w:trHeight w:val="637"/>
        </w:trPr>
        <w:tc>
          <w:tcPr>
            <w:tcW w:w="467" w:type="pct"/>
            <w:tcBorders>
              <w:top w:val="single" w:sz="8" w:space="0" w:color="ECEDE9"/>
            </w:tcBorders>
          </w:tcPr>
          <w:p w14:paraId="6075BA21" w14:textId="77777777" w:rsidR="00F26703" w:rsidRDefault="00F26703" w:rsidP="00F22AE5">
            <w:r>
              <w:t>14.7</w:t>
            </w:r>
          </w:p>
        </w:tc>
        <w:tc>
          <w:tcPr>
            <w:tcW w:w="4533" w:type="pct"/>
            <w:tcBorders>
              <w:top w:val="single" w:sz="8" w:space="0" w:color="ECEDE9"/>
            </w:tcBorders>
          </w:tcPr>
          <w:p w14:paraId="1F725E81" w14:textId="77777777" w:rsidR="00F26703" w:rsidRDefault="00F26703" w:rsidP="00F22AE5">
            <w:r>
              <w:t>The</w:t>
            </w:r>
            <w:r>
              <w:rPr>
                <w:spacing w:val="-2"/>
              </w:rPr>
              <w:t xml:space="preserve"> </w:t>
            </w:r>
            <w:r>
              <w:t>Treasurer</w:t>
            </w:r>
            <w:r>
              <w:rPr>
                <w:spacing w:val="-2"/>
              </w:rPr>
              <w:t xml:space="preserve"> </w:t>
            </w:r>
            <w:r>
              <w:t>and</w:t>
            </w:r>
            <w:r>
              <w:rPr>
                <w:spacing w:val="-2"/>
              </w:rPr>
              <w:t xml:space="preserve"> </w:t>
            </w:r>
            <w:r>
              <w:t>the</w:t>
            </w:r>
            <w:r>
              <w:rPr>
                <w:spacing w:val="-2"/>
              </w:rPr>
              <w:t xml:space="preserve"> </w:t>
            </w:r>
            <w:r>
              <w:t>Reserve</w:t>
            </w:r>
            <w:r>
              <w:rPr>
                <w:spacing w:val="-2"/>
              </w:rPr>
              <w:t xml:space="preserve"> </w:t>
            </w:r>
            <w:r>
              <w:t>Bank</w:t>
            </w:r>
            <w:r>
              <w:rPr>
                <w:spacing w:val="-2"/>
              </w:rPr>
              <w:t xml:space="preserve"> </w:t>
            </w:r>
            <w:r>
              <w:t>Board</w:t>
            </w:r>
            <w:r>
              <w:rPr>
                <w:spacing w:val="-2"/>
              </w:rPr>
              <w:t xml:space="preserve"> </w:t>
            </w:r>
            <w:r>
              <w:t>should</w:t>
            </w:r>
            <w:r>
              <w:rPr>
                <w:spacing w:val="-2"/>
              </w:rPr>
              <w:t xml:space="preserve"> </w:t>
            </w:r>
            <w:r>
              <w:t>agree</w:t>
            </w:r>
            <w:r>
              <w:rPr>
                <w:spacing w:val="-2"/>
              </w:rPr>
              <w:t xml:space="preserve"> </w:t>
            </w:r>
            <w:r>
              <w:t>an</w:t>
            </w:r>
            <w:r>
              <w:rPr>
                <w:spacing w:val="-2"/>
              </w:rPr>
              <w:t xml:space="preserve"> </w:t>
            </w:r>
            <w:r>
              <w:t>updated</w:t>
            </w:r>
            <w:r>
              <w:rPr>
                <w:spacing w:val="-3"/>
              </w:rPr>
              <w:t xml:space="preserve"> </w:t>
            </w:r>
            <w:r>
              <w:rPr>
                <w:i/>
              </w:rPr>
              <w:t>Statement</w:t>
            </w:r>
            <w:r>
              <w:rPr>
                <w:i/>
                <w:spacing w:val="-2"/>
              </w:rPr>
              <w:t xml:space="preserve"> </w:t>
            </w:r>
            <w:r>
              <w:rPr>
                <w:i/>
              </w:rPr>
              <w:t xml:space="preserve">on the Conduct of Monetary Policy </w:t>
            </w:r>
            <w:r>
              <w:t>by the end of 2023.</w:t>
            </w:r>
          </w:p>
        </w:tc>
      </w:tr>
    </w:tbl>
    <w:p w14:paraId="4A123700" w14:textId="3A1558FD" w:rsidR="000F518F" w:rsidRDefault="000F518F" w:rsidP="00F26703">
      <w:pPr>
        <w:tabs>
          <w:tab w:val="left" w:pos="1809"/>
        </w:tabs>
      </w:pPr>
    </w:p>
    <w:p w14:paraId="6003BF0B" w14:textId="77777777" w:rsidR="000F518F" w:rsidRDefault="000F518F">
      <w:pPr>
        <w:spacing w:before="0" w:after="160" w:line="259" w:lineRule="auto"/>
      </w:pPr>
      <w:r>
        <w:br w:type="page"/>
      </w:r>
    </w:p>
    <w:p w14:paraId="18D1163E" w14:textId="77777777" w:rsidR="000F518F" w:rsidRDefault="000F518F" w:rsidP="000F518F">
      <w:pPr>
        <w:pStyle w:val="Heading3"/>
      </w:pPr>
      <w:r>
        <w:lastRenderedPageBreak/>
        <w:t>Legislation</w:t>
      </w:r>
      <w:r>
        <w:rPr>
          <w:spacing w:val="-6"/>
        </w:rPr>
        <w:t xml:space="preserve"> </w:t>
      </w:r>
      <w:r>
        <w:t>changes</w:t>
      </w:r>
      <w:r>
        <w:rPr>
          <w:spacing w:val="-6"/>
        </w:rPr>
        <w:t xml:space="preserve"> </w:t>
      </w:r>
      <w:r>
        <w:t>to</w:t>
      </w:r>
      <w:r>
        <w:rPr>
          <w:spacing w:val="-6"/>
        </w:rPr>
        <w:t xml:space="preserve"> </w:t>
      </w:r>
      <w:r>
        <w:t>commence</w:t>
      </w:r>
      <w:r>
        <w:rPr>
          <w:spacing w:val="-6"/>
        </w:rPr>
        <w:t xml:space="preserve"> </w:t>
      </w:r>
      <w:r>
        <w:t>on</w:t>
      </w:r>
      <w:r>
        <w:rPr>
          <w:spacing w:val="-6"/>
        </w:rPr>
        <w:t xml:space="preserve"> </w:t>
      </w:r>
      <w:r>
        <w:t>1</w:t>
      </w:r>
      <w:r>
        <w:rPr>
          <w:spacing w:val="-6"/>
        </w:rPr>
        <w:t xml:space="preserve"> </w:t>
      </w:r>
      <w:r>
        <w:t>July</w:t>
      </w:r>
      <w:r>
        <w:rPr>
          <w:spacing w:val="-6"/>
        </w:rPr>
        <w:t xml:space="preserve"> </w:t>
      </w:r>
      <w:r>
        <w:t>2024</w:t>
      </w:r>
      <w:r>
        <w:rPr>
          <w:spacing w:val="-6"/>
        </w:rPr>
        <w:t xml:space="preserve"> </w:t>
      </w:r>
      <w:r>
        <w:t>or</w:t>
      </w:r>
      <w:r>
        <w:rPr>
          <w:spacing w:val="-6"/>
        </w:rPr>
        <w:t xml:space="preserve"> </w:t>
      </w:r>
      <w:r>
        <w:rPr>
          <w:spacing w:val="-2"/>
        </w:rPr>
        <w:t>later</w:t>
      </w:r>
    </w:p>
    <w:p w14:paraId="284F10E8" w14:textId="77777777" w:rsidR="000F518F" w:rsidRDefault="000F518F" w:rsidP="000F518F">
      <w:r>
        <w:t>Fully implementing the Review requires changes to the legislative framework. Recommendations 1, 5, 8 and 12 all call for changes to the RBA Act and the Banking Act.</w:t>
      </w:r>
    </w:p>
    <w:p w14:paraId="20C3902D" w14:textId="2E52856B" w:rsidR="000F518F" w:rsidRDefault="000F518F" w:rsidP="000F518F">
      <w:r>
        <w:t>The Review recommends legislating the changes to commence on 1 July 2024 or as soon as practicable after that</w:t>
      </w:r>
      <w:r w:rsidR="0068598E">
        <w:rPr>
          <w:spacing w:val="-23"/>
        </w:rPr>
        <w:t>.</w:t>
      </w:r>
      <w:r>
        <w:rPr>
          <w:w w:val="85"/>
        </w:rPr>
        <w:t xml:space="preserve"> </w:t>
      </w:r>
      <w:r>
        <w:t>This would allow time for the Government to develop and consult on Bills to put to Parliament and for Parliament to consider these Bills. If the legislative process were to take</w:t>
      </w:r>
      <w:r>
        <w:rPr>
          <w:spacing w:val="-2"/>
        </w:rPr>
        <w:t xml:space="preserve"> </w:t>
      </w:r>
      <w:r>
        <w:t>longer,</w:t>
      </w:r>
      <w:r>
        <w:rPr>
          <w:spacing w:val="-2"/>
        </w:rPr>
        <w:t xml:space="preserve"> </w:t>
      </w:r>
      <w:r>
        <w:t>the</w:t>
      </w:r>
      <w:r>
        <w:rPr>
          <w:spacing w:val="-2"/>
        </w:rPr>
        <w:t xml:space="preserve"> </w:t>
      </w:r>
      <w:r>
        <w:t>commencement</w:t>
      </w:r>
      <w:r>
        <w:rPr>
          <w:spacing w:val="-2"/>
        </w:rPr>
        <w:t xml:space="preserve"> </w:t>
      </w:r>
      <w:r>
        <w:t>date</w:t>
      </w:r>
      <w:r>
        <w:rPr>
          <w:spacing w:val="-2"/>
        </w:rPr>
        <w:t xml:space="preserve"> </w:t>
      </w:r>
      <w:r>
        <w:t>should</w:t>
      </w:r>
      <w:r>
        <w:rPr>
          <w:spacing w:val="-2"/>
        </w:rPr>
        <w:t xml:space="preserve"> </w:t>
      </w:r>
      <w:r>
        <w:t>also</w:t>
      </w:r>
      <w:r>
        <w:rPr>
          <w:spacing w:val="-2"/>
        </w:rPr>
        <w:t xml:space="preserve"> </w:t>
      </w:r>
      <w:r>
        <w:t>be</w:t>
      </w:r>
      <w:r>
        <w:rPr>
          <w:spacing w:val="-2"/>
        </w:rPr>
        <w:t xml:space="preserve"> </w:t>
      </w:r>
      <w:r>
        <w:t>delayed</w:t>
      </w:r>
      <w:r>
        <w:rPr>
          <w:spacing w:val="-2"/>
        </w:rPr>
        <w:t xml:space="preserve"> </w:t>
      </w:r>
      <w:r>
        <w:t>to</w:t>
      </w:r>
      <w:r>
        <w:rPr>
          <w:spacing w:val="-2"/>
        </w:rPr>
        <w:t xml:space="preserve"> </w:t>
      </w:r>
      <w:r>
        <w:t>ensure</w:t>
      </w:r>
      <w:r>
        <w:rPr>
          <w:spacing w:val="-2"/>
        </w:rPr>
        <w:t xml:space="preserve"> </w:t>
      </w:r>
      <w:r>
        <w:t>smooth</w:t>
      </w:r>
      <w:r>
        <w:rPr>
          <w:spacing w:val="-2"/>
        </w:rPr>
        <w:t xml:space="preserve"> </w:t>
      </w:r>
      <w:r>
        <w:t xml:space="preserve">implementation and continuity of decision making. A commencement date of 1 July 2024 or later would allow </w:t>
      </w:r>
      <w:r>
        <w:rPr>
          <w:color w:val="231F20"/>
        </w:rPr>
        <w:t>for</w:t>
      </w:r>
      <w:r>
        <w:rPr>
          <w:color w:val="231F20"/>
          <w:spacing w:val="-2"/>
        </w:rPr>
        <w:t xml:space="preserve"> </w:t>
      </w:r>
      <w:r>
        <w:rPr>
          <w:color w:val="231F20"/>
        </w:rPr>
        <w:t xml:space="preserve">the transition arrangements for the changes to the composition of the RBA’s Boards, </w:t>
      </w:r>
      <w:r>
        <w:rPr>
          <w:color w:val="231F20"/>
          <w:spacing w:val="-2"/>
        </w:rPr>
        <w:t xml:space="preserve">under </w:t>
      </w:r>
      <w:r>
        <w:rPr>
          <w:color w:val="231F20"/>
        </w:rPr>
        <w:t>Recommendations</w:t>
      </w:r>
      <w:r>
        <w:rPr>
          <w:color w:val="231F20"/>
          <w:spacing w:val="-1"/>
        </w:rPr>
        <w:t xml:space="preserve"> </w:t>
      </w:r>
      <w:r>
        <w:rPr>
          <w:color w:val="231F20"/>
        </w:rPr>
        <w:t>8</w:t>
      </w:r>
      <w:r>
        <w:rPr>
          <w:color w:val="231F20"/>
          <w:spacing w:val="-1"/>
        </w:rPr>
        <w:t xml:space="preserve"> </w:t>
      </w:r>
      <w:r>
        <w:rPr>
          <w:color w:val="231F20"/>
        </w:rPr>
        <w:t>and </w:t>
      </w:r>
      <w:r>
        <w:rPr>
          <w:color w:val="231F20"/>
          <w:spacing w:val="-5"/>
        </w:rPr>
        <w:t>12.</w:t>
      </w:r>
    </w:p>
    <w:p w14:paraId="5F010BC5" w14:textId="77777777" w:rsidR="000F518F" w:rsidRDefault="000F518F" w:rsidP="000F518F">
      <w:pPr>
        <w:pStyle w:val="Heading3"/>
      </w:pPr>
      <w:r>
        <w:t>Transitioning</w:t>
      </w:r>
      <w:r>
        <w:rPr>
          <w:spacing w:val="-14"/>
        </w:rPr>
        <w:t xml:space="preserve"> </w:t>
      </w:r>
      <w:r>
        <w:t>appointments</w:t>
      </w:r>
      <w:r>
        <w:rPr>
          <w:spacing w:val="-13"/>
        </w:rPr>
        <w:t xml:space="preserve"> </w:t>
      </w:r>
      <w:r>
        <w:t>for</w:t>
      </w:r>
      <w:r>
        <w:rPr>
          <w:spacing w:val="-14"/>
        </w:rPr>
        <w:t xml:space="preserve"> </w:t>
      </w:r>
      <w:r>
        <w:t>the</w:t>
      </w:r>
      <w:r>
        <w:rPr>
          <w:spacing w:val="-13"/>
        </w:rPr>
        <w:t xml:space="preserve"> </w:t>
      </w:r>
      <w:r>
        <w:t>new</w:t>
      </w:r>
      <w:r>
        <w:rPr>
          <w:spacing w:val="-13"/>
        </w:rPr>
        <w:t xml:space="preserve"> </w:t>
      </w:r>
      <w:r>
        <w:rPr>
          <w:spacing w:val="-2"/>
        </w:rPr>
        <w:t>Boards</w:t>
      </w:r>
    </w:p>
    <w:p w14:paraId="59909F27" w14:textId="5AD2D70A" w:rsidR="000F518F" w:rsidRDefault="000F518F" w:rsidP="00575128">
      <w:r>
        <w:t>Board</w:t>
      </w:r>
      <w:r>
        <w:rPr>
          <w:spacing w:val="-1"/>
        </w:rPr>
        <w:t xml:space="preserve"> </w:t>
      </w:r>
      <w:r>
        <w:t>appointments</w:t>
      </w:r>
      <w:r>
        <w:rPr>
          <w:spacing w:val="1"/>
        </w:rPr>
        <w:t xml:space="preserve"> </w:t>
      </w:r>
      <w:r>
        <w:t>made</w:t>
      </w:r>
      <w:r>
        <w:rPr>
          <w:spacing w:val="1"/>
        </w:rPr>
        <w:t xml:space="preserve"> </w:t>
      </w:r>
      <w:r>
        <w:t>between</w:t>
      </w:r>
      <w:r>
        <w:rPr>
          <w:spacing w:val="1"/>
        </w:rPr>
        <w:t xml:space="preserve"> </w:t>
      </w:r>
      <w:r>
        <w:t>now</w:t>
      </w:r>
      <w:r>
        <w:rPr>
          <w:spacing w:val="1"/>
        </w:rPr>
        <w:t xml:space="preserve"> </w:t>
      </w:r>
      <w:r>
        <w:t>and</w:t>
      </w:r>
      <w:r>
        <w:rPr>
          <w:spacing w:val="1"/>
        </w:rPr>
        <w:t xml:space="preserve"> </w:t>
      </w:r>
      <w:r>
        <w:t>1</w:t>
      </w:r>
      <w:r>
        <w:rPr>
          <w:spacing w:val="2"/>
        </w:rPr>
        <w:t xml:space="preserve"> </w:t>
      </w:r>
      <w:r>
        <w:t>July</w:t>
      </w:r>
      <w:r>
        <w:rPr>
          <w:spacing w:val="1"/>
        </w:rPr>
        <w:t xml:space="preserve"> </w:t>
      </w:r>
      <w:r>
        <w:t>2024,</w:t>
      </w:r>
      <w:r>
        <w:rPr>
          <w:spacing w:val="1"/>
        </w:rPr>
        <w:t xml:space="preserve"> </w:t>
      </w:r>
      <w:r>
        <w:t>and</w:t>
      </w:r>
      <w:r>
        <w:rPr>
          <w:spacing w:val="1"/>
        </w:rPr>
        <w:t xml:space="preserve"> </w:t>
      </w:r>
      <w:r>
        <w:t>the</w:t>
      </w:r>
      <w:r>
        <w:rPr>
          <w:spacing w:val="1"/>
        </w:rPr>
        <w:t xml:space="preserve"> </w:t>
      </w:r>
      <w:r>
        <w:t>initial</w:t>
      </w:r>
      <w:r>
        <w:rPr>
          <w:spacing w:val="1"/>
        </w:rPr>
        <w:t xml:space="preserve"> </w:t>
      </w:r>
      <w:r>
        <w:t>constitution</w:t>
      </w:r>
      <w:r>
        <w:rPr>
          <w:spacing w:val="1"/>
        </w:rPr>
        <w:t xml:space="preserve"> </w:t>
      </w:r>
      <w:r>
        <w:t>of</w:t>
      </w:r>
      <w:r>
        <w:rPr>
          <w:spacing w:val="2"/>
        </w:rPr>
        <w:t xml:space="preserve"> </w:t>
      </w:r>
      <w:r>
        <w:rPr>
          <w:spacing w:val="-5"/>
        </w:rPr>
        <w:t>the</w:t>
      </w:r>
      <w:r w:rsidR="00575128">
        <w:rPr>
          <w:spacing w:val="-5"/>
        </w:rPr>
        <w:t xml:space="preserve"> </w:t>
      </w:r>
      <w:r>
        <w:t>Boards from 1 July 2024, should be managed to provide some continuity of membership between the Boards, a staggering in the terms of appointment for Board members and bipartisan support</w:t>
      </w:r>
      <w:r>
        <w:rPr>
          <w:spacing w:val="40"/>
        </w:rPr>
        <w:t xml:space="preserve"> </w:t>
      </w:r>
      <w:r>
        <w:t>for the newly constituted Boards.</w:t>
      </w:r>
    </w:p>
    <w:p w14:paraId="1C368964" w14:textId="427B9251" w:rsidR="000F518F" w:rsidRDefault="000F518F" w:rsidP="00575128">
      <w:r>
        <w:t>Some appointment or reappointment decisions will need to be made before 1 July 2024, due to the appointment expiry dates for some current Board members. Further, a range of new appointments will need to be made for the new arrangements to commence from 1 July 2024. The proposed Monetary Policy Board and Governance Board increase the number of external Board members from 6 on the current Board to 11 across the 2 Boards</w:t>
      </w:r>
      <w:r w:rsidR="0068598E">
        <w:rPr>
          <w:spacing w:val="-19"/>
        </w:rPr>
        <w:t>.</w:t>
      </w:r>
    </w:p>
    <w:p w14:paraId="73417C38" w14:textId="77777777" w:rsidR="000F518F" w:rsidRDefault="000F518F" w:rsidP="00575128">
      <w:r>
        <w:t>The Review recommends making any new appointments to the existing Reserve Bank Board before 1 July 2024 using an interim approach similar to the one proposed at Recommendations 8 and 12. The process should commence by seeking expressions of interest and publishing the skills and experience matrix that will guide selection, with the candidate identification process augmented by direct approaches to other qualified people who meet the criteria. The process should be managed by the Secretary to the Treasury, the Governor of the RBA and a third party who recommend options for suitable candidates to the Treasurer, based on the expressions of interest and other qualified people who meet the criteria.</w:t>
      </w:r>
    </w:p>
    <w:p w14:paraId="324767B5" w14:textId="77777777" w:rsidR="000F518F" w:rsidRDefault="000F518F" w:rsidP="00575128">
      <w:r>
        <w:t>Initial terms of appointment on the new Boards should be staggered so that there is a pipeline</w:t>
      </w:r>
      <w:r>
        <w:rPr>
          <w:spacing w:val="80"/>
        </w:rPr>
        <w:t xml:space="preserve"> </w:t>
      </w:r>
      <w:r>
        <w:t>of regular term expirations, with one or two expiring around the middle of each year. This would promote continuity and the regular refresh of the Boards. There are several ways to achieve this.</w:t>
      </w:r>
    </w:p>
    <w:p w14:paraId="78624BDD" w14:textId="77777777" w:rsidR="000F518F" w:rsidRDefault="000F518F" w:rsidP="0000278A">
      <w:pPr>
        <w:pStyle w:val="Bullet"/>
      </w:pPr>
      <w:r>
        <w:t>New appointments made before 1 July 2024 should be on the basis that new Board members would</w:t>
      </w:r>
      <w:r>
        <w:rPr>
          <w:spacing w:val="-5"/>
        </w:rPr>
        <w:t xml:space="preserve"> </w:t>
      </w:r>
      <w:r>
        <w:t>complete</w:t>
      </w:r>
      <w:r>
        <w:rPr>
          <w:spacing w:val="-5"/>
        </w:rPr>
        <w:t xml:space="preserve"> </w:t>
      </w:r>
      <w:r>
        <w:t>their</w:t>
      </w:r>
      <w:r>
        <w:rPr>
          <w:spacing w:val="-5"/>
        </w:rPr>
        <w:t xml:space="preserve"> </w:t>
      </w:r>
      <w:r>
        <w:t>terms</w:t>
      </w:r>
      <w:r>
        <w:rPr>
          <w:spacing w:val="-5"/>
        </w:rPr>
        <w:t xml:space="preserve"> </w:t>
      </w:r>
      <w:r>
        <w:t>as</w:t>
      </w:r>
      <w:r>
        <w:rPr>
          <w:spacing w:val="-5"/>
        </w:rPr>
        <w:t xml:space="preserve"> </w:t>
      </w:r>
      <w:r>
        <w:t>members</w:t>
      </w:r>
      <w:r>
        <w:rPr>
          <w:spacing w:val="-5"/>
        </w:rPr>
        <w:t xml:space="preserve"> </w:t>
      </w:r>
      <w:r>
        <w:t>of</w:t>
      </w:r>
      <w:r>
        <w:rPr>
          <w:spacing w:val="-5"/>
        </w:rPr>
        <w:t xml:space="preserve"> </w:t>
      </w:r>
      <w:r>
        <w:t>the</w:t>
      </w:r>
      <w:r>
        <w:rPr>
          <w:spacing w:val="-5"/>
        </w:rPr>
        <w:t xml:space="preserve"> </w:t>
      </w:r>
      <w:r>
        <w:t>Monetary</w:t>
      </w:r>
      <w:r>
        <w:rPr>
          <w:spacing w:val="-5"/>
        </w:rPr>
        <w:t xml:space="preserve"> </w:t>
      </w:r>
      <w:r>
        <w:t>Policy</w:t>
      </w:r>
      <w:r>
        <w:rPr>
          <w:spacing w:val="-5"/>
        </w:rPr>
        <w:t xml:space="preserve"> </w:t>
      </w:r>
      <w:r>
        <w:t>Board</w:t>
      </w:r>
      <w:r>
        <w:rPr>
          <w:spacing w:val="-5"/>
        </w:rPr>
        <w:t xml:space="preserve"> </w:t>
      </w:r>
      <w:r>
        <w:t>when</w:t>
      </w:r>
      <w:r>
        <w:rPr>
          <w:spacing w:val="-5"/>
        </w:rPr>
        <w:t xml:space="preserve"> </w:t>
      </w:r>
      <w:r>
        <w:t>it</w:t>
      </w:r>
      <w:r>
        <w:rPr>
          <w:spacing w:val="-5"/>
        </w:rPr>
        <w:t xml:space="preserve"> </w:t>
      </w:r>
      <w:r>
        <w:t>comes</w:t>
      </w:r>
      <w:r>
        <w:rPr>
          <w:spacing w:val="-5"/>
        </w:rPr>
        <w:t xml:space="preserve"> </w:t>
      </w:r>
      <w:r>
        <w:t>into</w:t>
      </w:r>
      <w:r>
        <w:rPr>
          <w:spacing w:val="-5"/>
        </w:rPr>
        <w:t xml:space="preserve"> </w:t>
      </w:r>
      <w:r>
        <w:t>being.</w:t>
      </w:r>
    </w:p>
    <w:p w14:paraId="5DFD404C" w14:textId="05BC1F8A" w:rsidR="000F518F" w:rsidRPr="00575128" w:rsidRDefault="000F518F" w:rsidP="0000278A">
      <w:pPr>
        <w:pStyle w:val="Bullet"/>
      </w:pPr>
      <w:r>
        <w:t>Existing</w:t>
      </w:r>
      <w:r>
        <w:rPr>
          <w:spacing w:val="-1"/>
        </w:rPr>
        <w:t xml:space="preserve"> </w:t>
      </w:r>
      <w:r>
        <w:t>Board members should be asked to consider appointment</w:t>
      </w:r>
      <w:r>
        <w:rPr>
          <w:spacing w:val="-1"/>
        </w:rPr>
        <w:t xml:space="preserve"> </w:t>
      </w:r>
      <w:r>
        <w:t xml:space="preserve">in a role on one of the </w:t>
      </w:r>
      <w:r>
        <w:rPr>
          <w:spacing w:val="-5"/>
        </w:rPr>
        <w:t>new</w:t>
      </w:r>
      <w:r w:rsidR="00575128">
        <w:rPr>
          <w:spacing w:val="-5"/>
        </w:rPr>
        <w:t xml:space="preserve"> </w:t>
      </w:r>
      <w:r w:rsidRPr="00575128">
        <w:t>Boards,</w:t>
      </w:r>
      <w:r w:rsidRPr="00575128">
        <w:rPr>
          <w:spacing w:val="-1"/>
        </w:rPr>
        <w:t xml:space="preserve"> </w:t>
      </w:r>
      <w:r w:rsidRPr="00575128">
        <w:t>for the</w:t>
      </w:r>
      <w:r w:rsidRPr="00575128">
        <w:rPr>
          <w:spacing w:val="-1"/>
        </w:rPr>
        <w:t xml:space="preserve"> </w:t>
      </w:r>
      <w:r w:rsidRPr="00575128">
        <w:t>remainder of</w:t>
      </w:r>
      <w:r w:rsidRPr="00575128">
        <w:rPr>
          <w:spacing w:val="-1"/>
        </w:rPr>
        <w:t xml:space="preserve"> </w:t>
      </w:r>
      <w:r w:rsidRPr="00575128">
        <w:t>their terms</w:t>
      </w:r>
      <w:r w:rsidR="0068598E">
        <w:rPr>
          <w:spacing w:val="-24"/>
        </w:rPr>
        <w:t>.</w:t>
      </w:r>
    </w:p>
    <w:p w14:paraId="7C328B42" w14:textId="57988FBB" w:rsidR="00F26703" w:rsidRDefault="000F518F" w:rsidP="0000278A">
      <w:pPr>
        <w:pStyle w:val="Bullet"/>
      </w:pPr>
      <w:r>
        <w:t>Consideration should also be given to varying the length of terms for appointees to the Monetary Policy Board and Governance Board, both when the new Boards are created and if required in the future (for example, to fill an unexpected vacancy).</w:t>
      </w:r>
    </w:p>
    <w:p w14:paraId="277C8C8C" w14:textId="77777777" w:rsidR="003A476B" w:rsidRDefault="003A476B" w:rsidP="0003532C">
      <w:pPr>
        <w:pStyle w:val="Heading4"/>
      </w:pPr>
      <w:r>
        <w:t>A</w:t>
      </w:r>
      <w:r>
        <w:rPr>
          <w:spacing w:val="-13"/>
        </w:rPr>
        <w:t xml:space="preserve"> </w:t>
      </w:r>
      <w:r>
        <w:t>consultative</w:t>
      </w:r>
      <w:r>
        <w:rPr>
          <w:spacing w:val="-13"/>
        </w:rPr>
        <w:t xml:space="preserve"> </w:t>
      </w:r>
      <w:r>
        <w:t>implementation</w:t>
      </w:r>
      <w:r>
        <w:rPr>
          <w:spacing w:val="-12"/>
        </w:rPr>
        <w:t xml:space="preserve"> </w:t>
      </w:r>
      <w:r>
        <w:rPr>
          <w:spacing w:val="-2"/>
        </w:rPr>
        <w:t>process</w:t>
      </w:r>
    </w:p>
    <w:p w14:paraId="7028ABD3" w14:textId="7219059F" w:rsidR="003A476B" w:rsidRDefault="003A476B" w:rsidP="005C6277">
      <w:r>
        <w:t>Broad</w:t>
      </w:r>
      <w:r>
        <w:rPr>
          <w:spacing w:val="-3"/>
        </w:rPr>
        <w:t xml:space="preserve"> </w:t>
      </w:r>
      <w:r>
        <w:t>bipartisan</w:t>
      </w:r>
      <w:r>
        <w:rPr>
          <w:spacing w:val="-3"/>
        </w:rPr>
        <w:t xml:space="preserve"> </w:t>
      </w:r>
      <w:r>
        <w:t>support</w:t>
      </w:r>
      <w:r>
        <w:rPr>
          <w:spacing w:val="-3"/>
        </w:rPr>
        <w:t xml:space="preserve"> </w:t>
      </w:r>
      <w:r>
        <w:t>is</w:t>
      </w:r>
      <w:r>
        <w:rPr>
          <w:spacing w:val="-3"/>
        </w:rPr>
        <w:t xml:space="preserve"> </w:t>
      </w:r>
      <w:r>
        <w:t>one</w:t>
      </w:r>
      <w:r>
        <w:rPr>
          <w:spacing w:val="-3"/>
        </w:rPr>
        <w:t xml:space="preserve"> </w:t>
      </w:r>
      <w:r>
        <w:t>contributor</w:t>
      </w:r>
      <w:r>
        <w:rPr>
          <w:spacing w:val="-3"/>
        </w:rPr>
        <w:t xml:space="preserve"> </w:t>
      </w:r>
      <w:r>
        <w:t>to</w:t>
      </w:r>
      <w:r>
        <w:rPr>
          <w:spacing w:val="-3"/>
        </w:rPr>
        <w:t xml:space="preserve"> </w:t>
      </w:r>
      <w:r>
        <w:t>the</w:t>
      </w:r>
      <w:r>
        <w:rPr>
          <w:spacing w:val="-3"/>
        </w:rPr>
        <w:t xml:space="preserve"> </w:t>
      </w:r>
      <w:r>
        <w:t>strength</w:t>
      </w:r>
      <w:r>
        <w:rPr>
          <w:spacing w:val="-3"/>
        </w:rPr>
        <w:t xml:space="preserve"> </w:t>
      </w:r>
      <w:r>
        <w:t>and</w:t>
      </w:r>
      <w:r>
        <w:rPr>
          <w:spacing w:val="-3"/>
        </w:rPr>
        <w:t xml:space="preserve"> </w:t>
      </w:r>
      <w:r>
        <w:t>credibility</w:t>
      </w:r>
      <w:r>
        <w:rPr>
          <w:spacing w:val="-3"/>
        </w:rPr>
        <w:t xml:space="preserve"> </w:t>
      </w:r>
      <w:r>
        <w:t>of</w:t>
      </w:r>
      <w:r>
        <w:rPr>
          <w:spacing w:val="-3"/>
        </w:rPr>
        <w:t xml:space="preserve"> </w:t>
      </w:r>
      <w:r>
        <w:t>the</w:t>
      </w:r>
      <w:r>
        <w:rPr>
          <w:spacing w:val="-3"/>
        </w:rPr>
        <w:t xml:space="preserve"> </w:t>
      </w:r>
      <w:r>
        <w:t>RBA</w:t>
      </w:r>
      <w:r>
        <w:rPr>
          <w:spacing w:val="-3"/>
        </w:rPr>
        <w:t xml:space="preserve"> </w:t>
      </w:r>
      <w:r>
        <w:t>and</w:t>
      </w:r>
      <w:r>
        <w:rPr>
          <w:spacing w:val="-3"/>
        </w:rPr>
        <w:t xml:space="preserve"> </w:t>
      </w:r>
      <w:r>
        <w:t>monetary policy. The Government should consult the Shadow Treasurer about the implementation of the recommendations of this Review, to ensure broad bipartisan support for the new arrangements</w:t>
      </w:r>
      <w:r w:rsidR="0068598E">
        <w:rPr>
          <w:spacing w:val="-20"/>
        </w:rPr>
        <w:t>.</w:t>
      </w:r>
    </w:p>
    <w:p w14:paraId="44E78D99" w14:textId="77777777" w:rsidR="003A476B" w:rsidRDefault="003A476B" w:rsidP="00FD0B69">
      <w:pPr>
        <w:pStyle w:val="Heading3"/>
      </w:pPr>
      <w:r>
        <w:lastRenderedPageBreak/>
        <w:t>The</w:t>
      </w:r>
      <w:r w:rsidRPr="00FD0B69">
        <w:t xml:space="preserve"> </w:t>
      </w:r>
      <w:r>
        <w:t>RBA</w:t>
      </w:r>
      <w:r w:rsidRPr="00FD0B69">
        <w:t xml:space="preserve"> </w:t>
      </w:r>
      <w:r>
        <w:t>should</w:t>
      </w:r>
      <w:r w:rsidRPr="00FD0B69">
        <w:t xml:space="preserve"> </w:t>
      </w:r>
      <w:r>
        <w:t>develop</w:t>
      </w:r>
      <w:r w:rsidRPr="00FD0B69">
        <w:t xml:space="preserve"> </w:t>
      </w:r>
      <w:r>
        <w:t>an</w:t>
      </w:r>
      <w:r w:rsidRPr="00FD0B69">
        <w:t xml:space="preserve"> </w:t>
      </w:r>
      <w:r>
        <w:t>implementation</w:t>
      </w:r>
      <w:r w:rsidRPr="00FD0B69">
        <w:t xml:space="preserve"> roadmap</w:t>
      </w:r>
    </w:p>
    <w:p w14:paraId="25236D28" w14:textId="77777777" w:rsidR="00077984" w:rsidRDefault="003A476B" w:rsidP="005C6277">
      <w:r>
        <w:t>The</w:t>
      </w:r>
      <w:r>
        <w:rPr>
          <w:spacing w:val="-11"/>
        </w:rPr>
        <w:t xml:space="preserve"> </w:t>
      </w:r>
      <w:r>
        <w:t>Review’s</w:t>
      </w:r>
      <w:r>
        <w:rPr>
          <w:spacing w:val="-11"/>
        </w:rPr>
        <w:t xml:space="preserve"> </w:t>
      </w:r>
      <w:r>
        <w:t>recommendations</w:t>
      </w:r>
      <w:r>
        <w:rPr>
          <w:spacing w:val="-11"/>
        </w:rPr>
        <w:t xml:space="preserve"> </w:t>
      </w:r>
      <w:r>
        <w:t>represent</w:t>
      </w:r>
      <w:r>
        <w:rPr>
          <w:spacing w:val="-11"/>
        </w:rPr>
        <w:t xml:space="preserve"> </w:t>
      </w:r>
      <w:r>
        <w:t>significant</w:t>
      </w:r>
      <w:r>
        <w:rPr>
          <w:spacing w:val="-11"/>
        </w:rPr>
        <w:t xml:space="preserve"> </w:t>
      </w:r>
      <w:r>
        <w:t>transformation</w:t>
      </w:r>
      <w:r>
        <w:rPr>
          <w:spacing w:val="-11"/>
        </w:rPr>
        <w:t xml:space="preserve"> </w:t>
      </w:r>
      <w:r>
        <w:t>across</w:t>
      </w:r>
      <w:r>
        <w:rPr>
          <w:spacing w:val="-11"/>
        </w:rPr>
        <w:t xml:space="preserve"> </w:t>
      </w:r>
      <w:r>
        <w:t>many</w:t>
      </w:r>
      <w:r>
        <w:rPr>
          <w:spacing w:val="-11"/>
        </w:rPr>
        <w:t xml:space="preserve"> </w:t>
      </w:r>
      <w:r>
        <w:t>aspects</w:t>
      </w:r>
      <w:r>
        <w:rPr>
          <w:spacing w:val="-11"/>
        </w:rPr>
        <w:t xml:space="preserve"> </w:t>
      </w:r>
      <w:r>
        <w:t>of</w:t>
      </w:r>
      <w:r>
        <w:rPr>
          <w:spacing w:val="-11"/>
        </w:rPr>
        <w:t xml:space="preserve"> </w:t>
      </w:r>
      <w:r>
        <w:t>the</w:t>
      </w:r>
      <w:r>
        <w:rPr>
          <w:spacing w:val="-11"/>
        </w:rPr>
        <w:t xml:space="preserve"> </w:t>
      </w:r>
      <w:r>
        <w:t>RBA.</w:t>
      </w:r>
    </w:p>
    <w:p w14:paraId="42CA5202" w14:textId="09A8A089" w:rsidR="003A476B" w:rsidRDefault="003A476B" w:rsidP="005C6277">
      <w:r>
        <w:t>As change is implemented, the RBA will concurrently need to ensure continuity of its functions.</w:t>
      </w:r>
      <w:r w:rsidR="005C6277">
        <w:t xml:space="preserve"> </w:t>
      </w:r>
      <w:r>
        <w:t>To</w:t>
      </w:r>
      <w:r>
        <w:rPr>
          <w:spacing w:val="-2"/>
        </w:rPr>
        <w:t xml:space="preserve"> </w:t>
      </w:r>
      <w:r>
        <w:t>help</w:t>
      </w:r>
      <w:r>
        <w:rPr>
          <w:spacing w:val="1"/>
        </w:rPr>
        <w:t xml:space="preserve"> </w:t>
      </w:r>
      <w:r>
        <w:t>manage these</w:t>
      </w:r>
      <w:r>
        <w:rPr>
          <w:spacing w:val="1"/>
        </w:rPr>
        <w:t xml:space="preserve"> </w:t>
      </w:r>
      <w:r>
        <w:t>risks and</w:t>
      </w:r>
      <w:r>
        <w:rPr>
          <w:spacing w:val="1"/>
        </w:rPr>
        <w:t xml:space="preserve"> </w:t>
      </w:r>
      <w:r>
        <w:t>support implementation,</w:t>
      </w:r>
      <w:r>
        <w:rPr>
          <w:spacing w:val="1"/>
        </w:rPr>
        <w:t xml:space="preserve"> </w:t>
      </w:r>
      <w:r>
        <w:t>the RBA</w:t>
      </w:r>
      <w:r>
        <w:rPr>
          <w:spacing w:val="1"/>
        </w:rPr>
        <w:t xml:space="preserve"> </w:t>
      </w:r>
      <w:r>
        <w:t>should consider</w:t>
      </w:r>
      <w:r>
        <w:rPr>
          <w:spacing w:val="1"/>
        </w:rPr>
        <w:t xml:space="preserve"> </w:t>
      </w:r>
      <w:r>
        <w:t>engaging</w:t>
      </w:r>
      <w:r>
        <w:rPr>
          <w:spacing w:val="1"/>
        </w:rPr>
        <w:t xml:space="preserve"> </w:t>
      </w:r>
      <w:r>
        <w:rPr>
          <w:spacing w:val="-5"/>
        </w:rPr>
        <w:t>the</w:t>
      </w:r>
      <w:r w:rsidR="005C6277">
        <w:rPr>
          <w:spacing w:val="-5"/>
        </w:rPr>
        <w:t xml:space="preserve"> </w:t>
      </w:r>
      <w:r>
        <w:rPr>
          <w:color w:val="231F20"/>
        </w:rPr>
        <w:t>assistance</w:t>
      </w:r>
      <w:r>
        <w:rPr>
          <w:color w:val="231F20"/>
          <w:spacing w:val="4"/>
        </w:rPr>
        <w:t xml:space="preserve"> </w:t>
      </w:r>
      <w:r>
        <w:rPr>
          <w:color w:val="231F20"/>
        </w:rPr>
        <w:t>of</w:t>
      </w:r>
      <w:r>
        <w:rPr>
          <w:color w:val="231F20"/>
          <w:spacing w:val="5"/>
        </w:rPr>
        <w:t xml:space="preserve"> </w:t>
      </w:r>
      <w:r>
        <w:rPr>
          <w:color w:val="231F20"/>
        </w:rPr>
        <w:t>external</w:t>
      </w:r>
      <w:r>
        <w:rPr>
          <w:color w:val="231F20"/>
          <w:spacing w:val="5"/>
        </w:rPr>
        <w:t xml:space="preserve"> </w:t>
      </w:r>
      <w:r>
        <w:rPr>
          <w:color w:val="231F20"/>
          <w:spacing w:val="-2"/>
        </w:rPr>
        <w:t>services.</w:t>
      </w:r>
    </w:p>
    <w:p w14:paraId="66B8DE0C" w14:textId="6025DC89" w:rsidR="003A476B" w:rsidRDefault="003A476B" w:rsidP="005C6277">
      <w:r>
        <w:t>The Review’s changes will have resourcing implications both in the transition and in the long run</w:t>
      </w:r>
      <w:r w:rsidR="0068598E">
        <w:rPr>
          <w:spacing w:val="-19"/>
        </w:rPr>
        <w:t>.</w:t>
      </w:r>
      <w:r>
        <w:t xml:space="preserve"> For example, the RBA will need a small team to manage the transition, and new and changed positions</w:t>
      </w:r>
      <w:r>
        <w:rPr>
          <w:spacing w:val="14"/>
        </w:rPr>
        <w:t xml:space="preserve"> </w:t>
      </w:r>
      <w:r>
        <w:t>and</w:t>
      </w:r>
      <w:r>
        <w:rPr>
          <w:spacing w:val="14"/>
        </w:rPr>
        <w:t xml:space="preserve"> </w:t>
      </w:r>
      <w:r>
        <w:t>functions</w:t>
      </w:r>
      <w:r>
        <w:rPr>
          <w:spacing w:val="14"/>
        </w:rPr>
        <w:t xml:space="preserve"> </w:t>
      </w:r>
      <w:r>
        <w:t>involve</w:t>
      </w:r>
      <w:r>
        <w:rPr>
          <w:spacing w:val="14"/>
        </w:rPr>
        <w:t xml:space="preserve"> </w:t>
      </w:r>
      <w:r>
        <w:t>costs</w:t>
      </w:r>
      <w:r w:rsidR="0068598E">
        <w:rPr>
          <w:spacing w:val="-17"/>
        </w:rPr>
        <w:t>.</w:t>
      </w:r>
      <w:r>
        <w:rPr>
          <w:spacing w:val="14"/>
        </w:rPr>
        <w:t xml:space="preserve"> </w:t>
      </w:r>
      <w:r>
        <w:t>These</w:t>
      </w:r>
      <w:r>
        <w:rPr>
          <w:spacing w:val="14"/>
        </w:rPr>
        <w:t xml:space="preserve"> </w:t>
      </w:r>
      <w:r>
        <w:t>costs</w:t>
      </w:r>
      <w:r>
        <w:rPr>
          <w:spacing w:val="14"/>
        </w:rPr>
        <w:t xml:space="preserve"> </w:t>
      </w:r>
      <w:r>
        <w:t>are</w:t>
      </w:r>
      <w:r>
        <w:rPr>
          <w:spacing w:val="14"/>
        </w:rPr>
        <w:t xml:space="preserve"> </w:t>
      </w:r>
      <w:r>
        <w:t>worth</w:t>
      </w:r>
      <w:r>
        <w:rPr>
          <w:spacing w:val="14"/>
        </w:rPr>
        <w:t xml:space="preserve"> </w:t>
      </w:r>
      <w:r>
        <w:t>bearing</w:t>
      </w:r>
      <w:r>
        <w:rPr>
          <w:spacing w:val="14"/>
        </w:rPr>
        <w:t xml:space="preserve"> </w:t>
      </w:r>
      <w:r>
        <w:t>given</w:t>
      </w:r>
      <w:r>
        <w:rPr>
          <w:spacing w:val="14"/>
        </w:rPr>
        <w:t xml:space="preserve"> </w:t>
      </w:r>
      <w:r>
        <w:t>the</w:t>
      </w:r>
      <w:r>
        <w:rPr>
          <w:spacing w:val="14"/>
        </w:rPr>
        <w:t xml:space="preserve"> </w:t>
      </w:r>
      <w:r>
        <w:t>economic</w:t>
      </w:r>
      <w:r>
        <w:rPr>
          <w:spacing w:val="14"/>
        </w:rPr>
        <w:t xml:space="preserve"> </w:t>
      </w:r>
      <w:r>
        <w:t>and social benefits that flow from strengthening monetary policy decision making and RBA governance. This transition should be resourced properly, so it is effective and does not divert RBA staff from existing core RBA business.</w:t>
      </w:r>
    </w:p>
    <w:p w14:paraId="64196F8A" w14:textId="0306465C" w:rsidR="003A476B" w:rsidRDefault="003A476B" w:rsidP="005C6277">
      <w:r>
        <w:t>The RBA should demonstrate its prudent use of public resources by making strategic choices on what to pursue and what to stop doing, although timing of identifying and implementing these strategies should respect capacity constraints over the implementation phase. Some</w:t>
      </w:r>
      <w:r w:rsidR="005C6277">
        <w:t xml:space="preserve"> </w:t>
      </w:r>
      <w:r>
        <w:rPr>
          <w:color w:val="231F20"/>
        </w:rPr>
        <w:t>recommendations</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Review,</w:t>
      </w:r>
      <w:r>
        <w:rPr>
          <w:color w:val="231F20"/>
          <w:spacing w:val="-7"/>
        </w:rPr>
        <w:t xml:space="preserve"> </w:t>
      </w:r>
      <w:r>
        <w:rPr>
          <w:color w:val="231F20"/>
        </w:rPr>
        <w:t>for</w:t>
      </w:r>
      <w:r>
        <w:rPr>
          <w:color w:val="231F20"/>
          <w:spacing w:val="-7"/>
        </w:rPr>
        <w:t xml:space="preserve"> </w:t>
      </w:r>
      <w:r>
        <w:rPr>
          <w:color w:val="231F20"/>
        </w:rPr>
        <w:t>example</w:t>
      </w:r>
      <w:r>
        <w:rPr>
          <w:color w:val="231F20"/>
          <w:spacing w:val="-7"/>
        </w:rPr>
        <w:t xml:space="preserve"> </w:t>
      </w:r>
      <w:r>
        <w:rPr>
          <w:color w:val="231F20"/>
        </w:rPr>
        <w:t>updated</w:t>
      </w:r>
      <w:r>
        <w:rPr>
          <w:color w:val="231F20"/>
          <w:spacing w:val="-7"/>
        </w:rPr>
        <w:t xml:space="preserve"> </w:t>
      </w:r>
      <w:r>
        <w:rPr>
          <w:color w:val="231F20"/>
        </w:rPr>
        <w:t>operational</w:t>
      </w:r>
      <w:r>
        <w:rPr>
          <w:color w:val="231F20"/>
          <w:spacing w:val="-7"/>
        </w:rPr>
        <w:t xml:space="preserve"> </w:t>
      </w:r>
      <w:r>
        <w:rPr>
          <w:color w:val="231F20"/>
        </w:rPr>
        <w:t>approaches</w:t>
      </w:r>
      <w:r>
        <w:rPr>
          <w:color w:val="231F20"/>
          <w:spacing w:val="-7"/>
        </w:rPr>
        <w:t xml:space="preserve"> </w:t>
      </w:r>
      <w:r>
        <w:rPr>
          <w:color w:val="231F20"/>
        </w:rPr>
        <w:t>at</w:t>
      </w:r>
      <w:r>
        <w:rPr>
          <w:color w:val="231F20"/>
          <w:spacing w:val="-7"/>
        </w:rPr>
        <w:t xml:space="preserve"> </w:t>
      </w:r>
      <w:r>
        <w:rPr>
          <w:color w:val="231F20"/>
        </w:rPr>
        <w:t>Recommendation 11, offer opportunities to save costs in the future. The Governance Board’s assessment of implementation should consider opportunities for efficiencies, which will inform a future capability review (see Recommendation 13)</w:t>
      </w:r>
      <w:r w:rsidR="0068598E">
        <w:rPr>
          <w:color w:val="231F20"/>
          <w:spacing w:val="-9"/>
        </w:rPr>
        <w:t>.</w:t>
      </w:r>
    </w:p>
    <w:p w14:paraId="217A86F1" w14:textId="5A955EC2" w:rsidR="003A476B" w:rsidRDefault="003A476B" w:rsidP="005C6277">
      <w:pPr>
        <w:rPr>
          <w:color w:val="231F20"/>
          <w:spacing w:val="-4"/>
        </w:rPr>
      </w:pPr>
      <w:r>
        <w:t>To</w:t>
      </w:r>
      <w:r>
        <w:rPr>
          <w:spacing w:val="-1"/>
        </w:rPr>
        <w:t xml:space="preserve"> </w:t>
      </w:r>
      <w:r>
        <w:t>prepare</w:t>
      </w:r>
      <w:r>
        <w:rPr>
          <w:spacing w:val="-1"/>
        </w:rPr>
        <w:t xml:space="preserve"> </w:t>
      </w:r>
      <w:r>
        <w:t>for the</w:t>
      </w:r>
      <w:r>
        <w:rPr>
          <w:spacing w:val="-1"/>
        </w:rPr>
        <w:t xml:space="preserve"> </w:t>
      </w:r>
      <w:r>
        <w:t>changes,</w:t>
      </w:r>
      <w:r>
        <w:rPr>
          <w:spacing w:val="-1"/>
        </w:rPr>
        <w:t xml:space="preserve"> </w:t>
      </w:r>
      <w:r>
        <w:t>the Review</w:t>
      </w:r>
      <w:r>
        <w:rPr>
          <w:spacing w:val="-1"/>
        </w:rPr>
        <w:t xml:space="preserve"> </w:t>
      </w:r>
      <w:r>
        <w:t>recommends the</w:t>
      </w:r>
      <w:r>
        <w:rPr>
          <w:spacing w:val="-1"/>
        </w:rPr>
        <w:t xml:space="preserve"> </w:t>
      </w:r>
      <w:r>
        <w:t>RBA</w:t>
      </w:r>
      <w:r>
        <w:rPr>
          <w:spacing w:val="-1"/>
        </w:rPr>
        <w:t xml:space="preserve"> </w:t>
      </w:r>
      <w:r>
        <w:t>develop an</w:t>
      </w:r>
      <w:r>
        <w:rPr>
          <w:spacing w:val="-1"/>
        </w:rPr>
        <w:t xml:space="preserve"> </w:t>
      </w:r>
      <w:r>
        <w:t xml:space="preserve">implementation </w:t>
      </w:r>
      <w:r>
        <w:rPr>
          <w:spacing w:val="-2"/>
        </w:rPr>
        <w:t>roadmap</w:t>
      </w:r>
      <w:r w:rsidR="005C6277">
        <w:rPr>
          <w:spacing w:val="-2"/>
        </w:rPr>
        <w:t xml:space="preserve"> </w:t>
      </w:r>
      <w:r>
        <w:rPr>
          <w:color w:val="231F20"/>
        </w:rPr>
        <w:t>to</w:t>
      </w:r>
      <w:r>
        <w:rPr>
          <w:color w:val="231F20"/>
          <w:spacing w:val="1"/>
        </w:rPr>
        <w:t xml:space="preserve"> </w:t>
      </w:r>
      <w:r>
        <w:rPr>
          <w:color w:val="231F20"/>
        </w:rPr>
        <w:t>support</w:t>
      </w:r>
      <w:r>
        <w:rPr>
          <w:color w:val="231F20"/>
          <w:spacing w:val="2"/>
        </w:rPr>
        <w:t xml:space="preserve"> </w:t>
      </w:r>
      <w:r>
        <w:rPr>
          <w:color w:val="231F20"/>
        </w:rPr>
        <w:t>successful</w:t>
      </w:r>
      <w:r>
        <w:rPr>
          <w:color w:val="231F20"/>
          <w:spacing w:val="1"/>
        </w:rPr>
        <w:t xml:space="preserve"> </w:t>
      </w:r>
      <w:r>
        <w:rPr>
          <w:color w:val="231F20"/>
        </w:rPr>
        <w:t>delivery.</w:t>
      </w:r>
      <w:r>
        <w:rPr>
          <w:color w:val="231F20"/>
          <w:spacing w:val="2"/>
        </w:rPr>
        <w:t xml:space="preserve"> </w:t>
      </w:r>
      <w:r>
        <w:rPr>
          <w:color w:val="231F20"/>
        </w:rPr>
        <w:t>The</w:t>
      </w:r>
      <w:r>
        <w:rPr>
          <w:color w:val="231F20"/>
          <w:spacing w:val="1"/>
        </w:rPr>
        <w:t xml:space="preserve"> </w:t>
      </w:r>
      <w:r>
        <w:rPr>
          <w:color w:val="231F20"/>
        </w:rPr>
        <w:t>roadmap</w:t>
      </w:r>
      <w:r>
        <w:rPr>
          <w:color w:val="231F20"/>
          <w:spacing w:val="2"/>
        </w:rPr>
        <w:t xml:space="preserve"> </w:t>
      </w:r>
      <w:r>
        <w:rPr>
          <w:color w:val="231F20"/>
        </w:rPr>
        <w:t>should,</w:t>
      </w:r>
      <w:r>
        <w:rPr>
          <w:color w:val="231F20"/>
          <w:spacing w:val="1"/>
        </w:rPr>
        <w:t xml:space="preserve"> </w:t>
      </w:r>
      <w:r>
        <w:rPr>
          <w:color w:val="231F20"/>
        </w:rPr>
        <w:t>at</w:t>
      </w:r>
      <w:r>
        <w:rPr>
          <w:color w:val="231F20"/>
          <w:spacing w:val="2"/>
        </w:rPr>
        <w:t xml:space="preserve"> </w:t>
      </w:r>
      <w:r>
        <w:rPr>
          <w:color w:val="231F20"/>
        </w:rPr>
        <w:t>a</w:t>
      </w:r>
      <w:r>
        <w:rPr>
          <w:color w:val="231F20"/>
          <w:spacing w:val="1"/>
        </w:rPr>
        <w:t xml:space="preserve"> </w:t>
      </w:r>
      <w:r>
        <w:rPr>
          <w:color w:val="231F20"/>
        </w:rPr>
        <w:t>minimum,</w:t>
      </w:r>
      <w:r>
        <w:rPr>
          <w:color w:val="231F20"/>
          <w:spacing w:val="2"/>
        </w:rPr>
        <w:t xml:space="preserve"> </w:t>
      </w:r>
      <w:r>
        <w:rPr>
          <w:color w:val="231F20"/>
        </w:rPr>
        <w:t>set</w:t>
      </w:r>
      <w:r>
        <w:rPr>
          <w:color w:val="231F20"/>
          <w:spacing w:val="2"/>
        </w:rPr>
        <w:t xml:space="preserve"> </w:t>
      </w:r>
      <w:r>
        <w:rPr>
          <w:color w:val="231F20"/>
          <w:spacing w:val="-4"/>
        </w:rPr>
        <w:t>out:</w:t>
      </w:r>
    </w:p>
    <w:tbl>
      <w:tblPr>
        <w:tblStyle w:val="TableGridLight"/>
        <w:tblW w:w="5000" w:type="pct"/>
        <w:shd w:val="clear" w:color="auto" w:fill="F9EEDB" w:themeFill="accent6"/>
        <w:tblCellMar>
          <w:top w:w="284" w:type="dxa"/>
          <w:left w:w="284" w:type="dxa"/>
          <w:bottom w:w="284" w:type="dxa"/>
          <w:right w:w="284" w:type="dxa"/>
        </w:tblCellMar>
        <w:tblLook w:val="04A0" w:firstRow="1" w:lastRow="0" w:firstColumn="1" w:lastColumn="0" w:noHBand="0" w:noVBand="1"/>
      </w:tblPr>
      <w:tblGrid>
        <w:gridCol w:w="9070"/>
      </w:tblGrid>
      <w:tr w:rsidR="005C6277" w14:paraId="317C2927" w14:textId="77777777" w:rsidTr="005C6277">
        <w:tc>
          <w:tcPr>
            <w:tcW w:w="5000" w:type="pct"/>
            <w:tcBorders>
              <w:top w:val="nil"/>
              <w:left w:val="nil"/>
              <w:bottom w:val="nil"/>
              <w:right w:val="nil"/>
            </w:tcBorders>
            <w:shd w:val="clear" w:color="auto" w:fill="F9EEDB" w:themeFill="accent6"/>
          </w:tcPr>
          <w:p w14:paraId="1A33DB56" w14:textId="1F5839A5" w:rsidR="005C6277" w:rsidRDefault="005C6277" w:rsidP="005C6277">
            <w:pPr>
              <w:pStyle w:val="BoxText"/>
            </w:pPr>
            <w:r>
              <w:t>1</w:t>
            </w:r>
            <w:r w:rsidR="0068598E">
              <w:rPr>
                <w:spacing w:val="-25"/>
              </w:rPr>
              <w:t>.</w:t>
            </w:r>
            <w:r>
              <w:rPr>
                <w:spacing w:val="40"/>
              </w:rPr>
              <w:t xml:space="preserve"> </w:t>
            </w:r>
            <w:r>
              <w:t>Priorities</w:t>
            </w:r>
            <w:r>
              <w:rPr>
                <w:spacing w:val="-2"/>
              </w:rPr>
              <w:t xml:space="preserve"> </w:t>
            </w:r>
            <w:r>
              <w:t>for</w:t>
            </w:r>
            <w:r>
              <w:rPr>
                <w:spacing w:val="-2"/>
              </w:rPr>
              <w:t xml:space="preserve"> </w:t>
            </w:r>
            <w:r>
              <w:t>reform</w:t>
            </w:r>
            <w:r>
              <w:rPr>
                <w:spacing w:val="-2"/>
              </w:rPr>
              <w:t xml:space="preserve"> </w:t>
            </w:r>
            <w:r>
              <w:t>–</w:t>
            </w:r>
            <w:r>
              <w:rPr>
                <w:spacing w:val="-2"/>
              </w:rPr>
              <w:t xml:space="preserve"> </w:t>
            </w:r>
            <w:r>
              <w:t>the</w:t>
            </w:r>
            <w:r>
              <w:rPr>
                <w:spacing w:val="-2"/>
              </w:rPr>
              <w:t xml:space="preserve"> </w:t>
            </w:r>
            <w:r>
              <w:t>order</w:t>
            </w:r>
            <w:r>
              <w:rPr>
                <w:spacing w:val="-2"/>
              </w:rPr>
              <w:t xml:space="preserve"> </w:t>
            </w:r>
            <w:r>
              <w:t>in</w:t>
            </w:r>
            <w:r>
              <w:rPr>
                <w:spacing w:val="-2"/>
              </w:rPr>
              <w:t xml:space="preserve"> </w:t>
            </w:r>
            <w:r>
              <w:t>which</w:t>
            </w:r>
            <w:r>
              <w:rPr>
                <w:spacing w:val="-2"/>
              </w:rPr>
              <w:t xml:space="preserve"> </w:t>
            </w:r>
            <w:r>
              <w:t>the</w:t>
            </w:r>
            <w:r>
              <w:rPr>
                <w:spacing w:val="-2"/>
              </w:rPr>
              <w:t xml:space="preserve"> </w:t>
            </w:r>
            <w:r>
              <w:t>RBA</w:t>
            </w:r>
            <w:r>
              <w:rPr>
                <w:spacing w:val="-2"/>
              </w:rPr>
              <w:t xml:space="preserve"> </w:t>
            </w:r>
            <w:r>
              <w:t>intends</w:t>
            </w:r>
            <w:r>
              <w:rPr>
                <w:spacing w:val="-2"/>
              </w:rPr>
              <w:t xml:space="preserve"> </w:t>
            </w:r>
            <w:r>
              <w:t>to</w:t>
            </w:r>
            <w:r>
              <w:rPr>
                <w:spacing w:val="-2"/>
              </w:rPr>
              <w:t xml:space="preserve"> </w:t>
            </w:r>
            <w:r>
              <w:t>address</w:t>
            </w:r>
            <w:r>
              <w:rPr>
                <w:spacing w:val="-2"/>
              </w:rPr>
              <w:t xml:space="preserve"> </w:t>
            </w:r>
            <w:r>
              <w:t>items,</w:t>
            </w:r>
            <w:r>
              <w:rPr>
                <w:spacing w:val="-2"/>
              </w:rPr>
              <w:t xml:space="preserve"> </w:t>
            </w:r>
            <w:r>
              <w:t>noting</w:t>
            </w:r>
            <w:r>
              <w:rPr>
                <w:spacing w:val="-2"/>
              </w:rPr>
              <w:t xml:space="preserve"> </w:t>
            </w:r>
            <w:r>
              <w:t>that some may require Government action</w:t>
            </w:r>
          </w:p>
          <w:p w14:paraId="780B5EBC" w14:textId="4B1D95F7" w:rsidR="005C6277" w:rsidRDefault="005C6277" w:rsidP="005C6277">
            <w:pPr>
              <w:pStyle w:val="BoxText"/>
            </w:pPr>
            <w:r>
              <w:t>2</w:t>
            </w:r>
            <w:r w:rsidR="0068598E">
              <w:rPr>
                <w:spacing w:val="-23"/>
              </w:rPr>
              <w:t>.</w:t>
            </w:r>
            <w:r>
              <w:rPr>
                <w:spacing w:val="40"/>
              </w:rPr>
              <w:t xml:space="preserve"> </w:t>
            </w:r>
            <w:r>
              <w:t>Specific actions – identify the activities and actions the RBA plans to undertake for each recommendation</w:t>
            </w:r>
          </w:p>
          <w:p w14:paraId="03A70FDE" w14:textId="60430D75" w:rsidR="005C6277" w:rsidRDefault="005C6277" w:rsidP="005C6277">
            <w:pPr>
              <w:pStyle w:val="BoxText"/>
            </w:pPr>
            <w:r>
              <w:t>3</w:t>
            </w:r>
            <w:r w:rsidR="0068598E">
              <w:rPr>
                <w:spacing w:val="-24"/>
              </w:rPr>
              <w:t>.</w:t>
            </w:r>
            <w:r>
              <w:rPr>
                <w:spacing w:val="38"/>
              </w:rPr>
              <w:t xml:space="preserve"> </w:t>
            </w:r>
            <w:r>
              <w:t>Specific</w:t>
            </w:r>
            <w:r>
              <w:rPr>
                <w:spacing w:val="1"/>
              </w:rPr>
              <w:t xml:space="preserve"> </w:t>
            </w:r>
            <w:r>
              <w:t>accountability</w:t>
            </w:r>
            <w:r>
              <w:rPr>
                <w:spacing w:val="1"/>
              </w:rPr>
              <w:t xml:space="preserve"> </w:t>
            </w:r>
            <w:r>
              <w:t>–</w:t>
            </w:r>
            <w:r>
              <w:rPr>
                <w:spacing w:val="1"/>
              </w:rPr>
              <w:t xml:space="preserve"> </w:t>
            </w:r>
            <w:r>
              <w:t>allocate</w:t>
            </w:r>
            <w:r>
              <w:rPr>
                <w:spacing w:val="1"/>
              </w:rPr>
              <w:t xml:space="preserve"> </w:t>
            </w:r>
            <w:r>
              <w:t>accountability</w:t>
            </w:r>
            <w:r>
              <w:rPr>
                <w:spacing w:val="1"/>
              </w:rPr>
              <w:t xml:space="preserve"> </w:t>
            </w:r>
            <w:r>
              <w:t>for</w:t>
            </w:r>
            <w:r>
              <w:rPr>
                <w:spacing w:val="2"/>
              </w:rPr>
              <w:t xml:space="preserve"> </w:t>
            </w:r>
            <w:r>
              <w:t>delivery</w:t>
            </w:r>
            <w:r>
              <w:rPr>
                <w:spacing w:val="1"/>
              </w:rPr>
              <w:t xml:space="preserve"> </w:t>
            </w:r>
            <w:r>
              <w:t>of</w:t>
            </w:r>
            <w:r>
              <w:rPr>
                <w:spacing w:val="1"/>
              </w:rPr>
              <w:t xml:space="preserve"> </w:t>
            </w:r>
            <w:r>
              <w:t>each</w:t>
            </w:r>
            <w:r>
              <w:rPr>
                <w:spacing w:val="1"/>
              </w:rPr>
              <w:t xml:space="preserve"> </w:t>
            </w:r>
            <w:r>
              <w:t>action</w:t>
            </w:r>
            <w:r>
              <w:rPr>
                <w:spacing w:val="1"/>
              </w:rPr>
              <w:t xml:space="preserve"> </w:t>
            </w:r>
            <w:r>
              <w:t>(or</w:t>
            </w:r>
            <w:r>
              <w:rPr>
                <w:spacing w:val="1"/>
              </w:rPr>
              <w:t xml:space="preserve"> </w:t>
            </w:r>
            <w:r>
              <w:t>group</w:t>
            </w:r>
            <w:r>
              <w:rPr>
                <w:spacing w:val="1"/>
              </w:rPr>
              <w:t xml:space="preserve"> </w:t>
            </w:r>
            <w:r>
              <w:rPr>
                <w:spacing w:val="-5"/>
              </w:rPr>
              <w:t>of</w:t>
            </w:r>
          </w:p>
          <w:p w14:paraId="631125B1" w14:textId="77777777" w:rsidR="005C6277" w:rsidRDefault="005C6277" w:rsidP="005C6277">
            <w:pPr>
              <w:pStyle w:val="BoxText"/>
              <w:rPr>
                <w:spacing w:val="-2"/>
              </w:rPr>
            </w:pPr>
            <w:r>
              <w:t>actions)</w:t>
            </w:r>
            <w:r>
              <w:rPr>
                <w:spacing w:val="2"/>
              </w:rPr>
              <w:t xml:space="preserve"> </w:t>
            </w:r>
            <w:r>
              <w:t>to</w:t>
            </w:r>
            <w:r>
              <w:rPr>
                <w:spacing w:val="2"/>
              </w:rPr>
              <w:t xml:space="preserve"> </w:t>
            </w:r>
            <w:r>
              <w:t>individual</w:t>
            </w:r>
            <w:r>
              <w:rPr>
                <w:spacing w:val="2"/>
              </w:rPr>
              <w:t xml:space="preserve"> </w:t>
            </w:r>
            <w:r>
              <w:t>RBA</w:t>
            </w:r>
            <w:r>
              <w:rPr>
                <w:spacing w:val="2"/>
              </w:rPr>
              <w:t xml:space="preserve"> </w:t>
            </w:r>
            <w:r>
              <w:rPr>
                <w:spacing w:val="-2"/>
              </w:rPr>
              <w:t>leaders</w:t>
            </w:r>
          </w:p>
          <w:p w14:paraId="6396F685" w14:textId="439F8618" w:rsidR="005C6277" w:rsidRPr="005C6277" w:rsidRDefault="005C6277" w:rsidP="005C6277">
            <w:pPr>
              <w:pStyle w:val="BoxText"/>
              <w:rPr>
                <w:spacing w:val="-2"/>
              </w:rPr>
            </w:pPr>
            <w:r>
              <w:t>4</w:t>
            </w:r>
            <w:r w:rsidR="0068598E">
              <w:rPr>
                <w:spacing w:val="-24"/>
              </w:rPr>
              <w:t>.</w:t>
            </w:r>
            <w:r>
              <w:rPr>
                <w:spacing w:val="34"/>
              </w:rPr>
              <w:t xml:space="preserve"> </w:t>
            </w:r>
            <w:r>
              <w:t>Governance – outline</w:t>
            </w:r>
            <w:r>
              <w:rPr>
                <w:spacing w:val="-1"/>
              </w:rPr>
              <w:t xml:space="preserve"> </w:t>
            </w:r>
            <w:r>
              <w:t>the mechanisms for managing, monitoring and overseeing</w:t>
            </w:r>
            <w:r>
              <w:rPr>
                <w:spacing w:val="-1"/>
              </w:rPr>
              <w:t xml:space="preserve"> </w:t>
            </w:r>
            <w:r>
              <w:rPr>
                <w:spacing w:val="-2"/>
              </w:rPr>
              <w:t>progress.</w:t>
            </w:r>
          </w:p>
        </w:tc>
      </w:tr>
    </w:tbl>
    <w:p w14:paraId="4217AC5B" w14:textId="77777777" w:rsidR="00464713" w:rsidRDefault="00464713" w:rsidP="00464713">
      <w:pPr>
        <w:pStyle w:val="BodyText"/>
        <w:spacing w:before="8"/>
      </w:pPr>
    </w:p>
    <w:p w14:paraId="213C0005" w14:textId="77777777" w:rsidR="00464713" w:rsidRDefault="00464713" w:rsidP="005C6277">
      <w:r>
        <w:t>The Governance Board has responsibility for overseeing and holding the RBA’s leaders to account for delivering these changes and is expected to report publicly on progress against this roadmap by July 2025 (see Recommendation 13.2).</w:t>
      </w:r>
    </w:p>
    <w:p w14:paraId="01F2D36E" w14:textId="77777777" w:rsidR="00BD19D5" w:rsidRDefault="00BD19D5" w:rsidP="00FD0B69">
      <w:pPr>
        <w:pStyle w:val="Heading3"/>
      </w:pPr>
      <w:r>
        <w:t>Priority</w:t>
      </w:r>
      <w:r w:rsidRPr="00FD0B69">
        <w:t xml:space="preserve"> </w:t>
      </w:r>
      <w:r>
        <w:t>recommendations</w:t>
      </w:r>
      <w:r w:rsidRPr="00FD0B69">
        <w:t xml:space="preserve"> </w:t>
      </w:r>
      <w:r>
        <w:t>for</w:t>
      </w:r>
      <w:r w:rsidRPr="00FD0B69">
        <w:t xml:space="preserve"> </w:t>
      </w:r>
      <w:r>
        <w:t>the</w:t>
      </w:r>
      <w:r w:rsidRPr="00FD0B69">
        <w:t xml:space="preserve"> </w:t>
      </w:r>
      <w:r>
        <w:t>RBA</w:t>
      </w:r>
      <w:r w:rsidRPr="00FD0B69">
        <w:t xml:space="preserve"> </w:t>
      </w:r>
      <w:r>
        <w:t>in</w:t>
      </w:r>
      <w:r w:rsidRPr="00FD0B69">
        <w:t xml:space="preserve"> 2023</w:t>
      </w:r>
    </w:p>
    <w:p w14:paraId="0411F903" w14:textId="05494AB5" w:rsidR="00BD19D5" w:rsidRDefault="00BD19D5" w:rsidP="00BD19D5">
      <w:r>
        <w:t>Of</w:t>
      </w:r>
      <w:r>
        <w:rPr>
          <w:spacing w:val="-2"/>
        </w:rPr>
        <w:t xml:space="preserve"> </w:t>
      </w:r>
      <w:r>
        <w:t>the</w:t>
      </w:r>
      <w:r>
        <w:rPr>
          <w:spacing w:val="1"/>
        </w:rPr>
        <w:t xml:space="preserve"> </w:t>
      </w:r>
      <w:r>
        <w:t>recommendations that</w:t>
      </w:r>
      <w:r>
        <w:rPr>
          <w:spacing w:val="1"/>
        </w:rPr>
        <w:t xml:space="preserve"> </w:t>
      </w:r>
      <w:r>
        <w:t>do not</w:t>
      </w:r>
      <w:r>
        <w:rPr>
          <w:spacing w:val="1"/>
        </w:rPr>
        <w:t xml:space="preserve"> </w:t>
      </w:r>
      <w:r>
        <w:t>require legislation,</w:t>
      </w:r>
      <w:r>
        <w:rPr>
          <w:spacing w:val="1"/>
        </w:rPr>
        <w:t xml:space="preserve"> </w:t>
      </w:r>
      <w:r>
        <w:t>the RBA’s</w:t>
      </w:r>
      <w:r>
        <w:rPr>
          <w:spacing w:val="1"/>
        </w:rPr>
        <w:t xml:space="preserve"> </w:t>
      </w:r>
      <w:r>
        <w:t>implementation should</w:t>
      </w:r>
      <w:r>
        <w:rPr>
          <w:spacing w:val="1"/>
        </w:rPr>
        <w:t xml:space="preserve"> </w:t>
      </w:r>
      <w:r>
        <w:rPr>
          <w:spacing w:val="-2"/>
        </w:rPr>
        <w:t xml:space="preserve">prioritise </w:t>
      </w:r>
      <w:r>
        <w:rPr>
          <w:color w:val="231F20"/>
        </w:rPr>
        <w:t>progressing</w:t>
      </w:r>
      <w:r>
        <w:rPr>
          <w:color w:val="231F20"/>
          <w:spacing w:val="1"/>
        </w:rPr>
        <w:t xml:space="preserve"> </w:t>
      </w:r>
      <w:r>
        <w:rPr>
          <w:color w:val="231F20"/>
        </w:rPr>
        <w:t>3</w:t>
      </w:r>
      <w:r>
        <w:rPr>
          <w:color w:val="231F20"/>
          <w:spacing w:val="2"/>
        </w:rPr>
        <w:t xml:space="preserve"> </w:t>
      </w:r>
      <w:r>
        <w:rPr>
          <w:color w:val="231F20"/>
        </w:rPr>
        <w:t>recommendations</w:t>
      </w:r>
      <w:r>
        <w:rPr>
          <w:color w:val="231F20"/>
          <w:spacing w:val="1"/>
        </w:rPr>
        <w:t xml:space="preserve"> </w:t>
      </w:r>
      <w:r>
        <w:rPr>
          <w:color w:val="231F20"/>
        </w:rPr>
        <w:t>in</w:t>
      </w:r>
      <w:r>
        <w:rPr>
          <w:color w:val="231F20"/>
          <w:spacing w:val="2"/>
        </w:rPr>
        <w:t xml:space="preserve"> </w:t>
      </w:r>
      <w:r>
        <w:rPr>
          <w:color w:val="231F20"/>
        </w:rPr>
        <w:t>2023.</w:t>
      </w:r>
      <w:r>
        <w:rPr>
          <w:color w:val="231F20"/>
          <w:spacing w:val="2"/>
        </w:rPr>
        <w:t xml:space="preserve"> </w:t>
      </w:r>
      <w:r>
        <w:rPr>
          <w:color w:val="231F20"/>
        </w:rPr>
        <w:t>The</w:t>
      </w:r>
      <w:r>
        <w:rPr>
          <w:color w:val="231F20"/>
          <w:spacing w:val="1"/>
        </w:rPr>
        <w:t xml:space="preserve"> </w:t>
      </w:r>
      <w:r>
        <w:rPr>
          <w:color w:val="231F20"/>
        </w:rPr>
        <w:t>priority</w:t>
      </w:r>
      <w:r>
        <w:rPr>
          <w:color w:val="231F20"/>
          <w:spacing w:val="2"/>
        </w:rPr>
        <w:t xml:space="preserve"> </w:t>
      </w:r>
      <w:r>
        <w:rPr>
          <w:color w:val="231F20"/>
        </w:rPr>
        <w:t>actions</w:t>
      </w:r>
      <w:r>
        <w:rPr>
          <w:color w:val="231F20"/>
          <w:spacing w:val="1"/>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spacing w:val="-5"/>
        </w:rPr>
        <w:t>to:</w:t>
      </w:r>
    </w:p>
    <w:p w14:paraId="408AA05C" w14:textId="77777777" w:rsidR="00BD19D5" w:rsidRDefault="00BD19D5" w:rsidP="0000278A">
      <w:pPr>
        <w:pStyle w:val="Bullet"/>
      </w:pPr>
      <w:r>
        <w:t>Improve processes to support deeper consideration of monetary policy decisions, strategy</w:t>
      </w:r>
      <w:r>
        <w:rPr>
          <w:spacing w:val="80"/>
        </w:rPr>
        <w:t xml:space="preserve"> </w:t>
      </w:r>
      <w:r>
        <w:t>and</w:t>
      </w:r>
      <w:r>
        <w:rPr>
          <w:spacing w:val="-4"/>
        </w:rPr>
        <w:t xml:space="preserve"> </w:t>
      </w:r>
      <w:r>
        <w:t>research</w:t>
      </w:r>
      <w:r>
        <w:rPr>
          <w:spacing w:val="-4"/>
        </w:rPr>
        <w:t xml:space="preserve"> </w:t>
      </w:r>
      <w:r>
        <w:t>to</w:t>
      </w:r>
      <w:r>
        <w:rPr>
          <w:spacing w:val="-4"/>
        </w:rPr>
        <w:t xml:space="preserve"> </w:t>
      </w:r>
      <w:r>
        <w:t>strengthen</w:t>
      </w:r>
      <w:r>
        <w:rPr>
          <w:spacing w:val="-4"/>
        </w:rPr>
        <w:t xml:space="preserve"> </w:t>
      </w:r>
      <w:r>
        <w:t>the</w:t>
      </w:r>
      <w:r>
        <w:rPr>
          <w:spacing w:val="-4"/>
        </w:rPr>
        <w:t xml:space="preserve"> </w:t>
      </w:r>
      <w:r>
        <w:t>monetary</w:t>
      </w:r>
      <w:r>
        <w:rPr>
          <w:spacing w:val="-4"/>
        </w:rPr>
        <w:t xml:space="preserve"> </w:t>
      </w:r>
      <w:r>
        <w:t>policy</w:t>
      </w:r>
      <w:r>
        <w:rPr>
          <w:spacing w:val="-4"/>
        </w:rPr>
        <w:t xml:space="preserve"> </w:t>
      </w:r>
      <w:r>
        <w:t>decision</w:t>
      </w:r>
      <w:r>
        <w:rPr>
          <w:spacing w:val="-4"/>
        </w:rPr>
        <w:t xml:space="preserve"> </w:t>
      </w:r>
      <w:r>
        <w:t>making</w:t>
      </w:r>
      <w:r>
        <w:rPr>
          <w:spacing w:val="-4"/>
        </w:rPr>
        <w:t xml:space="preserve"> </w:t>
      </w:r>
      <w:r>
        <w:t>process</w:t>
      </w:r>
      <w:r>
        <w:rPr>
          <w:spacing w:val="-4"/>
        </w:rPr>
        <w:t xml:space="preserve"> </w:t>
      </w:r>
      <w:r>
        <w:t>(Recommendation</w:t>
      </w:r>
      <w:r>
        <w:rPr>
          <w:spacing w:val="-4"/>
        </w:rPr>
        <w:t xml:space="preserve"> </w:t>
      </w:r>
      <w:r>
        <w:t>9), including changing the frequency of meetings and the process within the meeting cycle, and increasing Reserve Bank Board member access to the RBA staff.</w:t>
      </w:r>
    </w:p>
    <w:p w14:paraId="2136D313" w14:textId="77777777" w:rsidR="00BD19D5" w:rsidRDefault="00BD19D5" w:rsidP="0000278A">
      <w:pPr>
        <w:pStyle w:val="Bullet"/>
      </w:pPr>
      <w:r>
        <w:t>Strengthen monetary policy transparency and accountability (Recommendation 10), including press conferences, having the Reserve Bank Board approve the statement released after each Board meeting and enhancing the RBA’s strategic communications capability.</w:t>
      </w:r>
    </w:p>
    <w:p w14:paraId="4F4C37B9" w14:textId="77777777" w:rsidR="00BD19D5" w:rsidRDefault="00BD19D5" w:rsidP="0000278A">
      <w:pPr>
        <w:pStyle w:val="Bullet"/>
      </w:pPr>
      <w:r>
        <w:lastRenderedPageBreak/>
        <w:t>Strengthen the RBA’s management, culture and operations (Recommendation 11), including appointing a Chief Operating Officer, implementing mandatory leadership training, assessing leaders on their promotion of challenge and debate, and establishing a monetary policy strategy team.</w:t>
      </w:r>
    </w:p>
    <w:p w14:paraId="10EA7EB2" w14:textId="77777777" w:rsidR="00BD19D5" w:rsidRDefault="00BD19D5" w:rsidP="00FD0B69">
      <w:pPr>
        <w:pStyle w:val="Heading3"/>
      </w:pPr>
      <w:r>
        <w:t>Update</w:t>
      </w:r>
      <w:r w:rsidRPr="00FD0B69">
        <w:t xml:space="preserve"> </w:t>
      </w:r>
      <w:r>
        <w:t>the</w:t>
      </w:r>
      <w:r w:rsidRPr="00FD0B69">
        <w:t xml:space="preserve"> </w:t>
      </w:r>
      <w:r>
        <w:t>Statement</w:t>
      </w:r>
      <w:r w:rsidRPr="00FD0B69">
        <w:t xml:space="preserve"> </w:t>
      </w:r>
      <w:r>
        <w:t>on</w:t>
      </w:r>
      <w:r w:rsidRPr="00FD0B69">
        <w:t xml:space="preserve"> </w:t>
      </w:r>
      <w:r>
        <w:t>the</w:t>
      </w:r>
      <w:r w:rsidRPr="00FD0B69">
        <w:t xml:space="preserve"> </w:t>
      </w:r>
      <w:r>
        <w:t>Conduct</w:t>
      </w:r>
      <w:r w:rsidRPr="00FD0B69">
        <w:t xml:space="preserve"> </w:t>
      </w:r>
      <w:r>
        <w:t>of</w:t>
      </w:r>
      <w:r w:rsidRPr="00FD0B69">
        <w:t xml:space="preserve"> </w:t>
      </w:r>
      <w:r>
        <w:t>Monetary</w:t>
      </w:r>
      <w:r w:rsidRPr="00FD0B69">
        <w:t xml:space="preserve"> Policy</w:t>
      </w:r>
    </w:p>
    <w:p w14:paraId="0F0B3042" w14:textId="372D9708" w:rsidR="00BD19D5" w:rsidRDefault="00BD19D5" w:rsidP="00BD19D5">
      <w:r>
        <w:t>Recommendations</w:t>
      </w:r>
      <w:r>
        <w:rPr>
          <w:spacing w:val="-2"/>
        </w:rPr>
        <w:t xml:space="preserve"> </w:t>
      </w:r>
      <w:r>
        <w:t>2,</w:t>
      </w:r>
      <w:r>
        <w:rPr>
          <w:spacing w:val="-2"/>
        </w:rPr>
        <w:t xml:space="preserve"> </w:t>
      </w:r>
      <w:r>
        <w:t>3</w:t>
      </w:r>
      <w:r>
        <w:rPr>
          <w:spacing w:val="-2"/>
        </w:rPr>
        <w:t xml:space="preserve"> </w:t>
      </w:r>
      <w:r>
        <w:t>and</w:t>
      </w:r>
      <w:r>
        <w:rPr>
          <w:spacing w:val="-2"/>
        </w:rPr>
        <w:t xml:space="preserve"> </w:t>
      </w:r>
      <w:r>
        <w:t>8</w:t>
      </w:r>
      <w:r>
        <w:rPr>
          <w:spacing w:val="-2"/>
        </w:rPr>
        <w:t xml:space="preserve"> </w:t>
      </w:r>
      <w:r>
        <w:t>require</w:t>
      </w:r>
      <w:r>
        <w:rPr>
          <w:spacing w:val="-2"/>
        </w:rPr>
        <w:t xml:space="preserve"> </w:t>
      </w:r>
      <w:r>
        <w:t>updates</w:t>
      </w:r>
      <w:r>
        <w:rPr>
          <w:spacing w:val="-2"/>
        </w:rPr>
        <w:t xml:space="preserve"> </w:t>
      </w:r>
      <w:r>
        <w:t>to</w:t>
      </w:r>
      <w:r>
        <w:rPr>
          <w:spacing w:val="-2"/>
        </w:rPr>
        <w:t xml:space="preserve"> </w:t>
      </w:r>
      <w:r>
        <w:t>the</w:t>
      </w:r>
      <w:r>
        <w:rPr>
          <w:spacing w:val="-3"/>
        </w:rPr>
        <w:t xml:space="preserve"> </w:t>
      </w:r>
      <w:r>
        <w:rPr>
          <w:i/>
        </w:rPr>
        <w:t>Statement</w:t>
      </w:r>
      <w:r>
        <w:rPr>
          <w:i/>
          <w:spacing w:val="-2"/>
        </w:rPr>
        <w:t xml:space="preserve"> </w:t>
      </w:r>
      <w:r>
        <w:rPr>
          <w:i/>
        </w:rPr>
        <w:t>on</w:t>
      </w:r>
      <w:r>
        <w:rPr>
          <w:i/>
          <w:spacing w:val="-2"/>
        </w:rPr>
        <w:t xml:space="preserve"> </w:t>
      </w:r>
      <w:r>
        <w:rPr>
          <w:i/>
        </w:rPr>
        <w:t>the</w:t>
      </w:r>
      <w:r>
        <w:rPr>
          <w:i/>
          <w:spacing w:val="-2"/>
        </w:rPr>
        <w:t xml:space="preserve"> </w:t>
      </w:r>
      <w:r>
        <w:rPr>
          <w:i/>
        </w:rPr>
        <w:t>Conduct</w:t>
      </w:r>
      <w:r>
        <w:rPr>
          <w:i/>
          <w:spacing w:val="-2"/>
        </w:rPr>
        <w:t xml:space="preserve"> </w:t>
      </w:r>
      <w:r>
        <w:rPr>
          <w:i/>
        </w:rPr>
        <w:t>of</w:t>
      </w:r>
      <w:r>
        <w:rPr>
          <w:i/>
          <w:spacing w:val="-2"/>
        </w:rPr>
        <w:t xml:space="preserve"> </w:t>
      </w:r>
      <w:r>
        <w:rPr>
          <w:i/>
        </w:rPr>
        <w:t>Monetary</w:t>
      </w:r>
      <w:r>
        <w:rPr>
          <w:i/>
          <w:spacing w:val="-2"/>
        </w:rPr>
        <w:t xml:space="preserve"> </w:t>
      </w:r>
      <w:r>
        <w:rPr>
          <w:i/>
        </w:rPr>
        <w:t>Policy</w:t>
      </w:r>
      <w:r>
        <w:t>, and include that future versions be agreed between the Government and the Monetary Policy Board instead of the Governor</w:t>
      </w:r>
      <w:r w:rsidR="0068598E">
        <w:rPr>
          <w:spacing w:val="-9"/>
        </w:rPr>
        <w:t>.</w:t>
      </w:r>
    </w:p>
    <w:p w14:paraId="36CE8453" w14:textId="3B47134B" w:rsidR="003A476B" w:rsidRDefault="00BD19D5" w:rsidP="00BD19D5">
      <w:pPr>
        <w:pStyle w:val="Bullet"/>
        <w:numPr>
          <w:ilvl w:val="0"/>
          <w:numId w:val="0"/>
        </w:numPr>
        <w:rPr>
          <w:color w:val="231F20"/>
        </w:rPr>
      </w:pPr>
      <w:r>
        <w:rPr>
          <w:color w:val="231F20"/>
        </w:rPr>
        <w:t>These are updates to provide greater clarity about the approach to monetary policy. They should</w:t>
      </w:r>
      <w:r>
        <w:rPr>
          <w:color w:val="231F20"/>
          <w:spacing w:val="40"/>
        </w:rPr>
        <w:t xml:space="preserve"> </w:t>
      </w:r>
      <w:r>
        <w:rPr>
          <w:color w:val="231F20"/>
        </w:rPr>
        <w:t>be progressed during 2023, with an eye to finalising the agreement between the Government and the Reserve Bank Board by year end. This approach would reinforce the objective of continuity between the Reserve Bank Board and the new Monetary Policy Board, rather than waiting until the Monetary Policy Board commences in the second half of 2024.</w:t>
      </w:r>
    </w:p>
    <w:p w14:paraId="4597A580" w14:textId="77777777" w:rsidR="00994436" w:rsidRDefault="00994436" w:rsidP="00994436">
      <w:pPr>
        <w:pStyle w:val="Heading2"/>
      </w:pPr>
      <w:bookmarkStart w:id="65" w:name="_Toc134221035"/>
      <w:r>
        <w:t>Implementing</w:t>
      </w:r>
      <w:r>
        <w:rPr>
          <w:spacing w:val="-10"/>
        </w:rPr>
        <w:t xml:space="preserve"> </w:t>
      </w:r>
      <w:r>
        <w:t>the</w:t>
      </w:r>
      <w:r>
        <w:rPr>
          <w:spacing w:val="-10"/>
        </w:rPr>
        <w:t xml:space="preserve"> </w:t>
      </w:r>
      <w:r w:rsidRPr="00994436">
        <w:t>Review</w:t>
      </w:r>
      <w:r>
        <w:rPr>
          <w:spacing w:val="-10"/>
        </w:rPr>
        <w:t xml:space="preserve"> </w:t>
      </w:r>
      <w:r>
        <w:t>without</w:t>
      </w:r>
      <w:r>
        <w:rPr>
          <w:spacing w:val="-10"/>
        </w:rPr>
        <w:t xml:space="preserve"> </w:t>
      </w:r>
      <w:r>
        <w:t>legislation</w:t>
      </w:r>
      <w:bookmarkEnd w:id="65"/>
    </w:p>
    <w:p w14:paraId="6C411F98" w14:textId="260DE1B2" w:rsidR="00994436" w:rsidRDefault="00994436" w:rsidP="00994436">
      <w:r>
        <w:t>As noted, fully implementing the Review’s recommendations requires changes to the legislative framework. The Review considers that the benefits of strengthened monetary policy decision making, corporate governance and oversight outweigh the costs and risks of changing legislation</w:t>
      </w:r>
      <w:r w:rsidR="0068598E">
        <w:rPr>
          <w:spacing w:val="-23"/>
        </w:rPr>
        <w:t>.</w:t>
      </w:r>
    </w:p>
    <w:p w14:paraId="1965E915" w14:textId="5112AF32" w:rsidR="00994436" w:rsidRDefault="00994436" w:rsidP="00994436">
      <w:r>
        <w:t>The foundational pillars of an independent central bank conducting monetary policy, broad bipartisan support for the framework and a high degree of stability in the framework, are of absolute importance</w:t>
      </w:r>
      <w:r w:rsidR="0068598E">
        <w:rPr>
          <w:spacing w:val="-23"/>
        </w:rPr>
        <w:t>.</w:t>
      </w:r>
      <w:r>
        <w:rPr>
          <w:w w:val="85"/>
        </w:rPr>
        <w:t xml:space="preserve"> </w:t>
      </w:r>
      <w:r>
        <w:t>The Review does not support pursuing legislative changes if the process risks any of these foundational pillars.</w:t>
      </w:r>
    </w:p>
    <w:p w14:paraId="75AB7C9A" w14:textId="7BC3C6FF" w:rsidR="00994436" w:rsidRDefault="00994436" w:rsidP="00994436">
      <w:r>
        <w:t>The table below outlines how to achieve as much of the spirit of the Review’s recommendations as possible, without legislative change. Many of these approaches involve changes to the</w:t>
      </w:r>
      <w:r>
        <w:rPr>
          <w:spacing w:val="-1"/>
        </w:rPr>
        <w:t xml:space="preserve"> </w:t>
      </w:r>
      <w:r>
        <w:rPr>
          <w:i/>
        </w:rPr>
        <w:t xml:space="preserve">Statement on the Conduct of Monetary Policy </w:t>
      </w:r>
      <w:r>
        <w:t>rather than legislation</w:t>
      </w:r>
      <w:r w:rsidR="0068598E">
        <w:rPr>
          <w:spacing w:val="-14"/>
        </w:rPr>
        <w:t>.</w:t>
      </w:r>
    </w:p>
    <w:p w14:paraId="56ADA964" w14:textId="77777777" w:rsidR="005C66F0" w:rsidRDefault="005C66F0">
      <w:pPr>
        <w:spacing w:before="0" w:after="160" w:line="259" w:lineRule="auto"/>
        <w:rPr>
          <w:rFonts w:asciiTheme="majorHAnsi" w:hAnsiTheme="majorHAnsi" w:cs="Arial"/>
          <w:b/>
          <w:iCs/>
          <w:color w:val="1F4060"/>
          <w:kern w:val="32"/>
          <w:szCs w:val="36"/>
        </w:rPr>
      </w:pPr>
      <w:r>
        <w:rPr>
          <w:color w:val="1F4060"/>
        </w:rPr>
        <w:br w:type="page"/>
      </w:r>
    </w:p>
    <w:p w14:paraId="2DFCF418" w14:textId="00968135" w:rsidR="00095167" w:rsidRDefault="00095167" w:rsidP="005C66F0">
      <w:pPr>
        <w:pStyle w:val="BoxHeading"/>
        <w:rPr>
          <w:rFonts w:ascii="Open Sans"/>
          <w:b w:val="0"/>
          <w:sz w:val="18"/>
        </w:rPr>
      </w:pPr>
      <w:r>
        <w:lastRenderedPageBreak/>
        <w:t>Table</w:t>
      </w:r>
      <w:r>
        <w:rPr>
          <w:spacing w:val="-6"/>
        </w:rPr>
        <w:t xml:space="preserve"> </w:t>
      </w:r>
      <w:r>
        <w:t>7.1:</w:t>
      </w:r>
      <w:r>
        <w:rPr>
          <w:spacing w:val="-4"/>
        </w:rPr>
        <w:t xml:space="preserve"> </w:t>
      </w:r>
      <w:r>
        <w:t>Implementing</w:t>
      </w:r>
      <w:r>
        <w:rPr>
          <w:spacing w:val="-4"/>
        </w:rPr>
        <w:t xml:space="preserve"> </w:t>
      </w:r>
      <w:r>
        <w:t>the</w:t>
      </w:r>
      <w:r>
        <w:rPr>
          <w:spacing w:val="-4"/>
        </w:rPr>
        <w:t xml:space="preserve"> </w:t>
      </w:r>
      <w:r>
        <w:t>spirit</w:t>
      </w:r>
      <w:r>
        <w:rPr>
          <w:spacing w:val="-4"/>
        </w:rPr>
        <w:t xml:space="preserve"> </w:t>
      </w:r>
      <w:r>
        <w:t>of</w:t>
      </w:r>
      <w:r>
        <w:rPr>
          <w:spacing w:val="-4"/>
        </w:rPr>
        <w:t xml:space="preserve"> </w:t>
      </w:r>
      <w:r>
        <w:t>the</w:t>
      </w:r>
      <w:r>
        <w:rPr>
          <w:spacing w:val="-4"/>
        </w:rPr>
        <w:t xml:space="preserve"> </w:t>
      </w:r>
      <w:r>
        <w:t>recommendations,</w:t>
      </w:r>
      <w:r>
        <w:rPr>
          <w:spacing w:val="-4"/>
        </w:rPr>
        <w:t xml:space="preserve"> </w:t>
      </w:r>
      <w:r>
        <w:t>within</w:t>
      </w:r>
      <w:r>
        <w:rPr>
          <w:spacing w:val="-4"/>
        </w:rPr>
        <w:t xml:space="preserve"> </w:t>
      </w:r>
      <w:r>
        <w:t>the</w:t>
      </w:r>
      <w:r>
        <w:rPr>
          <w:spacing w:val="-3"/>
        </w:rPr>
        <w:t xml:space="preserve"> </w:t>
      </w:r>
      <w:r>
        <w:rPr>
          <w:spacing w:val="-2"/>
        </w:rPr>
        <w:t>current</w:t>
      </w:r>
      <w:r w:rsidR="005C66F0">
        <w:rPr>
          <w:spacing w:val="-2"/>
        </w:rPr>
        <w:t xml:space="preserve"> </w:t>
      </w:r>
      <w:r w:rsidRPr="005C66F0">
        <w:t>legislative</w:t>
      </w:r>
      <w:r>
        <w:rPr>
          <w:rFonts w:ascii="Open Sans"/>
          <w:color w:val="1F4060"/>
          <w:spacing w:val="4"/>
          <w:sz w:val="18"/>
        </w:rPr>
        <w:t xml:space="preserve"> </w:t>
      </w:r>
      <w:r w:rsidRPr="005C66F0">
        <w:t>framework</w:t>
      </w:r>
    </w:p>
    <w:p w14:paraId="5C2D0E77" w14:textId="77777777" w:rsidR="00095167" w:rsidRDefault="00095167" w:rsidP="00095167">
      <w:pPr>
        <w:pStyle w:val="BodyText"/>
        <w:spacing w:before="13"/>
        <w:rPr>
          <w:rFonts w:ascii="Open Sans"/>
          <w:b/>
          <w:sz w:val="14"/>
        </w:rPr>
      </w:pPr>
    </w:p>
    <w:tbl>
      <w:tblPr>
        <w:tblW w:w="7872" w:type="dxa"/>
        <w:tblInd w:w="344" w:type="dxa"/>
        <w:tblLayout w:type="fixed"/>
        <w:tblCellMar>
          <w:left w:w="0" w:type="dxa"/>
          <w:right w:w="0" w:type="dxa"/>
        </w:tblCellMar>
        <w:tblLook w:val="01E0" w:firstRow="1" w:lastRow="1" w:firstColumn="1" w:lastColumn="1" w:noHBand="0" w:noVBand="0"/>
      </w:tblPr>
      <w:tblGrid>
        <w:gridCol w:w="525"/>
        <w:gridCol w:w="5043"/>
        <w:gridCol w:w="2304"/>
      </w:tblGrid>
      <w:tr w:rsidR="00095167" w14:paraId="44598E7F" w14:textId="77777777" w:rsidTr="00BD0580">
        <w:trPr>
          <w:trHeight w:val="735"/>
        </w:trPr>
        <w:tc>
          <w:tcPr>
            <w:tcW w:w="5568" w:type="dxa"/>
            <w:gridSpan w:val="2"/>
            <w:tcBorders>
              <w:bottom w:val="single" w:sz="4" w:space="0" w:color="auto"/>
              <w:right w:val="single" w:sz="2" w:space="0" w:color="7F859B"/>
            </w:tcBorders>
          </w:tcPr>
          <w:p w14:paraId="4790CB97" w14:textId="77777777" w:rsidR="00095167" w:rsidRDefault="00095167" w:rsidP="00F22AE5">
            <w:pPr>
              <w:pStyle w:val="TableParagraph"/>
              <w:spacing w:before="115"/>
              <w:ind w:left="47"/>
              <w:rPr>
                <w:rFonts w:ascii="Open Sans"/>
                <w:b/>
                <w:sz w:val="18"/>
              </w:rPr>
            </w:pPr>
            <w:r>
              <w:rPr>
                <w:rFonts w:ascii="Open Sans"/>
                <w:b/>
                <w:color w:val="231F20"/>
                <w:spacing w:val="-2"/>
                <w:sz w:val="18"/>
              </w:rPr>
              <w:t>Recommendation</w:t>
            </w:r>
          </w:p>
        </w:tc>
        <w:tc>
          <w:tcPr>
            <w:tcW w:w="2304" w:type="dxa"/>
            <w:tcBorders>
              <w:left w:val="single" w:sz="2" w:space="0" w:color="7F859B"/>
              <w:bottom w:val="single" w:sz="4" w:space="0" w:color="auto"/>
            </w:tcBorders>
          </w:tcPr>
          <w:p w14:paraId="18DF29F6" w14:textId="77777777" w:rsidR="00095167" w:rsidRDefault="00095167" w:rsidP="00F22AE5">
            <w:pPr>
              <w:pStyle w:val="TableParagraph"/>
              <w:spacing w:before="127" w:line="225" w:lineRule="auto"/>
              <w:ind w:left="167"/>
              <w:rPr>
                <w:rFonts w:ascii="Open Sans"/>
                <w:b/>
                <w:sz w:val="18"/>
              </w:rPr>
            </w:pPr>
            <w:r>
              <w:rPr>
                <w:rFonts w:ascii="Open Sans"/>
                <w:b/>
                <w:color w:val="231F20"/>
                <w:sz w:val="18"/>
              </w:rPr>
              <w:t>Alternative</w:t>
            </w:r>
            <w:r>
              <w:rPr>
                <w:rFonts w:ascii="Open Sans"/>
                <w:b/>
                <w:color w:val="231F20"/>
                <w:spacing w:val="-12"/>
                <w:sz w:val="18"/>
              </w:rPr>
              <w:t xml:space="preserve"> </w:t>
            </w:r>
            <w:r>
              <w:rPr>
                <w:rFonts w:ascii="Open Sans"/>
                <w:b/>
                <w:color w:val="231F20"/>
                <w:sz w:val="18"/>
              </w:rPr>
              <w:t>approach, without legislation</w:t>
            </w:r>
          </w:p>
        </w:tc>
      </w:tr>
      <w:tr w:rsidR="00095167" w14:paraId="68B8A17E" w14:textId="77777777" w:rsidTr="00BD0580">
        <w:trPr>
          <w:trHeight w:val="679"/>
        </w:trPr>
        <w:tc>
          <w:tcPr>
            <w:tcW w:w="7872" w:type="dxa"/>
            <w:gridSpan w:val="3"/>
            <w:tcBorders>
              <w:top w:val="single" w:sz="4" w:space="0" w:color="auto"/>
            </w:tcBorders>
          </w:tcPr>
          <w:p w14:paraId="3ABC6698" w14:textId="77777777" w:rsidR="00095167" w:rsidRDefault="00095167" w:rsidP="00F22AE5">
            <w:pPr>
              <w:pStyle w:val="TableParagraph"/>
              <w:spacing w:before="156" w:line="225" w:lineRule="auto"/>
              <w:ind w:left="50" w:right="2898"/>
              <w:rPr>
                <w:rFonts w:ascii="Open Sans" w:hAnsi="Open Sans"/>
                <w:b/>
                <w:sz w:val="18"/>
              </w:rPr>
            </w:pPr>
            <w:r>
              <w:rPr>
                <w:rFonts w:ascii="Open Sans" w:hAnsi="Open Sans"/>
                <w:b/>
                <w:color w:val="231F20"/>
                <w:sz w:val="18"/>
              </w:rPr>
              <w:t>Recommendation</w:t>
            </w:r>
            <w:r>
              <w:rPr>
                <w:rFonts w:ascii="Open Sans" w:hAnsi="Open Sans"/>
                <w:b/>
                <w:color w:val="231F20"/>
                <w:spacing w:val="-4"/>
                <w:sz w:val="18"/>
              </w:rPr>
              <w:t xml:space="preserve"> </w:t>
            </w:r>
            <w:r>
              <w:rPr>
                <w:rFonts w:ascii="Open Sans" w:hAnsi="Open Sans"/>
                <w:b/>
                <w:color w:val="231F20"/>
                <w:sz w:val="18"/>
              </w:rPr>
              <w:t>1:</w:t>
            </w:r>
            <w:r>
              <w:rPr>
                <w:rFonts w:ascii="Open Sans" w:hAnsi="Open Sans"/>
                <w:b/>
                <w:color w:val="231F20"/>
                <w:spacing w:val="-4"/>
                <w:sz w:val="18"/>
              </w:rPr>
              <w:t xml:space="preserve"> </w:t>
            </w:r>
            <w:r>
              <w:rPr>
                <w:rFonts w:ascii="Open Sans" w:hAnsi="Open Sans"/>
                <w:b/>
                <w:color w:val="231F20"/>
                <w:sz w:val="18"/>
              </w:rPr>
              <w:t>Affirm</w:t>
            </w:r>
            <w:r>
              <w:rPr>
                <w:rFonts w:ascii="Open Sans" w:hAnsi="Open Sans"/>
                <w:b/>
                <w:color w:val="231F20"/>
                <w:spacing w:val="-4"/>
                <w:sz w:val="18"/>
              </w:rPr>
              <w:t xml:space="preserve"> </w:t>
            </w:r>
            <w:r>
              <w:rPr>
                <w:rFonts w:ascii="Open Sans" w:hAnsi="Open Sans"/>
                <w:b/>
                <w:color w:val="231F20"/>
                <w:sz w:val="18"/>
              </w:rPr>
              <w:t>the</w:t>
            </w:r>
            <w:r>
              <w:rPr>
                <w:rFonts w:ascii="Open Sans" w:hAnsi="Open Sans"/>
                <w:b/>
                <w:color w:val="231F20"/>
                <w:spacing w:val="-4"/>
                <w:sz w:val="18"/>
              </w:rPr>
              <w:t xml:space="preserve"> </w:t>
            </w:r>
            <w:r>
              <w:rPr>
                <w:rFonts w:ascii="Open Sans" w:hAnsi="Open Sans"/>
                <w:b/>
                <w:color w:val="231F20"/>
                <w:sz w:val="18"/>
              </w:rPr>
              <w:t>RBA’s</w:t>
            </w:r>
            <w:r>
              <w:rPr>
                <w:rFonts w:ascii="Open Sans" w:hAnsi="Open Sans"/>
                <w:b/>
                <w:color w:val="231F20"/>
                <w:spacing w:val="-4"/>
                <w:sz w:val="18"/>
              </w:rPr>
              <w:t xml:space="preserve"> </w:t>
            </w:r>
            <w:r>
              <w:rPr>
                <w:rFonts w:ascii="Open Sans" w:hAnsi="Open Sans"/>
                <w:b/>
                <w:color w:val="231F20"/>
                <w:sz w:val="18"/>
              </w:rPr>
              <w:t>independence and</w:t>
            </w:r>
            <w:r>
              <w:rPr>
                <w:rFonts w:ascii="Open Sans" w:hAnsi="Open Sans"/>
                <w:b/>
                <w:color w:val="231F20"/>
                <w:spacing w:val="4"/>
                <w:sz w:val="18"/>
              </w:rPr>
              <w:t xml:space="preserve"> </w:t>
            </w:r>
            <w:r>
              <w:rPr>
                <w:rFonts w:ascii="Open Sans" w:hAnsi="Open Sans"/>
                <w:b/>
                <w:color w:val="231F20"/>
                <w:sz w:val="18"/>
              </w:rPr>
              <w:t>clarify</w:t>
            </w:r>
            <w:r>
              <w:rPr>
                <w:rFonts w:ascii="Open Sans" w:hAnsi="Open Sans"/>
                <w:b/>
                <w:color w:val="231F20"/>
                <w:spacing w:val="5"/>
                <w:sz w:val="18"/>
              </w:rPr>
              <w:t xml:space="preserve"> </w:t>
            </w:r>
            <w:r>
              <w:rPr>
                <w:rFonts w:ascii="Open Sans" w:hAnsi="Open Sans"/>
                <w:b/>
                <w:color w:val="231F20"/>
                <w:sz w:val="18"/>
              </w:rPr>
              <w:t>its</w:t>
            </w:r>
            <w:r>
              <w:rPr>
                <w:rFonts w:ascii="Open Sans" w:hAnsi="Open Sans"/>
                <w:b/>
                <w:color w:val="231F20"/>
                <w:spacing w:val="5"/>
                <w:sz w:val="18"/>
              </w:rPr>
              <w:t xml:space="preserve"> </w:t>
            </w:r>
            <w:r>
              <w:rPr>
                <w:rFonts w:ascii="Open Sans" w:hAnsi="Open Sans"/>
                <w:b/>
                <w:color w:val="231F20"/>
                <w:sz w:val="18"/>
              </w:rPr>
              <w:t>statutory</w:t>
            </w:r>
            <w:r>
              <w:rPr>
                <w:rFonts w:ascii="Open Sans" w:hAnsi="Open Sans"/>
                <w:b/>
                <w:color w:val="231F20"/>
                <w:spacing w:val="5"/>
                <w:sz w:val="18"/>
              </w:rPr>
              <w:t xml:space="preserve"> </w:t>
            </w:r>
            <w:r>
              <w:rPr>
                <w:rFonts w:ascii="Open Sans" w:hAnsi="Open Sans"/>
                <w:b/>
                <w:color w:val="231F20"/>
                <w:sz w:val="18"/>
              </w:rPr>
              <w:t>monetary</w:t>
            </w:r>
            <w:r>
              <w:rPr>
                <w:rFonts w:ascii="Open Sans" w:hAnsi="Open Sans"/>
                <w:b/>
                <w:color w:val="231F20"/>
                <w:spacing w:val="5"/>
                <w:sz w:val="18"/>
              </w:rPr>
              <w:t xml:space="preserve"> </w:t>
            </w:r>
            <w:r>
              <w:rPr>
                <w:rFonts w:ascii="Open Sans" w:hAnsi="Open Sans"/>
                <w:b/>
                <w:color w:val="231F20"/>
                <w:sz w:val="18"/>
              </w:rPr>
              <w:t>policy</w:t>
            </w:r>
            <w:r>
              <w:rPr>
                <w:rFonts w:ascii="Open Sans" w:hAnsi="Open Sans"/>
                <w:b/>
                <w:color w:val="231F20"/>
                <w:spacing w:val="5"/>
                <w:sz w:val="18"/>
              </w:rPr>
              <w:t xml:space="preserve"> </w:t>
            </w:r>
            <w:r>
              <w:rPr>
                <w:rFonts w:ascii="Open Sans" w:hAnsi="Open Sans"/>
                <w:b/>
                <w:color w:val="231F20"/>
                <w:spacing w:val="-2"/>
                <w:sz w:val="18"/>
              </w:rPr>
              <w:t>objectives</w:t>
            </w:r>
          </w:p>
        </w:tc>
      </w:tr>
      <w:tr w:rsidR="00095167" w14:paraId="0F31FD29" w14:textId="77777777" w:rsidTr="00771EA6">
        <w:trPr>
          <w:trHeight w:val="1082"/>
        </w:trPr>
        <w:tc>
          <w:tcPr>
            <w:tcW w:w="525" w:type="dxa"/>
          </w:tcPr>
          <w:p w14:paraId="0E185B88" w14:textId="04C773D7" w:rsidR="00095167" w:rsidRDefault="00095167" w:rsidP="00F22AE5">
            <w:pPr>
              <w:pStyle w:val="TableParagraph"/>
              <w:spacing w:before="59"/>
              <w:ind w:left="50"/>
              <w:rPr>
                <w:sz w:val="18"/>
              </w:rPr>
            </w:pPr>
            <w:r>
              <w:rPr>
                <w:color w:val="231F20"/>
                <w:spacing w:val="-7"/>
                <w:w w:val="95"/>
                <w:sz w:val="18"/>
              </w:rPr>
              <w:t>1</w:t>
            </w:r>
            <w:r w:rsidR="0068598E">
              <w:rPr>
                <w:color w:val="231F20"/>
                <w:spacing w:val="-22"/>
                <w:w w:val="95"/>
                <w:sz w:val="18"/>
              </w:rPr>
              <w:t>.</w:t>
            </w:r>
            <w:r>
              <w:rPr>
                <w:color w:val="231F20"/>
                <w:spacing w:val="-5"/>
                <w:w w:val="121"/>
                <w:sz w:val="18"/>
              </w:rPr>
              <w:t>1</w:t>
            </w:r>
          </w:p>
        </w:tc>
        <w:tc>
          <w:tcPr>
            <w:tcW w:w="5043" w:type="dxa"/>
            <w:tcBorders>
              <w:right w:val="single" w:sz="2" w:space="0" w:color="7F859B"/>
            </w:tcBorders>
          </w:tcPr>
          <w:p w14:paraId="577C3471" w14:textId="75521338" w:rsidR="00095167" w:rsidRDefault="00095167" w:rsidP="005C66F0">
            <w:pPr>
              <w:pStyle w:val="TableParagraph"/>
              <w:spacing w:before="71" w:line="225" w:lineRule="auto"/>
              <w:ind w:right="238"/>
              <w:rPr>
                <w:sz w:val="18"/>
              </w:rPr>
            </w:pPr>
            <w:r>
              <w:rPr>
                <w:color w:val="231F20"/>
                <w:sz w:val="18"/>
              </w:rPr>
              <w:t>The RBA should continue to have operational independence for monetary policy. The Government should</w:t>
            </w:r>
            <w:r>
              <w:rPr>
                <w:color w:val="231F20"/>
                <w:spacing w:val="-5"/>
                <w:sz w:val="18"/>
              </w:rPr>
              <w:t xml:space="preserve"> </w:t>
            </w:r>
            <w:r>
              <w:rPr>
                <w:color w:val="231F20"/>
                <w:sz w:val="18"/>
              </w:rPr>
              <w:t>remove</w:t>
            </w:r>
            <w:r>
              <w:rPr>
                <w:color w:val="231F20"/>
                <w:spacing w:val="-5"/>
                <w:sz w:val="18"/>
              </w:rPr>
              <w:t xml:space="preserve"> </w:t>
            </w:r>
            <w:r>
              <w:rPr>
                <w:color w:val="231F20"/>
                <w:sz w:val="18"/>
              </w:rPr>
              <w:t>the</w:t>
            </w:r>
            <w:r>
              <w:rPr>
                <w:color w:val="231F20"/>
                <w:spacing w:val="-5"/>
                <w:sz w:val="18"/>
              </w:rPr>
              <w:t xml:space="preserve"> </w:t>
            </w:r>
            <w:r>
              <w:rPr>
                <w:color w:val="231F20"/>
                <w:sz w:val="18"/>
              </w:rPr>
              <w:t>power</w:t>
            </w:r>
            <w:r>
              <w:rPr>
                <w:color w:val="231F20"/>
                <w:spacing w:val="-5"/>
                <w:sz w:val="18"/>
              </w:rPr>
              <w:t xml:space="preserve"> </w:t>
            </w:r>
            <w:r>
              <w:rPr>
                <w:color w:val="231F20"/>
                <w:sz w:val="18"/>
              </w:rPr>
              <w:t>of</w:t>
            </w:r>
            <w:r>
              <w:rPr>
                <w:color w:val="231F20"/>
                <w:spacing w:val="-5"/>
                <w:sz w:val="18"/>
              </w:rPr>
              <w:t xml:space="preserve"> </w:t>
            </w:r>
            <w:r>
              <w:rPr>
                <w:color w:val="231F20"/>
                <w:sz w:val="18"/>
              </w:rPr>
              <w:t>the</w:t>
            </w:r>
            <w:r>
              <w:rPr>
                <w:color w:val="231F20"/>
                <w:spacing w:val="-5"/>
                <w:sz w:val="18"/>
              </w:rPr>
              <w:t xml:space="preserve"> </w:t>
            </w:r>
            <w:r>
              <w:rPr>
                <w:color w:val="231F20"/>
                <w:sz w:val="18"/>
              </w:rPr>
              <w:t>Treasurer</w:t>
            </w:r>
            <w:r>
              <w:rPr>
                <w:color w:val="231F20"/>
                <w:spacing w:val="-5"/>
                <w:sz w:val="18"/>
              </w:rPr>
              <w:t xml:space="preserve"> </w:t>
            </w:r>
            <w:r>
              <w:rPr>
                <w:color w:val="231F20"/>
                <w:sz w:val="18"/>
              </w:rPr>
              <w:t>to</w:t>
            </w:r>
            <w:r>
              <w:rPr>
                <w:color w:val="231F20"/>
                <w:spacing w:val="-5"/>
                <w:sz w:val="18"/>
              </w:rPr>
              <w:t xml:space="preserve"> </w:t>
            </w:r>
            <w:r>
              <w:rPr>
                <w:color w:val="231F20"/>
                <w:sz w:val="18"/>
              </w:rPr>
              <w:t>overrule the RBA’s decisions</w:t>
            </w:r>
            <w:r w:rsidR="0068598E">
              <w:rPr>
                <w:color w:val="231F20"/>
                <w:spacing w:val="-11"/>
                <w:sz w:val="18"/>
              </w:rPr>
              <w:t>.</w:t>
            </w:r>
          </w:p>
        </w:tc>
        <w:tc>
          <w:tcPr>
            <w:tcW w:w="2304" w:type="dxa"/>
            <w:vMerge w:val="restart"/>
            <w:tcBorders>
              <w:left w:val="single" w:sz="2" w:space="0" w:color="7F859B"/>
            </w:tcBorders>
          </w:tcPr>
          <w:p w14:paraId="52F4AA31" w14:textId="77777777" w:rsidR="00095167" w:rsidRDefault="00095167" w:rsidP="00F22AE5">
            <w:pPr>
              <w:pStyle w:val="TableParagraph"/>
              <w:spacing w:before="71" w:line="225" w:lineRule="auto"/>
              <w:ind w:left="167" w:right="96"/>
              <w:rPr>
                <w:sz w:val="18"/>
              </w:rPr>
            </w:pPr>
            <w:r>
              <w:rPr>
                <w:color w:val="231F20"/>
                <w:sz w:val="18"/>
              </w:rPr>
              <w:t>The</w:t>
            </w:r>
            <w:r>
              <w:rPr>
                <w:color w:val="231F20"/>
                <w:spacing w:val="-6"/>
                <w:sz w:val="18"/>
              </w:rPr>
              <w:t xml:space="preserve"> </w:t>
            </w:r>
            <w:r>
              <w:rPr>
                <w:color w:val="231F20"/>
                <w:sz w:val="18"/>
              </w:rPr>
              <w:t>Government</w:t>
            </w:r>
            <w:r>
              <w:rPr>
                <w:color w:val="231F20"/>
                <w:spacing w:val="-6"/>
                <w:sz w:val="18"/>
              </w:rPr>
              <w:t xml:space="preserve"> </w:t>
            </w:r>
            <w:r>
              <w:rPr>
                <w:color w:val="231F20"/>
                <w:sz w:val="18"/>
              </w:rPr>
              <w:t>and</w:t>
            </w:r>
            <w:r>
              <w:rPr>
                <w:color w:val="231F20"/>
                <w:spacing w:val="-6"/>
                <w:sz w:val="18"/>
              </w:rPr>
              <w:t xml:space="preserve"> </w:t>
            </w:r>
            <w:r>
              <w:rPr>
                <w:color w:val="231F20"/>
                <w:sz w:val="18"/>
              </w:rPr>
              <w:t xml:space="preserve">the RBA should clarify these issues in the </w:t>
            </w:r>
            <w:r>
              <w:rPr>
                <w:i/>
                <w:color w:val="231F20"/>
                <w:sz w:val="18"/>
              </w:rPr>
              <w:t>Statement</w:t>
            </w:r>
            <w:r>
              <w:rPr>
                <w:i/>
                <w:color w:val="231F20"/>
                <w:spacing w:val="40"/>
                <w:sz w:val="18"/>
              </w:rPr>
              <w:t xml:space="preserve"> </w:t>
            </w:r>
            <w:r>
              <w:rPr>
                <w:i/>
                <w:color w:val="231F20"/>
                <w:sz w:val="18"/>
              </w:rPr>
              <w:t>on the Conduct of Monetary</w:t>
            </w:r>
            <w:r>
              <w:rPr>
                <w:i/>
                <w:color w:val="231F20"/>
                <w:spacing w:val="-9"/>
                <w:sz w:val="18"/>
              </w:rPr>
              <w:t xml:space="preserve"> </w:t>
            </w:r>
            <w:r>
              <w:rPr>
                <w:i/>
                <w:color w:val="231F20"/>
                <w:sz w:val="18"/>
              </w:rPr>
              <w:t>Policy</w:t>
            </w:r>
            <w:r>
              <w:rPr>
                <w:color w:val="231F20"/>
                <w:sz w:val="18"/>
              </w:rPr>
              <w:t>,</w:t>
            </w:r>
            <w:r>
              <w:rPr>
                <w:color w:val="231F20"/>
                <w:spacing w:val="-9"/>
                <w:sz w:val="18"/>
              </w:rPr>
              <w:t xml:space="preserve"> </w:t>
            </w:r>
            <w:r>
              <w:rPr>
                <w:color w:val="231F20"/>
                <w:sz w:val="18"/>
              </w:rPr>
              <w:t>including a statement that the Government will not use its overrule power and the RBA will not use its power to determine the lending policy of banks.</w:t>
            </w:r>
          </w:p>
        </w:tc>
      </w:tr>
      <w:tr w:rsidR="00095167" w14:paraId="112866E1" w14:textId="77777777" w:rsidTr="00771EA6">
        <w:trPr>
          <w:trHeight w:val="2257"/>
        </w:trPr>
        <w:tc>
          <w:tcPr>
            <w:tcW w:w="525" w:type="dxa"/>
          </w:tcPr>
          <w:p w14:paraId="0BC9BBD4" w14:textId="7CE73D44" w:rsidR="00095167" w:rsidRDefault="00095167" w:rsidP="00F22AE5">
            <w:pPr>
              <w:pStyle w:val="TableParagraph"/>
              <w:spacing w:before="88"/>
              <w:ind w:left="50"/>
              <w:rPr>
                <w:sz w:val="18"/>
              </w:rPr>
            </w:pPr>
            <w:r>
              <w:rPr>
                <w:color w:val="231F20"/>
                <w:spacing w:val="-7"/>
                <w:w w:val="95"/>
                <w:sz w:val="18"/>
              </w:rPr>
              <w:t>1</w:t>
            </w:r>
            <w:r w:rsidR="0068598E">
              <w:rPr>
                <w:color w:val="231F20"/>
                <w:spacing w:val="-22"/>
                <w:w w:val="95"/>
                <w:sz w:val="18"/>
              </w:rPr>
              <w:t>.</w:t>
            </w:r>
            <w:r>
              <w:rPr>
                <w:color w:val="231F20"/>
                <w:spacing w:val="-5"/>
                <w:w w:val="121"/>
                <w:sz w:val="18"/>
              </w:rPr>
              <w:t>2</w:t>
            </w:r>
          </w:p>
        </w:tc>
        <w:tc>
          <w:tcPr>
            <w:tcW w:w="5043" w:type="dxa"/>
            <w:tcBorders>
              <w:right w:val="single" w:sz="2" w:space="0" w:color="7F859B"/>
            </w:tcBorders>
          </w:tcPr>
          <w:p w14:paraId="553774C1" w14:textId="77777777" w:rsidR="00095167" w:rsidRDefault="00095167" w:rsidP="005C66F0">
            <w:pPr>
              <w:pStyle w:val="TableParagraph"/>
              <w:spacing w:before="99" w:line="225" w:lineRule="auto"/>
              <w:ind w:right="238"/>
              <w:rPr>
                <w:sz w:val="18"/>
              </w:rPr>
            </w:pPr>
            <w:r>
              <w:rPr>
                <w:color w:val="231F20"/>
                <w:sz w:val="18"/>
              </w:rPr>
              <w:t xml:space="preserve">The Government should amend the </w:t>
            </w:r>
            <w:r>
              <w:rPr>
                <w:i/>
                <w:color w:val="231F20"/>
                <w:sz w:val="18"/>
              </w:rPr>
              <w:t xml:space="preserve">Reserve Bank Act 1959 </w:t>
            </w:r>
            <w:r>
              <w:rPr>
                <w:color w:val="231F20"/>
                <w:sz w:val="18"/>
              </w:rPr>
              <w:t>such that:</w:t>
            </w:r>
          </w:p>
          <w:p w14:paraId="4B86E78E" w14:textId="77777777" w:rsidR="00095167" w:rsidRDefault="00095167" w:rsidP="0000278A">
            <w:pPr>
              <w:pStyle w:val="TableParagraph"/>
              <w:numPr>
                <w:ilvl w:val="0"/>
                <w:numId w:val="13"/>
              </w:numPr>
              <w:tabs>
                <w:tab w:val="left" w:pos="458"/>
              </w:tabs>
              <w:spacing w:before="113" w:line="225" w:lineRule="auto"/>
              <w:ind w:right="282"/>
              <w:rPr>
                <w:sz w:val="18"/>
              </w:rPr>
            </w:pPr>
            <w:r>
              <w:rPr>
                <w:color w:val="231F20"/>
                <w:sz w:val="18"/>
              </w:rPr>
              <w:t>The RBA has dual monetary policy objectives of price stability and full employment.</w:t>
            </w:r>
          </w:p>
          <w:p w14:paraId="116E0B74" w14:textId="77777777" w:rsidR="00095167" w:rsidRDefault="00095167" w:rsidP="0000278A">
            <w:pPr>
              <w:pStyle w:val="TableParagraph"/>
              <w:numPr>
                <w:ilvl w:val="0"/>
                <w:numId w:val="13"/>
              </w:numPr>
              <w:tabs>
                <w:tab w:val="left" w:pos="458"/>
              </w:tabs>
              <w:spacing w:before="112" w:line="225" w:lineRule="auto"/>
              <w:ind w:right="270"/>
              <w:rPr>
                <w:sz w:val="18"/>
              </w:rPr>
            </w:pPr>
            <w:r>
              <w:rPr>
                <w:color w:val="231F20"/>
                <w:sz w:val="18"/>
              </w:rPr>
              <w:t>The ‘economic prosperity and welfare of the people</w:t>
            </w:r>
            <w:r>
              <w:rPr>
                <w:color w:val="231F20"/>
                <w:spacing w:val="40"/>
                <w:sz w:val="18"/>
              </w:rPr>
              <w:t xml:space="preserve"> </w:t>
            </w:r>
            <w:r>
              <w:rPr>
                <w:color w:val="231F20"/>
                <w:sz w:val="18"/>
              </w:rPr>
              <w:t>of Australia now and in the future’ is an overarching purpose for the RBA rather than a separate objective for monetary policy.</w:t>
            </w:r>
          </w:p>
        </w:tc>
        <w:tc>
          <w:tcPr>
            <w:tcW w:w="2304" w:type="dxa"/>
            <w:vMerge/>
            <w:tcBorders>
              <w:top w:val="nil"/>
              <w:left w:val="single" w:sz="2" w:space="0" w:color="7F859B"/>
            </w:tcBorders>
          </w:tcPr>
          <w:p w14:paraId="45BA24F3" w14:textId="77777777" w:rsidR="00095167" w:rsidRDefault="00095167" w:rsidP="00F22AE5">
            <w:pPr>
              <w:rPr>
                <w:sz w:val="2"/>
                <w:szCs w:val="2"/>
              </w:rPr>
            </w:pPr>
          </w:p>
        </w:tc>
      </w:tr>
      <w:tr w:rsidR="00095167" w14:paraId="5A3E0CE2" w14:textId="77777777" w:rsidTr="00771EA6">
        <w:trPr>
          <w:trHeight w:val="853"/>
        </w:trPr>
        <w:tc>
          <w:tcPr>
            <w:tcW w:w="525" w:type="dxa"/>
          </w:tcPr>
          <w:p w14:paraId="55FF8F18" w14:textId="2CFE3184" w:rsidR="00095167" w:rsidRDefault="00095167" w:rsidP="00F22AE5">
            <w:pPr>
              <w:pStyle w:val="TableParagraph"/>
              <w:spacing w:before="88"/>
              <w:ind w:left="50"/>
              <w:rPr>
                <w:sz w:val="18"/>
              </w:rPr>
            </w:pPr>
            <w:r>
              <w:rPr>
                <w:color w:val="231F20"/>
                <w:spacing w:val="-7"/>
                <w:w w:val="95"/>
                <w:sz w:val="18"/>
              </w:rPr>
              <w:t>1</w:t>
            </w:r>
            <w:r w:rsidR="0068598E">
              <w:rPr>
                <w:color w:val="231F20"/>
                <w:spacing w:val="-22"/>
                <w:w w:val="95"/>
                <w:sz w:val="18"/>
              </w:rPr>
              <w:t>.</w:t>
            </w:r>
            <w:r>
              <w:rPr>
                <w:color w:val="231F20"/>
                <w:spacing w:val="-5"/>
                <w:w w:val="121"/>
                <w:sz w:val="18"/>
              </w:rPr>
              <w:t>3</w:t>
            </w:r>
          </w:p>
        </w:tc>
        <w:tc>
          <w:tcPr>
            <w:tcW w:w="5043" w:type="dxa"/>
            <w:tcBorders>
              <w:right w:val="single" w:sz="2" w:space="0" w:color="7F859B"/>
            </w:tcBorders>
          </w:tcPr>
          <w:p w14:paraId="48215EE4" w14:textId="77777777" w:rsidR="00095167" w:rsidRDefault="00095167" w:rsidP="005C66F0">
            <w:pPr>
              <w:pStyle w:val="TableParagraph"/>
              <w:spacing w:before="99" w:line="225" w:lineRule="auto"/>
              <w:ind w:right="808"/>
              <w:jc w:val="both"/>
              <w:rPr>
                <w:sz w:val="18"/>
              </w:rPr>
            </w:pPr>
            <w:r>
              <w:rPr>
                <w:color w:val="231F20"/>
                <w:sz w:val="18"/>
              </w:rPr>
              <w:t>The</w:t>
            </w:r>
            <w:r>
              <w:rPr>
                <w:color w:val="231F20"/>
                <w:spacing w:val="-3"/>
                <w:sz w:val="18"/>
              </w:rPr>
              <w:t xml:space="preserve"> </w:t>
            </w:r>
            <w:r>
              <w:rPr>
                <w:color w:val="231F20"/>
                <w:sz w:val="18"/>
              </w:rPr>
              <w:t>Government</w:t>
            </w:r>
            <w:r>
              <w:rPr>
                <w:color w:val="231F20"/>
                <w:spacing w:val="-3"/>
                <w:sz w:val="18"/>
              </w:rPr>
              <w:t xml:space="preserve"> </w:t>
            </w:r>
            <w:r>
              <w:rPr>
                <w:color w:val="231F20"/>
                <w:sz w:val="18"/>
              </w:rPr>
              <w:t>should</w:t>
            </w:r>
            <w:r>
              <w:rPr>
                <w:color w:val="231F20"/>
                <w:spacing w:val="-3"/>
                <w:sz w:val="18"/>
              </w:rPr>
              <w:t xml:space="preserve"> </w:t>
            </w:r>
            <w:r>
              <w:rPr>
                <w:color w:val="231F20"/>
                <w:sz w:val="18"/>
              </w:rPr>
              <w:t>remove</w:t>
            </w:r>
            <w:r>
              <w:rPr>
                <w:color w:val="231F20"/>
                <w:spacing w:val="-3"/>
                <w:sz w:val="18"/>
              </w:rPr>
              <w:t xml:space="preserve"> </w:t>
            </w:r>
            <w:r>
              <w:rPr>
                <w:color w:val="231F20"/>
                <w:sz w:val="18"/>
              </w:rPr>
              <w:t>the</w:t>
            </w:r>
            <w:r>
              <w:rPr>
                <w:color w:val="231F20"/>
                <w:spacing w:val="-3"/>
                <w:sz w:val="18"/>
              </w:rPr>
              <w:t xml:space="preserve"> </w:t>
            </w:r>
            <w:r>
              <w:rPr>
                <w:color w:val="231F20"/>
                <w:sz w:val="18"/>
              </w:rPr>
              <w:t>RBA’s</w:t>
            </w:r>
            <w:r>
              <w:rPr>
                <w:color w:val="231F20"/>
                <w:spacing w:val="-3"/>
                <w:sz w:val="18"/>
              </w:rPr>
              <w:t xml:space="preserve"> </w:t>
            </w:r>
            <w:r>
              <w:rPr>
                <w:color w:val="231F20"/>
                <w:sz w:val="18"/>
              </w:rPr>
              <w:t>power (in</w:t>
            </w:r>
            <w:r>
              <w:rPr>
                <w:color w:val="231F20"/>
                <w:spacing w:val="-4"/>
                <w:sz w:val="18"/>
              </w:rPr>
              <w:t xml:space="preserve"> </w:t>
            </w:r>
            <w:r>
              <w:rPr>
                <w:color w:val="231F20"/>
                <w:sz w:val="18"/>
              </w:rPr>
              <w:t>the</w:t>
            </w:r>
            <w:r>
              <w:rPr>
                <w:color w:val="231F20"/>
                <w:spacing w:val="-4"/>
                <w:sz w:val="18"/>
              </w:rPr>
              <w:t xml:space="preserve"> </w:t>
            </w:r>
            <w:r>
              <w:rPr>
                <w:i/>
                <w:color w:val="231F20"/>
                <w:sz w:val="18"/>
              </w:rPr>
              <w:t>Banking</w:t>
            </w:r>
            <w:r>
              <w:rPr>
                <w:i/>
                <w:color w:val="231F20"/>
                <w:spacing w:val="-4"/>
                <w:sz w:val="18"/>
              </w:rPr>
              <w:t xml:space="preserve"> </w:t>
            </w:r>
            <w:r>
              <w:rPr>
                <w:i/>
                <w:color w:val="231F20"/>
                <w:sz w:val="18"/>
              </w:rPr>
              <w:t>Act</w:t>
            </w:r>
            <w:r>
              <w:rPr>
                <w:i/>
                <w:color w:val="231F20"/>
                <w:spacing w:val="-4"/>
                <w:sz w:val="18"/>
              </w:rPr>
              <w:t xml:space="preserve"> </w:t>
            </w:r>
            <w:r>
              <w:rPr>
                <w:i/>
                <w:color w:val="231F20"/>
                <w:sz w:val="18"/>
              </w:rPr>
              <w:t>1959</w:t>
            </w:r>
            <w:r>
              <w:rPr>
                <w:color w:val="231F20"/>
                <w:sz w:val="18"/>
              </w:rPr>
              <w:t>)</w:t>
            </w:r>
            <w:r>
              <w:rPr>
                <w:color w:val="231F20"/>
                <w:spacing w:val="-4"/>
                <w:sz w:val="18"/>
              </w:rPr>
              <w:t xml:space="preserve"> </w:t>
            </w:r>
            <w:r>
              <w:rPr>
                <w:color w:val="231F20"/>
                <w:sz w:val="18"/>
              </w:rPr>
              <w:t>to</w:t>
            </w:r>
            <w:r>
              <w:rPr>
                <w:color w:val="231F20"/>
                <w:spacing w:val="-4"/>
                <w:sz w:val="18"/>
              </w:rPr>
              <w:t xml:space="preserve"> </w:t>
            </w:r>
            <w:r>
              <w:rPr>
                <w:color w:val="231F20"/>
                <w:sz w:val="18"/>
              </w:rPr>
              <w:t>determine</w:t>
            </w:r>
            <w:r>
              <w:rPr>
                <w:color w:val="231F20"/>
                <w:spacing w:val="-4"/>
                <w:sz w:val="18"/>
              </w:rPr>
              <w:t xml:space="preserve"> </w:t>
            </w:r>
            <w:r>
              <w:rPr>
                <w:color w:val="231F20"/>
                <w:sz w:val="18"/>
              </w:rPr>
              <w:t>the</w:t>
            </w:r>
            <w:r>
              <w:rPr>
                <w:color w:val="231F20"/>
                <w:spacing w:val="-4"/>
                <w:sz w:val="18"/>
              </w:rPr>
              <w:t xml:space="preserve"> </w:t>
            </w:r>
            <w:r>
              <w:rPr>
                <w:color w:val="231F20"/>
                <w:sz w:val="18"/>
              </w:rPr>
              <w:t>lending policy of banks.</w:t>
            </w:r>
          </w:p>
        </w:tc>
        <w:tc>
          <w:tcPr>
            <w:tcW w:w="2304" w:type="dxa"/>
            <w:tcBorders>
              <w:left w:val="single" w:sz="2" w:space="0" w:color="7F859B"/>
            </w:tcBorders>
          </w:tcPr>
          <w:p w14:paraId="43421C22" w14:textId="77777777" w:rsidR="00095167" w:rsidRDefault="00095167" w:rsidP="00F22AE5">
            <w:pPr>
              <w:pStyle w:val="TableParagraph"/>
              <w:rPr>
                <w:rFonts w:ascii="Times New Roman"/>
                <w:sz w:val="18"/>
              </w:rPr>
            </w:pPr>
          </w:p>
        </w:tc>
      </w:tr>
      <w:tr w:rsidR="005C66F0" w14:paraId="1735161B" w14:textId="77777777" w:rsidTr="00771EA6">
        <w:trPr>
          <w:trHeight w:val="853"/>
        </w:trPr>
        <w:tc>
          <w:tcPr>
            <w:tcW w:w="7872" w:type="dxa"/>
            <w:gridSpan w:val="3"/>
          </w:tcPr>
          <w:p w14:paraId="4F140054" w14:textId="77777777" w:rsidR="005C66F0" w:rsidRDefault="005C66F0" w:rsidP="00F22AE5">
            <w:pPr>
              <w:pStyle w:val="TableParagraph"/>
              <w:rPr>
                <w:rFonts w:ascii="Open Sans" w:hAnsi="Open Sans"/>
                <w:b/>
                <w:color w:val="231F20"/>
                <w:sz w:val="18"/>
              </w:rPr>
            </w:pPr>
          </w:p>
          <w:p w14:paraId="6B578278" w14:textId="46734467" w:rsidR="005C66F0" w:rsidRDefault="005C66F0" w:rsidP="00F22AE5">
            <w:pPr>
              <w:pStyle w:val="TableParagraph"/>
              <w:rPr>
                <w:rFonts w:ascii="Times New Roman"/>
                <w:sz w:val="18"/>
              </w:rPr>
            </w:pPr>
            <w:r>
              <w:rPr>
                <w:rFonts w:ascii="Open Sans" w:hAnsi="Open Sans"/>
                <w:b/>
                <w:color w:val="231F20"/>
                <w:sz w:val="18"/>
              </w:rPr>
              <w:t>Recommendation</w:t>
            </w:r>
            <w:r>
              <w:rPr>
                <w:rFonts w:ascii="Open Sans" w:hAnsi="Open Sans"/>
                <w:b/>
                <w:color w:val="231F20"/>
                <w:spacing w:val="-3"/>
                <w:sz w:val="18"/>
              </w:rPr>
              <w:t xml:space="preserve"> </w:t>
            </w:r>
            <w:r>
              <w:rPr>
                <w:rFonts w:ascii="Open Sans" w:hAnsi="Open Sans"/>
                <w:b/>
                <w:color w:val="231F20"/>
                <w:sz w:val="18"/>
              </w:rPr>
              <w:t>5:</w:t>
            </w:r>
            <w:r>
              <w:rPr>
                <w:rFonts w:ascii="Open Sans" w:hAnsi="Open Sans"/>
                <w:b/>
                <w:color w:val="231F20"/>
                <w:spacing w:val="-3"/>
                <w:sz w:val="18"/>
              </w:rPr>
              <w:t xml:space="preserve"> </w:t>
            </w:r>
            <w:r>
              <w:rPr>
                <w:rFonts w:ascii="Open Sans" w:hAnsi="Open Sans"/>
                <w:b/>
                <w:color w:val="231F20"/>
                <w:sz w:val="18"/>
              </w:rPr>
              <w:t>Legislate</w:t>
            </w:r>
            <w:r>
              <w:rPr>
                <w:rFonts w:ascii="Open Sans" w:hAnsi="Open Sans"/>
                <w:b/>
                <w:color w:val="231F20"/>
                <w:spacing w:val="-3"/>
                <w:sz w:val="18"/>
              </w:rPr>
              <w:t xml:space="preserve"> </w:t>
            </w:r>
            <w:r>
              <w:rPr>
                <w:rFonts w:ascii="Open Sans" w:hAnsi="Open Sans"/>
                <w:b/>
                <w:color w:val="231F20"/>
                <w:sz w:val="18"/>
              </w:rPr>
              <w:t>the</w:t>
            </w:r>
            <w:r>
              <w:rPr>
                <w:rFonts w:ascii="Open Sans" w:hAnsi="Open Sans"/>
                <w:b/>
                <w:color w:val="231F20"/>
                <w:spacing w:val="-3"/>
                <w:sz w:val="18"/>
              </w:rPr>
              <w:t xml:space="preserve"> </w:t>
            </w:r>
            <w:r>
              <w:rPr>
                <w:rFonts w:ascii="Open Sans" w:hAnsi="Open Sans"/>
                <w:b/>
                <w:color w:val="231F20"/>
                <w:sz w:val="18"/>
              </w:rPr>
              <w:t>RBA’s</w:t>
            </w:r>
            <w:r>
              <w:rPr>
                <w:rFonts w:ascii="Open Sans" w:hAnsi="Open Sans"/>
                <w:b/>
                <w:color w:val="231F20"/>
                <w:spacing w:val="-3"/>
                <w:sz w:val="18"/>
              </w:rPr>
              <w:t xml:space="preserve"> </w:t>
            </w:r>
            <w:r>
              <w:rPr>
                <w:rFonts w:ascii="Open Sans" w:hAnsi="Open Sans"/>
                <w:b/>
                <w:color w:val="231F20"/>
                <w:sz w:val="18"/>
              </w:rPr>
              <w:t>financial stability role</w:t>
            </w:r>
          </w:p>
        </w:tc>
      </w:tr>
      <w:tr w:rsidR="005C66F0" w14:paraId="4282A5A1" w14:textId="77777777" w:rsidTr="00771EA6">
        <w:trPr>
          <w:trHeight w:val="853"/>
        </w:trPr>
        <w:tc>
          <w:tcPr>
            <w:tcW w:w="525" w:type="dxa"/>
          </w:tcPr>
          <w:p w14:paraId="656B2EC6" w14:textId="566604B1" w:rsidR="005C66F0" w:rsidRDefault="005C66F0" w:rsidP="005C66F0">
            <w:pPr>
              <w:pStyle w:val="TableParagraph"/>
              <w:spacing w:before="88"/>
              <w:ind w:left="50"/>
              <w:rPr>
                <w:color w:val="231F20"/>
                <w:spacing w:val="-7"/>
                <w:w w:val="95"/>
                <w:sz w:val="18"/>
              </w:rPr>
            </w:pPr>
            <w:r>
              <w:rPr>
                <w:color w:val="231F20"/>
                <w:w w:val="95"/>
                <w:sz w:val="18"/>
              </w:rPr>
              <w:t>5</w:t>
            </w:r>
            <w:r w:rsidR="0068598E">
              <w:rPr>
                <w:color w:val="231F20"/>
                <w:spacing w:val="-18"/>
                <w:w w:val="95"/>
                <w:sz w:val="18"/>
              </w:rPr>
              <w:t>.</w:t>
            </w:r>
            <w:r>
              <w:rPr>
                <w:color w:val="231F20"/>
                <w:spacing w:val="-7"/>
                <w:w w:val="121"/>
                <w:sz w:val="18"/>
              </w:rPr>
              <w:t>1</w:t>
            </w:r>
          </w:p>
        </w:tc>
        <w:tc>
          <w:tcPr>
            <w:tcW w:w="5043" w:type="dxa"/>
            <w:tcBorders>
              <w:right w:val="single" w:sz="2" w:space="0" w:color="7F859B"/>
            </w:tcBorders>
          </w:tcPr>
          <w:p w14:paraId="5BEE5B3D" w14:textId="01328972" w:rsidR="005C66F0" w:rsidRDefault="005C66F0" w:rsidP="005C66F0">
            <w:pPr>
              <w:pStyle w:val="TableParagraph"/>
              <w:spacing w:before="71" w:line="225" w:lineRule="auto"/>
              <w:ind w:right="766"/>
              <w:rPr>
                <w:color w:val="231F20"/>
                <w:sz w:val="18"/>
              </w:rPr>
            </w:pPr>
            <w:r>
              <w:rPr>
                <w:color w:val="231F20"/>
                <w:sz w:val="18"/>
              </w:rPr>
              <w:t xml:space="preserve">The Government should specify in the </w:t>
            </w:r>
            <w:r>
              <w:rPr>
                <w:i/>
                <w:color w:val="231F20"/>
                <w:sz w:val="18"/>
              </w:rPr>
              <w:t>Reserve Bank</w:t>
            </w:r>
            <w:r>
              <w:rPr>
                <w:i/>
                <w:color w:val="231F20"/>
                <w:spacing w:val="-4"/>
                <w:sz w:val="18"/>
              </w:rPr>
              <w:t xml:space="preserve"> </w:t>
            </w:r>
            <w:r>
              <w:rPr>
                <w:i/>
                <w:color w:val="231F20"/>
                <w:sz w:val="18"/>
              </w:rPr>
              <w:t>Act</w:t>
            </w:r>
            <w:r>
              <w:rPr>
                <w:i/>
                <w:color w:val="231F20"/>
                <w:spacing w:val="-4"/>
                <w:sz w:val="18"/>
              </w:rPr>
              <w:t xml:space="preserve"> </w:t>
            </w:r>
            <w:r>
              <w:rPr>
                <w:i/>
                <w:color w:val="231F20"/>
                <w:sz w:val="18"/>
              </w:rPr>
              <w:t>1959</w:t>
            </w:r>
            <w:r>
              <w:rPr>
                <w:i/>
                <w:color w:val="231F20"/>
                <w:spacing w:val="-4"/>
                <w:sz w:val="18"/>
              </w:rPr>
              <w:t xml:space="preserve"> </w:t>
            </w:r>
            <w:r>
              <w:rPr>
                <w:color w:val="231F20"/>
                <w:sz w:val="18"/>
              </w:rPr>
              <w:t>that</w:t>
            </w:r>
            <w:r>
              <w:rPr>
                <w:color w:val="231F20"/>
                <w:spacing w:val="-4"/>
                <w:sz w:val="18"/>
              </w:rPr>
              <w:t xml:space="preserve"> </w:t>
            </w:r>
            <w:r>
              <w:rPr>
                <w:color w:val="231F20"/>
                <w:sz w:val="18"/>
              </w:rPr>
              <w:t>the</w:t>
            </w:r>
            <w:r>
              <w:rPr>
                <w:color w:val="231F20"/>
                <w:spacing w:val="-4"/>
                <w:sz w:val="18"/>
              </w:rPr>
              <w:t xml:space="preserve"> </w:t>
            </w:r>
            <w:r>
              <w:rPr>
                <w:color w:val="231F20"/>
                <w:sz w:val="18"/>
              </w:rPr>
              <w:t>RBA</w:t>
            </w:r>
            <w:r>
              <w:rPr>
                <w:color w:val="231F20"/>
                <w:spacing w:val="-4"/>
                <w:sz w:val="18"/>
              </w:rPr>
              <w:t xml:space="preserve"> </w:t>
            </w:r>
            <w:r>
              <w:rPr>
                <w:color w:val="231F20"/>
                <w:sz w:val="18"/>
              </w:rPr>
              <w:t>has</w:t>
            </w:r>
            <w:r>
              <w:rPr>
                <w:color w:val="231F20"/>
                <w:spacing w:val="-4"/>
                <w:sz w:val="18"/>
              </w:rPr>
              <w:t xml:space="preserve"> </w:t>
            </w:r>
            <w:r>
              <w:rPr>
                <w:color w:val="231F20"/>
                <w:sz w:val="18"/>
              </w:rPr>
              <w:t>a</w:t>
            </w:r>
            <w:r>
              <w:rPr>
                <w:color w:val="231F20"/>
                <w:spacing w:val="-4"/>
                <w:sz w:val="18"/>
              </w:rPr>
              <w:t xml:space="preserve"> </w:t>
            </w:r>
            <w:r>
              <w:rPr>
                <w:color w:val="231F20"/>
                <w:sz w:val="18"/>
              </w:rPr>
              <w:t>responsibility</w:t>
            </w:r>
            <w:r>
              <w:rPr>
                <w:color w:val="231F20"/>
                <w:spacing w:val="-4"/>
                <w:sz w:val="18"/>
              </w:rPr>
              <w:t xml:space="preserve"> </w:t>
            </w:r>
            <w:r>
              <w:rPr>
                <w:color w:val="231F20"/>
                <w:sz w:val="18"/>
              </w:rPr>
              <w:t>to contribute to financial system stability, in cooperation with other government agencies, especially the Australian Prudential Regulation Authority (APRA).</w:t>
            </w:r>
          </w:p>
        </w:tc>
        <w:tc>
          <w:tcPr>
            <w:tcW w:w="2304" w:type="dxa"/>
            <w:tcBorders>
              <w:left w:val="single" w:sz="2" w:space="0" w:color="7F859B"/>
            </w:tcBorders>
          </w:tcPr>
          <w:p w14:paraId="622F0FEB" w14:textId="7331A04F" w:rsidR="005C66F0" w:rsidRDefault="005C66F0" w:rsidP="005C66F0">
            <w:pPr>
              <w:pStyle w:val="TableParagraph"/>
              <w:ind w:left="186"/>
              <w:rPr>
                <w:rFonts w:ascii="Times New Roman"/>
                <w:sz w:val="18"/>
              </w:rPr>
            </w:pPr>
            <w:r>
              <w:rPr>
                <w:color w:val="231F20"/>
                <w:sz w:val="18"/>
              </w:rPr>
              <w:t xml:space="preserve">The Government and the RBA should clarify these issues in the </w:t>
            </w:r>
            <w:r>
              <w:rPr>
                <w:i/>
                <w:color w:val="231F20"/>
                <w:sz w:val="18"/>
              </w:rPr>
              <w:t>Statement</w:t>
            </w:r>
            <w:r>
              <w:rPr>
                <w:i/>
                <w:color w:val="231F20"/>
                <w:spacing w:val="-12"/>
                <w:sz w:val="18"/>
              </w:rPr>
              <w:t xml:space="preserve"> </w:t>
            </w:r>
            <w:r>
              <w:rPr>
                <w:i/>
                <w:color w:val="231F20"/>
                <w:sz w:val="18"/>
              </w:rPr>
              <w:t>on</w:t>
            </w:r>
            <w:r>
              <w:rPr>
                <w:i/>
                <w:color w:val="231F20"/>
                <w:spacing w:val="-12"/>
                <w:sz w:val="18"/>
              </w:rPr>
              <w:t xml:space="preserve"> </w:t>
            </w:r>
            <w:r>
              <w:rPr>
                <w:i/>
                <w:color w:val="231F20"/>
                <w:sz w:val="18"/>
              </w:rPr>
              <w:t>the</w:t>
            </w:r>
            <w:r>
              <w:rPr>
                <w:i/>
                <w:color w:val="231F20"/>
                <w:spacing w:val="-11"/>
                <w:sz w:val="18"/>
              </w:rPr>
              <w:t xml:space="preserve"> </w:t>
            </w:r>
            <w:r>
              <w:rPr>
                <w:i/>
                <w:color w:val="231F20"/>
                <w:sz w:val="18"/>
              </w:rPr>
              <w:t>Conduct of Monetary Policy</w:t>
            </w:r>
            <w:r w:rsidR="0068598E">
              <w:rPr>
                <w:color w:val="231F20"/>
                <w:spacing w:val="-11"/>
                <w:sz w:val="18"/>
              </w:rPr>
              <w:t>.</w:t>
            </w:r>
          </w:p>
        </w:tc>
      </w:tr>
      <w:tr w:rsidR="005C66F0" w14:paraId="46F71907" w14:textId="77777777" w:rsidTr="008769E0">
        <w:trPr>
          <w:cantSplit/>
          <w:trHeight w:val="853"/>
        </w:trPr>
        <w:tc>
          <w:tcPr>
            <w:tcW w:w="7872" w:type="dxa"/>
            <w:gridSpan w:val="3"/>
          </w:tcPr>
          <w:p w14:paraId="79FBABA1" w14:textId="77777777" w:rsidR="005C66F0" w:rsidRDefault="005C66F0" w:rsidP="005C66F0">
            <w:pPr>
              <w:pStyle w:val="TableParagraph"/>
              <w:rPr>
                <w:rFonts w:ascii="Open Sans"/>
                <w:b/>
                <w:color w:val="231F20"/>
                <w:sz w:val="18"/>
              </w:rPr>
            </w:pPr>
          </w:p>
          <w:p w14:paraId="10DE9B43" w14:textId="7EC8D761" w:rsidR="005C66F0" w:rsidRDefault="005C66F0" w:rsidP="005C66F0">
            <w:pPr>
              <w:pStyle w:val="TableParagraph"/>
              <w:rPr>
                <w:color w:val="231F20"/>
                <w:sz w:val="18"/>
              </w:rPr>
            </w:pPr>
            <w:r>
              <w:rPr>
                <w:rFonts w:ascii="Open Sans"/>
                <w:b/>
                <w:color w:val="231F20"/>
                <w:sz w:val="18"/>
              </w:rPr>
              <w:t>Recommendation 8: Constitute an expert Monetary Policy Board with diverse perspectives and knowledge</w:t>
            </w:r>
          </w:p>
        </w:tc>
      </w:tr>
      <w:tr w:rsidR="00794DB8" w14:paraId="28B52192" w14:textId="77777777" w:rsidTr="008769E0">
        <w:trPr>
          <w:cantSplit/>
          <w:trHeight w:val="853"/>
        </w:trPr>
        <w:tc>
          <w:tcPr>
            <w:tcW w:w="525" w:type="dxa"/>
          </w:tcPr>
          <w:p w14:paraId="4E3096CA" w14:textId="12314A93" w:rsidR="00794DB8" w:rsidRDefault="00794DB8" w:rsidP="005C66F0">
            <w:pPr>
              <w:pStyle w:val="TableParagraph"/>
              <w:spacing w:before="88"/>
              <w:ind w:left="50"/>
              <w:rPr>
                <w:color w:val="231F20"/>
                <w:w w:val="95"/>
                <w:sz w:val="18"/>
              </w:rPr>
            </w:pPr>
            <w:r>
              <w:rPr>
                <w:color w:val="231F20"/>
                <w:w w:val="95"/>
                <w:sz w:val="18"/>
              </w:rPr>
              <w:t>8.1</w:t>
            </w:r>
          </w:p>
        </w:tc>
        <w:tc>
          <w:tcPr>
            <w:tcW w:w="5043" w:type="dxa"/>
            <w:tcBorders>
              <w:right w:val="single" w:sz="2" w:space="0" w:color="7F859B"/>
            </w:tcBorders>
          </w:tcPr>
          <w:p w14:paraId="3915A41E" w14:textId="15CE07BD" w:rsidR="00794DB8" w:rsidRDefault="00794DB8" w:rsidP="00794DB8">
            <w:pPr>
              <w:pStyle w:val="TableParagraph"/>
              <w:tabs>
                <w:tab w:val="left" w:pos="944"/>
                <w:tab w:val="left" w:pos="945"/>
              </w:tabs>
              <w:spacing w:before="63" w:line="235" w:lineRule="auto"/>
              <w:ind w:right="335"/>
              <w:rPr>
                <w:color w:val="231F20"/>
                <w:sz w:val="18"/>
              </w:rPr>
            </w:pPr>
            <w:r>
              <w:rPr>
                <w:color w:val="231F20"/>
                <w:sz w:val="18"/>
              </w:rPr>
              <w:t>The Government should constitute a Monetary Policy Board with responsibility for monetary policy decisions and oversight of the RBA’s contribution to financial system stability (except payments system policy), but not broader corporate governance</w:t>
            </w:r>
            <w:r w:rsidR="0068598E">
              <w:rPr>
                <w:color w:val="231F20"/>
                <w:spacing w:val="-9"/>
                <w:sz w:val="18"/>
              </w:rPr>
              <w:t>.</w:t>
            </w:r>
          </w:p>
        </w:tc>
        <w:tc>
          <w:tcPr>
            <w:tcW w:w="2304" w:type="dxa"/>
            <w:vMerge w:val="restart"/>
            <w:tcBorders>
              <w:left w:val="single" w:sz="2" w:space="0" w:color="7F859B"/>
            </w:tcBorders>
          </w:tcPr>
          <w:p w14:paraId="00046092" w14:textId="77777777" w:rsidR="00794DB8" w:rsidRDefault="00794DB8" w:rsidP="00794DB8">
            <w:pPr>
              <w:pStyle w:val="TableParagraph"/>
              <w:spacing w:before="71" w:line="225" w:lineRule="auto"/>
              <w:ind w:left="168"/>
              <w:rPr>
                <w:sz w:val="18"/>
              </w:rPr>
            </w:pPr>
            <w:r>
              <w:rPr>
                <w:color w:val="231F20"/>
                <w:sz w:val="18"/>
              </w:rPr>
              <w:t>The Government should strengthen the existing Reserve Bank Board’s ability to engage more deeply in monetary policy decision making by:</w:t>
            </w:r>
          </w:p>
          <w:p w14:paraId="42F95E43" w14:textId="77777777" w:rsidR="00794DB8" w:rsidRDefault="00794DB8" w:rsidP="0000278A">
            <w:pPr>
              <w:pStyle w:val="TableParagraph"/>
              <w:numPr>
                <w:ilvl w:val="0"/>
                <w:numId w:val="14"/>
              </w:numPr>
              <w:tabs>
                <w:tab w:val="left" w:pos="396"/>
              </w:tabs>
              <w:spacing w:before="111" w:line="225" w:lineRule="auto"/>
              <w:ind w:right="66"/>
              <w:rPr>
                <w:sz w:val="18"/>
              </w:rPr>
            </w:pPr>
            <w:r>
              <w:rPr>
                <w:color w:val="231F20"/>
                <w:sz w:val="18"/>
              </w:rPr>
              <w:t>appointing external members who can make a significant contribution,</w:t>
            </w:r>
            <w:r>
              <w:rPr>
                <w:color w:val="231F20"/>
                <w:spacing w:val="-6"/>
                <w:sz w:val="18"/>
              </w:rPr>
              <w:t xml:space="preserve"> </w:t>
            </w:r>
            <w:r>
              <w:rPr>
                <w:color w:val="231F20"/>
                <w:sz w:val="18"/>
              </w:rPr>
              <w:t>assessed through use of a skills matrix focused on monetary policy</w:t>
            </w:r>
          </w:p>
          <w:p w14:paraId="73A20409" w14:textId="02786124" w:rsidR="00794DB8" w:rsidRPr="00794DB8" w:rsidRDefault="00794DB8" w:rsidP="0000278A">
            <w:pPr>
              <w:pStyle w:val="TableParagraph"/>
              <w:numPr>
                <w:ilvl w:val="0"/>
                <w:numId w:val="14"/>
              </w:numPr>
              <w:tabs>
                <w:tab w:val="left" w:pos="396"/>
              </w:tabs>
              <w:spacing w:before="110" w:line="225" w:lineRule="auto"/>
              <w:ind w:right="37"/>
              <w:rPr>
                <w:sz w:val="18"/>
              </w:rPr>
            </w:pPr>
            <w:r>
              <w:rPr>
                <w:color w:val="231F20"/>
                <w:sz w:val="18"/>
              </w:rPr>
              <w:t>adopting</w:t>
            </w:r>
            <w:r>
              <w:rPr>
                <w:color w:val="231F20"/>
                <w:spacing w:val="-11"/>
                <w:sz w:val="18"/>
              </w:rPr>
              <w:t xml:space="preserve"> </w:t>
            </w:r>
            <w:r>
              <w:rPr>
                <w:color w:val="231F20"/>
                <w:sz w:val="18"/>
              </w:rPr>
              <w:t>the</w:t>
            </w:r>
            <w:r>
              <w:rPr>
                <w:color w:val="231F20"/>
                <w:spacing w:val="-11"/>
                <w:sz w:val="18"/>
              </w:rPr>
              <w:t xml:space="preserve"> </w:t>
            </w:r>
            <w:r>
              <w:rPr>
                <w:color w:val="231F20"/>
                <w:sz w:val="18"/>
              </w:rPr>
              <w:t>proposed appointment process</w:t>
            </w:r>
            <w:r w:rsidR="0068598E">
              <w:rPr>
                <w:color w:val="231F20"/>
                <w:spacing w:val="-17"/>
                <w:sz w:val="18"/>
              </w:rPr>
              <w:t>.</w:t>
            </w:r>
          </w:p>
          <w:p w14:paraId="7DB11F09" w14:textId="77777777" w:rsidR="00794DB8" w:rsidRDefault="00794DB8" w:rsidP="00545C77">
            <w:pPr>
              <w:pStyle w:val="TableParagraph"/>
              <w:keepNext/>
              <w:tabs>
                <w:tab w:val="left" w:pos="396"/>
              </w:tabs>
              <w:spacing w:before="110" w:line="226" w:lineRule="auto"/>
              <w:ind w:left="170" w:right="40"/>
              <w:rPr>
                <w:sz w:val="18"/>
              </w:rPr>
            </w:pPr>
          </w:p>
          <w:p w14:paraId="0E45D97C" w14:textId="4FFE5368" w:rsidR="00794DB8" w:rsidRDefault="00794DB8" w:rsidP="00794DB8">
            <w:pPr>
              <w:pStyle w:val="TableParagraph"/>
              <w:rPr>
                <w:color w:val="231F20"/>
                <w:sz w:val="18"/>
              </w:rPr>
            </w:pPr>
            <w:r>
              <w:rPr>
                <w:color w:val="231F20"/>
                <w:sz w:val="18"/>
              </w:rPr>
              <w:t xml:space="preserve">The Government should clarify in the </w:t>
            </w:r>
            <w:r>
              <w:rPr>
                <w:i/>
                <w:color w:val="231F20"/>
                <w:sz w:val="18"/>
              </w:rPr>
              <w:t xml:space="preserve">Statement on the Conduct of Monetary Policy </w:t>
            </w:r>
            <w:r>
              <w:rPr>
                <w:color w:val="231F20"/>
                <w:sz w:val="18"/>
              </w:rPr>
              <w:t>that the Treasury Secretary acts on the Reserve Bank Board in their individual capacity, not</w:t>
            </w:r>
            <w:r>
              <w:rPr>
                <w:color w:val="231F20"/>
                <w:spacing w:val="-5"/>
                <w:sz w:val="18"/>
              </w:rPr>
              <w:t xml:space="preserve"> </w:t>
            </w:r>
            <w:r>
              <w:rPr>
                <w:color w:val="231F20"/>
                <w:sz w:val="18"/>
              </w:rPr>
              <w:t>at</w:t>
            </w:r>
            <w:r>
              <w:rPr>
                <w:color w:val="231F20"/>
                <w:spacing w:val="-5"/>
                <w:sz w:val="18"/>
              </w:rPr>
              <w:t xml:space="preserve"> </w:t>
            </w:r>
            <w:r>
              <w:rPr>
                <w:color w:val="231F20"/>
                <w:sz w:val="18"/>
              </w:rPr>
              <w:t>the</w:t>
            </w:r>
            <w:r>
              <w:rPr>
                <w:color w:val="231F20"/>
                <w:spacing w:val="-5"/>
                <w:sz w:val="18"/>
              </w:rPr>
              <w:t xml:space="preserve"> </w:t>
            </w:r>
            <w:r>
              <w:rPr>
                <w:color w:val="231F20"/>
                <w:sz w:val="18"/>
              </w:rPr>
              <w:t>direction</w:t>
            </w:r>
            <w:r>
              <w:rPr>
                <w:color w:val="231F20"/>
                <w:spacing w:val="-5"/>
                <w:sz w:val="18"/>
              </w:rPr>
              <w:t xml:space="preserve"> </w:t>
            </w:r>
            <w:r>
              <w:rPr>
                <w:color w:val="231F20"/>
                <w:sz w:val="18"/>
              </w:rPr>
              <w:t>of</w:t>
            </w:r>
            <w:r>
              <w:rPr>
                <w:color w:val="231F20"/>
                <w:spacing w:val="-5"/>
                <w:sz w:val="18"/>
              </w:rPr>
              <w:t xml:space="preserve"> </w:t>
            </w:r>
            <w:r>
              <w:rPr>
                <w:color w:val="231F20"/>
                <w:sz w:val="18"/>
              </w:rPr>
              <w:t>the Treasurer</w:t>
            </w:r>
            <w:r w:rsidR="0068598E">
              <w:rPr>
                <w:color w:val="231F20"/>
                <w:spacing w:val="-25"/>
                <w:sz w:val="18"/>
              </w:rPr>
              <w:t>.</w:t>
            </w:r>
          </w:p>
        </w:tc>
      </w:tr>
      <w:tr w:rsidR="00794DB8" w14:paraId="7A3F1AA0" w14:textId="77777777" w:rsidTr="008769E0">
        <w:trPr>
          <w:cantSplit/>
          <w:trHeight w:val="853"/>
        </w:trPr>
        <w:tc>
          <w:tcPr>
            <w:tcW w:w="525" w:type="dxa"/>
          </w:tcPr>
          <w:p w14:paraId="0C1E7D21" w14:textId="03988F23" w:rsidR="00794DB8" w:rsidRDefault="00794DB8" w:rsidP="005C66F0">
            <w:pPr>
              <w:pStyle w:val="TableParagraph"/>
              <w:spacing w:before="88"/>
              <w:ind w:left="50"/>
              <w:rPr>
                <w:color w:val="231F20"/>
                <w:w w:val="95"/>
                <w:sz w:val="18"/>
              </w:rPr>
            </w:pPr>
            <w:r>
              <w:rPr>
                <w:color w:val="231F20"/>
                <w:w w:val="95"/>
                <w:sz w:val="18"/>
              </w:rPr>
              <w:t>8.2</w:t>
            </w:r>
          </w:p>
        </w:tc>
        <w:tc>
          <w:tcPr>
            <w:tcW w:w="5043" w:type="dxa"/>
            <w:tcBorders>
              <w:right w:val="single" w:sz="2" w:space="0" w:color="7F859B"/>
            </w:tcBorders>
          </w:tcPr>
          <w:p w14:paraId="08B2FFDB" w14:textId="018E900E" w:rsidR="00794DB8" w:rsidRDefault="00794DB8" w:rsidP="00794DB8">
            <w:pPr>
              <w:pStyle w:val="TableParagraph"/>
              <w:tabs>
                <w:tab w:val="left" w:pos="944"/>
                <w:tab w:val="left" w:pos="945"/>
              </w:tabs>
              <w:spacing w:before="120" w:line="225" w:lineRule="auto"/>
              <w:ind w:right="421"/>
              <w:rPr>
                <w:color w:val="231F20"/>
                <w:sz w:val="18"/>
              </w:rPr>
            </w:pPr>
            <w:r>
              <w:rPr>
                <w:color w:val="231F20"/>
                <w:sz w:val="18"/>
              </w:rPr>
              <w:t>The Monetary Policy Board should comprise the Governor,</w:t>
            </w:r>
            <w:r>
              <w:rPr>
                <w:color w:val="231F20"/>
                <w:spacing w:val="-3"/>
                <w:sz w:val="18"/>
              </w:rPr>
              <w:t xml:space="preserve"> </w:t>
            </w:r>
            <w:r>
              <w:rPr>
                <w:color w:val="231F20"/>
                <w:sz w:val="18"/>
              </w:rPr>
              <w:t>Deputy</w:t>
            </w:r>
            <w:r>
              <w:rPr>
                <w:color w:val="231F20"/>
                <w:spacing w:val="-3"/>
                <w:sz w:val="18"/>
              </w:rPr>
              <w:t xml:space="preserve"> </w:t>
            </w:r>
            <w:r>
              <w:rPr>
                <w:color w:val="231F20"/>
                <w:sz w:val="18"/>
              </w:rPr>
              <w:t>Governor,</w:t>
            </w:r>
            <w:r>
              <w:rPr>
                <w:color w:val="231F20"/>
                <w:spacing w:val="-3"/>
                <w:sz w:val="18"/>
              </w:rPr>
              <w:t xml:space="preserve"> </w:t>
            </w:r>
            <w:r>
              <w:rPr>
                <w:color w:val="231F20"/>
                <w:sz w:val="18"/>
              </w:rPr>
              <w:t>Treasury</w:t>
            </w:r>
            <w:r>
              <w:rPr>
                <w:color w:val="231F20"/>
                <w:spacing w:val="-3"/>
                <w:sz w:val="18"/>
              </w:rPr>
              <w:t xml:space="preserve"> </w:t>
            </w:r>
            <w:r>
              <w:rPr>
                <w:color w:val="231F20"/>
                <w:sz w:val="18"/>
              </w:rPr>
              <w:t>Secretary</w:t>
            </w:r>
            <w:r>
              <w:rPr>
                <w:color w:val="231F20"/>
                <w:spacing w:val="-3"/>
                <w:sz w:val="18"/>
              </w:rPr>
              <w:t xml:space="preserve"> </w:t>
            </w:r>
            <w:r>
              <w:rPr>
                <w:color w:val="231F20"/>
                <w:sz w:val="18"/>
              </w:rPr>
              <w:t>and</w:t>
            </w:r>
            <w:r>
              <w:rPr>
                <w:color w:val="231F20"/>
                <w:spacing w:val="-3"/>
                <w:sz w:val="18"/>
              </w:rPr>
              <w:t xml:space="preserve"> </w:t>
            </w:r>
            <w:r>
              <w:rPr>
                <w:color w:val="231F20"/>
                <w:sz w:val="18"/>
              </w:rPr>
              <w:t>6 external members, with the Governor as chair.</w:t>
            </w:r>
          </w:p>
        </w:tc>
        <w:tc>
          <w:tcPr>
            <w:tcW w:w="2304" w:type="dxa"/>
            <w:vMerge/>
            <w:tcBorders>
              <w:left w:val="single" w:sz="2" w:space="0" w:color="7F859B"/>
            </w:tcBorders>
          </w:tcPr>
          <w:p w14:paraId="560E361F" w14:textId="77777777" w:rsidR="00794DB8" w:rsidRDefault="00794DB8" w:rsidP="005C66F0">
            <w:pPr>
              <w:pStyle w:val="TableParagraph"/>
              <w:rPr>
                <w:color w:val="231F20"/>
                <w:sz w:val="18"/>
              </w:rPr>
            </w:pPr>
          </w:p>
        </w:tc>
      </w:tr>
      <w:tr w:rsidR="00794DB8" w14:paraId="7599249C" w14:textId="77777777" w:rsidTr="008769E0">
        <w:trPr>
          <w:cantSplit/>
          <w:trHeight w:val="853"/>
        </w:trPr>
        <w:tc>
          <w:tcPr>
            <w:tcW w:w="525" w:type="dxa"/>
          </w:tcPr>
          <w:p w14:paraId="1F49F1FD" w14:textId="49A49C3C" w:rsidR="00794DB8" w:rsidRDefault="00794DB8" w:rsidP="005C66F0">
            <w:pPr>
              <w:pStyle w:val="TableParagraph"/>
              <w:spacing w:before="88"/>
              <w:ind w:left="50"/>
              <w:rPr>
                <w:color w:val="231F20"/>
                <w:w w:val="95"/>
                <w:sz w:val="18"/>
              </w:rPr>
            </w:pPr>
            <w:r>
              <w:rPr>
                <w:color w:val="231F20"/>
                <w:w w:val="95"/>
                <w:sz w:val="18"/>
              </w:rPr>
              <w:t>8.3</w:t>
            </w:r>
          </w:p>
        </w:tc>
        <w:tc>
          <w:tcPr>
            <w:tcW w:w="5043" w:type="dxa"/>
            <w:tcBorders>
              <w:right w:val="single" w:sz="2" w:space="0" w:color="7F859B"/>
            </w:tcBorders>
          </w:tcPr>
          <w:p w14:paraId="72D543C9" w14:textId="2B4DEA6B" w:rsidR="00794DB8" w:rsidRPr="005C66F0" w:rsidRDefault="00794DB8" w:rsidP="00794DB8">
            <w:pPr>
              <w:pStyle w:val="TableParagraph"/>
              <w:tabs>
                <w:tab w:val="left" w:pos="944"/>
                <w:tab w:val="left" w:pos="945"/>
              </w:tabs>
              <w:spacing w:before="122" w:line="225" w:lineRule="auto"/>
              <w:ind w:right="323"/>
              <w:rPr>
                <w:color w:val="231F20"/>
                <w:sz w:val="18"/>
              </w:rPr>
            </w:pPr>
            <w:r>
              <w:rPr>
                <w:color w:val="231F20"/>
                <w:sz w:val="18"/>
              </w:rPr>
              <w:t xml:space="preserve">The Government should clarify in the </w:t>
            </w:r>
            <w:r>
              <w:rPr>
                <w:i/>
                <w:color w:val="231F20"/>
                <w:sz w:val="18"/>
              </w:rPr>
              <w:t xml:space="preserve">Reserve Bank Act 1959 </w:t>
            </w:r>
            <w:r>
              <w:rPr>
                <w:color w:val="231F20"/>
                <w:sz w:val="18"/>
              </w:rPr>
              <w:t>that the Treasury Secretary acts on the Monetary Policy Board in their individual capacity not at the direction</w:t>
            </w:r>
            <w:r>
              <w:rPr>
                <w:color w:val="231F20"/>
                <w:spacing w:val="-11"/>
                <w:sz w:val="18"/>
              </w:rPr>
              <w:t xml:space="preserve"> </w:t>
            </w:r>
            <w:r>
              <w:rPr>
                <w:color w:val="231F20"/>
                <w:sz w:val="18"/>
              </w:rPr>
              <w:t>of</w:t>
            </w:r>
            <w:r>
              <w:rPr>
                <w:color w:val="231F20"/>
                <w:spacing w:val="-8"/>
                <w:sz w:val="18"/>
              </w:rPr>
              <w:t xml:space="preserve"> </w:t>
            </w:r>
            <w:r>
              <w:rPr>
                <w:color w:val="231F20"/>
                <w:sz w:val="18"/>
              </w:rPr>
              <w:t>the</w:t>
            </w:r>
            <w:r>
              <w:rPr>
                <w:color w:val="231F20"/>
                <w:spacing w:val="-8"/>
                <w:sz w:val="18"/>
              </w:rPr>
              <w:t xml:space="preserve"> </w:t>
            </w:r>
            <w:r>
              <w:rPr>
                <w:color w:val="231F20"/>
                <w:sz w:val="18"/>
              </w:rPr>
              <w:t>Treasurer</w:t>
            </w:r>
            <w:r w:rsidR="0068598E">
              <w:rPr>
                <w:color w:val="231F20"/>
                <w:spacing w:val="-25"/>
                <w:sz w:val="18"/>
              </w:rPr>
              <w:t>.</w:t>
            </w:r>
            <w:r>
              <w:rPr>
                <w:color w:val="231F20"/>
                <w:spacing w:val="-1"/>
                <w:w w:val="85"/>
                <w:sz w:val="18"/>
              </w:rPr>
              <w:t xml:space="preserve"> </w:t>
            </w:r>
            <w:r>
              <w:rPr>
                <w:color w:val="231F20"/>
                <w:sz w:val="18"/>
              </w:rPr>
              <w:t>The</w:t>
            </w:r>
            <w:r>
              <w:rPr>
                <w:color w:val="231F20"/>
                <w:spacing w:val="-8"/>
                <w:sz w:val="18"/>
              </w:rPr>
              <w:t xml:space="preserve"> </w:t>
            </w:r>
            <w:r>
              <w:rPr>
                <w:i/>
                <w:color w:val="231F20"/>
                <w:sz w:val="18"/>
              </w:rPr>
              <w:t>Statement</w:t>
            </w:r>
            <w:r>
              <w:rPr>
                <w:i/>
                <w:color w:val="231F20"/>
                <w:spacing w:val="-8"/>
                <w:sz w:val="18"/>
              </w:rPr>
              <w:t xml:space="preserve"> </w:t>
            </w:r>
            <w:r>
              <w:rPr>
                <w:i/>
                <w:color w:val="231F20"/>
                <w:sz w:val="18"/>
              </w:rPr>
              <w:t>on</w:t>
            </w:r>
            <w:r>
              <w:rPr>
                <w:i/>
                <w:color w:val="231F20"/>
                <w:spacing w:val="-8"/>
                <w:sz w:val="18"/>
              </w:rPr>
              <w:t xml:space="preserve"> </w:t>
            </w:r>
            <w:r>
              <w:rPr>
                <w:i/>
                <w:color w:val="231F20"/>
                <w:sz w:val="18"/>
              </w:rPr>
              <w:t>the</w:t>
            </w:r>
            <w:r>
              <w:rPr>
                <w:i/>
                <w:color w:val="231F20"/>
                <w:spacing w:val="-8"/>
                <w:sz w:val="18"/>
              </w:rPr>
              <w:t xml:space="preserve"> </w:t>
            </w:r>
            <w:r>
              <w:rPr>
                <w:i/>
                <w:color w:val="231F20"/>
                <w:sz w:val="18"/>
              </w:rPr>
              <w:t xml:space="preserve">Conduct of Monetary Policy </w:t>
            </w:r>
            <w:r>
              <w:rPr>
                <w:color w:val="231F20"/>
                <w:sz w:val="18"/>
              </w:rPr>
              <w:t>should state that the Treasury Secretary has a responsibility to provide insight on the outlook for the economy and for fiscal policy.</w:t>
            </w:r>
          </w:p>
        </w:tc>
        <w:tc>
          <w:tcPr>
            <w:tcW w:w="2304" w:type="dxa"/>
            <w:vMerge/>
            <w:tcBorders>
              <w:left w:val="single" w:sz="2" w:space="0" w:color="7F859B"/>
            </w:tcBorders>
          </w:tcPr>
          <w:p w14:paraId="7A965DCB" w14:textId="77777777" w:rsidR="00794DB8" w:rsidRDefault="00794DB8" w:rsidP="005C66F0">
            <w:pPr>
              <w:pStyle w:val="TableParagraph"/>
              <w:rPr>
                <w:color w:val="231F20"/>
                <w:sz w:val="18"/>
              </w:rPr>
            </w:pPr>
          </w:p>
        </w:tc>
      </w:tr>
      <w:tr w:rsidR="00794DB8" w14:paraId="46C6C967" w14:textId="77777777" w:rsidTr="008769E0">
        <w:trPr>
          <w:cantSplit/>
          <w:trHeight w:val="853"/>
        </w:trPr>
        <w:tc>
          <w:tcPr>
            <w:tcW w:w="525" w:type="dxa"/>
          </w:tcPr>
          <w:p w14:paraId="0E43E284" w14:textId="39269A66" w:rsidR="00794DB8" w:rsidRDefault="00794DB8" w:rsidP="005C66F0">
            <w:pPr>
              <w:pStyle w:val="TableParagraph"/>
              <w:spacing w:before="88"/>
              <w:ind w:left="50"/>
              <w:rPr>
                <w:color w:val="231F20"/>
                <w:w w:val="95"/>
                <w:sz w:val="18"/>
              </w:rPr>
            </w:pPr>
            <w:r>
              <w:rPr>
                <w:color w:val="231F20"/>
                <w:w w:val="95"/>
                <w:sz w:val="18"/>
              </w:rPr>
              <w:lastRenderedPageBreak/>
              <w:t>8.4</w:t>
            </w:r>
          </w:p>
        </w:tc>
        <w:tc>
          <w:tcPr>
            <w:tcW w:w="5043" w:type="dxa"/>
            <w:tcBorders>
              <w:right w:val="single" w:sz="2" w:space="0" w:color="7F859B"/>
            </w:tcBorders>
          </w:tcPr>
          <w:p w14:paraId="5D55A0F7" w14:textId="101EFE19" w:rsidR="00794DB8" w:rsidRDefault="00794DB8" w:rsidP="00794DB8">
            <w:pPr>
              <w:pStyle w:val="TableParagraph"/>
              <w:tabs>
                <w:tab w:val="left" w:pos="944"/>
                <w:tab w:val="left" w:pos="945"/>
              </w:tabs>
              <w:spacing w:before="121" w:line="225" w:lineRule="auto"/>
              <w:ind w:right="287"/>
              <w:rPr>
                <w:color w:val="231F20"/>
                <w:sz w:val="18"/>
              </w:rPr>
            </w:pPr>
            <w:r>
              <w:rPr>
                <w:color w:val="231F20"/>
                <w:sz w:val="18"/>
              </w:rPr>
              <w:t>The Monetary Policy Board’s external members should be able to make a significant contribution to monetary policy setting through expertise in areas such as open- economy macroeconomics, the financial system, labour markets, or the supply side of the economy, and in the context of decision making under uncertainty.</w:t>
            </w:r>
          </w:p>
        </w:tc>
        <w:tc>
          <w:tcPr>
            <w:tcW w:w="2304" w:type="dxa"/>
            <w:vMerge/>
            <w:tcBorders>
              <w:left w:val="single" w:sz="2" w:space="0" w:color="7F859B"/>
            </w:tcBorders>
          </w:tcPr>
          <w:p w14:paraId="390D1AB8" w14:textId="77777777" w:rsidR="00794DB8" w:rsidRDefault="00794DB8" w:rsidP="005C66F0">
            <w:pPr>
              <w:pStyle w:val="TableParagraph"/>
              <w:rPr>
                <w:color w:val="231F20"/>
                <w:sz w:val="18"/>
              </w:rPr>
            </w:pPr>
          </w:p>
        </w:tc>
      </w:tr>
      <w:tr w:rsidR="00794DB8" w14:paraId="608C535D" w14:textId="77777777" w:rsidTr="008769E0">
        <w:trPr>
          <w:cantSplit/>
          <w:trHeight w:val="853"/>
        </w:trPr>
        <w:tc>
          <w:tcPr>
            <w:tcW w:w="525" w:type="dxa"/>
          </w:tcPr>
          <w:p w14:paraId="2BE0AE3A" w14:textId="15C0C339" w:rsidR="00794DB8" w:rsidRDefault="00794DB8" w:rsidP="005C66F0">
            <w:pPr>
              <w:pStyle w:val="TableParagraph"/>
              <w:spacing w:before="88"/>
              <w:ind w:left="50"/>
              <w:rPr>
                <w:color w:val="231F20"/>
                <w:w w:val="95"/>
                <w:sz w:val="18"/>
              </w:rPr>
            </w:pPr>
            <w:r>
              <w:rPr>
                <w:color w:val="231F20"/>
                <w:w w:val="95"/>
                <w:sz w:val="18"/>
              </w:rPr>
              <w:t>8.5</w:t>
            </w:r>
          </w:p>
        </w:tc>
        <w:tc>
          <w:tcPr>
            <w:tcW w:w="5043" w:type="dxa"/>
            <w:tcBorders>
              <w:right w:val="single" w:sz="2" w:space="0" w:color="7F859B"/>
            </w:tcBorders>
          </w:tcPr>
          <w:p w14:paraId="6588A93B" w14:textId="58EA79C1" w:rsidR="00794DB8" w:rsidRDefault="00794DB8" w:rsidP="00794DB8">
            <w:pPr>
              <w:pStyle w:val="TableParagraph"/>
              <w:tabs>
                <w:tab w:val="left" w:pos="944"/>
                <w:tab w:val="left" w:pos="945"/>
              </w:tabs>
              <w:spacing w:before="121" w:line="225" w:lineRule="auto"/>
              <w:ind w:right="452"/>
              <w:rPr>
                <w:color w:val="231F20"/>
                <w:sz w:val="18"/>
              </w:rPr>
            </w:pPr>
            <w:r>
              <w:rPr>
                <w:color w:val="231F20"/>
                <w:sz w:val="18"/>
              </w:rPr>
              <w:t>External Monetary Policy Board members should be appointed through a transparent process. Positions should be advertised for expressions of interest, drawing</w:t>
            </w:r>
            <w:r>
              <w:rPr>
                <w:color w:val="231F20"/>
                <w:spacing w:val="-2"/>
                <w:sz w:val="18"/>
              </w:rPr>
              <w:t xml:space="preserve"> </w:t>
            </w:r>
            <w:r>
              <w:rPr>
                <w:color w:val="231F20"/>
                <w:sz w:val="18"/>
              </w:rPr>
              <w:t>on</w:t>
            </w:r>
            <w:r>
              <w:rPr>
                <w:color w:val="231F20"/>
                <w:spacing w:val="-2"/>
                <w:sz w:val="18"/>
              </w:rPr>
              <w:t xml:space="preserve"> </w:t>
            </w:r>
            <w:r>
              <w:rPr>
                <w:color w:val="231F20"/>
                <w:sz w:val="18"/>
              </w:rPr>
              <w:t>a</w:t>
            </w:r>
            <w:r>
              <w:rPr>
                <w:color w:val="231F20"/>
                <w:spacing w:val="-2"/>
                <w:sz w:val="18"/>
              </w:rPr>
              <w:t xml:space="preserve"> </w:t>
            </w:r>
            <w:r>
              <w:rPr>
                <w:color w:val="231F20"/>
                <w:sz w:val="18"/>
              </w:rPr>
              <w:t>matrix</w:t>
            </w:r>
            <w:r>
              <w:rPr>
                <w:color w:val="231F20"/>
                <w:spacing w:val="-2"/>
                <w:sz w:val="18"/>
              </w:rPr>
              <w:t xml:space="preserve"> </w:t>
            </w:r>
            <w:r>
              <w:rPr>
                <w:color w:val="231F20"/>
                <w:sz w:val="18"/>
              </w:rPr>
              <w:t>of</w:t>
            </w:r>
            <w:r>
              <w:rPr>
                <w:color w:val="231F20"/>
                <w:spacing w:val="-2"/>
                <w:sz w:val="18"/>
              </w:rPr>
              <w:t xml:space="preserve"> </w:t>
            </w:r>
            <w:r>
              <w:rPr>
                <w:color w:val="231F20"/>
                <w:sz w:val="18"/>
              </w:rPr>
              <w:t>required</w:t>
            </w:r>
            <w:r>
              <w:rPr>
                <w:color w:val="231F20"/>
                <w:spacing w:val="-2"/>
                <w:sz w:val="18"/>
              </w:rPr>
              <w:t xml:space="preserve"> </w:t>
            </w:r>
            <w:r>
              <w:rPr>
                <w:color w:val="231F20"/>
                <w:sz w:val="18"/>
              </w:rPr>
              <w:t>skills</w:t>
            </w:r>
            <w:r>
              <w:rPr>
                <w:color w:val="231F20"/>
                <w:spacing w:val="-2"/>
                <w:sz w:val="18"/>
              </w:rPr>
              <w:t xml:space="preserve"> </w:t>
            </w:r>
            <w:r>
              <w:rPr>
                <w:color w:val="231F20"/>
                <w:sz w:val="18"/>
              </w:rPr>
              <w:t>and</w:t>
            </w:r>
            <w:r>
              <w:rPr>
                <w:color w:val="231F20"/>
                <w:spacing w:val="-2"/>
                <w:sz w:val="18"/>
              </w:rPr>
              <w:t xml:space="preserve"> </w:t>
            </w:r>
            <w:r>
              <w:rPr>
                <w:color w:val="231F20"/>
                <w:sz w:val="18"/>
              </w:rPr>
              <w:t>experience. A panel comprising the Treasury Secretary, the Governor and a third party should recommend options for suitable candidates to the Treasurer</w:t>
            </w:r>
            <w:r w:rsidR="0068598E">
              <w:rPr>
                <w:color w:val="231F20"/>
                <w:spacing w:val="-16"/>
                <w:sz w:val="18"/>
              </w:rPr>
              <w:t>.</w:t>
            </w:r>
          </w:p>
        </w:tc>
        <w:tc>
          <w:tcPr>
            <w:tcW w:w="2304" w:type="dxa"/>
            <w:vMerge/>
            <w:tcBorders>
              <w:left w:val="single" w:sz="2" w:space="0" w:color="7F859B"/>
            </w:tcBorders>
          </w:tcPr>
          <w:p w14:paraId="46D1252F" w14:textId="77777777" w:rsidR="00794DB8" w:rsidRDefault="00794DB8" w:rsidP="005C66F0">
            <w:pPr>
              <w:pStyle w:val="TableParagraph"/>
              <w:rPr>
                <w:color w:val="231F20"/>
                <w:sz w:val="18"/>
              </w:rPr>
            </w:pPr>
          </w:p>
        </w:tc>
      </w:tr>
      <w:tr w:rsidR="00794DB8" w14:paraId="4B4C9E63" w14:textId="77777777" w:rsidTr="008769E0">
        <w:trPr>
          <w:cantSplit/>
          <w:trHeight w:val="853"/>
        </w:trPr>
        <w:tc>
          <w:tcPr>
            <w:tcW w:w="525" w:type="dxa"/>
          </w:tcPr>
          <w:p w14:paraId="20D4C7F2" w14:textId="7A57443F" w:rsidR="00794DB8" w:rsidRDefault="00794DB8" w:rsidP="005C66F0">
            <w:pPr>
              <w:pStyle w:val="TableParagraph"/>
              <w:spacing w:before="88"/>
              <w:ind w:left="50"/>
              <w:rPr>
                <w:color w:val="231F20"/>
                <w:w w:val="95"/>
                <w:sz w:val="18"/>
              </w:rPr>
            </w:pPr>
            <w:r>
              <w:rPr>
                <w:color w:val="231F20"/>
                <w:w w:val="95"/>
                <w:sz w:val="18"/>
              </w:rPr>
              <w:t>8.6</w:t>
            </w:r>
          </w:p>
        </w:tc>
        <w:tc>
          <w:tcPr>
            <w:tcW w:w="5043" w:type="dxa"/>
            <w:tcBorders>
              <w:right w:val="single" w:sz="2" w:space="0" w:color="7F859B"/>
            </w:tcBorders>
          </w:tcPr>
          <w:p w14:paraId="1E075E7E" w14:textId="361511C4" w:rsidR="00794DB8" w:rsidRDefault="00794DB8" w:rsidP="005C66F0">
            <w:pPr>
              <w:pStyle w:val="TableParagraph"/>
              <w:spacing w:before="71" w:line="225" w:lineRule="auto"/>
              <w:ind w:right="766"/>
              <w:rPr>
                <w:color w:val="231F20"/>
                <w:sz w:val="18"/>
              </w:rPr>
            </w:pPr>
            <w:r>
              <w:rPr>
                <w:color w:val="231F20"/>
                <w:sz w:val="18"/>
              </w:rPr>
              <w:t>External members of the Monetary Policy Board should be appointed for a term of 5 years, with the possibility of reappointment for up to one year, if flexibility is needed. End dates should be staggered</w:t>
            </w:r>
          </w:p>
        </w:tc>
        <w:tc>
          <w:tcPr>
            <w:tcW w:w="2304" w:type="dxa"/>
            <w:vMerge/>
            <w:tcBorders>
              <w:left w:val="single" w:sz="2" w:space="0" w:color="7F859B"/>
            </w:tcBorders>
          </w:tcPr>
          <w:p w14:paraId="1BC0B781" w14:textId="77777777" w:rsidR="00794DB8" w:rsidRDefault="00794DB8" w:rsidP="005C66F0">
            <w:pPr>
              <w:pStyle w:val="TableParagraph"/>
              <w:rPr>
                <w:color w:val="231F20"/>
                <w:sz w:val="18"/>
              </w:rPr>
            </w:pPr>
          </w:p>
        </w:tc>
      </w:tr>
      <w:tr w:rsidR="00986A77" w14:paraId="6EBDDA5E" w14:textId="77777777" w:rsidTr="00771EA6">
        <w:trPr>
          <w:trHeight w:val="441"/>
        </w:trPr>
        <w:tc>
          <w:tcPr>
            <w:tcW w:w="525" w:type="dxa"/>
          </w:tcPr>
          <w:p w14:paraId="29B2A275" w14:textId="77777777" w:rsidR="00986A77" w:rsidRDefault="00986A77" w:rsidP="005C66F0">
            <w:pPr>
              <w:pStyle w:val="TableParagraph"/>
              <w:spacing w:before="88"/>
              <w:ind w:left="50"/>
              <w:rPr>
                <w:color w:val="231F20"/>
                <w:w w:val="95"/>
                <w:sz w:val="18"/>
              </w:rPr>
            </w:pPr>
          </w:p>
        </w:tc>
        <w:tc>
          <w:tcPr>
            <w:tcW w:w="5043" w:type="dxa"/>
          </w:tcPr>
          <w:p w14:paraId="450F311B" w14:textId="77777777" w:rsidR="00986A77" w:rsidRDefault="00986A77" w:rsidP="005C66F0">
            <w:pPr>
              <w:pStyle w:val="TableParagraph"/>
              <w:spacing w:before="71" w:line="225" w:lineRule="auto"/>
              <w:ind w:right="766"/>
              <w:rPr>
                <w:color w:val="231F20"/>
                <w:sz w:val="18"/>
              </w:rPr>
            </w:pPr>
          </w:p>
        </w:tc>
        <w:tc>
          <w:tcPr>
            <w:tcW w:w="2304" w:type="dxa"/>
          </w:tcPr>
          <w:p w14:paraId="72DBA109" w14:textId="77777777" w:rsidR="00986A77" w:rsidRDefault="00986A77" w:rsidP="005C66F0">
            <w:pPr>
              <w:pStyle w:val="TableParagraph"/>
              <w:rPr>
                <w:color w:val="231F20"/>
                <w:sz w:val="18"/>
              </w:rPr>
            </w:pPr>
          </w:p>
        </w:tc>
      </w:tr>
      <w:tr w:rsidR="00986A77" w14:paraId="2D9BC526" w14:textId="77777777" w:rsidTr="00771EA6">
        <w:trPr>
          <w:trHeight w:val="853"/>
        </w:trPr>
        <w:tc>
          <w:tcPr>
            <w:tcW w:w="7872" w:type="dxa"/>
            <w:gridSpan w:val="3"/>
          </w:tcPr>
          <w:p w14:paraId="6B90D081" w14:textId="6B3D400C" w:rsidR="00986A77" w:rsidRDefault="00986A77" w:rsidP="00986A77">
            <w:pPr>
              <w:pStyle w:val="TableParagraph"/>
              <w:rPr>
                <w:color w:val="231F20"/>
                <w:sz w:val="18"/>
              </w:rPr>
            </w:pPr>
            <w:r>
              <w:rPr>
                <w:rFonts w:ascii="Open Sans"/>
                <w:b/>
                <w:color w:val="231F20"/>
                <w:sz w:val="18"/>
              </w:rPr>
              <w:t>Recommendation 12: Update RBA oversight and accountability</w:t>
            </w:r>
            <w:r>
              <w:rPr>
                <w:rFonts w:ascii="Open Sans"/>
                <w:b/>
                <w:color w:val="231F20"/>
                <w:spacing w:val="-2"/>
                <w:sz w:val="18"/>
              </w:rPr>
              <w:t xml:space="preserve"> </w:t>
            </w:r>
            <w:r>
              <w:rPr>
                <w:rFonts w:ascii="Open Sans"/>
                <w:b/>
                <w:color w:val="231F20"/>
                <w:sz w:val="18"/>
              </w:rPr>
              <w:t>by</w:t>
            </w:r>
            <w:r>
              <w:rPr>
                <w:rFonts w:ascii="Open Sans"/>
                <w:b/>
                <w:color w:val="231F20"/>
                <w:spacing w:val="-2"/>
                <w:sz w:val="18"/>
              </w:rPr>
              <w:t xml:space="preserve"> </w:t>
            </w:r>
            <w:r>
              <w:rPr>
                <w:rFonts w:ascii="Open Sans"/>
                <w:b/>
                <w:color w:val="231F20"/>
                <w:sz w:val="18"/>
              </w:rPr>
              <w:t>establishing</w:t>
            </w:r>
            <w:r>
              <w:rPr>
                <w:rFonts w:ascii="Open Sans"/>
                <w:b/>
                <w:color w:val="231F20"/>
                <w:spacing w:val="-2"/>
                <w:sz w:val="18"/>
              </w:rPr>
              <w:t xml:space="preserve"> </w:t>
            </w:r>
            <w:r>
              <w:rPr>
                <w:rFonts w:ascii="Open Sans"/>
                <w:b/>
                <w:color w:val="231F20"/>
                <w:sz w:val="18"/>
              </w:rPr>
              <w:t>a</w:t>
            </w:r>
            <w:r>
              <w:rPr>
                <w:rFonts w:ascii="Open Sans"/>
                <w:b/>
                <w:color w:val="231F20"/>
                <w:spacing w:val="-2"/>
                <w:sz w:val="18"/>
              </w:rPr>
              <w:t xml:space="preserve"> </w:t>
            </w:r>
            <w:r>
              <w:rPr>
                <w:rFonts w:ascii="Open Sans"/>
                <w:b/>
                <w:color w:val="231F20"/>
                <w:sz w:val="18"/>
              </w:rPr>
              <w:t>Governance</w:t>
            </w:r>
            <w:r>
              <w:rPr>
                <w:rFonts w:ascii="Open Sans"/>
                <w:b/>
                <w:color w:val="231F20"/>
                <w:spacing w:val="-2"/>
                <w:sz w:val="18"/>
              </w:rPr>
              <w:t xml:space="preserve"> </w:t>
            </w:r>
            <w:r>
              <w:rPr>
                <w:rFonts w:ascii="Open Sans"/>
                <w:b/>
                <w:color w:val="231F20"/>
                <w:sz w:val="18"/>
              </w:rPr>
              <w:t>Board</w:t>
            </w:r>
          </w:p>
        </w:tc>
      </w:tr>
      <w:tr w:rsidR="00B860A8" w14:paraId="011317C8" w14:textId="77777777" w:rsidTr="00771EA6">
        <w:trPr>
          <w:trHeight w:val="853"/>
        </w:trPr>
        <w:tc>
          <w:tcPr>
            <w:tcW w:w="525" w:type="dxa"/>
          </w:tcPr>
          <w:p w14:paraId="2AA879E5" w14:textId="058086D9" w:rsidR="00B860A8" w:rsidRDefault="00B860A8" w:rsidP="00986A77">
            <w:pPr>
              <w:pStyle w:val="TableParagraph"/>
              <w:spacing w:before="88"/>
              <w:ind w:left="50"/>
              <w:rPr>
                <w:color w:val="231F20"/>
                <w:w w:val="95"/>
                <w:sz w:val="18"/>
              </w:rPr>
            </w:pPr>
            <w:r>
              <w:rPr>
                <w:color w:val="231F20"/>
                <w:w w:val="95"/>
                <w:sz w:val="18"/>
              </w:rPr>
              <w:t>12.1</w:t>
            </w:r>
          </w:p>
        </w:tc>
        <w:tc>
          <w:tcPr>
            <w:tcW w:w="5043" w:type="dxa"/>
            <w:tcBorders>
              <w:right w:val="single" w:sz="2" w:space="0" w:color="7F859B"/>
            </w:tcBorders>
          </w:tcPr>
          <w:p w14:paraId="1C58FD57" w14:textId="1B762243" w:rsidR="00B860A8" w:rsidRDefault="00B860A8" w:rsidP="00B860A8">
            <w:pPr>
              <w:pStyle w:val="TableParagraph"/>
              <w:tabs>
                <w:tab w:val="left" w:pos="767"/>
              </w:tabs>
              <w:spacing w:before="59" w:line="238" w:lineRule="exact"/>
              <w:rPr>
                <w:color w:val="231F20"/>
                <w:sz w:val="18"/>
              </w:rPr>
            </w:pPr>
            <w:r>
              <w:rPr>
                <w:color w:val="231F20"/>
                <w:sz w:val="18"/>
              </w:rPr>
              <w:t>The</w:t>
            </w:r>
            <w:r>
              <w:rPr>
                <w:color w:val="231F20"/>
                <w:spacing w:val="3"/>
                <w:sz w:val="18"/>
              </w:rPr>
              <w:t xml:space="preserve"> </w:t>
            </w:r>
            <w:r>
              <w:rPr>
                <w:color w:val="231F20"/>
                <w:sz w:val="18"/>
              </w:rPr>
              <w:t>Government</w:t>
            </w:r>
            <w:r>
              <w:rPr>
                <w:color w:val="231F20"/>
                <w:spacing w:val="3"/>
                <w:sz w:val="18"/>
              </w:rPr>
              <w:t xml:space="preserve"> </w:t>
            </w:r>
            <w:r>
              <w:rPr>
                <w:color w:val="231F20"/>
                <w:sz w:val="18"/>
              </w:rPr>
              <w:t>should</w:t>
            </w:r>
            <w:r>
              <w:rPr>
                <w:color w:val="231F20"/>
                <w:spacing w:val="3"/>
                <w:sz w:val="18"/>
              </w:rPr>
              <w:t xml:space="preserve"> </w:t>
            </w:r>
            <w:r>
              <w:rPr>
                <w:color w:val="231F20"/>
                <w:sz w:val="18"/>
              </w:rPr>
              <w:t>establish</w:t>
            </w:r>
            <w:r>
              <w:rPr>
                <w:color w:val="231F20"/>
                <w:spacing w:val="3"/>
                <w:sz w:val="18"/>
              </w:rPr>
              <w:t xml:space="preserve"> </w:t>
            </w:r>
            <w:r>
              <w:rPr>
                <w:color w:val="231F20"/>
                <w:sz w:val="18"/>
              </w:rPr>
              <w:t>a</w:t>
            </w:r>
            <w:r>
              <w:rPr>
                <w:color w:val="231F20"/>
                <w:spacing w:val="3"/>
                <w:sz w:val="18"/>
              </w:rPr>
              <w:t xml:space="preserve"> </w:t>
            </w:r>
            <w:r>
              <w:rPr>
                <w:color w:val="231F20"/>
                <w:sz w:val="18"/>
              </w:rPr>
              <w:t>Governance</w:t>
            </w:r>
            <w:r>
              <w:rPr>
                <w:color w:val="231F20"/>
                <w:spacing w:val="3"/>
                <w:sz w:val="18"/>
              </w:rPr>
              <w:t xml:space="preserve"> </w:t>
            </w:r>
            <w:r>
              <w:rPr>
                <w:color w:val="231F20"/>
                <w:spacing w:val="-2"/>
                <w:sz w:val="18"/>
              </w:rPr>
              <w:t xml:space="preserve">Board </w:t>
            </w:r>
            <w:r>
              <w:rPr>
                <w:color w:val="231F20"/>
                <w:sz w:val="18"/>
              </w:rPr>
              <w:t>with responsibility for overseeing the management</w:t>
            </w:r>
            <w:r>
              <w:rPr>
                <w:color w:val="231F20"/>
                <w:spacing w:val="80"/>
                <w:sz w:val="18"/>
              </w:rPr>
              <w:t xml:space="preserve"> </w:t>
            </w:r>
            <w:r>
              <w:rPr>
                <w:color w:val="231F20"/>
                <w:sz w:val="18"/>
              </w:rPr>
              <w:t>of the organisation, including organisational strategy, performance, finances, large projects, resourcing, remuneration, succession planning, risk (such as cyber risk), and delivery of banking and banknote services.</w:t>
            </w:r>
          </w:p>
        </w:tc>
        <w:tc>
          <w:tcPr>
            <w:tcW w:w="2304" w:type="dxa"/>
            <w:vMerge w:val="restart"/>
            <w:tcBorders>
              <w:left w:val="single" w:sz="2" w:space="0" w:color="7F859B"/>
            </w:tcBorders>
          </w:tcPr>
          <w:p w14:paraId="7E416B6D" w14:textId="626E0D41" w:rsidR="00B860A8" w:rsidRDefault="00B860A8" w:rsidP="00B860A8">
            <w:pPr>
              <w:pStyle w:val="TableParagraph"/>
              <w:spacing w:before="71" w:line="225" w:lineRule="auto"/>
              <w:ind w:left="167" w:right="282"/>
              <w:rPr>
                <w:color w:val="231F20"/>
                <w:w w:val="85"/>
                <w:sz w:val="18"/>
              </w:rPr>
            </w:pPr>
            <w:r>
              <w:rPr>
                <w:color w:val="231F20"/>
                <w:sz w:val="18"/>
              </w:rPr>
              <w:t>In the absence of legislative change, changes</w:t>
            </w:r>
            <w:r>
              <w:rPr>
                <w:color w:val="231F20"/>
                <w:spacing w:val="-7"/>
                <w:sz w:val="18"/>
              </w:rPr>
              <w:t xml:space="preserve"> </w:t>
            </w:r>
            <w:r>
              <w:rPr>
                <w:color w:val="231F20"/>
                <w:sz w:val="18"/>
              </w:rPr>
              <w:t>to</w:t>
            </w:r>
            <w:r>
              <w:rPr>
                <w:color w:val="231F20"/>
                <w:spacing w:val="-7"/>
                <w:sz w:val="18"/>
              </w:rPr>
              <w:t xml:space="preserve"> </w:t>
            </w:r>
            <w:r>
              <w:rPr>
                <w:color w:val="231F20"/>
                <w:sz w:val="18"/>
              </w:rPr>
              <w:t>the</w:t>
            </w:r>
            <w:r>
              <w:rPr>
                <w:color w:val="231F20"/>
                <w:spacing w:val="-7"/>
                <w:sz w:val="18"/>
              </w:rPr>
              <w:t xml:space="preserve"> </w:t>
            </w:r>
            <w:r>
              <w:rPr>
                <w:color w:val="231F20"/>
                <w:sz w:val="18"/>
              </w:rPr>
              <w:t>Reserve Bank Board should focus</w:t>
            </w:r>
            <w:r>
              <w:rPr>
                <w:color w:val="231F20"/>
                <w:spacing w:val="-3"/>
                <w:sz w:val="18"/>
              </w:rPr>
              <w:t xml:space="preserve"> </w:t>
            </w:r>
            <w:r>
              <w:rPr>
                <w:color w:val="231F20"/>
                <w:sz w:val="18"/>
              </w:rPr>
              <w:t>on</w:t>
            </w:r>
            <w:r>
              <w:rPr>
                <w:color w:val="231F20"/>
                <w:spacing w:val="-3"/>
                <w:sz w:val="18"/>
              </w:rPr>
              <w:t xml:space="preserve"> </w:t>
            </w:r>
            <w:r>
              <w:rPr>
                <w:color w:val="231F20"/>
                <w:sz w:val="18"/>
              </w:rPr>
              <w:t>strengthening its monetary policy decision-making role</w:t>
            </w:r>
            <w:r w:rsidR="0068598E">
              <w:rPr>
                <w:color w:val="231F20"/>
                <w:spacing w:val="-17"/>
                <w:sz w:val="18"/>
              </w:rPr>
              <w:t>.</w:t>
            </w:r>
          </w:p>
          <w:p w14:paraId="62A4EA9C" w14:textId="77777777" w:rsidR="00B860A8" w:rsidRDefault="00B860A8" w:rsidP="00B860A8">
            <w:pPr>
              <w:pStyle w:val="TableParagraph"/>
              <w:spacing w:before="71" w:line="225" w:lineRule="auto"/>
              <w:ind w:left="167" w:right="282"/>
              <w:rPr>
                <w:sz w:val="18"/>
              </w:rPr>
            </w:pPr>
          </w:p>
          <w:p w14:paraId="1CFBC075" w14:textId="0AE31F9B" w:rsidR="00B860A8" w:rsidRDefault="00B860A8" w:rsidP="00B860A8">
            <w:pPr>
              <w:pStyle w:val="TableParagraph"/>
              <w:ind w:left="327"/>
              <w:rPr>
                <w:color w:val="231F20"/>
                <w:sz w:val="18"/>
              </w:rPr>
            </w:pPr>
            <w:r>
              <w:rPr>
                <w:color w:val="231F20"/>
                <w:sz w:val="18"/>
              </w:rPr>
              <w:t>a)</w:t>
            </w:r>
            <w:r>
              <w:rPr>
                <w:color w:val="231F20"/>
                <w:spacing w:val="33"/>
                <w:sz w:val="18"/>
              </w:rPr>
              <w:t xml:space="preserve"> </w:t>
            </w:r>
            <w:r>
              <w:rPr>
                <w:color w:val="231F20"/>
                <w:sz w:val="18"/>
              </w:rPr>
              <w:t>The</w:t>
            </w:r>
            <w:r>
              <w:rPr>
                <w:color w:val="231F20"/>
                <w:spacing w:val="-6"/>
                <w:sz w:val="18"/>
              </w:rPr>
              <w:t xml:space="preserve"> </w:t>
            </w:r>
            <w:r>
              <w:rPr>
                <w:color w:val="231F20"/>
                <w:sz w:val="18"/>
              </w:rPr>
              <w:t>RBA</w:t>
            </w:r>
            <w:r>
              <w:rPr>
                <w:color w:val="231F20"/>
                <w:spacing w:val="-6"/>
                <w:sz w:val="18"/>
              </w:rPr>
              <w:t xml:space="preserve"> </w:t>
            </w:r>
            <w:r>
              <w:rPr>
                <w:color w:val="231F20"/>
                <w:sz w:val="18"/>
              </w:rPr>
              <w:t>should</w:t>
            </w:r>
            <w:r>
              <w:rPr>
                <w:color w:val="231F20"/>
                <w:spacing w:val="-6"/>
                <w:sz w:val="18"/>
              </w:rPr>
              <w:t xml:space="preserve"> </w:t>
            </w:r>
            <w:r>
              <w:rPr>
                <w:color w:val="231F20"/>
                <w:sz w:val="18"/>
              </w:rPr>
              <w:t>pursue some strengthening of corporate governance by convening a specialised advisory committee</w:t>
            </w:r>
            <w:r>
              <w:rPr>
                <w:color w:val="231F20"/>
                <w:spacing w:val="-6"/>
                <w:sz w:val="18"/>
              </w:rPr>
              <w:t xml:space="preserve"> </w:t>
            </w:r>
            <w:r>
              <w:rPr>
                <w:color w:val="231F20"/>
                <w:sz w:val="18"/>
              </w:rPr>
              <w:t>to</w:t>
            </w:r>
            <w:r>
              <w:rPr>
                <w:color w:val="231F20"/>
                <w:spacing w:val="-6"/>
                <w:sz w:val="18"/>
              </w:rPr>
              <w:t xml:space="preserve"> </w:t>
            </w:r>
            <w:r>
              <w:rPr>
                <w:color w:val="231F20"/>
                <w:sz w:val="18"/>
              </w:rPr>
              <w:t>assist</w:t>
            </w:r>
            <w:r>
              <w:rPr>
                <w:color w:val="231F20"/>
                <w:spacing w:val="-6"/>
                <w:sz w:val="18"/>
              </w:rPr>
              <w:t xml:space="preserve"> </w:t>
            </w:r>
            <w:r>
              <w:rPr>
                <w:color w:val="231F20"/>
                <w:sz w:val="18"/>
              </w:rPr>
              <w:t>the Governor</w:t>
            </w:r>
            <w:r w:rsidR="0068598E">
              <w:rPr>
                <w:color w:val="231F20"/>
                <w:spacing w:val="-25"/>
                <w:sz w:val="18"/>
              </w:rPr>
              <w:t>.</w:t>
            </w:r>
          </w:p>
        </w:tc>
      </w:tr>
      <w:tr w:rsidR="00B860A8" w14:paraId="02158515" w14:textId="77777777" w:rsidTr="00771EA6">
        <w:trPr>
          <w:trHeight w:val="853"/>
        </w:trPr>
        <w:tc>
          <w:tcPr>
            <w:tcW w:w="525" w:type="dxa"/>
          </w:tcPr>
          <w:p w14:paraId="02C758EF" w14:textId="396D1591" w:rsidR="00B860A8" w:rsidRDefault="00B860A8" w:rsidP="00986A77">
            <w:pPr>
              <w:pStyle w:val="TableParagraph"/>
              <w:spacing w:before="88"/>
              <w:ind w:left="50"/>
              <w:rPr>
                <w:color w:val="231F20"/>
                <w:w w:val="95"/>
                <w:sz w:val="18"/>
              </w:rPr>
            </w:pPr>
            <w:r>
              <w:rPr>
                <w:color w:val="231F20"/>
                <w:w w:val="95"/>
                <w:sz w:val="18"/>
              </w:rPr>
              <w:t>12.2</w:t>
            </w:r>
          </w:p>
        </w:tc>
        <w:tc>
          <w:tcPr>
            <w:tcW w:w="5043" w:type="dxa"/>
            <w:tcBorders>
              <w:right w:val="single" w:sz="2" w:space="0" w:color="7F859B"/>
            </w:tcBorders>
          </w:tcPr>
          <w:p w14:paraId="34AB7183" w14:textId="271826A4" w:rsidR="00B860A8" w:rsidRDefault="00B860A8" w:rsidP="00B860A8">
            <w:pPr>
              <w:pStyle w:val="TableParagraph"/>
              <w:tabs>
                <w:tab w:val="left" w:pos="767"/>
              </w:tabs>
              <w:spacing w:before="122" w:line="225" w:lineRule="auto"/>
              <w:ind w:left="47" w:right="520"/>
              <w:rPr>
                <w:color w:val="231F20"/>
                <w:sz w:val="18"/>
              </w:rPr>
            </w:pPr>
            <w:r>
              <w:rPr>
                <w:color w:val="231F20"/>
                <w:sz w:val="18"/>
              </w:rPr>
              <w:t>The Governance Board should be the accountable authority in respect of the PGPA Act and expand the Audit Committee</w:t>
            </w:r>
            <w:r>
              <w:rPr>
                <w:color w:val="231F20"/>
                <w:spacing w:val="1"/>
                <w:sz w:val="18"/>
              </w:rPr>
              <w:t xml:space="preserve"> </w:t>
            </w:r>
            <w:r>
              <w:rPr>
                <w:color w:val="231F20"/>
                <w:sz w:val="18"/>
              </w:rPr>
              <w:t>to be</w:t>
            </w:r>
            <w:r>
              <w:rPr>
                <w:color w:val="231F20"/>
                <w:spacing w:val="1"/>
                <w:sz w:val="18"/>
              </w:rPr>
              <w:t xml:space="preserve"> </w:t>
            </w:r>
            <w:r>
              <w:rPr>
                <w:color w:val="231F20"/>
                <w:sz w:val="18"/>
              </w:rPr>
              <w:t>an Audit</w:t>
            </w:r>
            <w:r>
              <w:rPr>
                <w:color w:val="231F20"/>
                <w:spacing w:val="1"/>
                <w:sz w:val="18"/>
              </w:rPr>
              <w:t xml:space="preserve"> </w:t>
            </w:r>
            <w:r>
              <w:rPr>
                <w:color w:val="231F20"/>
                <w:sz w:val="18"/>
              </w:rPr>
              <w:t>and</w:t>
            </w:r>
            <w:r>
              <w:rPr>
                <w:color w:val="231F20"/>
                <w:spacing w:val="1"/>
                <w:sz w:val="18"/>
              </w:rPr>
              <w:t xml:space="preserve"> </w:t>
            </w:r>
            <w:r>
              <w:rPr>
                <w:color w:val="231F20"/>
                <w:sz w:val="18"/>
              </w:rPr>
              <w:t>Risk Committee</w:t>
            </w:r>
            <w:r w:rsidR="0068598E">
              <w:rPr>
                <w:color w:val="231F20"/>
                <w:spacing w:val="-23"/>
                <w:sz w:val="18"/>
              </w:rPr>
              <w:t>.</w:t>
            </w:r>
          </w:p>
        </w:tc>
        <w:tc>
          <w:tcPr>
            <w:tcW w:w="2304" w:type="dxa"/>
            <w:vMerge/>
            <w:tcBorders>
              <w:left w:val="single" w:sz="2" w:space="0" w:color="7F859B"/>
            </w:tcBorders>
          </w:tcPr>
          <w:p w14:paraId="302E7A45" w14:textId="77777777" w:rsidR="00B860A8" w:rsidRDefault="00B860A8" w:rsidP="00986A77">
            <w:pPr>
              <w:pStyle w:val="TableParagraph"/>
              <w:rPr>
                <w:color w:val="231F20"/>
                <w:sz w:val="18"/>
              </w:rPr>
            </w:pPr>
          </w:p>
        </w:tc>
      </w:tr>
      <w:tr w:rsidR="00B860A8" w14:paraId="77F8B3E9" w14:textId="77777777" w:rsidTr="00771EA6">
        <w:trPr>
          <w:trHeight w:val="853"/>
        </w:trPr>
        <w:tc>
          <w:tcPr>
            <w:tcW w:w="525" w:type="dxa"/>
          </w:tcPr>
          <w:p w14:paraId="3C36F1F2" w14:textId="2D791BB8" w:rsidR="00B860A8" w:rsidRDefault="00B860A8" w:rsidP="00986A77">
            <w:pPr>
              <w:pStyle w:val="TableParagraph"/>
              <w:spacing w:before="88"/>
              <w:ind w:left="50"/>
              <w:rPr>
                <w:color w:val="231F20"/>
                <w:w w:val="95"/>
                <w:sz w:val="18"/>
              </w:rPr>
            </w:pPr>
            <w:r>
              <w:rPr>
                <w:color w:val="231F20"/>
                <w:w w:val="95"/>
                <w:sz w:val="18"/>
              </w:rPr>
              <w:t>12.3</w:t>
            </w:r>
          </w:p>
        </w:tc>
        <w:tc>
          <w:tcPr>
            <w:tcW w:w="5043" w:type="dxa"/>
            <w:tcBorders>
              <w:right w:val="single" w:sz="2" w:space="0" w:color="7F859B"/>
            </w:tcBorders>
          </w:tcPr>
          <w:p w14:paraId="22EC95DA" w14:textId="764E3E07" w:rsidR="00B860A8" w:rsidRDefault="00B860A8" w:rsidP="00B860A8">
            <w:pPr>
              <w:pStyle w:val="TableParagraph"/>
              <w:tabs>
                <w:tab w:val="left" w:pos="767"/>
              </w:tabs>
              <w:spacing w:before="122" w:line="225" w:lineRule="auto"/>
              <w:ind w:left="47" w:right="314"/>
              <w:rPr>
                <w:color w:val="231F20"/>
                <w:sz w:val="18"/>
              </w:rPr>
            </w:pPr>
            <w:r>
              <w:rPr>
                <w:color w:val="231F20"/>
                <w:sz w:val="18"/>
              </w:rPr>
              <w:t>The Governance Board’s membership should comprise the Governor, Chief Operating Officer and 5 external members. An external member should be chair.</w:t>
            </w:r>
          </w:p>
        </w:tc>
        <w:tc>
          <w:tcPr>
            <w:tcW w:w="2304" w:type="dxa"/>
            <w:vMerge/>
            <w:tcBorders>
              <w:left w:val="single" w:sz="2" w:space="0" w:color="7F859B"/>
            </w:tcBorders>
          </w:tcPr>
          <w:p w14:paraId="693D83DD" w14:textId="77777777" w:rsidR="00B860A8" w:rsidRDefault="00B860A8" w:rsidP="00986A77">
            <w:pPr>
              <w:pStyle w:val="TableParagraph"/>
              <w:rPr>
                <w:color w:val="231F20"/>
                <w:sz w:val="18"/>
              </w:rPr>
            </w:pPr>
          </w:p>
        </w:tc>
      </w:tr>
      <w:tr w:rsidR="00B860A8" w14:paraId="78EE0B4F" w14:textId="77777777" w:rsidTr="00771EA6">
        <w:trPr>
          <w:trHeight w:val="853"/>
        </w:trPr>
        <w:tc>
          <w:tcPr>
            <w:tcW w:w="525" w:type="dxa"/>
          </w:tcPr>
          <w:p w14:paraId="6764733D" w14:textId="6C4A3B2C" w:rsidR="00B860A8" w:rsidRDefault="00B860A8" w:rsidP="00986A77">
            <w:pPr>
              <w:pStyle w:val="TableParagraph"/>
              <w:spacing w:before="88"/>
              <w:ind w:left="50"/>
              <w:rPr>
                <w:color w:val="231F20"/>
                <w:w w:val="95"/>
                <w:sz w:val="18"/>
              </w:rPr>
            </w:pPr>
            <w:r>
              <w:rPr>
                <w:color w:val="231F20"/>
                <w:w w:val="95"/>
                <w:sz w:val="18"/>
              </w:rPr>
              <w:t>12.4</w:t>
            </w:r>
          </w:p>
        </w:tc>
        <w:tc>
          <w:tcPr>
            <w:tcW w:w="5043" w:type="dxa"/>
            <w:tcBorders>
              <w:right w:val="single" w:sz="2" w:space="0" w:color="7F859B"/>
            </w:tcBorders>
          </w:tcPr>
          <w:p w14:paraId="13A5C97F" w14:textId="126EB210" w:rsidR="00B860A8" w:rsidRDefault="00B860A8" w:rsidP="00B860A8">
            <w:pPr>
              <w:pStyle w:val="TableParagraph"/>
              <w:tabs>
                <w:tab w:val="left" w:pos="767"/>
              </w:tabs>
              <w:spacing w:before="122" w:line="225" w:lineRule="auto"/>
              <w:ind w:left="47" w:right="453"/>
              <w:rPr>
                <w:color w:val="231F20"/>
                <w:sz w:val="18"/>
              </w:rPr>
            </w:pPr>
            <w:r>
              <w:rPr>
                <w:color w:val="231F20"/>
                <w:sz w:val="18"/>
              </w:rPr>
              <w:t>External Governance Board members should be appointed through a transparent process. Positions should be advertised for expressions of interest drawing</w:t>
            </w:r>
            <w:r>
              <w:rPr>
                <w:color w:val="231F20"/>
                <w:spacing w:val="-2"/>
                <w:sz w:val="18"/>
              </w:rPr>
              <w:t xml:space="preserve"> </w:t>
            </w:r>
            <w:r>
              <w:rPr>
                <w:color w:val="231F20"/>
                <w:sz w:val="18"/>
              </w:rPr>
              <w:t>on</w:t>
            </w:r>
            <w:r>
              <w:rPr>
                <w:color w:val="231F20"/>
                <w:spacing w:val="-2"/>
                <w:sz w:val="18"/>
              </w:rPr>
              <w:t xml:space="preserve"> </w:t>
            </w:r>
            <w:r>
              <w:rPr>
                <w:color w:val="231F20"/>
                <w:sz w:val="18"/>
              </w:rPr>
              <w:t>a</w:t>
            </w:r>
            <w:r>
              <w:rPr>
                <w:color w:val="231F20"/>
                <w:spacing w:val="-2"/>
                <w:sz w:val="18"/>
              </w:rPr>
              <w:t xml:space="preserve"> </w:t>
            </w:r>
            <w:r>
              <w:rPr>
                <w:color w:val="231F20"/>
                <w:sz w:val="18"/>
              </w:rPr>
              <w:t>matrix</w:t>
            </w:r>
            <w:r>
              <w:rPr>
                <w:color w:val="231F20"/>
                <w:spacing w:val="-2"/>
                <w:sz w:val="18"/>
              </w:rPr>
              <w:t xml:space="preserve"> </w:t>
            </w:r>
            <w:r>
              <w:rPr>
                <w:color w:val="231F20"/>
                <w:sz w:val="18"/>
              </w:rPr>
              <w:t>of</w:t>
            </w:r>
            <w:r>
              <w:rPr>
                <w:color w:val="231F20"/>
                <w:spacing w:val="-2"/>
                <w:sz w:val="18"/>
              </w:rPr>
              <w:t xml:space="preserve"> </w:t>
            </w:r>
            <w:r>
              <w:rPr>
                <w:color w:val="231F20"/>
                <w:sz w:val="18"/>
              </w:rPr>
              <w:t>required</w:t>
            </w:r>
            <w:r>
              <w:rPr>
                <w:color w:val="231F20"/>
                <w:spacing w:val="-2"/>
                <w:sz w:val="18"/>
              </w:rPr>
              <w:t xml:space="preserve"> </w:t>
            </w:r>
            <w:r>
              <w:rPr>
                <w:color w:val="231F20"/>
                <w:sz w:val="18"/>
              </w:rPr>
              <w:t>skills</w:t>
            </w:r>
            <w:r>
              <w:rPr>
                <w:color w:val="231F20"/>
                <w:spacing w:val="-2"/>
                <w:sz w:val="18"/>
              </w:rPr>
              <w:t xml:space="preserve"> </w:t>
            </w:r>
            <w:r>
              <w:rPr>
                <w:color w:val="231F20"/>
                <w:sz w:val="18"/>
              </w:rPr>
              <w:t>and</w:t>
            </w:r>
            <w:r>
              <w:rPr>
                <w:color w:val="231F20"/>
                <w:spacing w:val="-2"/>
                <w:sz w:val="18"/>
              </w:rPr>
              <w:t xml:space="preserve"> </w:t>
            </w:r>
            <w:r>
              <w:rPr>
                <w:color w:val="231F20"/>
                <w:sz w:val="18"/>
              </w:rPr>
              <w:t>experience. The process should be managed by the Secretary to the Treasury, the Governor and a third party.</w:t>
            </w:r>
          </w:p>
        </w:tc>
        <w:tc>
          <w:tcPr>
            <w:tcW w:w="2304" w:type="dxa"/>
            <w:vMerge/>
            <w:tcBorders>
              <w:left w:val="single" w:sz="2" w:space="0" w:color="7F859B"/>
            </w:tcBorders>
          </w:tcPr>
          <w:p w14:paraId="5A2FDAE9" w14:textId="77777777" w:rsidR="00B860A8" w:rsidRDefault="00B860A8" w:rsidP="00986A77">
            <w:pPr>
              <w:pStyle w:val="TableParagraph"/>
              <w:rPr>
                <w:color w:val="231F20"/>
                <w:sz w:val="18"/>
              </w:rPr>
            </w:pPr>
          </w:p>
        </w:tc>
      </w:tr>
      <w:tr w:rsidR="00986A77" w14:paraId="06951081" w14:textId="77777777" w:rsidTr="00771EA6">
        <w:trPr>
          <w:trHeight w:val="853"/>
        </w:trPr>
        <w:tc>
          <w:tcPr>
            <w:tcW w:w="525" w:type="dxa"/>
          </w:tcPr>
          <w:p w14:paraId="752F706B" w14:textId="25137C38" w:rsidR="00986A77" w:rsidRDefault="00986A77" w:rsidP="00986A77">
            <w:pPr>
              <w:pStyle w:val="TableParagraph"/>
              <w:spacing w:before="88"/>
              <w:ind w:left="50"/>
              <w:rPr>
                <w:color w:val="231F20"/>
                <w:w w:val="95"/>
                <w:sz w:val="18"/>
              </w:rPr>
            </w:pPr>
            <w:r>
              <w:rPr>
                <w:color w:val="231F20"/>
                <w:w w:val="95"/>
                <w:sz w:val="18"/>
              </w:rPr>
              <w:t>12.5</w:t>
            </w:r>
          </w:p>
        </w:tc>
        <w:tc>
          <w:tcPr>
            <w:tcW w:w="5043" w:type="dxa"/>
            <w:tcBorders>
              <w:right w:val="single" w:sz="2" w:space="0" w:color="7F859B"/>
            </w:tcBorders>
          </w:tcPr>
          <w:p w14:paraId="37F8AD89" w14:textId="657FCE32" w:rsidR="00986A77" w:rsidRDefault="00986A77" w:rsidP="00B860A8">
            <w:pPr>
              <w:pStyle w:val="TableParagraph"/>
              <w:tabs>
                <w:tab w:val="left" w:pos="767"/>
              </w:tabs>
              <w:spacing w:before="121" w:line="225" w:lineRule="auto"/>
              <w:ind w:left="47" w:right="261"/>
              <w:rPr>
                <w:color w:val="231F20"/>
                <w:sz w:val="18"/>
              </w:rPr>
            </w:pPr>
            <w:r>
              <w:rPr>
                <w:color w:val="231F20"/>
                <w:sz w:val="18"/>
              </w:rPr>
              <w:t>External members of the Governance Board should be appointed for a term of 5 years, with the possibility of reappointment</w:t>
            </w:r>
            <w:r>
              <w:rPr>
                <w:color w:val="231F20"/>
                <w:spacing w:val="-2"/>
                <w:sz w:val="18"/>
              </w:rPr>
              <w:t xml:space="preserve"> </w:t>
            </w:r>
            <w:r>
              <w:rPr>
                <w:color w:val="231F20"/>
                <w:sz w:val="18"/>
              </w:rPr>
              <w:t>for</w:t>
            </w:r>
            <w:r>
              <w:rPr>
                <w:color w:val="231F20"/>
                <w:spacing w:val="-2"/>
                <w:sz w:val="18"/>
              </w:rPr>
              <w:t xml:space="preserve"> </w:t>
            </w:r>
            <w:r>
              <w:rPr>
                <w:color w:val="231F20"/>
                <w:sz w:val="18"/>
              </w:rPr>
              <w:t>up</w:t>
            </w:r>
            <w:r>
              <w:rPr>
                <w:color w:val="231F20"/>
                <w:spacing w:val="-2"/>
                <w:sz w:val="18"/>
              </w:rPr>
              <w:t xml:space="preserve"> </w:t>
            </w:r>
            <w:r>
              <w:rPr>
                <w:color w:val="231F20"/>
                <w:sz w:val="18"/>
              </w:rPr>
              <w:t>to</w:t>
            </w:r>
            <w:r>
              <w:rPr>
                <w:color w:val="231F20"/>
                <w:spacing w:val="-2"/>
                <w:sz w:val="18"/>
              </w:rPr>
              <w:t xml:space="preserve"> </w:t>
            </w:r>
            <w:r>
              <w:rPr>
                <w:color w:val="231F20"/>
                <w:sz w:val="18"/>
              </w:rPr>
              <w:t>one</w:t>
            </w:r>
            <w:r>
              <w:rPr>
                <w:color w:val="231F20"/>
                <w:spacing w:val="-2"/>
                <w:sz w:val="18"/>
              </w:rPr>
              <w:t xml:space="preserve"> </w:t>
            </w:r>
            <w:r>
              <w:rPr>
                <w:color w:val="231F20"/>
                <w:sz w:val="18"/>
              </w:rPr>
              <w:t>year,</w:t>
            </w:r>
            <w:r>
              <w:rPr>
                <w:color w:val="231F20"/>
                <w:spacing w:val="-2"/>
                <w:sz w:val="18"/>
              </w:rPr>
              <w:t xml:space="preserve"> </w:t>
            </w:r>
            <w:r>
              <w:rPr>
                <w:color w:val="231F20"/>
                <w:sz w:val="18"/>
              </w:rPr>
              <w:t>if</w:t>
            </w:r>
            <w:r>
              <w:rPr>
                <w:color w:val="231F20"/>
                <w:spacing w:val="-2"/>
                <w:sz w:val="18"/>
              </w:rPr>
              <w:t xml:space="preserve"> </w:t>
            </w:r>
            <w:r>
              <w:rPr>
                <w:color w:val="231F20"/>
                <w:sz w:val="18"/>
              </w:rPr>
              <w:t>flexibility</w:t>
            </w:r>
            <w:r>
              <w:rPr>
                <w:color w:val="231F20"/>
                <w:spacing w:val="-2"/>
                <w:sz w:val="18"/>
              </w:rPr>
              <w:t xml:space="preserve"> </w:t>
            </w:r>
            <w:r>
              <w:rPr>
                <w:color w:val="231F20"/>
                <w:sz w:val="18"/>
              </w:rPr>
              <w:t>is</w:t>
            </w:r>
            <w:r>
              <w:rPr>
                <w:color w:val="231F20"/>
                <w:spacing w:val="-2"/>
                <w:sz w:val="18"/>
              </w:rPr>
              <w:t xml:space="preserve"> </w:t>
            </w:r>
            <w:r>
              <w:rPr>
                <w:color w:val="231F20"/>
                <w:sz w:val="18"/>
              </w:rPr>
              <w:t>needed. End dates should be staggered</w:t>
            </w:r>
            <w:r w:rsidR="0068598E">
              <w:rPr>
                <w:color w:val="231F20"/>
                <w:spacing w:val="-8"/>
                <w:sz w:val="18"/>
              </w:rPr>
              <w:t>.</w:t>
            </w:r>
          </w:p>
        </w:tc>
        <w:tc>
          <w:tcPr>
            <w:tcW w:w="2304" w:type="dxa"/>
            <w:tcBorders>
              <w:left w:val="single" w:sz="2" w:space="0" w:color="7F859B"/>
            </w:tcBorders>
          </w:tcPr>
          <w:p w14:paraId="5A263390" w14:textId="77777777" w:rsidR="00986A77" w:rsidRDefault="00986A77" w:rsidP="00986A77">
            <w:pPr>
              <w:pStyle w:val="TableParagraph"/>
              <w:rPr>
                <w:color w:val="231F20"/>
                <w:sz w:val="18"/>
              </w:rPr>
            </w:pPr>
          </w:p>
        </w:tc>
      </w:tr>
      <w:tr w:rsidR="00986A77" w14:paraId="4E6322B1" w14:textId="77777777" w:rsidTr="00771EA6">
        <w:trPr>
          <w:trHeight w:val="853"/>
        </w:trPr>
        <w:tc>
          <w:tcPr>
            <w:tcW w:w="525" w:type="dxa"/>
          </w:tcPr>
          <w:p w14:paraId="350E97E0" w14:textId="4095D449" w:rsidR="00986A77" w:rsidRDefault="00986A77" w:rsidP="00986A77">
            <w:pPr>
              <w:pStyle w:val="TableParagraph"/>
              <w:spacing w:before="88"/>
              <w:ind w:left="50"/>
              <w:rPr>
                <w:color w:val="231F20"/>
                <w:w w:val="95"/>
                <w:sz w:val="18"/>
              </w:rPr>
            </w:pPr>
            <w:r>
              <w:rPr>
                <w:color w:val="231F20"/>
                <w:w w:val="95"/>
                <w:sz w:val="18"/>
              </w:rPr>
              <w:t>12.6</w:t>
            </w:r>
          </w:p>
        </w:tc>
        <w:tc>
          <w:tcPr>
            <w:tcW w:w="5043" w:type="dxa"/>
            <w:tcBorders>
              <w:right w:val="single" w:sz="2" w:space="0" w:color="7F859B"/>
            </w:tcBorders>
          </w:tcPr>
          <w:p w14:paraId="0BE53B81" w14:textId="39DAB564" w:rsidR="00986A77" w:rsidRDefault="00986A77" w:rsidP="00B860A8">
            <w:pPr>
              <w:pStyle w:val="TableParagraph"/>
              <w:spacing w:before="71" w:line="225" w:lineRule="auto"/>
              <w:ind w:right="766"/>
              <w:rPr>
                <w:color w:val="231F20"/>
                <w:sz w:val="18"/>
              </w:rPr>
            </w:pPr>
            <w:r>
              <w:rPr>
                <w:color w:val="231F20"/>
                <w:sz w:val="18"/>
              </w:rPr>
              <w:t>The RBA Boards should establish charters setting out their responsibilities and those of the RBA executive. A memorandum of understanding should be established between the 3 RBA Boards</w:t>
            </w:r>
            <w:r w:rsidR="0068598E">
              <w:rPr>
                <w:color w:val="231F20"/>
                <w:spacing w:val="-10"/>
                <w:sz w:val="18"/>
              </w:rPr>
              <w:t>.</w:t>
            </w:r>
          </w:p>
        </w:tc>
        <w:tc>
          <w:tcPr>
            <w:tcW w:w="2304" w:type="dxa"/>
            <w:tcBorders>
              <w:left w:val="single" w:sz="2" w:space="0" w:color="7F859B"/>
            </w:tcBorders>
          </w:tcPr>
          <w:p w14:paraId="74287025" w14:textId="77777777" w:rsidR="00986A77" w:rsidRDefault="00986A77" w:rsidP="00986A77">
            <w:pPr>
              <w:pStyle w:val="TableParagraph"/>
              <w:rPr>
                <w:color w:val="231F20"/>
                <w:sz w:val="18"/>
              </w:rPr>
            </w:pPr>
          </w:p>
        </w:tc>
      </w:tr>
    </w:tbl>
    <w:p w14:paraId="5925B1BE" w14:textId="77777777" w:rsidR="00994436" w:rsidRDefault="00994436" w:rsidP="00BD19D5">
      <w:pPr>
        <w:pStyle w:val="Bullet"/>
        <w:numPr>
          <w:ilvl w:val="0"/>
          <w:numId w:val="0"/>
        </w:numPr>
      </w:pPr>
    </w:p>
    <w:p w14:paraId="2BD460A0" w14:textId="77777777" w:rsidR="00BD0580" w:rsidRDefault="00BD0580">
      <w:pPr>
        <w:spacing w:before="0" w:after="160" w:line="259" w:lineRule="auto"/>
      </w:pPr>
      <w:r>
        <w:br w:type="page"/>
      </w:r>
    </w:p>
    <w:p w14:paraId="6F45B6D3" w14:textId="30F7C1D9" w:rsidR="00403540" w:rsidRDefault="00403540" w:rsidP="00403540">
      <w:r>
        <w:lastRenderedPageBreak/>
        <w:t>For recommendations about the RBA’s objectives and role, these alternatives might achieve somewhat similar outcomes (see Recommendations 1 and 5)</w:t>
      </w:r>
      <w:r w:rsidR="0068598E">
        <w:rPr>
          <w:spacing w:val="-21"/>
        </w:rPr>
        <w:t>.</w:t>
      </w:r>
      <w:r>
        <w:rPr>
          <w:w w:val="85"/>
        </w:rPr>
        <w:t xml:space="preserve"> </w:t>
      </w:r>
      <w:r>
        <w:t xml:space="preserve">However, changes progressed via the </w:t>
      </w:r>
      <w:r>
        <w:rPr>
          <w:i/>
        </w:rPr>
        <w:t xml:space="preserve">Statement on the Conduct of Monetary Policy </w:t>
      </w:r>
      <w:r>
        <w:t>and other non-legislative means, are less formally binding and more vulnerable to further change over time. Also, progressing changes in this way would not resolve the discordance between the wording of the RBA Act and the current intent of the Government and the RBA</w:t>
      </w:r>
      <w:r w:rsidR="0068598E">
        <w:rPr>
          <w:spacing w:val="-8"/>
        </w:rPr>
        <w:t>.</w:t>
      </w:r>
    </w:p>
    <w:p w14:paraId="6083A95F" w14:textId="77E56224" w:rsidR="00403540" w:rsidRDefault="00403540" w:rsidP="00403540">
      <w:r>
        <w:t>For recommendations that relate to explicit legislative powers, these alternatives only partially achieve</w:t>
      </w:r>
      <w:r>
        <w:rPr>
          <w:spacing w:val="-12"/>
        </w:rPr>
        <w:t xml:space="preserve"> </w:t>
      </w:r>
      <w:r>
        <w:t>the</w:t>
      </w:r>
      <w:r>
        <w:rPr>
          <w:spacing w:val="-12"/>
        </w:rPr>
        <w:t xml:space="preserve"> </w:t>
      </w:r>
      <w:r>
        <w:t>intended</w:t>
      </w:r>
      <w:r>
        <w:rPr>
          <w:spacing w:val="-10"/>
        </w:rPr>
        <w:t xml:space="preserve"> </w:t>
      </w:r>
      <w:r>
        <w:t>outcome</w:t>
      </w:r>
      <w:r w:rsidR="0068598E">
        <w:rPr>
          <w:spacing w:val="-25"/>
        </w:rPr>
        <w:t>.</w:t>
      </w:r>
      <w:r>
        <w:rPr>
          <w:spacing w:val="-1"/>
          <w:w w:val="85"/>
        </w:rPr>
        <w:t xml:space="preserve"> </w:t>
      </w:r>
      <w:r>
        <w:t>This</w:t>
      </w:r>
      <w:r>
        <w:rPr>
          <w:spacing w:val="-9"/>
        </w:rPr>
        <w:t xml:space="preserve"> </w:t>
      </w:r>
      <w:r>
        <w:t>is</w:t>
      </w:r>
      <w:r>
        <w:rPr>
          <w:spacing w:val="-9"/>
        </w:rPr>
        <w:t xml:space="preserve"> </w:t>
      </w:r>
      <w:r>
        <w:t>relevant</w:t>
      </w:r>
      <w:r>
        <w:rPr>
          <w:spacing w:val="-9"/>
        </w:rPr>
        <w:t xml:space="preserve"> </w:t>
      </w:r>
      <w:r>
        <w:t>for</w:t>
      </w:r>
      <w:r>
        <w:rPr>
          <w:spacing w:val="-9"/>
        </w:rPr>
        <w:t xml:space="preserve"> </w:t>
      </w:r>
      <w:r>
        <w:t>Recommendations</w:t>
      </w:r>
      <w:r>
        <w:rPr>
          <w:spacing w:val="-9"/>
        </w:rPr>
        <w:t xml:space="preserve"> </w:t>
      </w:r>
      <w:r>
        <w:t>1</w:t>
      </w:r>
      <w:r w:rsidR="0068598E">
        <w:rPr>
          <w:spacing w:val="-25"/>
        </w:rPr>
        <w:t>.</w:t>
      </w:r>
      <w:r>
        <w:rPr>
          <w:w w:val="126"/>
        </w:rPr>
        <w:t>1</w:t>
      </w:r>
      <w:r>
        <w:rPr>
          <w:spacing w:val="-8"/>
          <w:w w:val="99"/>
        </w:rPr>
        <w:t xml:space="preserve"> </w:t>
      </w:r>
      <w:r>
        <w:t>and</w:t>
      </w:r>
      <w:r>
        <w:rPr>
          <w:spacing w:val="-9"/>
        </w:rPr>
        <w:t xml:space="preserve"> </w:t>
      </w:r>
      <w:r>
        <w:t>1</w:t>
      </w:r>
      <w:r w:rsidR="0068598E">
        <w:rPr>
          <w:spacing w:val="-25"/>
        </w:rPr>
        <w:t>.</w:t>
      </w:r>
      <w:r>
        <w:rPr>
          <w:w w:val="126"/>
        </w:rPr>
        <w:t>3</w:t>
      </w:r>
      <w:r>
        <w:rPr>
          <w:spacing w:val="-8"/>
          <w:w w:val="99"/>
        </w:rPr>
        <w:t xml:space="preserve"> </w:t>
      </w:r>
      <w:r>
        <w:t>which</w:t>
      </w:r>
      <w:r>
        <w:rPr>
          <w:spacing w:val="-9"/>
        </w:rPr>
        <w:t xml:space="preserve"> </w:t>
      </w:r>
      <w:r>
        <w:t>go</w:t>
      </w:r>
      <w:r>
        <w:rPr>
          <w:spacing w:val="-9"/>
        </w:rPr>
        <w:t xml:space="preserve"> </w:t>
      </w:r>
      <w:r>
        <w:t>to</w:t>
      </w:r>
      <w:r>
        <w:rPr>
          <w:spacing w:val="-9"/>
        </w:rPr>
        <w:t xml:space="preserve"> </w:t>
      </w:r>
      <w:r>
        <w:t>the power of government to overrule the RBA and the power of the RBA to set lending policies of private banks</w:t>
      </w:r>
      <w:r w:rsidR="0068598E">
        <w:rPr>
          <w:spacing w:val="-19"/>
        </w:rPr>
        <w:t>.</w:t>
      </w:r>
      <w:r>
        <w:rPr>
          <w:w w:val="85"/>
        </w:rPr>
        <w:t xml:space="preserve"> </w:t>
      </w:r>
      <w:r>
        <w:t>Commitments about how powers will be used in the future are not binding, and these broad powers would remain enshrined in legislation</w:t>
      </w:r>
      <w:r w:rsidR="0068598E">
        <w:rPr>
          <w:spacing w:val="-14"/>
        </w:rPr>
        <w:t>.</w:t>
      </w:r>
    </w:p>
    <w:p w14:paraId="35224E43" w14:textId="77777777" w:rsidR="00F02426" w:rsidRDefault="00F02426" w:rsidP="00F02426">
      <w:r>
        <w:t>The most significant beneficial change to strengthening the RBA’s monetary policy and corporate governance – creation of a separate Governance Board and Monetary Policy Board – could not be achieved without changes to the RBA Act. In the absence of legislative change, the Review strongly recommends the priority be to strengthen the existing Reserve Bank Board’s ability to engage more deeply in monetary policy decision making. The appointment process and skills matrix that are proposed for the Monetary Policy Board, should instead be used for the Reserve Bank Board. Many of the recommended changes to the monetary policy decision-making process (such as different frequency and length of meetings and greater access for Board members to the RBA</w:t>
      </w:r>
      <w:r>
        <w:rPr>
          <w:spacing w:val="40"/>
        </w:rPr>
        <w:t xml:space="preserve"> </w:t>
      </w:r>
      <w:r>
        <w:t>staff – see Recommendation 9) could still be progressed without legislation.</w:t>
      </w:r>
    </w:p>
    <w:p w14:paraId="00213FCD" w14:textId="77777777" w:rsidR="00F02426" w:rsidRDefault="00F02426" w:rsidP="00F02426">
      <w:r>
        <w:t>Under this approach, the RBA should strengthen its corporate governance through other means, such</w:t>
      </w:r>
      <w:r>
        <w:rPr>
          <w:spacing w:val="-8"/>
        </w:rPr>
        <w:t xml:space="preserve"> </w:t>
      </w:r>
      <w:r>
        <w:t>as</w:t>
      </w:r>
      <w:r>
        <w:rPr>
          <w:spacing w:val="-8"/>
        </w:rPr>
        <w:t xml:space="preserve"> </w:t>
      </w:r>
      <w:r>
        <w:t>convening</w:t>
      </w:r>
      <w:r>
        <w:rPr>
          <w:spacing w:val="-8"/>
        </w:rPr>
        <w:t xml:space="preserve"> </w:t>
      </w:r>
      <w:r>
        <w:t>a</w:t>
      </w:r>
      <w:r>
        <w:rPr>
          <w:spacing w:val="-8"/>
        </w:rPr>
        <w:t xml:space="preserve"> </w:t>
      </w:r>
      <w:r>
        <w:t>governance</w:t>
      </w:r>
      <w:r>
        <w:rPr>
          <w:spacing w:val="-8"/>
        </w:rPr>
        <w:t xml:space="preserve"> </w:t>
      </w:r>
      <w:r>
        <w:t>committee</w:t>
      </w:r>
      <w:r>
        <w:rPr>
          <w:spacing w:val="-8"/>
        </w:rPr>
        <w:t xml:space="preserve"> </w:t>
      </w:r>
      <w:r>
        <w:t>formed</w:t>
      </w:r>
      <w:r>
        <w:rPr>
          <w:spacing w:val="-8"/>
        </w:rPr>
        <w:t xml:space="preserve"> </w:t>
      </w:r>
      <w:r>
        <w:t>of</w:t>
      </w:r>
      <w:r>
        <w:rPr>
          <w:spacing w:val="-8"/>
        </w:rPr>
        <w:t xml:space="preserve"> </w:t>
      </w:r>
      <w:r>
        <w:t>external</w:t>
      </w:r>
      <w:r>
        <w:rPr>
          <w:spacing w:val="-8"/>
        </w:rPr>
        <w:t xml:space="preserve"> </w:t>
      </w:r>
      <w:r>
        <w:t>experts,</w:t>
      </w:r>
      <w:r>
        <w:rPr>
          <w:spacing w:val="-8"/>
        </w:rPr>
        <w:t xml:space="preserve"> </w:t>
      </w:r>
      <w:r>
        <w:t>to</w:t>
      </w:r>
      <w:r>
        <w:rPr>
          <w:spacing w:val="-8"/>
        </w:rPr>
        <w:t xml:space="preserve"> </w:t>
      </w:r>
      <w:r>
        <w:t>help</w:t>
      </w:r>
      <w:r>
        <w:rPr>
          <w:spacing w:val="-8"/>
        </w:rPr>
        <w:t xml:space="preserve"> </w:t>
      </w:r>
      <w:r>
        <w:t>advise</w:t>
      </w:r>
      <w:r>
        <w:rPr>
          <w:spacing w:val="-8"/>
        </w:rPr>
        <w:t xml:space="preserve"> </w:t>
      </w:r>
      <w:r>
        <w:t>the</w:t>
      </w:r>
      <w:r>
        <w:rPr>
          <w:spacing w:val="-8"/>
        </w:rPr>
        <w:t xml:space="preserve"> </w:t>
      </w:r>
      <w:r>
        <w:t>Governor. Such a committee could offer insight across all aspects of the RBA’s corporate governance but would not have the benefit of the formal role and accountability proposed by the Review.</w:t>
      </w:r>
    </w:p>
    <w:p w14:paraId="14D236CC" w14:textId="45918667" w:rsidR="00F02426" w:rsidRDefault="00F02426" w:rsidP="00F02426">
      <w:r>
        <w:t>An alternative approach, that the Review does not advise, would be to increase the expectations on the existing Reserve Bank Board, to have both a deeper involvement in monetary policy decision making and a deeper involvement in corporate governance</w:t>
      </w:r>
      <w:r w:rsidR="0068598E">
        <w:rPr>
          <w:spacing w:val="-18"/>
        </w:rPr>
        <w:t>.</w:t>
      </w:r>
      <w:r>
        <w:rPr>
          <w:w w:val="85"/>
        </w:rPr>
        <w:t xml:space="preserve"> </w:t>
      </w:r>
      <w:r>
        <w:t xml:space="preserve">Under this approach, the </w:t>
      </w:r>
      <w:r>
        <w:rPr>
          <w:color w:val="231F20"/>
        </w:rPr>
        <w:t>Reserve Bank Board would provide input and advice to the Governor in carrying out the Governor’s responsibilities as the accountable authority in respect of the PGPA Act.</w:t>
      </w:r>
    </w:p>
    <w:p w14:paraId="5F8CDC12" w14:textId="77777777" w:rsidR="00F02426" w:rsidRDefault="00F02426" w:rsidP="00F02426">
      <w:r>
        <w:t>The Review thinks that asking the Reserve Bank Board to fulfil an expanded role in both these areas, under the existing legislation, would have significant drawbacks.</w:t>
      </w:r>
    </w:p>
    <w:p w14:paraId="39E39821" w14:textId="32B0B623" w:rsidR="00F02426" w:rsidRDefault="00F02426" w:rsidP="0000278A">
      <w:pPr>
        <w:pStyle w:val="Bullet"/>
        <w:rPr>
          <w:rFonts w:ascii="Arial" w:hAnsi="Arial"/>
        </w:rPr>
      </w:pPr>
      <w:r>
        <w:t>The challenges of having a single-decision maker on corporate governance (as discussed in Chapter 5) would remain</w:t>
      </w:r>
      <w:r w:rsidR="0068598E">
        <w:rPr>
          <w:spacing w:val="-9"/>
        </w:rPr>
        <w:t>.</w:t>
      </w:r>
    </w:p>
    <w:p w14:paraId="6B500420" w14:textId="77777777" w:rsidR="00F02426" w:rsidRDefault="00F02426" w:rsidP="0000278A">
      <w:pPr>
        <w:pStyle w:val="Bullet"/>
        <w:rPr>
          <w:rFonts w:ascii="Arial" w:hAnsi="Arial"/>
        </w:rPr>
      </w:pPr>
      <w:r>
        <w:t>It would be necessary to strike a compromise in the Board’s composition between monetary policy expertise and corporate governance expertise, reducing the benefits of specialising each Board to its role. People are likely to be relatively specialised in monetary policy decision making or in corporate governance, rather than both (although some people can be well placed to do both). A single board doing both roles would mean some of the monetary policy experts would need to participate in corporate decision making for which their skills are less well suited, and vice versa for corporate governance experts and monetary policy decisions.</w:t>
      </w:r>
    </w:p>
    <w:p w14:paraId="77BB2D2B" w14:textId="77777777" w:rsidR="00F02426" w:rsidRDefault="00F02426" w:rsidP="0000278A">
      <w:pPr>
        <w:pStyle w:val="Bullet"/>
        <w:rPr>
          <w:rFonts w:ascii="Arial" w:hAnsi="Arial"/>
        </w:rPr>
      </w:pPr>
      <w:r>
        <w:t>Increasing the corporate governance role of the existing Reserve Bank Board would significantly increase the time demand on Board members, which could discourage members or crowd out time for monetary policy decision making.</w:t>
      </w:r>
    </w:p>
    <w:p w14:paraId="62C0BA0A" w14:textId="77777777" w:rsidR="00F02426" w:rsidRDefault="00F02426" w:rsidP="0000278A">
      <w:pPr>
        <w:pStyle w:val="Bullet"/>
        <w:rPr>
          <w:rFonts w:ascii="Arial" w:hAnsi="Arial"/>
        </w:rPr>
      </w:pPr>
      <w:r>
        <w:t>The legislated responsibility of the Reserve Bank Board on corporate governance matters would remain unclear.</w:t>
      </w:r>
    </w:p>
    <w:p w14:paraId="16ADEF5F" w14:textId="77777777" w:rsidR="00F02426" w:rsidRDefault="00F02426" w:rsidP="0000278A">
      <w:pPr>
        <w:pStyle w:val="Bullet"/>
        <w:rPr>
          <w:rFonts w:ascii="Arial" w:hAnsi="Arial"/>
        </w:rPr>
      </w:pPr>
      <w:r>
        <w:t>The</w:t>
      </w:r>
      <w:r>
        <w:rPr>
          <w:spacing w:val="-3"/>
        </w:rPr>
        <w:t xml:space="preserve"> </w:t>
      </w:r>
      <w:r>
        <w:t>formal roles and responsibilities relating</w:t>
      </w:r>
      <w:r>
        <w:rPr>
          <w:spacing w:val="-1"/>
        </w:rPr>
        <w:t xml:space="preserve"> </w:t>
      </w:r>
      <w:r>
        <w:t xml:space="preserve">to risk governance would remain </w:t>
      </w:r>
      <w:r>
        <w:rPr>
          <w:spacing w:val="-2"/>
        </w:rPr>
        <w:t>unclear.</w:t>
      </w:r>
    </w:p>
    <w:p w14:paraId="29C4CBE8" w14:textId="77777777" w:rsidR="00F02426" w:rsidRDefault="00F02426" w:rsidP="006B7EA4">
      <w:r>
        <w:lastRenderedPageBreak/>
        <w:t>Setting the RBA up to face the challenges of the future means implementing the best</w:t>
      </w:r>
      <w:r>
        <w:rPr>
          <w:spacing w:val="80"/>
        </w:rPr>
        <w:t xml:space="preserve"> </w:t>
      </w:r>
      <w:r>
        <w:t>possible governance model. The Review strongly supports legislative change to implement its recommended approach.</w:t>
      </w:r>
    </w:p>
    <w:p w14:paraId="13C4A783" w14:textId="5FCDEDDA" w:rsidR="00F02426" w:rsidRDefault="00F02426" w:rsidP="006B7EA4">
      <w:r>
        <w:t>If</w:t>
      </w:r>
      <w:r>
        <w:rPr>
          <w:spacing w:val="2"/>
        </w:rPr>
        <w:t xml:space="preserve"> </w:t>
      </w:r>
      <w:r>
        <w:t>the</w:t>
      </w:r>
      <w:r>
        <w:rPr>
          <w:spacing w:val="2"/>
        </w:rPr>
        <w:t xml:space="preserve"> </w:t>
      </w:r>
      <w:r>
        <w:t>Government</w:t>
      </w:r>
      <w:r>
        <w:rPr>
          <w:spacing w:val="3"/>
        </w:rPr>
        <w:t xml:space="preserve"> </w:t>
      </w:r>
      <w:r>
        <w:t>decided</w:t>
      </w:r>
      <w:r>
        <w:rPr>
          <w:spacing w:val="2"/>
        </w:rPr>
        <w:t xml:space="preserve"> </w:t>
      </w:r>
      <w:r>
        <w:t>not</w:t>
      </w:r>
      <w:r>
        <w:rPr>
          <w:spacing w:val="2"/>
        </w:rPr>
        <w:t xml:space="preserve"> </w:t>
      </w:r>
      <w:r>
        <w:t>to</w:t>
      </w:r>
      <w:r>
        <w:rPr>
          <w:spacing w:val="3"/>
        </w:rPr>
        <w:t xml:space="preserve"> </w:t>
      </w:r>
      <w:r>
        <w:t>proceed</w:t>
      </w:r>
      <w:r>
        <w:rPr>
          <w:spacing w:val="2"/>
        </w:rPr>
        <w:t xml:space="preserve"> </w:t>
      </w:r>
      <w:r>
        <w:t>with</w:t>
      </w:r>
      <w:r>
        <w:rPr>
          <w:spacing w:val="3"/>
        </w:rPr>
        <w:t xml:space="preserve"> </w:t>
      </w:r>
      <w:r>
        <w:t>separating</w:t>
      </w:r>
      <w:r>
        <w:rPr>
          <w:spacing w:val="2"/>
        </w:rPr>
        <w:t xml:space="preserve"> </w:t>
      </w:r>
      <w:r>
        <w:t>monetary</w:t>
      </w:r>
      <w:r>
        <w:rPr>
          <w:spacing w:val="2"/>
        </w:rPr>
        <w:t xml:space="preserve"> </w:t>
      </w:r>
      <w:r>
        <w:t>policy</w:t>
      </w:r>
      <w:r>
        <w:rPr>
          <w:spacing w:val="3"/>
        </w:rPr>
        <w:t xml:space="preserve"> </w:t>
      </w:r>
      <w:r>
        <w:t>decision</w:t>
      </w:r>
      <w:r>
        <w:rPr>
          <w:spacing w:val="2"/>
        </w:rPr>
        <w:t xml:space="preserve"> </w:t>
      </w:r>
      <w:r>
        <w:t>making</w:t>
      </w:r>
      <w:r>
        <w:rPr>
          <w:spacing w:val="3"/>
        </w:rPr>
        <w:t xml:space="preserve"> </w:t>
      </w:r>
      <w:r>
        <w:rPr>
          <w:spacing w:val="-5"/>
        </w:rPr>
        <w:t>and</w:t>
      </w:r>
      <w:r w:rsidR="006B7EA4">
        <w:rPr>
          <w:spacing w:val="-5"/>
        </w:rPr>
        <w:t xml:space="preserve"> </w:t>
      </w:r>
      <w:r>
        <w:t>corporate governance, it would still be possible to make more limited changes to the RBA Act</w:t>
      </w:r>
      <w:r>
        <w:rPr>
          <w:spacing w:val="80"/>
        </w:rPr>
        <w:t xml:space="preserve"> </w:t>
      </w:r>
      <w:r>
        <w:t>to update the monetary objectives and to make the Board the accountable authority under the PGPA Act (which is the default position under the PGPA Act).</w:t>
      </w:r>
    </w:p>
    <w:p w14:paraId="54C2A7D6" w14:textId="56D71521" w:rsidR="006B7EA4" w:rsidRDefault="006B7EA4">
      <w:pPr>
        <w:spacing w:before="0" w:after="160" w:line="259" w:lineRule="auto"/>
      </w:pPr>
      <w:r>
        <w:br w:type="page"/>
      </w:r>
    </w:p>
    <w:p w14:paraId="749423ED" w14:textId="272D5C34" w:rsidR="000D2DA0" w:rsidRDefault="000D2DA0" w:rsidP="000D2DA0">
      <w:pPr>
        <w:pStyle w:val="Heading1"/>
        <w:rPr>
          <w:b w:val="0"/>
        </w:rPr>
      </w:pPr>
      <w:bookmarkStart w:id="66" w:name="_Toc134221036"/>
      <w:r>
        <w:rPr>
          <w:spacing w:val="-4"/>
        </w:rPr>
        <w:lastRenderedPageBreak/>
        <w:t>Appendix</w:t>
      </w:r>
      <w:r>
        <w:rPr>
          <w:spacing w:val="-19"/>
        </w:rPr>
        <w:t xml:space="preserve"> </w:t>
      </w:r>
      <w:r>
        <w:rPr>
          <w:spacing w:val="-5"/>
        </w:rPr>
        <w:t xml:space="preserve">1: </w:t>
      </w:r>
      <w:r>
        <w:t>Terms</w:t>
      </w:r>
      <w:r>
        <w:rPr>
          <w:spacing w:val="-25"/>
        </w:rPr>
        <w:t xml:space="preserve"> </w:t>
      </w:r>
      <w:r>
        <w:t>of</w:t>
      </w:r>
      <w:r>
        <w:rPr>
          <w:spacing w:val="-22"/>
        </w:rPr>
        <w:t xml:space="preserve"> </w:t>
      </w:r>
      <w:r>
        <w:t>Reference</w:t>
      </w:r>
      <w:bookmarkEnd w:id="66"/>
    </w:p>
    <w:p w14:paraId="2FF2E7B1" w14:textId="2D33B954" w:rsidR="000D2DA0" w:rsidRDefault="000D2DA0" w:rsidP="00AA6A0C">
      <w:pPr>
        <w:pStyle w:val="OutlineNumbered1"/>
        <w:numPr>
          <w:ilvl w:val="0"/>
          <w:numId w:val="0"/>
        </w:numPr>
      </w:pPr>
      <w:r>
        <w:t>The Review of the Reserve Bank of Australia (RBA) is designed to ensure that Australia’s monetary policy arrangements and the operations of the Bank continue to support strong macroeconomic outcomes for Australia in a complex and continuously evolving landscape</w:t>
      </w:r>
      <w:r w:rsidR="0068598E">
        <w:rPr>
          <w:spacing w:val="-16"/>
        </w:rPr>
        <w:t>.</w:t>
      </w:r>
    </w:p>
    <w:p w14:paraId="7C06D536" w14:textId="77777777" w:rsidR="000D2DA0" w:rsidRPr="0074553C" w:rsidRDefault="000D2DA0" w:rsidP="0000278A">
      <w:pPr>
        <w:pStyle w:val="OutlineNumbered1"/>
        <w:numPr>
          <w:ilvl w:val="0"/>
          <w:numId w:val="15"/>
        </w:numPr>
        <w:rPr>
          <w:spacing w:val="-2"/>
        </w:rPr>
      </w:pPr>
      <w:r>
        <w:t>The</w:t>
      </w:r>
      <w:r w:rsidRPr="0074553C">
        <w:rPr>
          <w:spacing w:val="1"/>
        </w:rPr>
        <w:t xml:space="preserve"> </w:t>
      </w:r>
      <w:r>
        <w:t>Review</w:t>
      </w:r>
      <w:r w:rsidRPr="0074553C">
        <w:rPr>
          <w:spacing w:val="2"/>
        </w:rPr>
        <w:t xml:space="preserve"> </w:t>
      </w:r>
      <w:r>
        <w:t>will</w:t>
      </w:r>
      <w:r w:rsidRPr="0074553C">
        <w:rPr>
          <w:spacing w:val="1"/>
        </w:rPr>
        <w:t xml:space="preserve"> </w:t>
      </w:r>
      <w:r>
        <w:t>assess</w:t>
      </w:r>
      <w:r w:rsidRPr="0074553C">
        <w:rPr>
          <w:spacing w:val="2"/>
        </w:rPr>
        <w:t xml:space="preserve"> </w:t>
      </w:r>
      <w:r>
        <w:t>Australia’s</w:t>
      </w:r>
      <w:r w:rsidRPr="0074553C">
        <w:rPr>
          <w:spacing w:val="1"/>
        </w:rPr>
        <w:t xml:space="preserve"> </w:t>
      </w:r>
      <w:r>
        <w:t>monetary</w:t>
      </w:r>
      <w:r w:rsidRPr="0074553C">
        <w:rPr>
          <w:spacing w:val="2"/>
        </w:rPr>
        <w:t xml:space="preserve"> </w:t>
      </w:r>
      <w:r>
        <w:t>policy</w:t>
      </w:r>
      <w:r w:rsidRPr="0074553C">
        <w:rPr>
          <w:spacing w:val="1"/>
        </w:rPr>
        <w:t xml:space="preserve"> </w:t>
      </w:r>
      <w:r w:rsidRPr="0074553C">
        <w:rPr>
          <w:spacing w:val="-2"/>
        </w:rPr>
        <w:t>arrangements:</w:t>
      </w:r>
    </w:p>
    <w:p w14:paraId="4D4ABC9E" w14:textId="77777777" w:rsidR="000D2DA0" w:rsidRDefault="000D2DA0" w:rsidP="00A50F6F">
      <w:pPr>
        <w:pStyle w:val="OutlineNumbered2"/>
        <w:ind w:left="1135" w:hanging="851"/>
      </w:pPr>
      <w:r>
        <w:rPr>
          <w:spacing w:val="-2"/>
        </w:rPr>
        <w:t>T</w:t>
      </w:r>
      <w:r>
        <w:t>he RBA’s objectives, as outlined in the</w:t>
      </w:r>
      <w:r>
        <w:rPr>
          <w:spacing w:val="-1"/>
        </w:rPr>
        <w:t xml:space="preserve"> </w:t>
      </w:r>
      <w:r>
        <w:rPr>
          <w:i/>
        </w:rPr>
        <w:t xml:space="preserve">Reserve Bank Act (1959) </w:t>
      </w:r>
      <w:r>
        <w:t xml:space="preserve">and in the </w:t>
      </w:r>
      <w:r>
        <w:rPr>
          <w:i/>
        </w:rPr>
        <w:t>Statement on the Conduct of Monetary Policy</w:t>
      </w:r>
      <w:r>
        <w:t>, including the continued appropriateness of the inflation targeting framework.</w:t>
      </w:r>
    </w:p>
    <w:p w14:paraId="421F03D2" w14:textId="6C7A3920" w:rsidR="000D2DA0" w:rsidRDefault="000D2DA0" w:rsidP="00A50F6F">
      <w:pPr>
        <w:pStyle w:val="OutlineNumbered2"/>
        <w:ind w:left="1135" w:hanging="851"/>
      </w:pPr>
      <w:r>
        <w:t>The interaction</w:t>
      </w:r>
      <w:r>
        <w:rPr>
          <w:spacing w:val="-1"/>
        </w:rPr>
        <w:t xml:space="preserve"> </w:t>
      </w:r>
      <w:r>
        <w:t>of monetary</w:t>
      </w:r>
      <w:r>
        <w:rPr>
          <w:spacing w:val="-1"/>
        </w:rPr>
        <w:t xml:space="preserve"> </w:t>
      </w:r>
      <w:r>
        <w:t>policy</w:t>
      </w:r>
      <w:r>
        <w:rPr>
          <w:spacing w:val="-1"/>
        </w:rPr>
        <w:t xml:space="preserve"> </w:t>
      </w:r>
      <w:r>
        <w:t>with fiscal</w:t>
      </w:r>
      <w:r>
        <w:rPr>
          <w:spacing w:val="-1"/>
        </w:rPr>
        <w:t xml:space="preserve"> </w:t>
      </w:r>
      <w:r>
        <w:t>and macroprudential</w:t>
      </w:r>
      <w:r>
        <w:rPr>
          <w:spacing w:val="-1"/>
        </w:rPr>
        <w:t xml:space="preserve"> </w:t>
      </w:r>
      <w:r>
        <w:t>policy,</w:t>
      </w:r>
      <w:r>
        <w:rPr>
          <w:spacing w:val="-1"/>
        </w:rPr>
        <w:t xml:space="preserve"> </w:t>
      </w:r>
      <w:r>
        <w:t xml:space="preserve">including </w:t>
      </w:r>
      <w:r>
        <w:rPr>
          <w:spacing w:val="-2"/>
        </w:rPr>
        <w:t xml:space="preserve">during </w:t>
      </w:r>
      <w:r>
        <w:t>crises</w:t>
      </w:r>
      <w:r>
        <w:rPr>
          <w:spacing w:val="3"/>
        </w:rPr>
        <w:t xml:space="preserve"> </w:t>
      </w:r>
      <w:r>
        <w:t>and</w:t>
      </w:r>
      <w:r>
        <w:rPr>
          <w:spacing w:val="3"/>
        </w:rPr>
        <w:t xml:space="preserve"> </w:t>
      </w:r>
      <w:r>
        <w:t>when</w:t>
      </w:r>
      <w:r>
        <w:rPr>
          <w:spacing w:val="3"/>
        </w:rPr>
        <w:t xml:space="preserve"> </w:t>
      </w:r>
      <w:r>
        <w:t>monetary</w:t>
      </w:r>
      <w:r>
        <w:rPr>
          <w:spacing w:val="3"/>
        </w:rPr>
        <w:t xml:space="preserve"> </w:t>
      </w:r>
      <w:r>
        <w:t>policy</w:t>
      </w:r>
      <w:r>
        <w:rPr>
          <w:spacing w:val="3"/>
        </w:rPr>
        <w:t xml:space="preserve"> </w:t>
      </w:r>
      <w:r>
        <w:t>space</w:t>
      </w:r>
      <w:r>
        <w:rPr>
          <w:spacing w:val="3"/>
        </w:rPr>
        <w:t xml:space="preserve"> </w:t>
      </w:r>
      <w:r>
        <w:t>is</w:t>
      </w:r>
      <w:r>
        <w:rPr>
          <w:spacing w:val="3"/>
        </w:rPr>
        <w:t xml:space="preserve"> </w:t>
      </w:r>
      <w:r>
        <w:t>limited</w:t>
      </w:r>
      <w:r w:rsidR="0068598E">
        <w:rPr>
          <w:spacing w:val="-22"/>
        </w:rPr>
        <w:t>.</w:t>
      </w:r>
    </w:p>
    <w:p w14:paraId="3AE25A71" w14:textId="0466900B" w:rsidR="000D2DA0" w:rsidRDefault="000D2DA0" w:rsidP="00342DBC">
      <w:pPr>
        <w:pStyle w:val="OutlineNumbered3"/>
        <w:ind w:hanging="567"/>
        <w:rPr>
          <w:w w:val="85"/>
        </w:rPr>
      </w:pPr>
      <w:r>
        <w:t>This</w:t>
      </w:r>
      <w:r>
        <w:rPr>
          <w:spacing w:val="-8"/>
        </w:rPr>
        <w:t xml:space="preserve"> </w:t>
      </w:r>
      <w:r>
        <w:t>will</w:t>
      </w:r>
      <w:r>
        <w:rPr>
          <w:spacing w:val="-8"/>
        </w:rPr>
        <w:t xml:space="preserve"> </w:t>
      </w:r>
      <w:r>
        <w:t>include</w:t>
      </w:r>
      <w:r>
        <w:rPr>
          <w:spacing w:val="-8"/>
        </w:rPr>
        <w:t xml:space="preserve"> </w:t>
      </w:r>
      <w:r>
        <w:t>Australia’s</w:t>
      </w:r>
      <w:r>
        <w:rPr>
          <w:spacing w:val="-8"/>
        </w:rPr>
        <w:t xml:space="preserve"> </w:t>
      </w:r>
      <w:r>
        <w:t>macroprudential</w:t>
      </w:r>
      <w:r>
        <w:rPr>
          <w:spacing w:val="-8"/>
        </w:rPr>
        <w:t xml:space="preserve"> </w:t>
      </w:r>
      <w:r>
        <w:t>governance</w:t>
      </w:r>
      <w:r>
        <w:rPr>
          <w:spacing w:val="-8"/>
        </w:rPr>
        <w:t xml:space="preserve"> </w:t>
      </w:r>
      <w:r>
        <w:t>arrangements</w:t>
      </w:r>
      <w:r>
        <w:rPr>
          <w:spacing w:val="-8"/>
        </w:rPr>
        <w:t xml:space="preserve"> </w:t>
      </w:r>
      <w:r>
        <w:t>but</w:t>
      </w:r>
      <w:r>
        <w:rPr>
          <w:spacing w:val="-8"/>
        </w:rPr>
        <w:t xml:space="preserve"> </w:t>
      </w:r>
      <w:r>
        <w:t>exclude APRA’s statutory role or functions</w:t>
      </w:r>
      <w:r w:rsidR="0068598E">
        <w:rPr>
          <w:spacing w:val="-8"/>
        </w:rPr>
        <w:t>.</w:t>
      </w:r>
    </w:p>
    <w:p w14:paraId="18B48203" w14:textId="79FF65E3" w:rsidR="000D2DA0" w:rsidRDefault="000D2DA0" w:rsidP="0000278A">
      <w:pPr>
        <w:pStyle w:val="OutlineNumbered1"/>
      </w:pPr>
      <w:r>
        <w:t>It</w:t>
      </w:r>
      <w:r>
        <w:rPr>
          <w:spacing w:val="-1"/>
        </w:rPr>
        <w:t xml:space="preserve"> </w:t>
      </w:r>
      <w:r>
        <w:t>will also assess</w:t>
      </w:r>
      <w:r>
        <w:rPr>
          <w:spacing w:val="-1"/>
        </w:rPr>
        <w:t xml:space="preserve"> </w:t>
      </w:r>
      <w:r>
        <w:t>the following</w:t>
      </w:r>
      <w:r>
        <w:rPr>
          <w:spacing w:val="-1"/>
        </w:rPr>
        <w:t xml:space="preserve"> </w:t>
      </w:r>
      <w:r>
        <w:t>aspects of the</w:t>
      </w:r>
      <w:r>
        <w:rPr>
          <w:spacing w:val="-1"/>
        </w:rPr>
        <w:t xml:space="preserve"> </w:t>
      </w:r>
      <w:r>
        <w:rPr>
          <w:spacing w:val="-4"/>
        </w:rPr>
        <w:t>RBA:</w:t>
      </w:r>
    </w:p>
    <w:p w14:paraId="5FEC6236" w14:textId="2AFE142D" w:rsidR="000D2DA0" w:rsidRDefault="000D2DA0" w:rsidP="00A50F6F">
      <w:pPr>
        <w:pStyle w:val="OutlineNumbered2"/>
        <w:ind w:left="1135" w:hanging="851"/>
      </w:pPr>
      <w:r>
        <w:t>Its performance in meeting its objectives, including its choice of policy tools, policy implementation, policy communication, and how trade-offs between different objectives have been managed</w:t>
      </w:r>
      <w:r w:rsidR="0068598E">
        <w:rPr>
          <w:spacing w:val="-11"/>
        </w:rPr>
        <w:t>.</w:t>
      </w:r>
    </w:p>
    <w:p w14:paraId="0A80A982" w14:textId="1B4637A6" w:rsidR="000D2DA0" w:rsidRDefault="000D2DA0" w:rsidP="00A50F6F">
      <w:pPr>
        <w:pStyle w:val="OutlineNumbered2"/>
        <w:ind w:left="1135" w:hanging="851"/>
      </w:pPr>
      <w:r>
        <w:t>Its governance (including Board structure, experiences and expertise, composition, and the appointments process) and accountability arrangements</w:t>
      </w:r>
      <w:r w:rsidR="0068598E">
        <w:rPr>
          <w:spacing w:val="-8"/>
        </w:rPr>
        <w:t>.</w:t>
      </w:r>
    </w:p>
    <w:p w14:paraId="33446058" w14:textId="3E1DDD09" w:rsidR="00DC0D9C" w:rsidRPr="00DC0D9C" w:rsidRDefault="000D2DA0" w:rsidP="00342DBC">
      <w:pPr>
        <w:pStyle w:val="OutlineNumbered2"/>
        <w:ind w:left="1135" w:hanging="851"/>
      </w:pPr>
      <w:r>
        <w:t>Its</w:t>
      </w:r>
      <w:r>
        <w:rPr>
          <w:spacing w:val="-3"/>
        </w:rPr>
        <w:t xml:space="preserve"> </w:t>
      </w:r>
      <w:r>
        <w:t>culture,</w:t>
      </w:r>
      <w:r>
        <w:rPr>
          <w:spacing w:val="-3"/>
        </w:rPr>
        <w:t xml:space="preserve"> </w:t>
      </w:r>
      <w:r>
        <w:t>management,</w:t>
      </w:r>
      <w:r>
        <w:rPr>
          <w:spacing w:val="-4"/>
        </w:rPr>
        <w:t xml:space="preserve"> </w:t>
      </w:r>
      <w:r>
        <w:t>and</w:t>
      </w:r>
      <w:r>
        <w:rPr>
          <w:spacing w:val="-3"/>
        </w:rPr>
        <w:t xml:space="preserve"> </w:t>
      </w:r>
      <w:r>
        <w:t>recruitment</w:t>
      </w:r>
      <w:r>
        <w:rPr>
          <w:spacing w:val="-3"/>
        </w:rPr>
        <w:t xml:space="preserve"> </w:t>
      </w:r>
      <w:r>
        <w:t>processes</w:t>
      </w:r>
      <w:r w:rsidR="0068598E">
        <w:rPr>
          <w:spacing w:val="-25"/>
        </w:rPr>
        <w:t>.</w:t>
      </w:r>
    </w:p>
    <w:p w14:paraId="13D67D53" w14:textId="02441629" w:rsidR="00DC0D9C" w:rsidRDefault="000D2DA0" w:rsidP="000A4B82">
      <w:pPr>
        <w:pStyle w:val="OutlineNumbered1"/>
      </w:pPr>
      <w:r>
        <w:t>The Review will exclude the RBA’s payments, financial infrastructure, banking, and banknotes functions.</w:t>
      </w:r>
    </w:p>
    <w:p w14:paraId="47F96EF0" w14:textId="76F8C7E6" w:rsidR="00DC0D9C" w:rsidRDefault="000D2DA0" w:rsidP="00342DBC">
      <w:pPr>
        <w:pStyle w:val="OutlineNumbered1"/>
      </w:pPr>
      <w:r>
        <w:t>The</w:t>
      </w:r>
      <w:r>
        <w:rPr>
          <w:spacing w:val="-3"/>
        </w:rPr>
        <w:t xml:space="preserve"> </w:t>
      </w:r>
      <w:r>
        <w:t>Review</w:t>
      </w:r>
      <w:r>
        <w:rPr>
          <w:spacing w:val="-3"/>
        </w:rPr>
        <w:t xml:space="preserve"> </w:t>
      </w:r>
      <w:r>
        <w:t>will</w:t>
      </w:r>
      <w:r>
        <w:rPr>
          <w:spacing w:val="-3"/>
        </w:rPr>
        <w:t xml:space="preserve"> </w:t>
      </w:r>
      <w:r>
        <w:t>consult</w:t>
      </w:r>
      <w:r>
        <w:rPr>
          <w:spacing w:val="-4"/>
        </w:rPr>
        <w:t xml:space="preserve"> </w:t>
      </w:r>
      <w:r>
        <w:t>extensively</w:t>
      </w:r>
      <w:r>
        <w:rPr>
          <w:spacing w:val="-3"/>
        </w:rPr>
        <w:t xml:space="preserve"> </w:t>
      </w:r>
      <w:r>
        <w:t>with</w:t>
      </w:r>
      <w:r>
        <w:rPr>
          <w:spacing w:val="-3"/>
        </w:rPr>
        <w:t xml:space="preserve"> </w:t>
      </w:r>
      <w:r>
        <w:t>domestic</w:t>
      </w:r>
      <w:r>
        <w:rPr>
          <w:spacing w:val="-4"/>
        </w:rPr>
        <w:t xml:space="preserve"> </w:t>
      </w:r>
      <w:r>
        <w:t>and</w:t>
      </w:r>
      <w:r>
        <w:rPr>
          <w:spacing w:val="-3"/>
        </w:rPr>
        <w:t xml:space="preserve"> </w:t>
      </w:r>
      <w:r>
        <w:t>global</w:t>
      </w:r>
      <w:r>
        <w:rPr>
          <w:spacing w:val="-3"/>
        </w:rPr>
        <w:t xml:space="preserve"> </w:t>
      </w:r>
      <w:r>
        <w:t>experts</w:t>
      </w:r>
      <w:r>
        <w:rPr>
          <w:spacing w:val="-3"/>
        </w:rPr>
        <w:t xml:space="preserve"> </w:t>
      </w:r>
      <w:r>
        <w:t>and</w:t>
      </w:r>
      <w:r>
        <w:rPr>
          <w:spacing w:val="-4"/>
        </w:rPr>
        <w:t xml:space="preserve"> </w:t>
      </w:r>
      <w:r>
        <w:t>members</w:t>
      </w:r>
      <w:r>
        <w:rPr>
          <w:spacing w:val="-3"/>
        </w:rPr>
        <w:t xml:space="preserve"> </w:t>
      </w:r>
      <w:r>
        <w:t>of</w:t>
      </w:r>
      <w:r>
        <w:rPr>
          <w:spacing w:val="-3"/>
        </w:rPr>
        <w:t xml:space="preserve"> </w:t>
      </w:r>
      <w:r>
        <w:t>the</w:t>
      </w:r>
      <w:r>
        <w:rPr>
          <w:spacing w:val="-4"/>
        </w:rPr>
        <w:t xml:space="preserve"> </w:t>
      </w:r>
      <w:r>
        <w:rPr>
          <w:spacing w:val="-2"/>
        </w:rPr>
        <w:t>public.</w:t>
      </w:r>
    </w:p>
    <w:p w14:paraId="7EEBA268" w14:textId="4B607B6F" w:rsidR="00DC0D9C" w:rsidRDefault="000D2DA0" w:rsidP="00342DBC">
      <w:pPr>
        <w:pStyle w:val="OutlineNumbered1"/>
      </w:pPr>
      <w:r>
        <w:t>The Review will take account of analysis conducted in prior reviews of other central banks, including the US Federal Reserve, the Bank of Canada, the Reserve Bank of</w:t>
      </w:r>
      <w:r w:rsidR="00AA6A0C">
        <w:t xml:space="preserve"> </w:t>
      </w:r>
      <w:r>
        <w:t>New</w:t>
      </w:r>
      <w:r>
        <w:rPr>
          <w:spacing w:val="-1"/>
        </w:rPr>
        <w:t xml:space="preserve"> </w:t>
      </w:r>
      <w:r>
        <w:t>Zealand,</w:t>
      </w:r>
      <w:r>
        <w:rPr>
          <w:spacing w:val="-1"/>
        </w:rPr>
        <w:t xml:space="preserve"> </w:t>
      </w:r>
      <w:r>
        <w:t>and the</w:t>
      </w:r>
      <w:r>
        <w:rPr>
          <w:spacing w:val="-1"/>
        </w:rPr>
        <w:t xml:space="preserve"> </w:t>
      </w:r>
      <w:r>
        <w:t>European</w:t>
      </w:r>
      <w:r>
        <w:rPr>
          <w:spacing w:val="-1"/>
        </w:rPr>
        <w:t xml:space="preserve"> </w:t>
      </w:r>
      <w:r>
        <w:t>Central Bank</w:t>
      </w:r>
      <w:r w:rsidR="0068598E">
        <w:rPr>
          <w:spacing w:val="-24"/>
        </w:rPr>
        <w:t>.</w:t>
      </w:r>
    </w:p>
    <w:p w14:paraId="75E421A3" w14:textId="588F6A64" w:rsidR="00DC0D9C" w:rsidRDefault="000D2DA0" w:rsidP="00342DBC">
      <w:pPr>
        <w:pStyle w:val="OutlineNumbered1"/>
      </w:pPr>
      <w:r>
        <w:t>The</w:t>
      </w:r>
      <w:r>
        <w:rPr>
          <w:spacing w:val="-8"/>
        </w:rPr>
        <w:t xml:space="preserve"> </w:t>
      </w:r>
      <w:r>
        <w:t>Review</w:t>
      </w:r>
      <w:r>
        <w:rPr>
          <w:spacing w:val="-9"/>
        </w:rPr>
        <w:t xml:space="preserve"> </w:t>
      </w:r>
      <w:r>
        <w:t>may</w:t>
      </w:r>
      <w:r>
        <w:rPr>
          <w:spacing w:val="-9"/>
        </w:rPr>
        <w:t xml:space="preserve"> </w:t>
      </w:r>
      <w:r>
        <w:t>invite</w:t>
      </w:r>
      <w:r>
        <w:rPr>
          <w:spacing w:val="-9"/>
        </w:rPr>
        <w:t xml:space="preserve"> </w:t>
      </w:r>
      <w:r>
        <w:t>and</w:t>
      </w:r>
      <w:r>
        <w:rPr>
          <w:spacing w:val="-9"/>
        </w:rPr>
        <w:t xml:space="preserve"> </w:t>
      </w:r>
      <w:r>
        <w:t>publish</w:t>
      </w:r>
      <w:r>
        <w:rPr>
          <w:spacing w:val="-9"/>
        </w:rPr>
        <w:t xml:space="preserve"> </w:t>
      </w:r>
      <w:r>
        <w:t>submissions</w:t>
      </w:r>
      <w:r>
        <w:rPr>
          <w:spacing w:val="-9"/>
        </w:rPr>
        <w:t xml:space="preserve"> </w:t>
      </w:r>
      <w:r>
        <w:t>and</w:t>
      </w:r>
      <w:r>
        <w:rPr>
          <w:spacing w:val="-8"/>
        </w:rPr>
        <w:t xml:space="preserve"> </w:t>
      </w:r>
      <w:r>
        <w:t>seek</w:t>
      </w:r>
      <w:r>
        <w:rPr>
          <w:spacing w:val="-9"/>
        </w:rPr>
        <w:t xml:space="preserve"> </w:t>
      </w:r>
      <w:r>
        <w:t>information</w:t>
      </w:r>
      <w:r>
        <w:rPr>
          <w:spacing w:val="-9"/>
        </w:rPr>
        <w:t xml:space="preserve"> </w:t>
      </w:r>
      <w:r>
        <w:t>from</w:t>
      </w:r>
      <w:r>
        <w:rPr>
          <w:spacing w:val="-9"/>
        </w:rPr>
        <w:t xml:space="preserve"> </w:t>
      </w:r>
      <w:r>
        <w:t>any</w:t>
      </w:r>
      <w:r>
        <w:rPr>
          <w:spacing w:val="-9"/>
        </w:rPr>
        <w:t xml:space="preserve"> </w:t>
      </w:r>
      <w:r>
        <w:t>persons</w:t>
      </w:r>
      <w:r>
        <w:rPr>
          <w:spacing w:val="-9"/>
        </w:rPr>
        <w:t xml:space="preserve"> </w:t>
      </w:r>
      <w:r>
        <w:t>or</w:t>
      </w:r>
      <w:r>
        <w:rPr>
          <w:spacing w:val="-9"/>
        </w:rPr>
        <w:t xml:space="preserve"> </w:t>
      </w:r>
      <w:r>
        <w:rPr>
          <w:spacing w:val="-2"/>
        </w:rPr>
        <w:t>bodies.</w:t>
      </w:r>
    </w:p>
    <w:p w14:paraId="14527526" w14:textId="71BB2FD3" w:rsidR="003D3B7F" w:rsidRDefault="000D2DA0" w:rsidP="0000278A">
      <w:pPr>
        <w:pStyle w:val="OutlineNumbered1"/>
        <w:rPr>
          <w:spacing w:val="-10"/>
          <w:w w:val="85"/>
        </w:rPr>
      </w:pPr>
      <w:r>
        <w:t>A</w:t>
      </w:r>
      <w:r>
        <w:rPr>
          <w:spacing w:val="-2"/>
        </w:rPr>
        <w:t xml:space="preserve"> </w:t>
      </w:r>
      <w:r>
        <w:t>final</w:t>
      </w:r>
      <w:r>
        <w:rPr>
          <w:spacing w:val="-2"/>
        </w:rPr>
        <w:t xml:space="preserve"> </w:t>
      </w:r>
      <w:r>
        <w:t>report,</w:t>
      </w:r>
      <w:r>
        <w:rPr>
          <w:spacing w:val="-2"/>
        </w:rPr>
        <w:t xml:space="preserve"> </w:t>
      </w:r>
      <w:r>
        <w:t>with</w:t>
      </w:r>
      <w:r>
        <w:rPr>
          <w:spacing w:val="-2"/>
        </w:rPr>
        <w:t xml:space="preserve"> </w:t>
      </w:r>
      <w:r>
        <w:t>a</w:t>
      </w:r>
      <w:r>
        <w:rPr>
          <w:spacing w:val="-2"/>
        </w:rPr>
        <w:t xml:space="preserve"> </w:t>
      </w:r>
      <w:r>
        <w:t>set</w:t>
      </w:r>
      <w:r>
        <w:rPr>
          <w:spacing w:val="-2"/>
        </w:rPr>
        <w:t xml:space="preserve"> </w:t>
      </w:r>
      <w:r>
        <w:t>of</w:t>
      </w:r>
      <w:r>
        <w:rPr>
          <w:spacing w:val="-2"/>
        </w:rPr>
        <w:t xml:space="preserve"> </w:t>
      </w:r>
      <w:r>
        <w:t>clear</w:t>
      </w:r>
      <w:r>
        <w:rPr>
          <w:spacing w:val="-2"/>
        </w:rPr>
        <w:t xml:space="preserve"> </w:t>
      </w:r>
      <w:r>
        <w:t>recommendations</w:t>
      </w:r>
      <w:r>
        <w:rPr>
          <w:spacing w:val="-2"/>
        </w:rPr>
        <w:t xml:space="preserve"> </w:t>
      </w:r>
      <w:r>
        <w:t>to</w:t>
      </w:r>
      <w:r>
        <w:rPr>
          <w:spacing w:val="-2"/>
        </w:rPr>
        <w:t xml:space="preserve"> </w:t>
      </w:r>
      <w:r>
        <w:t>Government,</w:t>
      </w:r>
      <w:r>
        <w:rPr>
          <w:spacing w:val="-2"/>
        </w:rPr>
        <w:t xml:space="preserve"> </w:t>
      </w:r>
      <w:r>
        <w:t>is</w:t>
      </w:r>
      <w:r>
        <w:rPr>
          <w:spacing w:val="-2"/>
        </w:rPr>
        <w:t xml:space="preserve"> </w:t>
      </w:r>
      <w:r>
        <w:t>to</w:t>
      </w:r>
      <w:r>
        <w:rPr>
          <w:spacing w:val="-2"/>
        </w:rPr>
        <w:t xml:space="preserve"> </w:t>
      </w:r>
      <w:r>
        <w:t>be</w:t>
      </w:r>
      <w:r>
        <w:rPr>
          <w:spacing w:val="-3"/>
        </w:rPr>
        <w:t xml:space="preserve"> </w:t>
      </w:r>
      <w:r>
        <w:t>provided</w:t>
      </w:r>
      <w:r>
        <w:rPr>
          <w:spacing w:val="-2"/>
        </w:rPr>
        <w:t xml:space="preserve"> </w:t>
      </w:r>
      <w:r>
        <w:t>to</w:t>
      </w:r>
      <w:r>
        <w:rPr>
          <w:spacing w:val="-2"/>
        </w:rPr>
        <w:t xml:space="preserve"> </w:t>
      </w:r>
      <w:r>
        <w:rPr>
          <w:spacing w:val="-5"/>
        </w:rPr>
        <w:t>the</w:t>
      </w:r>
      <w:r w:rsidR="00AA6A0C">
        <w:rPr>
          <w:spacing w:val="-5"/>
        </w:rPr>
        <w:t xml:space="preserve"> </w:t>
      </w:r>
      <w:r>
        <w:t>Treasurer</w:t>
      </w:r>
      <w:r>
        <w:rPr>
          <w:spacing w:val="-8"/>
        </w:rPr>
        <w:t xml:space="preserve"> </w:t>
      </w:r>
      <w:r>
        <w:t>no</w:t>
      </w:r>
      <w:r>
        <w:rPr>
          <w:spacing w:val="-6"/>
        </w:rPr>
        <w:t xml:space="preserve"> </w:t>
      </w:r>
      <w:r>
        <w:t>later</w:t>
      </w:r>
      <w:r>
        <w:rPr>
          <w:spacing w:val="-5"/>
        </w:rPr>
        <w:t xml:space="preserve"> </w:t>
      </w:r>
      <w:r>
        <w:t>than</w:t>
      </w:r>
      <w:r>
        <w:rPr>
          <w:spacing w:val="-6"/>
        </w:rPr>
        <w:t xml:space="preserve"> </w:t>
      </w:r>
      <w:r>
        <w:t>March</w:t>
      </w:r>
      <w:r>
        <w:rPr>
          <w:spacing w:val="-5"/>
        </w:rPr>
        <w:t xml:space="preserve"> </w:t>
      </w:r>
      <w:r>
        <w:t>2023</w:t>
      </w:r>
      <w:r w:rsidR="0068598E">
        <w:rPr>
          <w:spacing w:val="-25"/>
        </w:rPr>
        <w:t>.</w:t>
      </w:r>
    </w:p>
    <w:p w14:paraId="3882D3A8" w14:textId="77777777" w:rsidR="003D3B7F" w:rsidRDefault="003D3B7F">
      <w:pPr>
        <w:spacing w:before="0" w:after="160" w:line="259" w:lineRule="auto"/>
        <w:rPr>
          <w:spacing w:val="-10"/>
          <w:w w:val="85"/>
        </w:rPr>
      </w:pPr>
      <w:r>
        <w:rPr>
          <w:spacing w:val="-10"/>
          <w:w w:val="85"/>
        </w:rPr>
        <w:br w:type="page"/>
      </w:r>
    </w:p>
    <w:p w14:paraId="716883BF" w14:textId="5EF08178" w:rsidR="00184758" w:rsidRDefault="00184758" w:rsidP="00A31B02">
      <w:pPr>
        <w:pStyle w:val="Heading1"/>
        <w:rPr>
          <w:rFonts w:ascii="Open Sans"/>
          <w:b w:val="0"/>
          <w:sz w:val="53"/>
        </w:rPr>
      </w:pPr>
      <w:bookmarkStart w:id="67" w:name="_Toc134221037"/>
      <w:r>
        <w:lastRenderedPageBreak/>
        <w:t xml:space="preserve">Appendix 2: Alternative </w:t>
      </w:r>
      <w:r>
        <w:rPr>
          <w:spacing w:val="-4"/>
        </w:rPr>
        <w:t>monetary</w:t>
      </w:r>
      <w:r>
        <w:rPr>
          <w:spacing w:val="-26"/>
        </w:rPr>
        <w:t xml:space="preserve"> </w:t>
      </w:r>
      <w:r>
        <w:rPr>
          <w:spacing w:val="-4"/>
        </w:rPr>
        <w:t>policy</w:t>
      </w:r>
      <w:r>
        <w:rPr>
          <w:spacing w:val="-26"/>
        </w:rPr>
        <w:t xml:space="preserve"> </w:t>
      </w:r>
      <w:r w:rsidRPr="00A31B02">
        <w:t>frameworks</w:t>
      </w:r>
      <w:bookmarkEnd w:id="67"/>
    </w:p>
    <w:p w14:paraId="51933996" w14:textId="26E12322" w:rsidR="00184758" w:rsidRDefault="00184758" w:rsidP="00A31B02">
      <w:r>
        <w:t>This appendix considers some advantages and disadvantages of various alternative monetary policy frameworks</w:t>
      </w:r>
      <w:r w:rsidR="0068598E">
        <w:rPr>
          <w:spacing w:val="-18"/>
        </w:rPr>
        <w:t>.</w:t>
      </w:r>
      <w:r>
        <w:rPr>
          <w:w w:val="85"/>
        </w:rPr>
        <w:t xml:space="preserve"> </w:t>
      </w:r>
      <w:r>
        <w:t>The crucial criterion for evaluating a framework is the extent to which it achieves the RBA’s monetary policy objectives of low and stable inflation and full employment.</w:t>
      </w:r>
    </w:p>
    <w:p w14:paraId="755B368C" w14:textId="77777777" w:rsidR="00184758" w:rsidRDefault="00184758" w:rsidP="00A31B02">
      <w:pPr>
        <w:pStyle w:val="Heading2"/>
      </w:pPr>
      <w:bookmarkStart w:id="68" w:name="_Toc134221038"/>
      <w:r>
        <w:t>Average</w:t>
      </w:r>
      <w:r>
        <w:rPr>
          <w:spacing w:val="-12"/>
        </w:rPr>
        <w:t xml:space="preserve"> </w:t>
      </w:r>
      <w:r>
        <w:t>inflation-targeting</w:t>
      </w:r>
      <w:bookmarkEnd w:id="68"/>
    </w:p>
    <w:p w14:paraId="46FC8E5F" w14:textId="77777777" w:rsidR="00184758" w:rsidRDefault="00184758" w:rsidP="00A31B02">
      <w:r>
        <w:t>Under average inflation-targeting, the RBA would seek to deliver an average rate of inflation over a specified rolling multi-year window. The benefits of average inflation-targeting are:</w:t>
      </w:r>
    </w:p>
    <w:p w14:paraId="1A76BFF8" w14:textId="491E615B" w:rsidR="00184758" w:rsidRDefault="00184758" w:rsidP="0000278A">
      <w:pPr>
        <w:pStyle w:val="Bullet"/>
      </w:pPr>
      <w:r>
        <w:t>Stronger monetary policy stimulus at the effective lower bound for the policy rate, as a commitment to offset a period of low inflation creates expectations of stronger inflation</w:t>
      </w:r>
      <w:r w:rsidRPr="00A31B02">
        <w:rPr>
          <w:spacing w:val="80"/>
        </w:rPr>
        <w:t xml:space="preserve"> </w:t>
      </w:r>
      <w:r>
        <w:t>and economic activity and lower real interest rates, providing additional stimulus (for recent</w:t>
      </w:r>
      <w:r w:rsidR="0068598E">
        <w:t xml:space="preserve"> </w:t>
      </w:r>
      <w:r>
        <w:t>assessments see Dorich, Mendes and Zhang 2021; Amano, Gnocchi, Leduc and Wagner 2020; European</w:t>
      </w:r>
      <w:r w:rsidRPr="00A31B02">
        <w:rPr>
          <w:spacing w:val="-4"/>
        </w:rPr>
        <w:t xml:space="preserve"> </w:t>
      </w:r>
      <w:r>
        <w:t>Central</w:t>
      </w:r>
      <w:r w:rsidRPr="00A31B02">
        <w:rPr>
          <w:spacing w:val="-4"/>
        </w:rPr>
        <w:t xml:space="preserve"> </w:t>
      </w:r>
      <w:r>
        <w:t>Bank</w:t>
      </w:r>
      <w:r w:rsidRPr="00A31B02">
        <w:rPr>
          <w:spacing w:val="-4"/>
        </w:rPr>
        <w:t xml:space="preserve"> </w:t>
      </w:r>
      <w:r>
        <w:t>2021;</w:t>
      </w:r>
      <w:r w:rsidRPr="00A31B02">
        <w:rPr>
          <w:spacing w:val="-4"/>
        </w:rPr>
        <w:t xml:space="preserve"> </w:t>
      </w:r>
      <w:r>
        <w:t>Arias</w:t>
      </w:r>
      <w:r w:rsidRPr="00A31B02">
        <w:rPr>
          <w:spacing w:val="-4"/>
        </w:rPr>
        <w:t xml:space="preserve"> </w:t>
      </w:r>
      <w:r>
        <w:t>et</w:t>
      </w:r>
      <w:r w:rsidRPr="00A31B02">
        <w:rPr>
          <w:spacing w:val="-4"/>
        </w:rPr>
        <w:t xml:space="preserve"> </w:t>
      </w:r>
      <w:r>
        <w:t>al</w:t>
      </w:r>
      <w:r w:rsidRPr="00A31B02">
        <w:rPr>
          <w:spacing w:val="-4"/>
        </w:rPr>
        <w:t xml:space="preserve"> </w:t>
      </w:r>
      <w:r>
        <w:t>2020)</w:t>
      </w:r>
      <w:r w:rsidR="0068598E">
        <w:rPr>
          <w:spacing w:val="-25"/>
        </w:rPr>
        <w:t>.</w:t>
      </w:r>
      <w:r w:rsidRPr="00A31B02">
        <w:rPr>
          <w:w w:val="85"/>
        </w:rPr>
        <w:t xml:space="preserve"> </w:t>
      </w:r>
      <w:r>
        <w:t>There</w:t>
      </w:r>
      <w:r w:rsidRPr="00A31B02">
        <w:rPr>
          <w:spacing w:val="-4"/>
        </w:rPr>
        <w:t xml:space="preserve"> </w:t>
      </w:r>
      <w:r>
        <w:t>are</w:t>
      </w:r>
      <w:r w:rsidRPr="00A31B02">
        <w:rPr>
          <w:spacing w:val="-4"/>
        </w:rPr>
        <w:t xml:space="preserve"> </w:t>
      </w:r>
      <w:r>
        <w:t>arguably</w:t>
      </w:r>
      <w:r w:rsidRPr="00A31B02">
        <w:rPr>
          <w:spacing w:val="-4"/>
        </w:rPr>
        <w:t xml:space="preserve"> </w:t>
      </w:r>
      <w:r>
        <w:t>macroeconomic</w:t>
      </w:r>
      <w:r w:rsidRPr="00A31B02">
        <w:rPr>
          <w:spacing w:val="-4"/>
        </w:rPr>
        <w:t xml:space="preserve"> </w:t>
      </w:r>
      <w:r>
        <w:t>stabilisation benefits too during periods of strong demand and above-target inflation.</w:t>
      </w:r>
    </w:p>
    <w:p w14:paraId="58AF3DCC" w14:textId="77777777" w:rsidR="00184758" w:rsidRDefault="00184758" w:rsidP="00F01120">
      <w:r>
        <w:t>Research on</w:t>
      </w:r>
      <w:r>
        <w:rPr>
          <w:spacing w:val="3"/>
        </w:rPr>
        <w:t xml:space="preserve"> </w:t>
      </w:r>
      <w:r>
        <w:t>average</w:t>
      </w:r>
      <w:r>
        <w:rPr>
          <w:spacing w:val="2"/>
        </w:rPr>
        <w:t xml:space="preserve"> </w:t>
      </w:r>
      <w:r>
        <w:t>inflation-targeting</w:t>
      </w:r>
      <w:r>
        <w:rPr>
          <w:spacing w:val="3"/>
        </w:rPr>
        <w:t xml:space="preserve"> </w:t>
      </w:r>
      <w:r>
        <w:t>also</w:t>
      </w:r>
      <w:r>
        <w:rPr>
          <w:spacing w:val="3"/>
        </w:rPr>
        <w:t xml:space="preserve"> </w:t>
      </w:r>
      <w:r>
        <w:t>suggests</w:t>
      </w:r>
      <w:r>
        <w:rPr>
          <w:spacing w:val="2"/>
        </w:rPr>
        <w:t xml:space="preserve"> </w:t>
      </w:r>
      <w:r>
        <w:t>potential</w:t>
      </w:r>
      <w:r>
        <w:rPr>
          <w:spacing w:val="3"/>
        </w:rPr>
        <w:t xml:space="preserve"> </w:t>
      </w:r>
      <w:r>
        <w:t>drawbacks</w:t>
      </w:r>
      <w:r>
        <w:rPr>
          <w:spacing w:val="2"/>
        </w:rPr>
        <w:t xml:space="preserve"> </w:t>
      </w:r>
      <w:r>
        <w:t>to</w:t>
      </w:r>
      <w:r>
        <w:rPr>
          <w:spacing w:val="3"/>
        </w:rPr>
        <w:t xml:space="preserve"> </w:t>
      </w:r>
      <w:r>
        <w:t>the</w:t>
      </w:r>
      <w:r>
        <w:rPr>
          <w:spacing w:val="3"/>
        </w:rPr>
        <w:t xml:space="preserve"> </w:t>
      </w:r>
      <w:r>
        <w:rPr>
          <w:spacing w:val="-2"/>
        </w:rPr>
        <w:t>framework:</w:t>
      </w:r>
    </w:p>
    <w:p w14:paraId="55E2977F" w14:textId="05FB3A0F" w:rsidR="00184758" w:rsidRDefault="00184758" w:rsidP="0000278A">
      <w:pPr>
        <w:pStyle w:val="Bullet"/>
        <w:rPr>
          <w:rFonts w:ascii="Arial" w:hAnsi="Arial"/>
        </w:rPr>
      </w:pPr>
      <w:r>
        <w:t>An average inflation-target may tend towards tighter monetary policy in the early phase of a downturn that follows a boom as the central bank seeks to compensate for the earlier period of above-target inflation. It is unclear that an average inflation target would deliver less volatility in economic activity over the cycle as a whole</w:t>
      </w:r>
      <w:r w:rsidR="0068598E">
        <w:rPr>
          <w:spacing w:val="-13"/>
        </w:rPr>
        <w:t>.</w:t>
      </w:r>
    </w:p>
    <w:p w14:paraId="1259F6F4" w14:textId="0C13FAAB" w:rsidR="00184758" w:rsidRDefault="00184758" w:rsidP="0000278A">
      <w:pPr>
        <w:pStyle w:val="Bullet"/>
      </w:pPr>
      <w:r>
        <w:t>Average inflation-targeting may not be perceived as credible because the central bank may</w:t>
      </w:r>
      <w:r w:rsidRPr="00F01120">
        <w:rPr>
          <w:spacing w:val="40"/>
        </w:rPr>
        <w:t xml:space="preserve"> </w:t>
      </w:r>
      <w:r>
        <w:t xml:space="preserve">face incentives to renege on its commitment to ‘make-up’ past misses of the target </w:t>
      </w:r>
      <w:r w:rsidR="0068598E">
        <w:t>(</w:t>
      </w:r>
      <w:r w:rsidR="0068598E" w:rsidRPr="00F01120">
        <w:rPr>
          <w:spacing w:val="-29"/>
        </w:rPr>
        <w:t>Jia</w:t>
      </w:r>
      <w:r>
        <w:t xml:space="preserve"> and Wu</w:t>
      </w:r>
      <w:r w:rsidR="00F01120">
        <w:t xml:space="preserve"> </w:t>
      </w:r>
      <w:r>
        <w:t>2022).</w:t>
      </w:r>
      <w:r w:rsidRPr="00F01120">
        <w:rPr>
          <w:spacing w:val="-1"/>
        </w:rPr>
        <w:t xml:space="preserve"> </w:t>
      </w:r>
      <w:r>
        <w:t>In</w:t>
      </w:r>
      <w:r w:rsidRPr="00F01120">
        <w:rPr>
          <w:spacing w:val="-1"/>
        </w:rPr>
        <w:t xml:space="preserve"> </w:t>
      </w:r>
      <w:r>
        <w:t>particular,</w:t>
      </w:r>
      <w:r w:rsidRPr="00F01120">
        <w:rPr>
          <w:spacing w:val="-1"/>
        </w:rPr>
        <w:t xml:space="preserve"> </w:t>
      </w:r>
      <w:r>
        <w:t>a</w:t>
      </w:r>
      <w:r w:rsidRPr="00F01120">
        <w:rPr>
          <w:spacing w:val="-1"/>
        </w:rPr>
        <w:t xml:space="preserve"> </w:t>
      </w:r>
      <w:r>
        <w:t>central</w:t>
      </w:r>
      <w:r w:rsidRPr="00F01120">
        <w:rPr>
          <w:spacing w:val="-1"/>
        </w:rPr>
        <w:t xml:space="preserve"> </w:t>
      </w:r>
      <w:r>
        <w:t>bank</w:t>
      </w:r>
      <w:r w:rsidRPr="00F01120">
        <w:rPr>
          <w:spacing w:val="-1"/>
        </w:rPr>
        <w:t xml:space="preserve"> </w:t>
      </w:r>
      <w:r>
        <w:t>may</w:t>
      </w:r>
      <w:r w:rsidRPr="00F01120">
        <w:rPr>
          <w:spacing w:val="-1"/>
        </w:rPr>
        <w:t xml:space="preserve"> </w:t>
      </w:r>
      <w:r>
        <w:t>be</w:t>
      </w:r>
      <w:r w:rsidRPr="00F01120">
        <w:rPr>
          <w:spacing w:val="-1"/>
        </w:rPr>
        <w:t xml:space="preserve"> </w:t>
      </w:r>
      <w:r>
        <w:t>hesitant</w:t>
      </w:r>
      <w:r w:rsidRPr="00F01120">
        <w:rPr>
          <w:spacing w:val="-1"/>
        </w:rPr>
        <w:t xml:space="preserve"> </w:t>
      </w:r>
      <w:r>
        <w:t>to</w:t>
      </w:r>
      <w:r w:rsidRPr="00F01120">
        <w:rPr>
          <w:spacing w:val="-1"/>
        </w:rPr>
        <w:t xml:space="preserve"> </w:t>
      </w:r>
      <w:r>
        <w:t>deliberately</w:t>
      </w:r>
      <w:r w:rsidRPr="00F01120">
        <w:rPr>
          <w:spacing w:val="-1"/>
        </w:rPr>
        <w:t xml:space="preserve"> </w:t>
      </w:r>
      <w:r>
        <w:t>engineer</w:t>
      </w:r>
      <w:r w:rsidRPr="00F01120">
        <w:rPr>
          <w:spacing w:val="-1"/>
        </w:rPr>
        <w:t xml:space="preserve"> </w:t>
      </w:r>
      <w:r>
        <w:t>inflation</w:t>
      </w:r>
      <w:r w:rsidRPr="00F01120">
        <w:rPr>
          <w:spacing w:val="-1"/>
        </w:rPr>
        <w:t xml:space="preserve"> </w:t>
      </w:r>
      <w:r>
        <w:t>above</w:t>
      </w:r>
      <w:r w:rsidRPr="00F01120">
        <w:rPr>
          <w:spacing w:val="-1"/>
        </w:rPr>
        <w:t xml:space="preserve"> </w:t>
      </w:r>
      <w:r>
        <w:t>target following a period of low inflation, because aiming for modestly above-target inflation increases the risk that inflation overshoots the target by even more than desired and becomes very costly to normalise</w:t>
      </w:r>
      <w:r w:rsidR="0068598E">
        <w:rPr>
          <w:spacing w:val="-17"/>
        </w:rPr>
        <w:t>.</w:t>
      </w:r>
    </w:p>
    <w:p w14:paraId="41879AAE" w14:textId="48812F45" w:rsidR="00184758" w:rsidRDefault="00184758" w:rsidP="0000278A">
      <w:pPr>
        <w:pStyle w:val="Bullet"/>
      </w:pPr>
      <w:r>
        <w:t>Even if credible, an average inflation target is likely to be more difficult to communicate to the public and markets. The purported benefits of an average inflation target will be reduced if</w:t>
      </w:r>
      <w:r w:rsidRPr="00F01120">
        <w:rPr>
          <w:spacing w:val="80"/>
        </w:rPr>
        <w:t xml:space="preserve"> </w:t>
      </w:r>
      <w:r>
        <w:t>the framework is not credible, it is poorly understood or if businesses and households are not</w:t>
      </w:r>
      <w:r w:rsidR="00F01120">
        <w:t xml:space="preserve"> </w:t>
      </w:r>
      <w:r>
        <w:t>particularly</w:t>
      </w:r>
      <w:r w:rsidRPr="00F01120">
        <w:rPr>
          <w:spacing w:val="-1"/>
        </w:rPr>
        <w:t xml:space="preserve"> </w:t>
      </w:r>
      <w:r>
        <w:t>forward-looking</w:t>
      </w:r>
      <w:r w:rsidRPr="00F01120">
        <w:rPr>
          <w:spacing w:val="2"/>
        </w:rPr>
        <w:t xml:space="preserve"> </w:t>
      </w:r>
      <w:r>
        <w:t>in</w:t>
      </w:r>
      <w:r w:rsidRPr="00F01120">
        <w:rPr>
          <w:spacing w:val="2"/>
        </w:rPr>
        <w:t xml:space="preserve"> </w:t>
      </w:r>
      <w:r>
        <w:t>the</w:t>
      </w:r>
      <w:r w:rsidRPr="00F01120">
        <w:rPr>
          <w:spacing w:val="1"/>
        </w:rPr>
        <w:t xml:space="preserve"> </w:t>
      </w:r>
      <w:r>
        <w:t>way</w:t>
      </w:r>
      <w:r w:rsidRPr="00F01120">
        <w:rPr>
          <w:spacing w:val="2"/>
        </w:rPr>
        <w:t xml:space="preserve"> </w:t>
      </w:r>
      <w:r>
        <w:t>they</w:t>
      </w:r>
      <w:r w:rsidRPr="00F01120">
        <w:rPr>
          <w:spacing w:val="2"/>
        </w:rPr>
        <w:t xml:space="preserve"> </w:t>
      </w:r>
      <w:r>
        <w:t>make</w:t>
      </w:r>
      <w:r w:rsidRPr="00F01120">
        <w:rPr>
          <w:spacing w:val="1"/>
        </w:rPr>
        <w:t xml:space="preserve"> </w:t>
      </w:r>
      <w:r>
        <w:t>decisions</w:t>
      </w:r>
      <w:r w:rsidRPr="00F01120">
        <w:rPr>
          <w:spacing w:val="2"/>
        </w:rPr>
        <w:t xml:space="preserve"> </w:t>
      </w:r>
      <w:r>
        <w:t>(Wagner,</w:t>
      </w:r>
      <w:r w:rsidRPr="00F01120">
        <w:rPr>
          <w:spacing w:val="2"/>
        </w:rPr>
        <w:t xml:space="preserve"> </w:t>
      </w:r>
      <w:r>
        <w:t>Schlanger</w:t>
      </w:r>
      <w:r w:rsidRPr="00F01120">
        <w:rPr>
          <w:spacing w:val="1"/>
        </w:rPr>
        <w:t xml:space="preserve"> </w:t>
      </w:r>
      <w:r>
        <w:t>and</w:t>
      </w:r>
      <w:r w:rsidRPr="00F01120">
        <w:rPr>
          <w:spacing w:val="2"/>
        </w:rPr>
        <w:t xml:space="preserve"> </w:t>
      </w:r>
      <w:r>
        <w:t>Zhang</w:t>
      </w:r>
      <w:r w:rsidRPr="00F01120">
        <w:rPr>
          <w:spacing w:val="2"/>
        </w:rPr>
        <w:t xml:space="preserve"> </w:t>
      </w:r>
      <w:r w:rsidRPr="00F01120">
        <w:rPr>
          <w:spacing w:val="-2"/>
        </w:rPr>
        <w:t>2021;</w:t>
      </w:r>
      <w:r w:rsidR="00F01120">
        <w:rPr>
          <w:spacing w:val="-2"/>
        </w:rPr>
        <w:t xml:space="preserve"> </w:t>
      </w:r>
      <w:r>
        <w:t>Hebden</w:t>
      </w:r>
      <w:r w:rsidRPr="00F01120">
        <w:rPr>
          <w:spacing w:val="-8"/>
        </w:rPr>
        <w:t xml:space="preserve"> </w:t>
      </w:r>
      <w:r>
        <w:t>and</w:t>
      </w:r>
      <w:r w:rsidRPr="00F01120">
        <w:rPr>
          <w:spacing w:val="-5"/>
        </w:rPr>
        <w:t xml:space="preserve"> </w:t>
      </w:r>
      <w:r>
        <w:t>others</w:t>
      </w:r>
      <w:r w:rsidRPr="00F01120">
        <w:rPr>
          <w:spacing w:val="-6"/>
        </w:rPr>
        <w:t xml:space="preserve"> </w:t>
      </w:r>
      <w:r>
        <w:t>2020;</w:t>
      </w:r>
      <w:r w:rsidRPr="00F01120">
        <w:rPr>
          <w:spacing w:val="-6"/>
        </w:rPr>
        <w:t xml:space="preserve"> </w:t>
      </w:r>
      <w:r>
        <w:t>European</w:t>
      </w:r>
      <w:r w:rsidRPr="00F01120">
        <w:rPr>
          <w:spacing w:val="-5"/>
        </w:rPr>
        <w:t xml:space="preserve"> </w:t>
      </w:r>
      <w:r>
        <w:t>Central</w:t>
      </w:r>
      <w:r w:rsidRPr="00F01120">
        <w:rPr>
          <w:spacing w:val="-6"/>
        </w:rPr>
        <w:t xml:space="preserve"> </w:t>
      </w:r>
      <w:r>
        <w:t>Bank</w:t>
      </w:r>
      <w:r w:rsidRPr="00F01120">
        <w:rPr>
          <w:spacing w:val="-5"/>
        </w:rPr>
        <w:t xml:space="preserve"> </w:t>
      </w:r>
      <w:r>
        <w:t>2021a)</w:t>
      </w:r>
      <w:r w:rsidR="0068598E">
        <w:rPr>
          <w:spacing w:val="-25"/>
        </w:rPr>
        <w:t>.</w:t>
      </w:r>
    </w:p>
    <w:p w14:paraId="34B33118" w14:textId="66F387D4" w:rsidR="00184758" w:rsidRDefault="00184758" w:rsidP="0000278A">
      <w:pPr>
        <w:pStyle w:val="Bullet"/>
      </w:pPr>
      <w:r>
        <w:t>It will generally</w:t>
      </w:r>
      <w:r w:rsidRPr="00F01120">
        <w:rPr>
          <w:spacing w:val="1"/>
        </w:rPr>
        <w:t xml:space="preserve"> </w:t>
      </w:r>
      <w:r>
        <w:t>result in holding</w:t>
      </w:r>
      <w:r w:rsidRPr="00F01120">
        <w:rPr>
          <w:spacing w:val="1"/>
        </w:rPr>
        <w:t xml:space="preserve"> </w:t>
      </w:r>
      <w:r>
        <w:t>the policy rate</w:t>
      </w:r>
      <w:r w:rsidRPr="00F01120">
        <w:rPr>
          <w:spacing w:val="1"/>
        </w:rPr>
        <w:t xml:space="preserve"> </w:t>
      </w:r>
      <w:r>
        <w:t>at low levels</w:t>
      </w:r>
      <w:r w:rsidRPr="00F01120">
        <w:rPr>
          <w:spacing w:val="1"/>
        </w:rPr>
        <w:t xml:space="preserve"> </w:t>
      </w:r>
      <w:r>
        <w:t>for longer during</w:t>
      </w:r>
      <w:r w:rsidRPr="00F01120">
        <w:rPr>
          <w:spacing w:val="1"/>
        </w:rPr>
        <w:t xml:space="preserve"> </w:t>
      </w:r>
      <w:r>
        <w:t>a downturn,</w:t>
      </w:r>
      <w:r w:rsidRPr="00F01120">
        <w:rPr>
          <w:spacing w:val="1"/>
        </w:rPr>
        <w:t xml:space="preserve"> </w:t>
      </w:r>
      <w:r w:rsidRPr="00F01120">
        <w:rPr>
          <w:spacing w:val="-2"/>
        </w:rPr>
        <w:t>which</w:t>
      </w:r>
      <w:r w:rsidR="00F01120">
        <w:rPr>
          <w:spacing w:val="-2"/>
        </w:rPr>
        <w:t xml:space="preserve"> </w:t>
      </w:r>
      <w:r>
        <w:t>may</w:t>
      </w:r>
      <w:r w:rsidRPr="00F01120">
        <w:rPr>
          <w:spacing w:val="-1"/>
        </w:rPr>
        <w:t xml:space="preserve"> </w:t>
      </w:r>
      <w:r>
        <w:t>promote</w:t>
      </w:r>
      <w:r w:rsidRPr="00F01120">
        <w:rPr>
          <w:spacing w:val="-1"/>
        </w:rPr>
        <w:t xml:space="preserve"> </w:t>
      </w:r>
      <w:r>
        <w:t>growth</w:t>
      </w:r>
      <w:r w:rsidRPr="00F01120">
        <w:rPr>
          <w:spacing w:val="-1"/>
        </w:rPr>
        <w:t xml:space="preserve"> </w:t>
      </w:r>
      <w:r>
        <w:t>in</w:t>
      </w:r>
      <w:r w:rsidRPr="00F01120">
        <w:rPr>
          <w:spacing w:val="-1"/>
        </w:rPr>
        <w:t xml:space="preserve"> </w:t>
      </w:r>
      <w:r>
        <w:t>financial stability</w:t>
      </w:r>
      <w:r w:rsidRPr="00F01120">
        <w:rPr>
          <w:spacing w:val="-1"/>
        </w:rPr>
        <w:t xml:space="preserve"> </w:t>
      </w:r>
      <w:r>
        <w:t>risks</w:t>
      </w:r>
      <w:r w:rsidRPr="00F01120">
        <w:rPr>
          <w:spacing w:val="-1"/>
        </w:rPr>
        <w:t xml:space="preserve"> </w:t>
      </w:r>
      <w:r>
        <w:t>(Bank</w:t>
      </w:r>
      <w:r w:rsidRPr="00F01120">
        <w:rPr>
          <w:spacing w:val="-1"/>
        </w:rPr>
        <w:t xml:space="preserve"> </w:t>
      </w:r>
      <w:r>
        <w:t>of</w:t>
      </w:r>
      <w:r w:rsidRPr="00F01120">
        <w:rPr>
          <w:spacing w:val="-1"/>
        </w:rPr>
        <w:t xml:space="preserve"> </w:t>
      </w:r>
      <w:r>
        <w:t>Canada 2021;</w:t>
      </w:r>
      <w:r w:rsidRPr="00F01120">
        <w:rPr>
          <w:spacing w:val="-1"/>
        </w:rPr>
        <w:t xml:space="preserve"> </w:t>
      </w:r>
      <w:r>
        <w:t>Goldberg</w:t>
      </w:r>
      <w:r w:rsidRPr="00F01120">
        <w:rPr>
          <w:spacing w:val="-1"/>
        </w:rPr>
        <w:t xml:space="preserve"> </w:t>
      </w:r>
      <w:r>
        <w:t>and</w:t>
      </w:r>
      <w:r w:rsidRPr="00F01120">
        <w:rPr>
          <w:spacing w:val="-1"/>
        </w:rPr>
        <w:t xml:space="preserve"> </w:t>
      </w:r>
      <w:r>
        <w:t xml:space="preserve">others </w:t>
      </w:r>
      <w:r w:rsidRPr="00F01120">
        <w:rPr>
          <w:spacing w:val="-2"/>
        </w:rPr>
        <w:t>2020).</w:t>
      </w:r>
    </w:p>
    <w:p w14:paraId="152D7B32" w14:textId="28144E7B" w:rsidR="002050F5" w:rsidRPr="00F01120" w:rsidRDefault="00184758" w:rsidP="0000278A">
      <w:pPr>
        <w:pStyle w:val="Bullet"/>
      </w:pPr>
      <w:r>
        <w:t>It would make it more difficult for monetary policy to ‘look through’ temporary fluctuations in inflation,</w:t>
      </w:r>
      <w:r>
        <w:rPr>
          <w:spacing w:val="15"/>
        </w:rPr>
        <w:t xml:space="preserve"> </w:t>
      </w:r>
      <w:r>
        <w:t>for</w:t>
      </w:r>
      <w:r>
        <w:rPr>
          <w:spacing w:val="15"/>
        </w:rPr>
        <w:t xml:space="preserve"> </w:t>
      </w:r>
      <w:r>
        <w:t>instance,</w:t>
      </w:r>
      <w:r>
        <w:rPr>
          <w:spacing w:val="15"/>
        </w:rPr>
        <w:t xml:space="preserve"> </w:t>
      </w:r>
      <w:r>
        <w:t>due</w:t>
      </w:r>
      <w:r>
        <w:rPr>
          <w:spacing w:val="15"/>
        </w:rPr>
        <w:t xml:space="preserve"> </w:t>
      </w:r>
      <w:r>
        <w:t>to</w:t>
      </w:r>
      <w:r>
        <w:rPr>
          <w:spacing w:val="15"/>
        </w:rPr>
        <w:t xml:space="preserve"> </w:t>
      </w:r>
      <w:r>
        <w:t>short-lived</w:t>
      </w:r>
      <w:r>
        <w:rPr>
          <w:spacing w:val="15"/>
        </w:rPr>
        <w:t xml:space="preserve"> </w:t>
      </w:r>
      <w:r>
        <w:t>supply</w:t>
      </w:r>
      <w:r>
        <w:rPr>
          <w:spacing w:val="15"/>
        </w:rPr>
        <w:t xml:space="preserve"> </w:t>
      </w:r>
      <w:r>
        <w:t>shocks</w:t>
      </w:r>
      <w:r>
        <w:rPr>
          <w:spacing w:val="15"/>
        </w:rPr>
        <w:t xml:space="preserve"> </w:t>
      </w:r>
      <w:r>
        <w:t>or</w:t>
      </w:r>
      <w:r>
        <w:rPr>
          <w:spacing w:val="15"/>
        </w:rPr>
        <w:t xml:space="preserve"> </w:t>
      </w:r>
      <w:r>
        <w:t>one-off</w:t>
      </w:r>
      <w:r>
        <w:rPr>
          <w:spacing w:val="15"/>
        </w:rPr>
        <w:t xml:space="preserve"> </w:t>
      </w:r>
      <w:r>
        <w:t>shifts</w:t>
      </w:r>
      <w:r>
        <w:rPr>
          <w:spacing w:val="15"/>
        </w:rPr>
        <w:t xml:space="preserve"> </w:t>
      </w:r>
      <w:r>
        <w:t>in</w:t>
      </w:r>
      <w:r>
        <w:rPr>
          <w:spacing w:val="15"/>
        </w:rPr>
        <w:t xml:space="preserve"> </w:t>
      </w:r>
      <w:r>
        <w:t>administered</w:t>
      </w:r>
      <w:r>
        <w:rPr>
          <w:spacing w:val="15"/>
        </w:rPr>
        <w:t xml:space="preserve"> </w:t>
      </w:r>
      <w:r>
        <w:t>prices. A need to respond in subsequent years to offset those one-offs might come at a substantial cost to central banks’ employment or real activity goals (European Central Bank 2021).</w:t>
      </w:r>
    </w:p>
    <w:p w14:paraId="35FC6187" w14:textId="321388B6" w:rsidR="002050F5" w:rsidRPr="00F01120" w:rsidRDefault="002050F5" w:rsidP="00F01120">
      <w:pPr>
        <w:pStyle w:val="Heading2"/>
      </w:pPr>
      <w:bookmarkStart w:id="69" w:name="_Toc134221039"/>
      <w:r w:rsidRPr="00F01120">
        <w:t>Price</w:t>
      </w:r>
      <w:r>
        <w:rPr>
          <w:spacing w:val="-13"/>
        </w:rPr>
        <w:t xml:space="preserve"> </w:t>
      </w:r>
      <w:r>
        <w:t>level</w:t>
      </w:r>
      <w:r>
        <w:rPr>
          <w:spacing w:val="-10"/>
        </w:rPr>
        <w:t xml:space="preserve"> </w:t>
      </w:r>
      <w:r>
        <w:t>targeting</w:t>
      </w:r>
      <w:bookmarkEnd w:id="69"/>
    </w:p>
    <w:p w14:paraId="2E3637BC" w14:textId="43557C03" w:rsidR="002050F5" w:rsidRDefault="002050F5" w:rsidP="00F01120">
      <w:r>
        <w:t>Under</w:t>
      </w:r>
      <w:r>
        <w:rPr>
          <w:spacing w:val="10"/>
        </w:rPr>
        <w:t xml:space="preserve"> </w:t>
      </w:r>
      <w:r>
        <w:t>price</w:t>
      </w:r>
      <w:r>
        <w:rPr>
          <w:spacing w:val="10"/>
        </w:rPr>
        <w:t xml:space="preserve"> </w:t>
      </w:r>
      <w:r>
        <w:t>level</w:t>
      </w:r>
      <w:r>
        <w:rPr>
          <w:spacing w:val="10"/>
        </w:rPr>
        <w:t xml:space="preserve"> </w:t>
      </w:r>
      <w:r>
        <w:t>targeting,</w:t>
      </w:r>
      <w:r>
        <w:rPr>
          <w:spacing w:val="10"/>
        </w:rPr>
        <w:t xml:space="preserve"> </w:t>
      </w:r>
      <w:r>
        <w:t>the</w:t>
      </w:r>
      <w:r>
        <w:rPr>
          <w:spacing w:val="10"/>
        </w:rPr>
        <w:t xml:space="preserve"> </w:t>
      </w:r>
      <w:r>
        <w:t>RBA</w:t>
      </w:r>
      <w:r>
        <w:rPr>
          <w:spacing w:val="10"/>
        </w:rPr>
        <w:t xml:space="preserve"> </w:t>
      </w:r>
      <w:r>
        <w:t>would</w:t>
      </w:r>
      <w:r>
        <w:rPr>
          <w:spacing w:val="10"/>
        </w:rPr>
        <w:t xml:space="preserve"> </w:t>
      </w:r>
      <w:r>
        <w:t>seek</w:t>
      </w:r>
      <w:r>
        <w:rPr>
          <w:spacing w:val="10"/>
        </w:rPr>
        <w:t xml:space="preserve"> </w:t>
      </w:r>
      <w:r>
        <w:t>to</w:t>
      </w:r>
      <w:r>
        <w:rPr>
          <w:spacing w:val="10"/>
        </w:rPr>
        <w:t xml:space="preserve"> </w:t>
      </w:r>
      <w:r>
        <w:t>achieve</w:t>
      </w:r>
      <w:r>
        <w:rPr>
          <w:spacing w:val="10"/>
        </w:rPr>
        <w:t xml:space="preserve"> </w:t>
      </w:r>
      <w:r>
        <w:t>a</w:t>
      </w:r>
      <w:r>
        <w:rPr>
          <w:spacing w:val="10"/>
        </w:rPr>
        <w:t xml:space="preserve"> </w:t>
      </w:r>
      <w:r>
        <w:t>set</w:t>
      </w:r>
      <w:r>
        <w:rPr>
          <w:spacing w:val="10"/>
        </w:rPr>
        <w:t xml:space="preserve"> </w:t>
      </w:r>
      <w:r>
        <w:t>path</w:t>
      </w:r>
      <w:r>
        <w:rPr>
          <w:spacing w:val="10"/>
        </w:rPr>
        <w:t xml:space="preserve"> </w:t>
      </w:r>
      <w:r>
        <w:t>for</w:t>
      </w:r>
      <w:r>
        <w:rPr>
          <w:spacing w:val="10"/>
        </w:rPr>
        <w:t xml:space="preserve"> </w:t>
      </w:r>
      <w:r>
        <w:t>the</w:t>
      </w:r>
      <w:r>
        <w:rPr>
          <w:spacing w:val="10"/>
        </w:rPr>
        <w:t xml:space="preserve"> </w:t>
      </w:r>
      <w:r>
        <w:t>price</w:t>
      </w:r>
      <w:r>
        <w:rPr>
          <w:spacing w:val="10"/>
        </w:rPr>
        <w:t xml:space="preserve"> </w:t>
      </w:r>
      <w:r>
        <w:t>level consistent with inflation having been 2½ per cent (Kulish 2020). Price level targeting is a stricter and longer-memory version of average inflation-targeting. Its potential benefits and drawbacks</w:t>
      </w:r>
      <w:r>
        <w:rPr>
          <w:spacing w:val="40"/>
        </w:rPr>
        <w:t xml:space="preserve"> </w:t>
      </w:r>
      <w:r>
        <w:t>are</w:t>
      </w:r>
      <w:r>
        <w:rPr>
          <w:spacing w:val="16"/>
        </w:rPr>
        <w:t xml:space="preserve"> </w:t>
      </w:r>
      <w:r>
        <w:t>generally</w:t>
      </w:r>
      <w:r>
        <w:rPr>
          <w:spacing w:val="16"/>
        </w:rPr>
        <w:t xml:space="preserve"> </w:t>
      </w:r>
      <w:r>
        <w:t>more</w:t>
      </w:r>
      <w:r>
        <w:rPr>
          <w:spacing w:val="16"/>
        </w:rPr>
        <w:t xml:space="preserve"> </w:t>
      </w:r>
      <w:r>
        <w:t>extreme</w:t>
      </w:r>
      <w:r>
        <w:rPr>
          <w:spacing w:val="16"/>
        </w:rPr>
        <w:t xml:space="preserve"> </w:t>
      </w:r>
      <w:r>
        <w:t>versions</w:t>
      </w:r>
      <w:r>
        <w:rPr>
          <w:spacing w:val="16"/>
        </w:rPr>
        <w:t xml:space="preserve"> </w:t>
      </w:r>
      <w:r>
        <w:t>of</w:t>
      </w:r>
      <w:r>
        <w:rPr>
          <w:spacing w:val="16"/>
        </w:rPr>
        <w:t xml:space="preserve"> </w:t>
      </w:r>
      <w:r>
        <w:t>those</w:t>
      </w:r>
      <w:r>
        <w:rPr>
          <w:spacing w:val="16"/>
        </w:rPr>
        <w:t xml:space="preserve"> </w:t>
      </w:r>
      <w:r>
        <w:t>described</w:t>
      </w:r>
      <w:r>
        <w:rPr>
          <w:spacing w:val="16"/>
        </w:rPr>
        <w:t xml:space="preserve"> </w:t>
      </w:r>
      <w:r>
        <w:t>above</w:t>
      </w:r>
      <w:r>
        <w:rPr>
          <w:spacing w:val="16"/>
        </w:rPr>
        <w:t xml:space="preserve"> </w:t>
      </w:r>
      <w:r>
        <w:t>for</w:t>
      </w:r>
      <w:r>
        <w:rPr>
          <w:spacing w:val="16"/>
        </w:rPr>
        <w:t xml:space="preserve"> </w:t>
      </w:r>
      <w:r>
        <w:t>average</w:t>
      </w:r>
      <w:r>
        <w:rPr>
          <w:spacing w:val="16"/>
        </w:rPr>
        <w:t xml:space="preserve"> </w:t>
      </w:r>
      <w:r>
        <w:t xml:space="preserve">inflation-targeting (the communication challenges of a price level target in particular are described in Kostyshyna, Petersen and Yang 2022). One specific advantage noted by proponents of price level targeting is that it offers the greatest </w:t>
      </w:r>
      <w:r>
        <w:lastRenderedPageBreak/>
        <w:t>certainty about the longer-run path of prices, which reduces one source of uncertainty for households and businesses</w:t>
      </w:r>
      <w:r w:rsidR="0068598E">
        <w:rPr>
          <w:spacing w:val="-9"/>
        </w:rPr>
        <w:t>.</w:t>
      </w:r>
    </w:p>
    <w:p w14:paraId="09997A6E" w14:textId="52E8180C" w:rsidR="002050F5" w:rsidRPr="00F01120" w:rsidRDefault="002050F5" w:rsidP="00F01120">
      <w:pPr>
        <w:pStyle w:val="Heading2"/>
      </w:pPr>
      <w:bookmarkStart w:id="70" w:name="_Toc134221040"/>
      <w:r>
        <w:t>Nominal</w:t>
      </w:r>
      <w:r>
        <w:rPr>
          <w:spacing w:val="-8"/>
        </w:rPr>
        <w:t xml:space="preserve"> </w:t>
      </w:r>
      <w:r>
        <w:t>income</w:t>
      </w:r>
      <w:r>
        <w:rPr>
          <w:spacing w:val="-8"/>
        </w:rPr>
        <w:t xml:space="preserve"> </w:t>
      </w:r>
      <w:r>
        <w:t>growth</w:t>
      </w:r>
      <w:r>
        <w:rPr>
          <w:spacing w:val="-8"/>
        </w:rPr>
        <w:t xml:space="preserve"> </w:t>
      </w:r>
      <w:r>
        <w:t>targeting</w:t>
      </w:r>
      <w:bookmarkEnd w:id="70"/>
    </w:p>
    <w:p w14:paraId="5FFA84E2" w14:textId="667BD9B1" w:rsidR="002050F5" w:rsidRDefault="002050F5" w:rsidP="00F01120">
      <w:r>
        <w:t>Under nominal income growth targeting the RBA would target the growth rate of nominal GDP or some other measure of nominal economic activity</w:t>
      </w:r>
      <w:r w:rsidR="0068598E">
        <w:rPr>
          <w:spacing w:val="-23"/>
        </w:rPr>
        <w:t>.</w:t>
      </w:r>
      <w:r>
        <w:rPr>
          <w:w w:val="85"/>
        </w:rPr>
        <w:t xml:space="preserve"> </w:t>
      </w:r>
      <w:r>
        <w:t>The relative importance of commodity exports to Australia’s economy and the tendency for commodity prices to be volatile means that nominal GDP would make for an unhelpfully volatile target variable in Australia. For this reason, a measure of nominal activity that excludes resource exports would probably be more appropriate for Australia, such as nominal gross national expenditure or nominal domestic final demand.</w:t>
      </w:r>
    </w:p>
    <w:p w14:paraId="28C8B169" w14:textId="77777777" w:rsidR="002050F5" w:rsidRDefault="002050F5" w:rsidP="00F01120">
      <w:r>
        <w:t>Research also</w:t>
      </w:r>
      <w:r>
        <w:rPr>
          <w:spacing w:val="2"/>
        </w:rPr>
        <w:t xml:space="preserve"> </w:t>
      </w:r>
      <w:r>
        <w:t>suggests</w:t>
      </w:r>
      <w:r>
        <w:rPr>
          <w:spacing w:val="3"/>
        </w:rPr>
        <w:t xml:space="preserve"> </w:t>
      </w:r>
      <w:r>
        <w:t>the</w:t>
      </w:r>
      <w:r>
        <w:rPr>
          <w:spacing w:val="2"/>
        </w:rPr>
        <w:t xml:space="preserve"> </w:t>
      </w:r>
      <w:r>
        <w:t>following</w:t>
      </w:r>
      <w:r>
        <w:rPr>
          <w:spacing w:val="2"/>
        </w:rPr>
        <w:t xml:space="preserve"> </w:t>
      </w:r>
      <w:r>
        <w:t>distinct</w:t>
      </w:r>
      <w:r>
        <w:rPr>
          <w:spacing w:val="3"/>
        </w:rPr>
        <w:t xml:space="preserve"> </w:t>
      </w:r>
      <w:r>
        <w:t>potential</w:t>
      </w:r>
      <w:r>
        <w:rPr>
          <w:spacing w:val="2"/>
        </w:rPr>
        <w:t xml:space="preserve"> </w:t>
      </w:r>
      <w:r>
        <w:t>benefits</w:t>
      </w:r>
      <w:r>
        <w:rPr>
          <w:spacing w:val="2"/>
        </w:rPr>
        <w:t xml:space="preserve"> </w:t>
      </w:r>
      <w:r>
        <w:t>of</w:t>
      </w:r>
      <w:r>
        <w:rPr>
          <w:spacing w:val="3"/>
        </w:rPr>
        <w:t xml:space="preserve"> </w:t>
      </w:r>
      <w:r>
        <w:t>a</w:t>
      </w:r>
      <w:r>
        <w:rPr>
          <w:spacing w:val="2"/>
        </w:rPr>
        <w:t xml:space="preserve"> </w:t>
      </w:r>
      <w:r>
        <w:t>nominal</w:t>
      </w:r>
      <w:r>
        <w:rPr>
          <w:spacing w:val="2"/>
        </w:rPr>
        <w:t xml:space="preserve"> </w:t>
      </w:r>
      <w:r>
        <w:t>income</w:t>
      </w:r>
      <w:r>
        <w:rPr>
          <w:spacing w:val="3"/>
        </w:rPr>
        <w:t xml:space="preserve"> </w:t>
      </w:r>
      <w:r>
        <w:rPr>
          <w:spacing w:val="-2"/>
        </w:rPr>
        <w:t>target:</w:t>
      </w:r>
    </w:p>
    <w:p w14:paraId="7237AC1D" w14:textId="3B85DF3D" w:rsidR="002050F5" w:rsidRDefault="002050F5" w:rsidP="0000278A">
      <w:pPr>
        <w:pStyle w:val="Bullet"/>
      </w:pPr>
      <w:r>
        <w:t>A nominal income growth target builds in a balance between price and real activity objectives to the target variable</w:t>
      </w:r>
      <w:r w:rsidR="0068598E">
        <w:rPr>
          <w:spacing w:val="-19"/>
        </w:rPr>
        <w:t>.</w:t>
      </w:r>
      <w:r>
        <w:rPr>
          <w:w w:val="85"/>
        </w:rPr>
        <w:t xml:space="preserve"> </w:t>
      </w:r>
      <w:r>
        <w:t>Supply shocks drive real activity lower but also drive prices higher</w:t>
      </w:r>
      <w:r w:rsidR="0068598E">
        <w:rPr>
          <w:spacing w:val="-19"/>
        </w:rPr>
        <w:t>.</w:t>
      </w:r>
      <w:r>
        <w:rPr>
          <w:w w:val="85"/>
        </w:rPr>
        <w:t xml:space="preserve"> </w:t>
      </w:r>
      <w:r>
        <w:t>So nominal income fluctuates less in response to temporary supply shocks than does consumer price inflation. As a result, monetary policy may react less to temporary supply shocks under</w:t>
      </w:r>
      <w:r w:rsidR="00F01120">
        <w:t xml:space="preserve"> </w:t>
      </w:r>
      <w:r>
        <w:t>a nominal income target, particularly compared to a strict inflation-targeting regime. A minimal monetary policy response to temporary supply shocks is likely to enhance the stability of the macroeconomy and enhance welfare</w:t>
      </w:r>
      <w:r w:rsidR="0068598E">
        <w:rPr>
          <w:spacing w:val="-24"/>
        </w:rPr>
        <w:t>.</w:t>
      </w:r>
      <w:r w:rsidRPr="00F01120">
        <w:rPr>
          <w:w w:val="85"/>
        </w:rPr>
        <w:t xml:space="preserve"> </w:t>
      </w:r>
      <w:r>
        <w:t>That said, it is not clear that the monetary policy response to a supply shock would be very different under a nominal income target versus a flexible inflation target, which also provides scope to ‘look through’ temporary periods of high inflation.</w:t>
      </w:r>
    </w:p>
    <w:p w14:paraId="5CD2BE1C" w14:textId="24DF9851" w:rsidR="002050F5" w:rsidRDefault="002050F5" w:rsidP="0000278A">
      <w:pPr>
        <w:pStyle w:val="Bullet"/>
      </w:pPr>
      <w:r>
        <w:t>A nominal income growth target may help to alleviate the constraint of the effective lower</w:t>
      </w:r>
      <w:r>
        <w:rPr>
          <w:spacing w:val="80"/>
        </w:rPr>
        <w:t xml:space="preserve"> </w:t>
      </w:r>
      <w:r>
        <w:t>bound</w:t>
      </w:r>
      <w:r w:rsidR="0068598E">
        <w:rPr>
          <w:spacing w:val="-23"/>
        </w:rPr>
        <w:t>.</w:t>
      </w:r>
      <w:r>
        <w:t xml:space="preserve"> If there is a more permanent decline over time in the average rate of real activity growth – which is one of the possible causes of a lower neutral rate and the proximity of the effective lower bound – then a credible nominal income target should lead average inflation expectations to rise to offset. Higher expectations for inflation, and in turn for nominal activity growth, should give central banks greater distance on average from the effective lower bound.</w:t>
      </w:r>
    </w:p>
    <w:p w14:paraId="0A2A1EED" w14:textId="15125F50" w:rsidR="00F01120" w:rsidRPr="00F01120" w:rsidRDefault="002050F5" w:rsidP="0000278A">
      <w:pPr>
        <w:pStyle w:val="Bullet"/>
      </w:pPr>
      <w:r w:rsidRPr="00F01120">
        <w:t>There</w:t>
      </w:r>
      <w:r w:rsidRPr="00F01120">
        <w:rPr>
          <w:spacing w:val="-1"/>
        </w:rPr>
        <w:t xml:space="preserve"> </w:t>
      </w:r>
      <w:r w:rsidRPr="00F01120">
        <w:t>may</w:t>
      </w:r>
      <w:r w:rsidRPr="00F01120">
        <w:rPr>
          <w:spacing w:val="2"/>
        </w:rPr>
        <w:t xml:space="preserve"> </w:t>
      </w:r>
      <w:r w:rsidRPr="00F01120">
        <w:t>also</w:t>
      </w:r>
      <w:r w:rsidRPr="00F01120">
        <w:rPr>
          <w:spacing w:val="2"/>
        </w:rPr>
        <w:t xml:space="preserve"> </w:t>
      </w:r>
      <w:r w:rsidRPr="00F01120">
        <w:t>be</w:t>
      </w:r>
      <w:r w:rsidRPr="00F01120">
        <w:rPr>
          <w:spacing w:val="2"/>
        </w:rPr>
        <w:t xml:space="preserve"> </w:t>
      </w:r>
      <w:r w:rsidRPr="00F01120">
        <w:t>benefits</w:t>
      </w:r>
      <w:r w:rsidRPr="00F01120">
        <w:rPr>
          <w:spacing w:val="2"/>
        </w:rPr>
        <w:t xml:space="preserve"> </w:t>
      </w:r>
      <w:r w:rsidRPr="00F01120">
        <w:t>to</w:t>
      </w:r>
      <w:r w:rsidRPr="00F01120">
        <w:rPr>
          <w:spacing w:val="1"/>
        </w:rPr>
        <w:t xml:space="preserve"> </w:t>
      </w:r>
      <w:r w:rsidRPr="00F01120">
        <w:t>financial</w:t>
      </w:r>
      <w:r w:rsidRPr="00F01120">
        <w:rPr>
          <w:spacing w:val="2"/>
        </w:rPr>
        <w:t xml:space="preserve"> </w:t>
      </w:r>
      <w:r w:rsidRPr="00F01120">
        <w:t>stability</w:t>
      </w:r>
      <w:r w:rsidRPr="00F01120">
        <w:rPr>
          <w:spacing w:val="2"/>
        </w:rPr>
        <w:t xml:space="preserve"> </w:t>
      </w:r>
      <w:r w:rsidRPr="00F01120">
        <w:t>from</w:t>
      </w:r>
      <w:r w:rsidRPr="00F01120">
        <w:rPr>
          <w:spacing w:val="2"/>
        </w:rPr>
        <w:t xml:space="preserve"> </w:t>
      </w:r>
      <w:r w:rsidRPr="00F01120">
        <w:t>consistent</w:t>
      </w:r>
      <w:r w:rsidRPr="00F01120">
        <w:rPr>
          <w:spacing w:val="2"/>
        </w:rPr>
        <w:t xml:space="preserve"> </w:t>
      </w:r>
      <w:r w:rsidRPr="00F01120">
        <w:t>growth</w:t>
      </w:r>
      <w:r w:rsidRPr="00F01120">
        <w:rPr>
          <w:spacing w:val="1"/>
        </w:rPr>
        <w:t xml:space="preserve"> </w:t>
      </w:r>
      <w:r w:rsidRPr="00F01120">
        <w:t>in</w:t>
      </w:r>
      <w:r w:rsidRPr="00F01120">
        <w:rPr>
          <w:spacing w:val="2"/>
        </w:rPr>
        <w:t xml:space="preserve"> </w:t>
      </w:r>
      <w:r w:rsidRPr="00F01120">
        <w:t>nominal</w:t>
      </w:r>
      <w:r w:rsidRPr="00F01120">
        <w:rPr>
          <w:spacing w:val="2"/>
        </w:rPr>
        <w:t xml:space="preserve"> </w:t>
      </w:r>
      <w:r w:rsidRPr="00F01120">
        <w:t>incomes,</w:t>
      </w:r>
      <w:r w:rsidRPr="00F01120">
        <w:rPr>
          <w:spacing w:val="2"/>
        </w:rPr>
        <w:t xml:space="preserve"> </w:t>
      </w:r>
      <w:r w:rsidRPr="00F01120">
        <w:t>as</w:t>
      </w:r>
      <w:r w:rsidRPr="00F01120">
        <w:rPr>
          <w:spacing w:val="2"/>
        </w:rPr>
        <w:t xml:space="preserve"> </w:t>
      </w:r>
      <w:r w:rsidRPr="00F01120">
        <w:rPr>
          <w:spacing w:val="-5"/>
        </w:rPr>
        <w:t>it</w:t>
      </w:r>
      <w:r w:rsidR="00F01120" w:rsidRPr="00F01120">
        <w:rPr>
          <w:spacing w:val="-5"/>
        </w:rPr>
        <w:t xml:space="preserve"> </w:t>
      </w:r>
      <w:r>
        <w:t>facilitates a stable income stream with which to repay nominal debt burdens</w:t>
      </w:r>
      <w:r w:rsidR="0068598E">
        <w:rPr>
          <w:spacing w:val="-17"/>
        </w:rPr>
        <w:t>.</w:t>
      </w:r>
      <w:r w:rsidR="00F01120">
        <w:rPr>
          <w:w w:val="85"/>
        </w:rPr>
        <w:t xml:space="preserve"> </w:t>
      </w:r>
    </w:p>
    <w:p w14:paraId="44760100" w14:textId="109DA0AF" w:rsidR="002050F5" w:rsidRPr="00F01120" w:rsidRDefault="002050F5" w:rsidP="0000278A">
      <w:pPr>
        <w:pStyle w:val="Bullet"/>
      </w:pPr>
      <w:r w:rsidRPr="00F01120">
        <w:t>Nominal income targeting may reduce the need for central banks to use estimates of ‘potential GDP’ or the non-accelerating inflation rate of unemployment in their forecasting process. These estimates are subject to substantial uncertainty and are a potential source of policy errors (Orphanides and van Norden 2002; Gruen, Robinson and Stone 2002).</w:t>
      </w:r>
    </w:p>
    <w:p w14:paraId="7E80E897" w14:textId="77777777" w:rsidR="00A31B02" w:rsidRDefault="00A31B02" w:rsidP="00F01120">
      <w:r>
        <w:t>At</w:t>
      </w:r>
      <w:r>
        <w:rPr>
          <w:spacing w:val="-2"/>
        </w:rPr>
        <w:t xml:space="preserve"> </w:t>
      </w:r>
      <w:r>
        <w:t>the</w:t>
      </w:r>
      <w:r>
        <w:rPr>
          <w:spacing w:val="1"/>
        </w:rPr>
        <w:t xml:space="preserve"> </w:t>
      </w:r>
      <w:r>
        <w:t>same</w:t>
      </w:r>
      <w:r>
        <w:rPr>
          <w:spacing w:val="1"/>
        </w:rPr>
        <w:t xml:space="preserve"> </w:t>
      </w:r>
      <w:r>
        <w:t>time, several</w:t>
      </w:r>
      <w:r>
        <w:rPr>
          <w:spacing w:val="1"/>
        </w:rPr>
        <w:t xml:space="preserve"> </w:t>
      </w:r>
      <w:r>
        <w:t>concerns</w:t>
      </w:r>
      <w:r>
        <w:rPr>
          <w:spacing w:val="1"/>
        </w:rPr>
        <w:t xml:space="preserve"> </w:t>
      </w:r>
      <w:r>
        <w:t>have been</w:t>
      </w:r>
      <w:r>
        <w:rPr>
          <w:spacing w:val="1"/>
        </w:rPr>
        <w:t xml:space="preserve"> </w:t>
      </w:r>
      <w:r>
        <w:t>expressed</w:t>
      </w:r>
      <w:r>
        <w:rPr>
          <w:spacing w:val="1"/>
        </w:rPr>
        <w:t xml:space="preserve"> </w:t>
      </w:r>
      <w:r>
        <w:t>about nominal</w:t>
      </w:r>
      <w:r>
        <w:rPr>
          <w:spacing w:val="1"/>
        </w:rPr>
        <w:t xml:space="preserve"> </w:t>
      </w:r>
      <w:r>
        <w:t>income</w:t>
      </w:r>
      <w:r>
        <w:rPr>
          <w:spacing w:val="1"/>
        </w:rPr>
        <w:t xml:space="preserve"> </w:t>
      </w:r>
      <w:r>
        <w:rPr>
          <w:spacing w:val="-2"/>
        </w:rPr>
        <w:t>targeting:</w:t>
      </w:r>
    </w:p>
    <w:p w14:paraId="579E339C" w14:textId="2AC9A098" w:rsidR="00A31B02" w:rsidRPr="00F01120" w:rsidRDefault="00A31B02" w:rsidP="0000278A">
      <w:pPr>
        <w:pStyle w:val="Bullet"/>
      </w:pPr>
      <w:r w:rsidRPr="00F01120">
        <w:t>It</w:t>
      </w:r>
      <w:r w:rsidRPr="00F01120">
        <w:rPr>
          <w:spacing w:val="2"/>
        </w:rPr>
        <w:t xml:space="preserve"> </w:t>
      </w:r>
      <w:r w:rsidRPr="00F01120">
        <w:t>may</w:t>
      </w:r>
      <w:r w:rsidRPr="00F01120">
        <w:rPr>
          <w:spacing w:val="3"/>
        </w:rPr>
        <w:t xml:space="preserve"> </w:t>
      </w:r>
      <w:r w:rsidRPr="00F01120">
        <w:t>be</w:t>
      </w:r>
      <w:r w:rsidRPr="00F01120">
        <w:rPr>
          <w:spacing w:val="2"/>
        </w:rPr>
        <w:t xml:space="preserve"> </w:t>
      </w:r>
      <w:r w:rsidRPr="00F01120">
        <w:t>less</w:t>
      </w:r>
      <w:r w:rsidRPr="00F01120">
        <w:rPr>
          <w:spacing w:val="3"/>
        </w:rPr>
        <w:t xml:space="preserve"> </w:t>
      </w:r>
      <w:r w:rsidRPr="00F01120">
        <w:t>compatible</w:t>
      </w:r>
      <w:r w:rsidRPr="00F01120">
        <w:rPr>
          <w:spacing w:val="2"/>
        </w:rPr>
        <w:t xml:space="preserve"> </w:t>
      </w:r>
      <w:r w:rsidRPr="00F01120">
        <w:t>with</w:t>
      </w:r>
      <w:r w:rsidRPr="00F01120">
        <w:rPr>
          <w:spacing w:val="3"/>
        </w:rPr>
        <w:t xml:space="preserve"> </w:t>
      </w:r>
      <w:r w:rsidRPr="00F01120">
        <w:t>central</w:t>
      </w:r>
      <w:r w:rsidRPr="00F01120">
        <w:rPr>
          <w:spacing w:val="2"/>
        </w:rPr>
        <w:t xml:space="preserve"> </w:t>
      </w:r>
      <w:r w:rsidRPr="00F01120">
        <w:t>banks’</w:t>
      </w:r>
      <w:r w:rsidRPr="00F01120">
        <w:rPr>
          <w:spacing w:val="3"/>
        </w:rPr>
        <w:t xml:space="preserve"> </w:t>
      </w:r>
      <w:r w:rsidRPr="00F01120">
        <w:t>objectives</w:t>
      </w:r>
      <w:r w:rsidRPr="00F01120">
        <w:rPr>
          <w:spacing w:val="2"/>
        </w:rPr>
        <w:t xml:space="preserve"> </w:t>
      </w:r>
      <w:r w:rsidRPr="00F01120">
        <w:t>than</w:t>
      </w:r>
      <w:r w:rsidRPr="00F01120">
        <w:rPr>
          <w:spacing w:val="3"/>
        </w:rPr>
        <w:t xml:space="preserve"> </w:t>
      </w:r>
      <w:r w:rsidRPr="00F01120">
        <w:t>a</w:t>
      </w:r>
      <w:r w:rsidRPr="00F01120">
        <w:rPr>
          <w:spacing w:val="2"/>
        </w:rPr>
        <w:t xml:space="preserve"> </w:t>
      </w:r>
      <w:r w:rsidRPr="00F01120">
        <w:t>flexible</w:t>
      </w:r>
      <w:r w:rsidRPr="00F01120">
        <w:rPr>
          <w:spacing w:val="3"/>
        </w:rPr>
        <w:t xml:space="preserve"> </w:t>
      </w:r>
      <w:r w:rsidRPr="00F01120">
        <w:t>inflation</w:t>
      </w:r>
      <w:r w:rsidRPr="00F01120">
        <w:rPr>
          <w:spacing w:val="3"/>
        </w:rPr>
        <w:t xml:space="preserve"> </w:t>
      </w:r>
      <w:r w:rsidRPr="00F01120">
        <w:rPr>
          <w:spacing w:val="-2"/>
        </w:rPr>
        <w:t>target.</w:t>
      </w:r>
      <w:r w:rsidR="00F01120" w:rsidRPr="00F01120">
        <w:rPr>
          <w:spacing w:val="-2"/>
        </w:rPr>
        <w:t xml:space="preserve"> </w:t>
      </w:r>
      <w:r w:rsidRPr="00F01120">
        <w:t>By construction, a nominal income target places exactly equal preferences on the deviations of real activity and prices from target which may not match society’s preferences</w:t>
      </w:r>
      <w:r w:rsidR="0068598E">
        <w:rPr>
          <w:spacing w:val="-23"/>
        </w:rPr>
        <w:t>.</w:t>
      </w:r>
      <w:r w:rsidRPr="00F01120">
        <w:rPr>
          <w:w w:val="85"/>
        </w:rPr>
        <w:t xml:space="preserve"> </w:t>
      </w:r>
      <w:r w:rsidRPr="00F01120">
        <w:t>Further, nominal income measures do not connect directly to central banks’ employment mandate (where they have one)</w:t>
      </w:r>
      <w:r w:rsidR="0068598E">
        <w:rPr>
          <w:spacing w:val="-17"/>
        </w:rPr>
        <w:t>.</w:t>
      </w:r>
      <w:r w:rsidRPr="00F01120">
        <w:rPr>
          <w:w w:val="85"/>
        </w:rPr>
        <w:t xml:space="preserve"> </w:t>
      </w:r>
      <w:r w:rsidRPr="00F01120">
        <w:t>Though there is a reasonably strong correlation between activity and employment outcomes over time, it is far from exact</w:t>
      </w:r>
      <w:r w:rsidR="0068598E">
        <w:rPr>
          <w:spacing w:val="-14"/>
        </w:rPr>
        <w:t>.</w:t>
      </w:r>
    </w:p>
    <w:p w14:paraId="6B2EC255" w14:textId="14273031" w:rsidR="00A31B02" w:rsidRDefault="00A31B02" w:rsidP="0000278A">
      <w:pPr>
        <w:pStyle w:val="Bullet"/>
      </w:pPr>
      <w:r>
        <w:t>A nominal income target would represent a substantial departure from the RBA’s current monetary policy framework, even if in practical terms it would prescribe a similar policy</w:t>
      </w:r>
      <w:r>
        <w:rPr>
          <w:spacing w:val="80"/>
        </w:rPr>
        <w:t xml:space="preserve"> </w:t>
      </w:r>
      <w:r>
        <w:t>response to flexible inflation-targeting in many circumstances (Debelle 2018A). This raises the prospect that the public and financial markets find it a difficult adjustment to understand. If economic decision makers don’t understand it, are not paying attention or are not forward- looking in the way they make decisions then the purported benefits of nominal income targeting will be greatly reduced</w:t>
      </w:r>
      <w:r w:rsidR="0068598E">
        <w:rPr>
          <w:spacing w:val="-9"/>
        </w:rPr>
        <w:t>.</w:t>
      </w:r>
    </w:p>
    <w:p w14:paraId="2F2BC09A" w14:textId="77777777" w:rsidR="00A31B02" w:rsidRDefault="00A31B02" w:rsidP="00F01120">
      <w:pPr>
        <w:pStyle w:val="Heading2"/>
      </w:pPr>
      <w:bookmarkStart w:id="71" w:name="_Toc134221041"/>
      <w:r>
        <w:lastRenderedPageBreak/>
        <w:t>Nominal</w:t>
      </w:r>
      <w:r>
        <w:rPr>
          <w:spacing w:val="-11"/>
        </w:rPr>
        <w:t xml:space="preserve"> </w:t>
      </w:r>
      <w:r>
        <w:t>income</w:t>
      </w:r>
      <w:r>
        <w:rPr>
          <w:spacing w:val="-11"/>
        </w:rPr>
        <w:t xml:space="preserve"> </w:t>
      </w:r>
      <w:r>
        <w:t>level</w:t>
      </w:r>
      <w:r>
        <w:rPr>
          <w:spacing w:val="-11"/>
        </w:rPr>
        <w:t xml:space="preserve"> </w:t>
      </w:r>
      <w:r>
        <w:t>targeting</w:t>
      </w:r>
      <w:bookmarkEnd w:id="71"/>
    </w:p>
    <w:p w14:paraId="57B10295" w14:textId="081D8565" w:rsidR="00A31B02" w:rsidRDefault="00A31B02" w:rsidP="00F01120">
      <w:r>
        <w:t>Under</w:t>
      </w:r>
      <w:r>
        <w:rPr>
          <w:spacing w:val="-3"/>
        </w:rPr>
        <w:t xml:space="preserve"> </w:t>
      </w:r>
      <w:r>
        <w:t>nominal income level targeting the RBA would target</w:t>
      </w:r>
      <w:r>
        <w:rPr>
          <w:spacing w:val="-1"/>
        </w:rPr>
        <w:t xml:space="preserve"> </w:t>
      </w:r>
      <w:r>
        <w:t xml:space="preserve">a path for the level of nominal </w:t>
      </w:r>
      <w:r>
        <w:rPr>
          <w:spacing w:val="-5"/>
        </w:rPr>
        <w:t>GDP</w:t>
      </w:r>
      <w:r w:rsidR="00F01120">
        <w:rPr>
          <w:spacing w:val="-5"/>
        </w:rPr>
        <w:t xml:space="preserve"> </w:t>
      </w:r>
      <w:r>
        <w:t>or some other measure of nominal economic activity (Beckworth 2019)</w:t>
      </w:r>
      <w:r w:rsidR="0068598E">
        <w:rPr>
          <w:spacing w:val="-24"/>
        </w:rPr>
        <w:t>.</w:t>
      </w:r>
      <w:r>
        <w:rPr>
          <w:w w:val="85"/>
        </w:rPr>
        <w:t xml:space="preserve"> </w:t>
      </w:r>
      <w:r>
        <w:t>Targets for the level of nominal</w:t>
      </w:r>
      <w:r>
        <w:rPr>
          <w:spacing w:val="2"/>
        </w:rPr>
        <w:t xml:space="preserve"> </w:t>
      </w:r>
      <w:r>
        <w:t>activity</w:t>
      </w:r>
      <w:r>
        <w:rPr>
          <w:spacing w:val="2"/>
        </w:rPr>
        <w:t xml:space="preserve"> </w:t>
      </w:r>
      <w:r>
        <w:t>introduce</w:t>
      </w:r>
      <w:r>
        <w:rPr>
          <w:spacing w:val="2"/>
        </w:rPr>
        <w:t xml:space="preserve"> </w:t>
      </w:r>
      <w:r>
        <w:t>some</w:t>
      </w:r>
      <w:r>
        <w:rPr>
          <w:spacing w:val="3"/>
        </w:rPr>
        <w:t xml:space="preserve"> </w:t>
      </w:r>
      <w:r>
        <w:t>need</w:t>
      </w:r>
      <w:r>
        <w:rPr>
          <w:spacing w:val="2"/>
        </w:rPr>
        <w:t xml:space="preserve"> </w:t>
      </w:r>
      <w:r>
        <w:t>to</w:t>
      </w:r>
      <w:r>
        <w:rPr>
          <w:spacing w:val="2"/>
        </w:rPr>
        <w:t xml:space="preserve"> </w:t>
      </w:r>
      <w:r>
        <w:t>‘make-up’</w:t>
      </w:r>
      <w:r>
        <w:rPr>
          <w:spacing w:val="2"/>
        </w:rPr>
        <w:t xml:space="preserve"> </w:t>
      </w:r>
      <w:r>
        <w:t>for</w:t>
      </w:r>
      <w:r>
        <w:rPr>
          <w:spacing w:val="2"/>
        </w:rPr>
        <w:t xml:space="preserve"> </w:t>
      </w:r>
      <w:r>
        <w:t>past</w:t>
      </w:r>
      <w:r>
        <w:rPr>
          <w:spacing w:val="3"/>
        </w:rPr>
        <w:t xml:space="preserve"> </w:t>
      </w:r>
      <w:r>
        <w:t>misses</w:t>
      </w:r>
      <w:r>
        <w:rPr>
          <w:spacing w:val="2"/>
        </w:rPr>
        <w:t xml:space="preserve"> </w:t>
      </w:r>
      <w:r>
        <w:t>of</w:t>
      </w:r>
      <w:r>
        <w:rPr>
          <w:spacing w:val="2"/>
        </w:rPr>
        <w:t xml:space="preserve"> </w:t>
      </w:r>
      <w:r>
        <w:t>the</w:t>
      </w:r>
      <w:r>
        <w:rPr>
          <w:spacing w:val="2"/>
        </w:rPr>
        <w:t xml:space="preserve"> </w:t>
      </w:r>
      <w:r>
        <w:t>target,</w:t>
      </w:r>
      <w:r>
        <w:rPr>
          <w:spacing w:val="2"/>
        </w:rPr>
        <w:t xml:space="preserve"> </w:t>
      </w:r>
      <w:r>
        <w:t>similar</w:t>
      </w:r>
      <w:r>
        <w:rPr>
          <w:spacing w:val="3"/>
        </w:rPr>
        <w:t xml:space="preserve"> </w:t>
      </w:r>
      <w:r>
        <w:rPr>
          <w:spacing w:val="-5"/>
        </w:rPr>
        <w:t>to</w:t>
      </w:r>
      <w:r w:rsidR="00F01120">
        <w:rPr>
          <w:spacing w:val="-5"/>
        </w:rPr>
        <w:t xml:space="preserve"> </w:t>
      </w:r>
      <w:r>
        <w:t>that</w:t>
      </w:r>
      <w:r>
        <w:rPr>
          <w:spacing w:val="-1"/>
        </w:rPr>
        <w:t xml:space="preserve"> </w:t>
      </w:r>
      <w:r>
        <w:t>characteristic</w:t>
      </w:r>
      <w:r>
        <w:rPr>
          <w:spacing w:val="1"/>
        </w:rPr>
        <w:t xml:space="preserve"> </w:t>
      </w:r>
      <w:r>
        <w:t>of</w:t>
      </w:r>
      <w:r>
        <w:rPr>
          <w:spacing w:val="1"/>
        </w:rPr>
        <w:t xml:space="preserve"> </w:t>
      </w:r>
      <w:r>
        <w:t>an</w:t>
      </w:r>
      <w:r>
        <w:rPr>
          <w:spacing w:val="1"/>
        </w:rPr>
        <w:t xml:space="preserve"> </w:t>
      </w:r>
      <w:r>
        <w:t>average</w:t>
      </w:r>
      <w:r>
        <w:rPr>
          <w:spacing w:val="1"/>
        </w:rPr>
        <w:t xml:space="preserve"> </w:t>
      </w:r>
      <w:r>
        <w:t>inflation</w:t>
      </w:r>
      <w:r>
        <w:rPr>
          <w:spacing w:val="1"/>
        </w:rPr>
        <w:t xml:space="preserve"> </w:t>
      </w:r>
      <w:r>
        <w:t>or</w:t>
      </w:r>
      <w:r>
        <w:rPr>
          <w:spacing w:val="1"/>
        </w:rPr>
        <w:t xml:space="preserve"> </w:t>
      </w:r>
      <w:r>
        <w:t>price</w:t>
      </w:r>
      <w:r>
        <w:rPr>
          <w:spacing w:val="1"/>
        </w:rPr>
        <w:t xml:space="preserve"> </w:t>
      </w:r>
      <w:r>
        <w:t>level</w:t>
      </w:r>
      <w:r>
        <w:rPr>
          <w:spacing w:val="1"/>
        </w:rPr>
        <w:t xml:space="preserve"> </w:t>
      </w:r>
      <w:r>
        <w:t>target.</w:t>
      </w:r>
      <w:r>
        <w:rPr>
          <w:spacing w:val="1"/>
        </w:rPr>
        <w:t xml:space="preserve"> </w:t>
      </w:r>
      <w:r>
        <w:t>A</w:t>
      </w:r>
      <w:r>
        <w:rPr>
          <w:spacing w:val="1"/>
        </w:rPr>
        <w:t xml:space="preserve"> </w:t>
      </w:r>
      <w:r>
        <w:t>common</w:t>
      </w:r>
      <w:r>
        <w:rPr>
          <w:spacing w:val="1"/>
        </w:rPr>
        <w:t xml:space="preserve"> </w:t>
      </w:r>
      <w:r>
        <w:t>set</w:t>
      </w:r>
      <w:r>
        <w:rPr>
          <w:spacing w:val="1"/>
        </w:rPr>
        <w:t xml:space="preserve"> </w:t>
      </w:r>
      <w:r>
        <w:t>of</w:t>
      </w:r>
      <w:r>
        <w:rPr>
          <w:spacing w:val="1"/>
        </w:rPr>
        <w:t xml:space="preserve"> </w:t>
      </w:r>
      <w:r>
        <w:t>advantages</w:t>
      </w:r>
      <w:r>
        <w:rPr>
          <w:spacing w:val="1"/>
        </w:rPr>
        <w:t xml:space="preserve"> </w:t>
      </w:r>
      <w:r>
        <w:rPr>
          <w:spacing w:val="-5"/>
        </w:rPr>
        <w:t>and</w:t>
      </w:r>
      <w:r w:rsidR="00F01120">
        <w:rPr>
          <w:spacing w:val="-5"/>
        </w:rPr>
        <w:t xml:space="preserve"> </w:t>
      </w:r>
      <w:r>
        <w:t>disadvantages</w:t>
      </w:r>
      <w:r>
        <w:rPr>
          <w:spacing w:val="7"/>
        </w:rPr>
        <w:t xml:space="preserve"> </w:t>
      </w:r>
      <w:r>
        <w:t>apply</w:t>
      </w:r>
      <w:r>
        <w:rPr>
          <w:spacing w:val="7"/>
        </w:rPr>
        <w:t xml:space="preserve"> </w:t>
      </w:r>
      <w:r>
        <w:t>to</w:t>
      </w:r>
      <w:r>
        <w:rPr>
          <w:spacing w:val="7"/>
        </w:rPr>
        <w:t xml:space="preserve"> </w:t>
      </w:r>
      <w:r>
        <w:t>all</w:t>
      </w:r>
      <w:r>
        <w:rPr>
          <w:spacing w:val="7"/>
        </w:rPr>
        <w:t xml:space="preserve"> </w:t>
      </w:r>
      <w:r>
        <w:t>frameworks</w:t>
      </w:r>
      <w:r>
        <w:rPr>
          <w:spacing w:val="8"/>
        </w:rPr>
        <w:t xml:space="preserve"> </w:t>
      </w:r>
      <w:r>
        <w:t>with</w:t>
      </w:r>
      <w:r>
        <w:rPr>
          <w:spacing w:val="7"/>
        </w:rPr>
        <w:t xml:space="preserve"> </w:t>
      </w:r>
      <w:r>
        <w:t>‘make-up’</w:t>
      </w:r>
      <w:r>
        <w:rPr>
          <w:spacing w:val="7"/>
        </w:rPr>
        <w:t xml:space="preserve"> </w:t>
      </w:r>
      <w:r>
        <w:t>characteristics</w:t>
      </w:r>
      <w:r w:rsidR="0068598E">
        <w:rPr>
          <w:spacing w:val="-20"/>
        </w:rPr>
        <w:t>.</w:t>
      </w:r>
    </w:p>
    <w:p w14:paraId="3CBCE2A6" w14:textId="7A0ABD08" w:rsidR="00A31B02" w:rsidRDefault="00A31B02" w:rsidP="00F01120">
      <w:r>
        <w:t>In particular, an important potential benefit of a nominal income level is that it may better promote economic recovery from downturns, particularly where monetary policy faces the effective lower bound constraint. When there is a downturn in real activity, a nominal income level target provides scope</w:t>
      </w:r>
      <w:r>
        <w:rPr>
          <w:spacing w:val="-1"/>
        </w:rPr>
        <w:t xml:space="preserve"> </w:t>
      </w:r>
      <w:r>
        <w:t>for</w:t>
      </w:r>
      <w:r>
        <w:rPr>
          <w:spacing w:val="-1"/>
        </w:rPr>
        <w:t xml:space="preserve"> </w:t>
      </w:r>
      <w:r>
        <w:t>a</w:t>
      </w:r>
      <w:r>
        <w:rPr>
          <w:spacing w:val="-1"/>
        </w:rPr>
        <w:t xml:space="preserve"> </w:t>
      </w:r>
      <w:r>
        <w:t>central</w:t>
      </w:r>
      <w:r>
        <w:rPr>
          <w:spacing w:val="-1"/>
        </w:rPr>
        <w:t xml:space="preserve"> </w:t>
      </w:r>
      <w:r>
        <w:t>bank</w:t>
      </w:r>
      <w:r>
        <w:rPr>
          <w:spacing w:val="-1"/>
        </w:rPr>
        <w:t xml:space="preserve"> </w:t>
      </w:r>
      <w:r>
        <w:t>to</w:t>
      </w:r>
      <w:r>
        <w:rPr>
          <w:spacing w:val="-1"/>
        </w:rPr>
        <w:t xml:space="preserve"> </w:t>
      </w:r>
      <w:r>
        <w:t>tolerate</w:t>
      </w:r>
      <w:r>
        <w:rPr>
          <w:spacing w:val="-1"/>
        </w:rPr>
        <w:t xml:space="preserve"> </w:t>
      </w:r>
      <w:r>
        <w:t>higher</w:t>
      </w:r>
      <w:r>
        <w:rPr>
          <w:spacing w:val="-1"/>
        </w:rPr>
        <w:t xml:space="preserve"> </w:t>
      </w:r>
      <w:r>
        <w:t>than</w:t>
      </w:r>
      <w:r>
        <w:rPr>
          <w:spacing w:val="-1"/>
        </w:rPr>
        <w:t xml:space="preserve"> </w:t>
      </w:r>
      <w:r>
        <w:t>normal</w:t>
      </w:r>
      <w:r>
        <w:rPr>
          <w:spacing w:val="-1"/>
        </w:rPr>
        <w:t xml:space="preserve"> </w:t>
      </w:r>
      <w:r>
        <w:t>inflation</w:t>
      </w:r>
      <w:r>
        <w:rPr>
          <w:spacing w:val="-1"/>
        </w:rPr>
        <w:t xml:space="preserve"> </w:t>
      </w:r>
      <w:r>
        <w:t>and/or</w:t>
      </w:r>
      <w:r>
        <w:rPr>
          <w:spacing w:val="-1"/>
        </w:rPr>
        <w:t xml:space="preserve"> </w:t>
      </w:r>
      <w:r>
        <w:t>economic</w:t>
      </w:r>
      <w:r>
        <w:rPr>
          <w:spacing w:val="-1"/>
        </w:rPr>
        <w:t xml:space="preserve"> </w:t>
      </w:r>
      <w:r>
        <w:t>growth</w:t>
      </w:r>
      <w:r>
        <w:rPr>
          <w:spacing w:val="-1"/>
        </w:rPr>
        <w:t xml:space="preserve"> </w:t>
      </w:r>
      <w:r>
        <w:t>for</w:t>
      </w:r>
      <w:r>
        <w:rPr>
          <w:spacing w:val="-1"/>
        </w:rPr>
        <w:t xml:space="preserve"> </w:t>
      </w:r>
      <w:r>
        <w:t>a</w:t>
      </w:r>
      <w:r>
        <w:rPr>
          <w:spacing w:val="-1"/>
        </w:rPr>
        <w:t xml:space="preserve"> </w:t>
      </w:r>
      <w:r>
        <w:t>time. This might deliver higher inflation expectations and lower real interest rates, relative to an inflation- targeting regime, getting the economy closer to the best possible outcome</w:t>
      </w:r>
      <w:r w:rsidR="0068598E">
        <w:rPr>
          <w:spacing w:val="-19"/>
        </w:rPr>
        <w:t>.</w:t>
      </w:r>
      <w:r>
        <w:rPr>
          <w:w w:val="85"/>
        </w:rPr>
        <w:t xml:space="preserve"> </w:t>
      </w:r>
      <w:r>
        <w:t>There may also be benefits to financial stability from increases in inflation expectations at times of surprisingly low economic growth since higher inflation reduces real debt burdens.</w:t>
      </w:r>
    </w:p>
    <w:p w14:paraId="354FCFF3" w14:textId="4F1BE066" w:rsidR="00A31B02" w:rsidRDefault="00A31B02" w:rsidP="00F01120">
      <w:r>
        <w:t>Some of the other advantages and disadvantages of nominal income growth targeting apply to some extent to nominal income level targeting</w:t>
      </w:r>
      <w:r w:rsidR="0068598E">
        <w:rPr>
          <w:spacing w:val="-13"/>
        </w:rPr>
        <w:t>.</w:t>
      </w:r>
    </w:p>
    <w:p w14:paraId="1AC7142F" w14:textId="1F1C48AC" w:rsidR="007763C9" w:rsidRDefault="00A31B02" w:rsidP="00F01120">
      <w:r>
        <w:t>One particular concern for nominal income level targeting is that nominal income measures are frequently revised, such that the goalposts for monetary policy will change in unpredictable ways</w:t>
      </w:r>
      <w:r w:rsidR="0068598E">
        <w:rPr>
          <w:spacing w:val="-23"/>
        </w:rPr>
        <w:t>.</w:t>
      </w:r>
      <w:r>
        <w:t xml:space="preserve"> A historical revision could leave central bank with an unexpected gap to ‘make-up’</w:t>
      </w:r>
      <w:r w:rsidR="0068598E">
        <w:rPr>
          <w:spacing w:val="-19"/>
        </w:rPr>
        <w:t>.</w:t>
      </w:r>
      <w:r>
        <w:t xml:space="preserve"> Consumer price index data are not revised, while employment data are</w:t>
      </w:r>
      <w:r w:rsidR="0068598E">
        <w:rPr>
          <w:spacing w:val="-19"/>
        </w:rPr>
        <w:t>.</w:t>
      </w:r>
      <w:r>
        <w:rPr>
          <w:w w:val="85"/>
        </w:rPr>
        <w:t xml:space="preserve"> </w:t>
      </w:r>
      <w:r>
        <w:t>Nominal income measures are</w:t>
      </w:r>
      <w:r w:rsidR="00F01120">
        <w:t xml:space="preserve"> </w:t>
      </w:r>
      <w:r>
        <w:t>also released with a greater lag than the inflation and employment data and are only available on a quarterly basis, though both of these features could presumably be improved if they were a priority.</w:t>
      </w:r>
    </w:p>
    <w:p w14:paraId="5C40F743" w14:textId="77777777" w:rsidR="007763C9" w:rsidRDefault="007763C9">
      <w:pPr>
        <w:spacing w:before="0" w:after="160" w:line="259" w:lineRule="auto"/>
      </w:pPr>
      <w:r>
        <w:br w:type="page"/>
      </w:r>
    </w:p>
    <w:p w14:paraId="1E333C21" w14:textId="082C92AD" w:rsidR="00A31B02" w:rsidRDefault="000C078D" w:rsidP="000C078D">
      <w:pPr>
        <w:pStyle w:val="Heading1"/>
        <w:rPr>
          <w:spacing w:val="-6"/>
        </w:rPr>
      </w:pPr>
      <w:bookmarkStart w:id="72" w:name="_Toc134221042"/>
      <w:r>
        <w:lastRenderedPageBreak/>
        <w:t xml:space="preserve">Appendix 3: Table of </w:t>
      </w:r>
      <w:r>
        <w:rPr>
          <w:spacing w:val="-6"/>
        </w:rPr>
        <w:t>central</w:t>
      </w:r>
      <w:r>
        <w:rPr>
          <w:spacing w:val="-24"/>
        </w:rPr>
        <w:t xml:space="preserve"> </w:t>
      </w:r>
      <w:r>
        <w:rPr>
          <w:spacing w:val="-6"/>
        </w:rPr>
        <w:t>bank</w:t>
      </w:r>
      <w:r>
        <w:rPr>
          <w:spacing w:val="-24"/>
        </w:rPr>
        <w:t xml:space="preserve"> </w:t>
      </w:r>
      <w:r>
        <w:rPr>
          <w:spacing w:val="-6"/>
        </w:rPr>
        <w:t>objectives</w:t>
      </w:r>
      <w:bookmarkEnd w:id="72"/>
    </w:p>
    <w:p w14:paraId="3D6B8592" w14:textId="77777777" w:rsidR="002F3C72" w:rsidRDefault="002F3C72" w:rsidP="002F3C72"/>
    <w:tbl>
      <w:tblPr>
        <w:tblW w:w="5000" w:type="pct"/>
        <w:tblBorders>
          <w:top w:val="single" w:sz="2" w:space="0" w:color="7F859B"/>
          <w:left w:val="single" w:sz="2" w:space="0" w:color="7F859B"/>
          <w:bottom w:val="single" w:sz="2" w:space="0" w:color="7F859B"/>
          <w:right w:val="single" w:sz="2" w:space="0" w:color="7F859B"/>
          <w:insideH w:val="single" w:sz="2" w:space="0" w:color="7F859B"/>
          <w:insideV w:val="single" w:sz="2" w:space="0" w:color="7F859B"/>
        </w:tblBorders>
        <w:tblCellMar>
          <w:left w:w="0" w:type="dxa"/>
          <w:right w:w="0" w:type="dxa"/>
        </w:tblCellMar>
        <w:tblLook w:val="01E0" w:firstRow="1" w:lastRow="1" w:firstColumn="1" w:lastColumn="1" w:noHBand="0" w:noVBand="0"/>
      </w:tblPr>
      <w:tblGrid>
        <w:gridCol w:w="1058"/>
        <w:gridCol w:w="2003"/>
        <w:gridCol w:w="2003"/>
        <w:gridCol w:w="2003"/>
        <w:gridCol w:w="2003"/>
      </w:tblGrid>
      <w:tr w:rsidR="002F3C72" w14:paraId="04AAAABE" w14:textId="77777777" w:rsidTr="003D61B7">
        <w:trPr>
          <w:trHeight w:val="661"/>
        </w:trPr>
        <w:tc>
          <w:tcPr>
            <w:tcW w:w="583" w:type="pct"/>
            <w:tcBorders>
              <w:top w:val="nil"/>
              <w:left w:val="nil"/>
              <w:bottom w:val="nil"/>
            </w:tcBorders>
          </w:tcPr>
          <w:p w14:paraId="4E38E588" w14:textId="77777777" w:rsidR="002F3C72" w:rsidRDefault="002F3C72" w:rsidP="00F22AE5">
            <w:pPr>
              <w:pStyle w:val="TableParagraph"/>
              <w:spacing w:before="135" w:line="220" w:lineRule="auto"/>
              <w:ind w:left="110"/>
              <w:rPr>
                <w:rFonts w:ascii="Open Sans"/>
                <w:b/>
                <w:sz w:val="16"/>
              </w:rPr>
            </w:pPr>
            <w:r>
              <w:rPr>
                <w:rFonts w:ascii="Open Sans"/>
                <w:b/>
                <w:spacing w:val="-2"/>
                <w:sz w:val="16"/>
              </w:rPr>
              <w:t>Central</w:t>
            </w:r>
            <w:r>
              <w:rPr>
                <w:rFonts w:ascii="Open Sans"/>
                <w:b/>
                <w:sz w:val="16"/>
              </w:rPr>
              <w:t xml:space="preserve"> </w:t>
            </w:r>
            <w:r>
              <w:rPr>
                <w:rFonts w:ascii="Open Sans"/>
                <w:b/>
                <w:spacing w:val="-4"/>
                <w:sz w:val="16"/>
              </w:rPr>
              <w:t>bank</w:t>
            </w:r>
          </w:p>
        </w:tc>
        <w:tc>
          <w:tcPr>
            <w:tcW w:w="1104" w:type="pct"/>
            <w:tcBorders>
              <w:top w:val="nil"/>
              <w:bottom w:val="nil"/>
            </w:tcBorders>
          </w:tcPr>
          <w:p w14:paraId="77CA7A8E" w14:textId="77777777" w:rsidR="002F3C72" w:rsidRDefault="002F3C72" w:rsidP="00F22AE5">
            <w:pPr>
              <w:pStyle w:val="TableParagraph"/>
              <w:spacing w:before="121"/>
              <w:ind w:left="110"/>
              <w:rPr>
                <w:rFonts w:ascii="Open Sans"/>
                <w:b/>
                <w:sz w:val="16"/>
              </w:rPr>
            </w:pPr>
            <w:r>
              <w:rPr>
                <w:rFonts w:ascii="Open Sans"/>
                <w:b/>
                <w:spacing w:val="-2"/>
                <w:sz w:val="16"/>
              </w:rPr>
              <w:t>Objective</w:t>
            </w:r>
          </w:p>
        </w:tc>
        <w:tc>
          <w:tcPr>
            <w:tcW w:w="1104" w:type="pct"/>
            <w:tcBorders>
              <w:top w:val="nil"/>
              <w:bottom w:val="nil"/>
            </w:tcBorders>
          </w:tcPr>
          <w:p w14:paraId="2DCC85DC" w14:textId="77777777" w:rsidR="002F3C72" w:rsidRDefault="002F3C72" w:rsidP="00F22AE5">
            <w:pPr>
              <w:pStyle w:val="TableParagraph"/>
              <w:spacing w:before="121"/>
              <w:ind w:left="110"/>
              <w:rPr>
                <w:rFonts w:ascii="Open Sans"/>
                <w:b/>
                <w:sz w:val="16"/>
              </w:rPr>
            </w:pPr>
            <w:r>
              <w:rPr>
                <w:rFonts w:ascii="Open Sans"/>
                <w:b/>
                <w:sz w:val="16"/>
              </w:rPr>
              <w:t>Inflation</w:t>
            </w:r>
            <w:r>
              <w:rPr>
                <w:rFonts w:ascii="Open Sans"/>
                <w:b/>
                <w:spacing w:val="5"/>
                <w:sz w:val="16"/>
              </w:rPr>
              <w:t xml:space="preserve"> </w:t>
            </w:r>
            <w:r>
              <w:rPr>
                <w:rFonts w:ascii="Open Sans"/>
                <w:b/>
                <w:spacing w:val="-2"/>
                <w:sz w:val="16"/>
              </w:rPr>
              <w:t>target</w:t>
            </w:r>
          </w:p>
        </w:tc>
        <w:tc>
          <w:tcPr>
            <w:tcW w:w="1104" w:type="pct"/>
            <w:tcBorders>
              <w:top w:val="nil"/>
              <w:bottom w:val="nil"/>
            </w:tcBorders>
          </w:tcPr>
          <w:p w14:paraId="1A380E88" w14:textId="77777777" w:rsidR="002F3C72" w:rsidRDefault="002F3C72" w:rsidP="00F22AE5">
            <w:pPr>
              <w:pStyle w:val="TableParagraph"/>
              <w:spacing w:before="135" w:line="220" w:lineRule="auto"/>
              <w:ind w:left="111"/>
              <w:rPr>
                <w:rFonts w:ascii="Open Sans"/>
                <w:b/>
                <w:sz w:val="16"/>
              </w:rPr>
            </w:pPr>
            <w:r>
              <w:rPr>
                <w:rFonts w:ascii="Open Sans"/>
                <w:b/>
                <w:spacing w:val="-2"/>
                <w:sz w:val="16"/>
              </w:rPr>
              <w:t>Employment</w:t>
            </w:r>
            <w:r>
              <w:rPr>
                <w:rFonts w:ascii="Open Sans"/>
                <w:b/>
                <w:sz w:val="16"/>
              </w:rPr>
              <w:t xml:space="preserve"> </w:t>
            </w:r>
            <w:r>
              <w:rPr>
                <w:rFonts w:ascii="Open Sans"/>
                <w:b/>
                <w:spacing w:val="-2"/>
                <w:sz w:val="16"/>
              </w:rPr>
              <w:t>objective</w:t>
            </w:r>
          </w:p>
        </w:tc>
        <w:tc>
          <w:tcPr>
            <w:tcW w:w="1104" w:type="pct"/>
            <w:tcBorders>
              <w:top w:val="nil"/>
              <w:bottom w:val="nil"/>
              <w:right w:val="nil"/>
            </w:tcBorders>
          </w:tcPr>
          <w:p w14:paraId="7392476D" w14:textId="77777777" w:rsidR="002F3C72" w:rsidRDefault="002F3C72" w:rsidP="00F22AE5">
            <w:pPr>
              <w:pStyle w:val="TableParagraph"/>
              <w:spacing w:before="121" w:line="209" w:lineRule="exact"/>
              <w:ind w:left="111"/>
              <w:rPr>
                <w:rFonts w:ascii="Open Sans"/>
                <w:b/>
                <w:sz w:val="16"/>
              </w:rPr>
            </w:pPr>
            <w:r>
              <w:rPr>
                <w:rFonts w:ascii="Open Sans"/>
                <w:b/>
                <w:sz w:val="16"/>
              </w:rPr>
              <w:t>Recent</w:t>
            </w:r>
            <w:r>
              <w:rPr>
                <w:rFonts w:ascii="Open Sans"/>
                <w:b/>
                <w:spacing w:val="3"/>
                <w:sz w:val="16"/>
              </w:rPr>
              <w:t xml:space="preserve"> </w:t>
            </w:r>
            <w:r>
              <w:rPr>
                <w:rFonts w:ascii="Open Sans"/>
                <w:b/>
                <w:spacing w:val="-2"/>
                <w:sz w:val="16"/>
              </w:rPr>
              <w:t>changes</w:t>
            </w:r>
          </w:p>
          <w:p w14:paraId="4DCB2080" w14:textId="77777777" w:rsidR="002F3C72" w:rsidRDefault="002F3C72" w:rsidP="00F22AE5">
            <w:pPr>
              <w:pStyle w:val="TableParagraph"/>
              <w:spacing w:line="209" w:lineRule="exact"/>
              <w:ind w:left="111"/>
              <w:rPr>
                <w:rFonts w:ascii="Open Sans"/>
                <w:b/>
                <w:sz w:val="16"/>
              </w:rPr>
            </w:pPr>
            <w:r>
              <w:rPr>
                <w:rFonts w:ascii="Open Sans"/>
                <w:b/>
                <w:sz w:val="16"/>
              </w:rPr>
              <w:t xml:space="preserve">and </w:t>
            </w:r>
            <w:r>
              <w:rPr>
                <w:rFonts w:ascii="Open Sans"/>
                <w:b/>
                <w:spacing w:val="-2"/>
                <w:sz w:val="16"/>
              </w:rPr>
              <w:t>reason</w:t>
            </w:r>
          </w:p>
        </w:tc>
      </w:tr>
      <w:tr w:rsidR="002F3C72" w14:paraId="7CAF676E" w14:textId="77777777" w:rsidTr="003D61B7">
        <w:trPr>
          <w:trHeight w:val="4453"/>
        </w:trPr>
        <w:tc>
          <w:tcPr>
            <w:tcW w:w="583" w:type="pct"/>
            <w:tcBorders>
              <w:top w:val="nil"/>
              <w:left w:val="nil"/>
              <w:bottom w:val="single" w:sz="4" w:space="0" w:color="auto"/>
            </w:tcBorders>
          </w:tcPr>
          <w:p w14:paraId="2264DF24" w14:textId="77777777" w:rsidR="002F3C72" w:rsidRDefault="002F3C72" w:rsidP="00F22AE5">
            <w:pPr>
              <w:pStyle w:val="TableParagraph"/>
              <w:spacing w:before="136" w:line="220" w:lineRule="auto"/>
              <w:ind w:left="110"/>
              <w:rPr>
                <w:rFonts w:ascii="Open Sans"/>
                <w:b/>
                <w:sz w:val="16"/>
              </w:rPr>
            </w:pPr>
            <w:r>
              <w:rPr>
                <w:rFonts w:ascii="Open Sans"/>
                <w:b/>
                <w:spacing w:val="-2"/>
                <w:sz w:val="16"/>
              </w:rPr>
              <w:t>Reserve</w:t>
            </w:r>
            <w:r>
              <w:rPr>
                <w:rFonts w:ascii="Open Sans"/>
                <w:b/>
                <w:sz w:val="16"/>
              </w:rPr>
              <w:t xml:space="preserve"> </w:t>
            </w:r>
            <w:r>
              <w:rPr>
                <w:rFonts w:ascii="Open Sans"/>
                <w:b/>
                <w:spacing w:val="-4"/>
                <w:sz w:val="16"/>
              </w:rPr>
              <w:t>Bank</w:t>
            </w:r>
          </w:p>
          <w:p w14:paraId="12D130B0" w14:textId="77777777" w:rsidR="002F3C72" w:rsidRDefault="002F3C72" w:rsidP="00F22AE5">
            <w:pPr>
              <w:pStyle w:val="TableParagraph"/>
              <w:spacing w:line="220" w:lineRule="auto"/>
              <w:ind w:left="110"/>
              <w:rPr>
                <w:rFonts w:ascii="Open Sans"/>
                <w:b/>
                <w:sz w:val="16"/>
              </w:rPr>
            </w:pPr>
            <w:r>
              <w:rPr>
                <w:rFonts w:ascii="Open Sans"/>
                <w:b/>
                <w:sz w:val="16"/>
              </w:rPr>
              <w:t>of</w:t>
            </w:r>
            <w:r>
              <w:rPr>
                <w:rFonts w:ascii="Open Sans"/>
                <w:b/>
                <w:spacing w:val="-7"/>
                <w:sz w:val="16"/>
              </w:rPr>
              <w:t xml:space="preserve"> </w:t>
            </w:r>
            <w:r>
              <w:rPr>
                <w:rFonts w:ascii="Open Sans"/>
                <w:b/>
                <w:sz w:val="16"/>
              </w:rPr>
              <w:t xml:space="preserve">New </w:t>
            </w:r>
            <w:r>
              <w:rPr>
                <w:rFonts w:ascii="Open Sans"/>
                <w:b/>
                <w:spacing w:val="-2"/>
                <w:sz w:val="16"/>
              </w:rPr>
              <w:t>Zealand</w:t>
            </w:r>
          </w:p>
        </w:tc>
        <w:tc>
          <w:tcPr>
            <w:tcW w:w="1104" w:type="pct"/>
            <w:tcBorders>
              <w:top w:val="nil"/>
              <w:bottom w:val="single" w:sz="4" w:space="0" w:color="auto"/>
            </w:tcBorders>
          </w:tcPr>
          <w:p w14:paraId="7E4583C9" w14:textId="77777777" w:rsidR="002F3C72" w:rsidRDefault="002F3C72" w:rsidP="00F22AE5">
            <w:pPr>
              <w:pStyle w:val="TableParagraph"/>
              <w:spacing w:before="136" w:line="220" w:lineRule="auto"/>
              <w:ind w:left="110" w:right="457"/>
              <w:rPr>
                <w:sz w:val="16"/>
              </w:rPr>
            </w:pPr>
            <w:r>
              <w:rPr>
                <w:sz w:val="16"/>
              </w:rPr>
              <w:t>Dual</w:t>
            </w:r>
            <w:r>
              <w:rPr>
                <w:spacing w:val="-7"/>
                <w:sz w:val="16"/>
              </w:rPr>
              <w:t xml:space="preserve"> </w:t>
            </w:r>
            <w:r>
              <w:rPr>
                <w:sz w:val="16"/>
              </w:rPr>
              <w:t>mandate</w:t>
            </w:r>
            <w:r>
              <w:rPr>
                <w:spacing w:val="40"/>
                <w:sz w:val="16"/>
              </w:rPr>
              <w:t xml:space="preserve"> </w:t>
            </w:r>
            <w:r>
              <w:rPr>
                <w:sz w:val="16"/>
              </w:rPr>
              <w:t>for</w:t>
            </w:r>
            <w:r>
              <w:rPr>
                <w:spacing w:val="-10"/>
                <w:sz w:val="16"/>
              </w:rPr>
              <w:t xml:space="preserve"> </w:t>
            </w:r>
            <w:r>
              <w:rPr>
                <w:sz w:val="16"/>
              </w:rPr>
              <w:t>price</w:t>
            </w:r>
            <w:r>
              <w:rPr>
                <w:spacing w:val="-10"/>
                <w:sz w:val="16"/>
              </w:rPr>
              <w:t xml:space="preserve"> </w:t>
            </w:r>
            <w:r>
              <w:rPr>
                <w:sz w:val="16"/>
              </w:rPr>
              <w:t>stability and</w:t>
            </w:r>
            <w:r>
              <w:rPr>
                <w:spacing w:val="-7"/>
                <w:sz w:val="16"/>
              </w:rPr>
              <w:t xml:space="preserve"> </w:t>
            </w:r>
            <w:r>
              <w:rPr>
                <w:sz w:val="16"/>
              </w:rPr>
              <w:t xml:space="preserve">maximum </w:t>
            </w:r>
            <w:r>
              <w:rPr>
                <w:spacing w:val="-2"/>
                <w:sz w:val="16"/>
              </w:rPr>
              <w:t>employment.</w:t>
            </w:r>
          </w:p>
        </w:tc>
        <w:tc>
          <w:tcPr>
            <w:tcW w:w="1104" w:type="pct"/>
            <w:tcBorders>
              <w:top w:val="nil"/>
              <w:bottom w:val="single" w:sz="4" w:space="0" w:color="auto"/>
            </w:tcBorders>
          </w:tcPr>
          <w:p w14:paraId="75120D8D" w14:textId="104DD736" w:rsidR="002F3C72" w:rsidRDefault="002F3C72" w:rsidP="00C611D2">
            <w:pPr>
              <w:pStyle w:val="TableParagraph"/>
              <w:spacing w:before="136" w:line="220" w:lineRule="auto"/>
              <w:ind w:left="110"/>
              <w:rPr>
                <w:sz w:val="16"/>
              </w:rPr>
            </w:pPr>
            <w:r>
              <w:rPr>
                <w:sz w:val="16"/>
              </w:rPr>
              <w:t>To</w:t>
            </w:r>
            <w:r>
              <w:rPr>
                <w:spacing w:val="-11"/>
                <w:sz w:val="16"/>
              </w:rPr>
              <w:t xml:space="preserve"> </w:t>
            </w:r>
            <w:r>
              <w:rPr>
                <w:sz w:val="16"/>
              </w:rPr>
              <w:t>keep</w:t>
            </w:r>
            <w:r>
              <w:rPr>
                <w:spacing w:val="-10"/>
                <w:sz w:val="16"/>
              </w:rPr>
              <w:t xml:space="preserve"> </w:t>
            </w:r>
            <w:r>
              <w:rPr>
                <w:sz w:val="16"/>
              </w:rPr>
              <w:t>future</w:t>
            </w:r>
            <w:r>
              <w:rPr>
                <w:spacing w:val="-11"/>
                <w:sz w:val="16"/>
              </w:rPr>
              <w:t xml:space="preserve"> </w:t>
            </w:r>
            <w:r>
              <w:rPr>
                <w:sz w:val="16"/>
              </w:rPr>
              <w:t>annual inflation</w:t>
            </w:r>
            <w:r>
              <w:rPr>
                <w:spacing w:val="-7"/>
                <w:sz w:val="16"/>
              </w:rPr>
              <w:t xml:space="preserve"> </w:t>
            </w:r>
            <w:r>
              <w:rPr>
                <w:sz w:val="16"/>
              </w:rPr>
              <w:t>between</w:t>
            </w:r>
            <w:r w:rsidR="00C611D2">
              <w:rPr>
                <w:sz w:val="16"/>
              </w:rPr>
              <w:t xml:space="preserve"> </w:t>
            </w:r>
            <w:r>
              <w:rPr>
                <w:sz w:val="16"/>
              </w:rPr>
              <w:t>1</w:t>
            </w:r>
            <w:r>
              <w:rPr>
                <w:spacing w:val="-6"/>
                <w:sz w:val="16"/>
              </w:rPr>
              <w:t xml:space="preserve"> </w:t>
            </w:r>
            <w:r>
              <w:rPr>
                <w:sz w:val="16"/>
              </w:rPr>
              <w:t>per</w:t>
            </w:r>
            <w:r>
              <w:rPr>
                <w:spacing w:val="-4"/>
                <w:sz w:val="16"/>
              </w:rPr>
              <w:t xml:space="preserve"> </w:t>
            </w:r>
            <w:r>
              <w:rPr>
                <w:sz w:val="16"/>
              </w:rPr>
              <w:t>cent</w:t>
            </w:r>
            <w:r>
              <w:rPr>
                <w:spacing w:val="-3"/>
                <w:sz w:val="16"/>
              </w:rPr>
              <w:t xml:space="preserve"> </w:t>
            </w:r>
            <w:r>
              <w:rPr>
                <w:spacing w:val="-5"/>
                <w:sz w:val="16"/>
              </w:rPr>
              <w:t>and</w:t>
            </w:r>
            <w:r w:rsidR="00C611D2">
              <w:rPr>
                <w:spacing w:val="-5"/>
                <w:sz w:val="16"/>
              </w:rPr>
              <w:t xml:space="preserve"> </w:t>
            </w:r>
            <w:r>
              <w:rPr>
                <w:sz w:val="16"/>
              </w:rPr>
              <w:t>3</w:t>
            </w:r>
            <w:r>
              <w:rPr>
                <w:spacing w:val="-8"/>
                <w:sz w:val="16"/>
              </w:rPr>
              <w:t xml:space="preserve"> </w:t>
            </w:r>
            <w:r>
              <w:rPr>
                <w:sz w:val="16"/>
              </w:rPr>
              <w:t>per</w:t>
            </w:r>
            <w:r>
              <w:rPr>
                <w:spacing w:val="-8"/>
                <w:sz w:val="16"/>
              </w:rPr>
              <w:t xml:space="preserve"> </w:t>
            </w:r>
            <w:r>
              <w:rPr>
                <w:sz w:val="16"/>
              </w:rPr>
              <w:t>cent</w:t>
            </w:r>
            <w:r>
              <w:rPr>
                <w:spacing w:val="-8"/>
                <w:sz w:val="16"/>
              </w:rPr>
              <w:t xml:space="preserve"> </w:t>
            </w:r>
            <w:r>
              <w:rPr>
                <w:sz w:val="16"/>
              </w:rPr>
              <w:t>over</w:t>
            </w:r>
            <w:r>
              <w:rPr>
                <w:spacing w:val="-8"/>
                <w:sz w:val="16"/>
              </w:rPr>
              <w:t xml:space="preserve"> </w:t>
            </w:r>
            <w:r>
              <w:rPr>
                <w:sz w:val="16"/>
              </w:rPr>
              <w:t>the medium</w:t>
            </w:r>
            <w:r>
              <w:rPr>
                <w:spacing w:val="-11"/>
                <w:sz w:val="16"/>
              </w:rPr>
              <w:t xml:space="preserve"> </w:t>
            </w:r>
            <w:r>
              <w:rPr>
                <w:sz w:val="16"/>
              </w:rPr>
              <w:t>term,</w:t>
            </w:r>
            <w:r>
              <w:rPr>
                <w:spacing w:val="-10"/>
                <w:sz w:val="16"/>
              </w:rPr>
              <w:t xml:space="preserve"> </w:t>
            </w:r>
            <w:r>
              <w:rPr>
                <w:sz w:val="16"/>
              </w:rPr>
              <w:t>with a</w:t>
            </w:r>
            <w:r>
              <w:rPr>
                <w:spacing w:val="-3"/>
                <w:sz w:val="16"/>
              </w:rPr>
              <w:t xml:space="preserve"> </w:t>
            </w:r>
            <w:r>
              <w:rPr>
                <w:sz w:val="16"/>
              </w:rPr>
              <w:t>focus</w:t>
            </w:r>
            <w:r>
              <w:rPr>
                <w:spacing w:val="-3"/>
                <w:sz w:val="16"/>
              </w:rPr>
              <w:t xml:space="preserve"> </w:t>
            </w:r>
            <w:r>
              <w:rPr>
                <w:sz w:val="16"/>
              </w:rPr>
              <w:t>on</w:t>
            </w:r>
            <w:r>
              <w:rPr>
                <w:spacing w:val="-3"/>
                <w:sz w:val="16"/>
              </w:rPr>
              <w:t xml:space="preserve"> </w:t>
            </w:r>
            <w:r>
              <w:rPr>
                <w:sz w:val="16"/>
              </w:rPr>
              <w:t>keeping future</w:t>
            </w:r>
            <w:r>
              <w:rPr>
                <w:spacing w:val="-7"/>
                <w:sz w:val="16"/>
              </w:rPr>
              <w:t xml:space="preserve"> </w:t>
            </w:r>
            <w:r>
              <w:rPr>
                <w:sz w:val="16"/>
              </w:rPr>
              <w:t>inflation near</w:t>
            </w:r>
            <w:r>
              <w:rPr>
                <w:spacing w:val="-11"/>
                <w:sz w:val="16"/>
              </w:rPr>
              <w:t xml:space="preserve"> </w:t>
            </w:r>
            <w:r>
              <w:rPr>
                <w:sz w:val="16"/>
              </w:rPr>
              <w:t>the</w:t>
            </w:r>
            <w:r>
              <w:rPr>
                <w:spacing w:val="-10"/>
                <w:sz w:val="16"/>
              </w:rPr>
              <w:t xml:space="preserve"> </w:t>
            </w:r>
            <w:r>
              <w:rPr>
                <w:sz w:val="16"/>
              </w:rPr>
              <w:t>2</w:t>
            </w:r>
            <w:r>
              <w:rPr>
                <w:spacing w:val="-11"/>
                <w:sz w:val="16"/>
              </w:rPr>
              <w:t xml:space="preserve"> </w:t>
            </w:r>
            <w:r>
              <w:rPr>
                <w:sz w:val="16"/>
              </w:rPr>
              <w:t>per</w:t>
            </w:r>
            <w:r>
              <w:rPr>
                <w:spacing w:val="-10"/>
                <w:sz w:val="16"/>
              </w:rPr>
              <w:t xml:space="preserve"> </w:t>
            </w:r>
            <w:r>
              <w:rPr>
                <w:sz w:val="16"/>
              </w:rPr>
              <w:t xml:space="preserve">cent </w:t>
            </w:r>
            <w:r>
              <w:rPr>
                <w:spacing w:val="-2"/>
                <w:sz w:val="16"/>
              </w:rPr>
              <w:t>midpoint.</w:t>
            </w:r>
          </w:p>
        </w:tc>
        <w:tc>
          <w:tcPr>
            <w:tcW w:w="1104" w:type="pct"/>
            <w:tcBorders>
              <w:top w:val="nil"/>
              <w:bottom w:val="single" w:sz="4" w:space="0" w:color="auto"/>
            </w:tcBorders>
          </w:tcPr>
          <w:p w14:paraId="509EDCF9" w14:textId="77777777" w:rsidR="002F3C72" w:rsidRDefault="002F3C72" w:rsidP="00F22AE5">
            <w:pPr>
              <w:pStyle w:val="TableParagraph"/>
              <w:spacing w:before="136" w:line="220" w:lineRule="auto"/>
              <w:ind w:left="111"/>
              <w:rPr>
                <w:sz w:val="16"/>
              </w:rPr>
            </w:pPr>
            <w:r>
              <w:rPr>
                <w:sz w:val="16"/>
              </w:rPr>
              <w:t>Support</w:t>
            </w:r>
            <w:r>
              <w:rPr>
                <w:spacing w:val="-11"/>
                <w:sz w:val="16"/>
              </w:rPr>
              <w:t xml:space="preserve"> </w:t>
            </w:r>
            <w:r>
              <w:rPr>
                <w:sz w:val="16"/>
              </w:rPr>
              <w:t xml:space="preserve">maximum </w:t>
            </w:r>
            <w:r>
              <w:rPr>
                <w:spacing w:val="-2"/>
                <w:sz w:val="16"/>
              </w:rPr>
              <w:t>sustainable</w:t>
            </w:r>
            <w:r>
              <w:rPr>
                <w:sz w:val="16"/>
              </w:rPr>
              <w:t xml:space="preserve"> </w:t>
            </w:r>
            <w:r>
              <w:rPr>
                <w:spacing w:val="-2"/>
                <w:sz w:val="16"/>
              </w:rPr>
              <w:t>employment.</w:t>
            </w:r>
          </w:p>
        </w:tc>
        <w:tc>
          <w:tcPr>
            <w:tcW w:w="1104" w:type="pct"/>
            <w:tcBorders>
              <w:top w:val="nil"/>
              <w:bottom w:val="single" w:sz="4" w:space="0" w:color="auto"/>
              <w:right w:val="nil"/>
            </w:tcBorders>
          </w:tcPr>
          <w:p w14:paraId="062CB885" w14:textId="03888004" w:rsidR="002F3C72" w:rsidRDefault="002F3C72" w:rsidP="00C611D2">
            <w:pPr>
              <w:pStyle w:val="TableParagraph"/>
              <w:spacing w:before="136" w:line="220" w:lineRule="auto"/>
              <w:ind w:left="111" w:right="205"/>
              <w:rPr>
                <w:sz w:val="16"/>
              </w:rPr>
            </w:pPr>
            <w:r>
              <w:rPr>
                <w:sz w:val="16"/>
              </w:rPr>
              <w:t>Emphasis on the midpoint of the inflation target was added in 2012. This was motivated by the</w:t>
            </w:r>
            <w:r>
              <w:rPr>
                <w:spacing w:val="-11"/>
                <w:sz w:val="16"/>
              </w:rPr>
              <w:t xml:space="preserve"> </w:t>
            </w:r>
            <w:r>
              <w:rPr>
                <w:sz w:val="16"/>
              </w:rPr>
              <w:t>desire</w:t>
            </w:r>
            <w:r>
              <w:rPr>
                <w:spacing w:val="-10"/>
                <w:sz w:val="16"/>
              </w:rPr>
              <w:t xml:space="preserve"> </w:t>
            </w:r>
            <w:r>
              <w:rPr>
                <w:sz w:val="16"/>
              </w:rPr>
              <w:t>to</w:t>
            </w:r>
            <w:r>
              <w:rPr>
                <w:spacing w:val="-11"/>
                <w:sz w:val="16"/>
              </w:rPr>
              <w:t xml:space="preserve"> </w:t>
            </w:r>
            <w:r>
              <w:rPr>
                <w:sz w:val="16"/>
              </w:rPr>
              <w:t>anchor</w:t>
            </w:r>
            <w:r w:rsidR="00C611D2">
              <w:rPr>
                <w:sz w:val="16"/>
              </w:rPr>
              <w:t xml:space="preserve"> </w:t>
            </w:r>
            <w:r>
              <w:rPr>
                <w:sz w:val="16"/>
              </w:rPr>
              <w:t>inflation</w:t>
            </w:r>
            <w:r>
              <w:rPr>
                <w:spacing w:val="-7"/>
                <w:sz w:val="16"/>
              </w:rPr>
              <w:t xml:space="preserve"> </w:t>
            </w:r>
            <w:r>
              <w:rPr>
                <w:sz w:val="16"/>
              </w:rPr>
              <w:t>expectations more firmly to 2 per cent, as they had been close to the upper end of the target band for most of the inflation- targeting</w:t>
            </w:r>
            <w:r>
              <w:rPr>
                <w:spacing w:val="-7"/>
                <w:sz w:val="16"/>
              </w:rPr>
              <w:t xml:space="preserve"> </w:t>
            </w:r>
            <w:r>
              <w:rPr>
                <w:sz w:val="16"/>
              </w:rPr>
              <w:t>period.</w:t>
            </w:r>
            <w:r w:rsidR="00C611D2">
              <w:rPr>
                <w:sz w:val="16"/>
              </w:rPr>
              <w:t xml:space="preserve"> </w:t>
            </w:r>
            <w:r>
              <w:rPr>
                <w:sz w:val="16"/>
              </w:rPr>
              <w:t>Contributing</w:t>
            </w:r>
            <w:r>
              <w:rPr>
                <w:spacing w:val="-7"/>
                <w:sz w:val="16"/>
              </w:rPr>
              <w:t xml:space="preserve"> </w:t>
            </w:r>
            <w:r>
              <w:rPr>
                <w:sz w:val="16"/>
              </w:rPr>
              <w:t>to maximum</w:t>
            </w:r>
            <w:r>
              <w:rPr>
                <w:spacing w:val="-11"/>
                <w:sz w:val="16"/>
              </w:rPr>
              <w:t xml:space="preserve"> </w:t>
            </w:r>
            <w:r>
              <w:rPr>
                <w:sz w:val="16"/>
              </w:rPr>
              <w:t>sustainable employment</w:t>
            </w:r>
            <w:r>
              <w:rPr>
                <w:spacing w:val="-7"/>
                <w:sz w:val="16"/>
              </w:rPr>
              <w:t xml:space="preserve"> </w:t>
            </w:r>
            <w:r>
              <w:rPr>
                <w:sz w:val="16"/>
              </w:rPr>
              <w:t>was included in 2018, to be pursued alongside the inflation target (RBNZ</w:t>
            </w:r>
            <w:r>
              <w:rPr>
                <w:spacing w:val="-7"/>
                <w:sz w:val="16"/>
              </w:rPr>
              <w:t xml:space="preserve"> </w:t>
            </w:r>
            <w:r>
              <w:rPr>
                <w:sz w:val="16"/>
              </w:rPr>
              <w:t>2022).</w:t>
            </w:r>
          </w:p>
        </w:tc>
      </w:tr>
      <w:tr w:rsidR="00C611D2" w14:paraId="6BC67F98" w14:textId="77777777" w:rsidTr="003D61B7">
        <w:trPr>
          <w:trHeight w:val="4453"/>
        </w:trPr>
        <w:tc>
          <w:tcPr>
            <w:tcW w:w="583" w:type="pct"/>
            <w:tcBorders>
              <w:top w:val="single" w:sz="4" w:space="0" w:color="auto"/>
              <w:left w:val="nil"/>
              <w:bottom w:val="single" w:sz="4" w:space="0" w:color="auto"/>
            </w:tcBorders>
          </w:tcPr>
          <w:p w14:paraId="1F08885E" w14:textId="3AAB1869" w:rsidR="00C611D2" w:rsidRDefault="00C611D2" w:rsidP="00C611D2">
            <w:pPr>
              <w:pStyle w:val="TableParagraph"/>
              <w:spacing w:before="111" w:line="209" w:lineRule="exact"/>
              <w:ind w:left="110"/>
              <w:rPr>
                <w:rFonts w:ascii="Open Sans"/>
                <w:b/>
                <w:spacing w:val="-2"/>
                <w:sz w:val="16"/>
              </w:rPr>
            </w:pPr>
            <w:r>
              <w:rPr>
                <w:rFonts w:ascii="Open Sans"/>
                <w:b/>
                <w:spacing w:val="-5"/>
                <w:sz w:val="16"/>
              </w:rPr>
              <w:t xml:space="preserve">US </w:t>
            </w:r>
            <w:r>
              <w:rPr>
                <w:rFonts w:ascii="Open Sans"/>
                <w:b/>
                <w:spacing w:val="-2"/>
                <w:sz w:val="16"/>
              </w:rPr>
              <w:t>Federal</w:t>
            </w:r>
            <w:r>
              <w:rPr>
                <w:rFonts w:ascii="Open Sans"/>
                <w:b/>
                <w:sz w:val="16"/>
              </w:rPr>
              <w:t xml:space="preserve"> </w:t>
            </w:r>
            <w:r>
              <w:rPr>
                <w:rFonts w:ascii="Open Sans"/>
                <w:b/>
                <w:spacing w:val="-2"/>
                <w:sz w:val="16"/>
              </w:rPr>
              <w:t>Reserve</w:t>
            </w:r>
          </w:p>
        </w:tc>
        <w:tc>
          <w:tcPr>
            <w:tcW w:w="1104" w:type="pct"/>
            <w:tcBorders>
              <w:top w:val="single" w:sz="4" w:space="0" w:color="auto"/>
              <w:bottom w:val="single" w:sz="4" w:space="0" w:color="auto"/>
            </w:tcBorders>
          </w:tcPr>
          <w:p w14:paraId="256432E6" w14:textId="7FE4DB4E" w:rsidR="00C611D2" w:rsidRDefault="00C611D2" w:rsidP="00C611D2">
            <w:pPr>
              <w:pStyle w:val="TableParagraph"/>
              <w:spacing w:before="136" w:line="220" w:lineRule="auto"/>
              <w:ind w:left="110" w:right="457"/>
              <w:rPr>
                <w:sz w:val="16"/>
              </w:rPr>
            </w:pPr>
            <w:r>
              <w:rPr>
                <w:sz w:val="16"/>
              </w:rPr>
              <w:t>Promoting</w:t>
            </w:r>
            <w:r>
              <w:rPr>
                <w:spacing w:val="-7"/>
                <w:sz w:val="16"/>
              </w:rPr>
              <w:t xml:space="preserve"> </w:t>
            </w:r>
            <w:r>
              <w:rPr>
                <w:sz w:val="16"/>
              </w:rPr>
              <w:t>maximum employment,</w:t>
            </w:r>
            <w:r>
              <w:rPr>
                <w:spacing w:val="-7"/>
                <w:sz w:val="16"/>
              </w:rPr>
              <w:t xml:space="preserve"> </w:t>
            </w:r>
            <w:r>
              <w:rPr>
                <w:sz w:val="16"/>
              </w:rPr>
              <w:t>stable prices, and moderate long-term</w:t>
            </w:r>
            <w:r>
              <w:rPr>
                <w:spacing w:val="-7"/>
                <w:sz w:val="16"/>
              </w:rPr>
              <w:t xml:space="preserve"> </w:t>
            </w:r>
            <w:r>
              <w:rPr>
                <w:sz w:val="16"/>
              </w:rPr>
              <w:t>interest rates</w:t>
            </w:r>
            <w:r>
              <w:rPr>
                <w:spacing w:val="-9"/>
                <w:sz w:val="16"/>
              </w:rPr>
              <w:t xml:space="preserve"> </w:t>
            </w:r>
            <w:r>
              <w:rPr>
                <w:sz w:val="16"/>
              </w:rPr>
              <w:t>(Federal</w:t>
            </w:r>
            <w:r>
              <w:rPr>
                <w:spacing w:val="-9"/>
                <w:sz w:val="16"/>
              </w:rPr>
              <w:t xml:space="preserve"> </w:t>
            </w:r>
            <w:r>
              <w:rPr>
                <w:sz w:val="16"/>
              </w:rPr>
              <w:t xml:space="preserve">Reserve </w:t>
            </w:r>
            <w:r>
              <w:rPr>
                <w:spacing w:val="-2"/>
                <w:sz w:val="16"/>
              </w:rPr>
              <w:t>2021).</w:t>
            </w:r>
          </w:p>
        </w:tc>
        <w:tc>
          <w:tcPr>
            <w:tcW w:w="1104" w:type="pct"/>
            <w:tcBorders>
              <w:top w:val="single" w:sz="4" w:space="0" w:color="auto"/>
              <w:bottom w:val="single" w:sz="4" w:space="0" w:color="auto"/>
            </w:tcBorders>
          </w:tcPr>
          <w:p w14:paraId="1001769A" w14:textId="00399B37" w:rsidR="00C611D2" w:rsidRDefault="00C611D2" w:rsidP="00C611D2">
            <w:pPr>
              <w:pStyle w:val="TableParagraph"/>
              <w:spacing w:before="125" w:line="220" w:lineRule="auto"/>
              <w:ind w:left="110" w:right="457"/>
              <w:rPr>
                <w:sz w:val="16"/>
              </w:rPr>
            </w:pPr>
            <w:r>
              <w:rPr>
                <w:sz w:val="16"/>
              </w:rPr>
              <w:t>The</w:t>
            </w:r>
            <w:r>
              <w:rPr>
                <w:spacing w:val="-7"/>
                <w:sz w:val="16"/>
              </w:rPr>
              <w:t xml:space="preserve"> </w:t>
            </w:r>
            <w:r>
              <w:rPr>
                <w:sz w:val="16"/>
              </w:rPr>
              <w:t>Committee seeks</w:t>
            </w:r>
            <w:r>
              <w:rPr>
                <w:spacing w:val="-11"/>
                <w:sz w:val="16"/>
              </w:rPr>
              <w:t xml:space="preserve"> </w:t>
            </w:r>
            <w:r>
              <w:rPr>
                <w:sz w:val="16"/>
              </w:rPr>
              <w:t>to</w:t>
            </w:r>
            <w:r>
              <w:rPr>
                <w:spacing w:val="-10"/>
                <w:sz w:val="16"/>
              </w:rPr>
              <w:t xml:space="preserve"> </w:t>
            </w:r>
            <w:r>
              <w:rPr>
                <w:sz w:val="16"/>
              </w:rPr>
              <w:t>achieve inflation</w:t>
            </w:r>
            <w:r>
              <w:rPr>
                <w:spacing w:val="-11"/>
                <w:sz w:val="16"/>
              </w:rPr>
              <w:t xml:space="preserve"> </w:t>
            </w:r>
            <w:r>
              <w:rPr>
                <w:sz w:val="16"/>
              </w:rPr>
              <w:t>that</w:t>
            </w:r>
            <w:r>
              <w:rPr>
                <w:spacing w:val="-10"/>
                <w:sz w:val="16"/>
              </w:rPr>
              <w:t xml:space="preserve"> </w:t>
            </w:r>
            <w:r>
              <w:rPr>
                <w:sz w:val="16"/>
              </w:rPr>
              <w:t>averages 2 per cent over time, and therefore judges that,</w:t>
            </w:r>
            <w:r>
              <w:rPr>
                <w:spacing w:val="-11"/>
                <w:sz w:val="16"/>
              </w:rPr>
              <w:t xml:space="preserve"> </w:t>
            </w:r>
            <w:r>
              <w:rPr>
                <w:sz w:val="16"/>
              </w:rPr>
              <w:t>following</w:t>
            </w:r>
            <w:r>
              <w:rPr>
                <w:spacing w:val="-10"/>
                <w:sz w:val="16"/>
              </w:rPr>
              <w:t xml:space="preserve"> </w:t>
            </w:r>
            <w:r>
              <w:rPr>
                <w:sz w:val="16"/>
              </w:rPr>
              <w:t>periods when</w:t>
            </w:r>
            <w:r>
              <w:rPr>
                <w:spacing w:val="-7"/>
                <w:sz w:val="16"/>
              </w:rPr>
              <w:t xml:space="preserve"> </w:t>
            </w:r>
            <w:r>
              <w:rPr>
                <w:sz w:val="16"/>
              </w:rPr>
              <w:t>inflation has been running persistently below 2 per</w:t>
            </w:r>
            <w:r>
              <w:rPr>
                <w:spacing w:val="-11"/>
                <w:sz w:val="16"/>
              </w:rPr>
              <w:t xml:space="preserve"> </w:t>
            </w:r>
            <w:r>
              <w:rPr>
                <w:sz w:val="16"/>
              </w:rPr>
              <w:t>cent,</w:t>
            </w:r>
            <w:r>
              <w:rPr>
                <w:spacing w:val="-10"/>
                <w:sz w:val="16"/>
              </w:rPr>
              <w:t xml:space="preserve"> </w:t>
            </w:r>
            <w:r>
              <w:rPr>
                <w:sz w:val="16"/>
              </w:rPr>
              <w:t>appropriate monetary policy will likely aim to achieve inflation</w:t>
            </w:r>
            <w:r>
              <w:rPr>
                <w:spacing w:val="-7"/>
                <w:sz w:val="16"/>
              </w:rPr>
              <w:t xml:space="preserve"> </w:t>
            </w:r>
            <w:r>
              <w:rPr>
                <w:sz w:val="16"/>
              </w:rPr>
              <w:t>moderately above 2 per cent for some</w:t>
            </w:r>
            <w:r>
              <w:rPr>
                <w:spacing w:val="-7"/>
                <w:sz w:val="16"/>
              </w:rPr>
              <w:t xml:space="preserve"> </w:t>
            </w:r>
            <w:r>
              <w:rPr>
                <w:sz w:val="16"/>
              </w:rPr>
              <w:t>time.</w:t>
            </w:r>
          </w:p>
        </w:tc>
        <w:tc>
          <w:tcPr>
            <w:tcW w:w="1104" w:type="pct"/>
            <w:tcBorders>
              <w:top w:val="single" w:sz="4" w:space="0" w:color="auto"/>
              <w:bottom w:val="single" w:sz="4" w:space="0" w:color="auto"/>
            </w:tcBorders>
          </w:tcPr>
          <w:p w14:paraId="232FABA4" w14:textId="4BDDE5DA" w:rsidR="00C611D2" w:rsidRDefault="00C611D2" w:rsidP="00C611D2">
            <w:pPr>
              <w:pStyle w:val="TableParagraph"/>
              <w:spacing w:before="125" w:line="220" w:lineRule="auto"/>
              <w:ind w:left="111" w:right="265"/>
              <w:rPr>
                <w:sz w:val="16"/>
              </w:rPr>
            </w:pPr>
            <w:r>
              <w:rPr>
                <w:sz w:val="16"/>
              </w:rPr>
              <w:t>The</w:t>
            </w:r>
            <w:r>
              <w:rPr>
                <w:spacing w:val="-11"/>
                <w:sz w:val="16"/>
              </w:rPr>
              <w:t xml:space="preserve"> </w:t>
            </w:r>
            <w:r>
              <w:rPr>
                <w:sz w:val="16"/>
              </w:rPr>
              <w:t>maximum</w:t>
            </w:r>
            <w:r>
              <w:rPr>
                <w:spacing w:val="-10"/>
                <w:sz w:val="16"/>
              </w:rPr>
              <w:t xml:space="preserve"> </w:t>
            </w:r>
            <w:r>
              <w:rPr>
                <w:sz w:val="16"/>
              </w:rPr>
              <w:t>level of</w:t>
            </w:r>
            <w:r>
              <w:rPr>
                <w:spacing w:val="-3"/>
                <w:sz w:val="16"/>
              </w:rPr>
              <w:t xml:space="preserve"> </w:t>
            </w:r>
            <w:r>
              <w:rPr>
                <w:sz w:val="16"/>
              </w:rPr>
              <w:t>employment</w:t>
            </w:r>
            <w:r>
              <w:rPr>
                <w:spacing w:val="-3"/>
                <w:sz w:val="16"/>
              </w:rPr>
              <w:t xml:space="preserve"> </w:t>
            </w:r>
            <w:r>
              <w:rPr>
                <w:sz w:val="16"/>
              </w:rPr>
              <w:t>is</w:t>
            </w:r>
            <w:r>
              <w:rPr>
                <w:spacing w:val="-3"/>
                <w:sz w:val="16"/>
              </w:rPr>
              <w:t xml:space="preserve"> </w:t>
            </w:r>
            <w:r>
              <w:rPr>
                <w:sz w:val="16"/>
              </w:rPr>
              <w:t>a broad-based</w:t>
            </w:r>
            <w:r>
              <w:rPr>
                <w:spacing w:val="-7"/>
                <w:sz w:val="16"/>
              </w:rPr>
              <w:t xml:space="preserve"> </w:t>
            </w:r>
            <w:r>
              <w:rPr>
                <w:sz w:val="16"/>
              </w:rPr>
              <w:t>and inclusive goal. The decisions</w:t>
            </w:r>
            <w:r>
              <w:rPr>
                <w:spacing w:val="-7"/>
                <w:sz w:val="16"/>
              </w:rPr>
              <w:t xml:space="preserve"> </w:t>
            </w:r>
            <w:r>
              <w:rPr>
                <w:sz w:val="16"/>
              </w:rPr>
              <w:t>must be informed by assessments</w:t>
            </w:r>
            <w:r>
              <w:rPr>
                <w:spacing w:val="-9"/>
                <w:sz w:val="16"/>
              </w:rPr>
              <w:t xml:space="preserve"> </w:t>
            </w:r>
            <w:r>
              <w:rPr>
                <w:sz w:val="16"/>
              </w:rPr>
              <w:t>of the</w:t>
            </w:r>
            <w:r>
              <w:rPr>
                <w:spacing w:val="2"/>
                <w:sz w:val="16"/>
              </w:rPr>
              <w:t xml:space="preserve"> </w:t>
            </w:r>
            <w:r>
              <w:rPr>
                <w:sz w:val="16"/>
              </w:rPr>
              <w:t>shortfalls</w:t>
            </w:r>
            <w:r>
              <w:rPr>
                <w:spacing w:val="5"/>
                <w:sz w:val="16"/>
              </w:rPr>
              <w:t xml:space="preserve"> </w:t>
            </w:r>
            <w:r>
              <w:rPr>
                <w:spacing w:val="-5"/>
                <w:sz w:val="16"/>
              </w:rPr>
              <w:t xml:space="preserve">of </w:t>
            </w:r>
            <w:r>
              <w:rPr>
                <w:sz w:val="16"/>
              </w:rPr>
              <w:t>employment from</w:t>
            </w:r>
            <w:r>
              <w:rPr>
                <w:spacing w:val="1"/>
                <w:sz w:val="16"/>
              </w:rPr>
              <w:t xml:space="preserve"> </w:t>
            </w:r>
            <w:r>
              <w:rPr>
                <w:spacing w:val="-5"/>
                <w:sz w:val="16"/>
              </w:rPr>
              <w:t xml:space="preserve">its </w:t>
            </w:r>
            <w:r>
              <w:rPr>
                <w:sz w:val="16"/>
              </w:rPr>
              <w:t>maximum</w:t>
            </w:r>
            <w:r>
              <w:rPr>
                <w:spacing w:val="-3"/>
                <w:sz w:val="16"/>
              </w:rPr>
              <w:t xml:space="preserve"> </w:t>
            </w:r>
            <w:r>
              <w:rPr>
                <w:spacing w:val="-2"/>
                <w:sz w:val="16"/>
              </w:rPr>
              <w:t>level.</w:t>
            </w:r>
          </w:p>
        </w:tc>
        <w:tc>
          <w:tcPr>
            <w:tcW w:w="1104" w:type="pct"/>
            <w:tcBorders>
              <w:top w:val="single" w:sz="4" w:space="0" w:color="auto"/>
              <w:bottom w:val="single" w:sz="4" w:space="0" w:color="auto"/>
              <w:right w:val="nil"/>
            </w:tcBorders>
          </w:tcPr>
          <w:p w14:paraId="76D8872B" w14:textId="3107200E" w:rsidR="00C611D2" w:rsidRDefault="00C611D2" w:rsidP="00C611D2">
            <w:pPr>
              <w:pStyle w:val="TableParagraph"/>
              <w:spacing w:before="125" w:line="220" w:lineRule="auto"/>
              <w:ind w:left="111" w:right="83"/>
              <w:rPr>
                <w:sz w:val="16"/>
              </w:rPr>
            </w:pPr>
            <w:r>
              <w:rPr>
                <w:sz w:val="16"/>
              </w:rPr>
              <w:t>Prior to 2020, the inflation target was not specified as an average.</w:t>
            </w:r>
            <w:r>
              <w:rPr>
                <w:spacing w:val="-7"/>
                <w:sz w:val="16"/>
              </w:rPr>
              <w:t xml:space="preserve"> </w:t>
            </w:r>
            <w:r>
              <w:rPr>
                <w:sz w:val="16"/>
              </w:rPr>
              <w:t>Average inflation</w:t>
            </w:r>
            <w:r>
              <w:rPr>
                <w:spacing w:val="-7"/>
                <w:sz w:val="16"/>
              </w:rPr>
              <w:t xml:space="preserve"> </w:t>
            </w:r>
            <w:r>
              <w:rPr>
                <w:sz w:val="16"/>
              </w:rPr>
              <w:t>targeting</w:t>
            </w:r>
            <w:r>
              <w:rPr>
                <w:spacing w:val="80"/>
                <w:sz w:val="16"/>
              </w:rPr>
              <w:t xml:space="preserve"> </w:t>
            </w:r>
            <w:r>
              <w:rPr>
                <w:sz w:val="16"/>
              </w:rPr>
              <w:t>was</w:t>
            </w:r>
            <w:r>
              <w:rPr>
                <w:spacing w:val="-10"/>
                <w:sz w:val="16"/>
              </w:rPr>
              <w:t xml:space="preserve"> </w:t>
            </w:r>
            <w:r>
              <w:rPr>
                <w:sz w:val="16"/>
              </w:rPr>
              <w:t>introduced</w:t>
            </w:r>
            <w:r>
              <w:rPr>
                <w:spacing w:val="-10"/>
                <w:sz w:val="16"/>
              </w:rPr>
              <w:t xml:space="preserve"> </w:t>
            </w:r>
            <w:r>
              <w:rPr>
                <w:sz w:val="16"/>
              </w:rPr>
              <w:t>with</w:t>
            </w:r>
            <w:r>
              <w:rPr>
                <w:spacing w:val="-10"/>
                <w:sz w:val="16"/>
              </w:rPr>
              <w:t xml:space="preserve"> </w:t>
            </w:r>
            <w:r>
              <w:rPr>
                <w:sz w:val="16"/>
              </w:rPr>
              <w:t>a view</w:t>
            </w:r>
            <w:r>
              <w:rPr>
                <w:spacing w:val="-3"/>
                <w:sz w:val="16"/>
              </w:rPr>
              <w:t xml:space="preserve"> </w:t>
            </w:r>
            <w:r>
              <w:rPr>
                <w:sz w:val="16"/>
              </w:rPr>
              <w:t>to</w:t>
            </w:r>
            <w:r>
              <w:rPr>
                <w:spacing w:val="-1"/>
                <w:sz w:val="16"/>
              </w:rPr>
              <w:t xml:space="preserve"> </w:t>
            </w:r>
            <w:r>
              <w:rPr>
                <w:sz w:val="16"/>
              </w:rPr>
              <w:t>better</w:t>
            </w:r>
            <w:r>
              <w:rPr>
                <w:spacing w:val="-1"/>
                <w:sz w:val="16"/>
              </w:rPr>
              <w:t xml:space="preserve"> </w:t>
            </w:r>
            <w:r>
              <w:rPr>
                <w:spacing w:val="-2"/>
                <w:sz w:val="16"/>
              </w:rPr>
              <w:t xml:space="preserve">anchor </w:t>
            </w:r>
            <w:r>
              <w:rPr>
                <w:sz w:val="16"/>
              </w:rPr>
              <w:t>inflation</w:t>
            </w:r>
            <w:r>
              <w:rPr>
                <w:spacing w:val="-7"/>
                <w:sz w:val="16"/>
              </w:rPr>
              <w:t xml:space="preserve"> </w:t>
            </w:r>
            <w:r>
              <w:rPr>
                <w:sz w:val="16"/>
              </w:rPr>
              <w:t>expectations. Introduction of the average</w:t>
            </w:r>
            <w:r>
              <w:rPr>
                <w:spacing w:val="-7"/>
                <w:sz w:val="16"/>
              </w:rPr>
              <w:t xml:space="preserve"> </w:t>
            </w:r>
            <w:r>
              <w:rPr>
                <w:sz w:val="16"/>
              </w:rPr>
              <w:t>inflation</w:t>
            </w:r>
            <w:r>
              <w:rPr>
                <w:spacing w:val="40"/>
                <w:sz w:val="16"/>
              </w:rPr>
              <w:t xml:space="preserve"> </w:t>
            </w:r>
            <w:r>
              <w:rPr>
                <w:sz w:val="16"/>
              </w:rPr>
              <w:t>target followed a period of persistent low</w:t>
            </w:r>
            <w:r>
              <w:rPr>
                <w:spacing w:val="-11"/>
                <w:sz w:val="16"/>
              </w:rPr>
              <w:t xml:space="preserve"> </w:t>
            </w:r>
            <w:r>
              <w:rPr>
                <w:sz w:val="16"/>
              </w:rPr>
              <w:t>inflation,</w:t>
            </w:r>
            <w:r>
              <w:rPr>
                <w:spacing w:val="-10"/>
                <w:sz w:val="16"/>
              </w:rPr>
              <w:t xml:space="preserve"> </w:t>
            </w:r>
            <w:r>
              <w:rPr>
                <w:sz w:val="16"/>
              </w:rPr>
              <w:t>concerns of the potential for a decline in longer-run inflation</w:t>
            </w:r>
            <w:r>
              <w:rPr>
                <w:spacing w:val="-7"/>
                <w:sz w:val="16"/>
              </w:rPr>
              <w:t xml:space="preserve"> </w:t>
            </w:r>
            <w:r>
              <w:rPr>
                <w:sz w:val="16"/>
              </w:rPr>
              <w:t>expectations and,</w:t>
            </w:r>
            <w:r>
              <w:rPr>
                <w:spacing w:val="-7"/>
                <w:sz w:val="16"/>
              </w:rPr>
              <w:t xml:space="preserve"> </w:t>
            </w:r>
            <w:r>
              <w:rPr>
                <w:sz w:val="16"/>
              </w:rPr>
              <w:t>relatedly, concerns about the effective lower bound on the policy rate (Federal</w:t>
            </w:r>
            <w:r>
              <w:rPr>
                <w:spacing w:val="-7"/>
                <w:sz w:val="16"/>
              </w:rPr>
              <w:t xml:space="preserve"> </w:t>
            </w:r>
            <w:r>
              <w:rPr>
                <w:sz w:val="16"/>
              </w:rPr>
              <w:t xml:space="preserve">Reserve </w:t>
            </w:r>
            <w:r>
              <w:rPr>
                <w:spacing w:val="-2"/>
                <w:sz w:val="16"/>
              </w:rPr>
              <w:t>2020b).</w:t>
            </w:r>
          </w:p>
        </w:tc>
      </w:tr>
      <w:tr w:rsidR="00B30FF0" w14:paraId="68042F78" w14:textId="77777777" w:rsidTr="003D61B7">
        <w:trPr>
          <w:trHeight w:val="3379"/>
        </w:trPr>
        <w:tc>
          <w:tcPr>
            <w:tcW w:w="583" w:type="pct"/>
            <w:tcBorders>
              <w:top w:val="single" w:sz="4" w:space="0" w:color="auto"/>
              <w:left w:val="nil"/>
              <w:bottom w:val="single" w:sz="4" w:space="0" w:color="auto"/>
            </w:tcBorders>
          </w:tcPr>
          <w:p w14:paraId="0750BF67" w14:textId="226566A3" w:rsidR="00B30FF0" w:rsidRDefault="00B30FF0" w:rsidP="00B30FF0">
            <w:pPr>
              <w:pStyle w:val="TableParagraph"/>
              <w:spacing w:before="122" w:line="209" w:lineRule="exact"/>
              <w:ind w:left="110"/>
              <w:rPr>
                <w:rFonts w:ascii="Open Sans"/>
                <w:b/>
                <w:spacing w:val="-5"/>
                <w:sz w:val="16"/>
              </w:rPr>
            </w:pPr>
            <w:r>
              <w:rPr>
                <w:rFonts w:ascii="Open Sans"/>
                <w:b/>
                <w:sz w:val="16"/>
              </w:rPr>
              <w:t>Bank</w:t>
            </w:r>
            <w:r>
              <w:rPr>
                <w:rFonts w:ascii="Open Sans"/>
                <w:b/>
                <w:spacing w:val="-2"/>
                <w:sz w:val="16"/>
              </w:rPr>
              <w:t xml:space="preserve"> </w:t>
            </w:r>
            <w:r>
              <w:rPr>
                <w:rFonts w:ascii="Open Sans"/>
                <w:b/>
                <w:spacing w:val="-5"/>
                <w:sz w:val="16"/>
              </w:rPr>
              <w:t xml:space="preserve">of </w:t>
            </w:r>
            <w:r>
              <w:rPr>
                <w:rFonts w:ascii="Open Sans"/>
                <w:b/>
                <w:spacing w:val="-2"/>
                <w:sz w:val="16"/>
              </w:rPr>
              <w:t>England</w:t>
            </w:r>
          </w:p>
        </w:tc>
        <w:tc>
          <w:tcPr>
            <w:tcW w:w="1104" w:type="pct"/>
            <w:tcBorders>
              <w:top w:val="single" w:sz="4" w:space="0" w:color="auto"/>
              <w:bottom w:val="single" w:sz="4" w:space="0" w:color="auto"/>
            </w:tcBorders>
          </w:tcPr>
          <w:p w14:paraId="3FCB77E2" w14:textId="001D3358" w:rsidR="00B30FF0" w:rsidRDefault="00B30FF0" w:rsidP="00B30FF0">
            <w:pPr>
              <w:pStyle w:val="TableParagraph"/>
              <w:spacing w:before="136" w:line="220" w:lineRule="auto"/>
              <w:ind w:left="110" w:right="438"/>
              <w:rPr>
                <w:sz w:val="16"/>
              </w:rPr>
            </w:pPr>
            <w:r>
              <w:rPr>
                <w:sz w:val="16"/>
              </w:rPr>
              <w:t>Price</w:t>
            </w:r>
            <w:r>
              <w:rPr>
                <w:spacing w:val="-7"/>
                <w:sz w:val="16"/>
              </w:rPr>
              <w:t xml:space="preserve"> </w:t>
            </w:r>
            <w:r>
              <w:rPr>
                <w:sz w:val="16"/>
              </w:rPr>
              <w:t>stability, and subject to that,</w:t>
            </w:r>
            <w:r>
              <w:rPr>
                <w:spacing w:val="-11"/>
                <w:sz w:val="16"/>
              </w:rPr>
              <w:t xml:space="preserve"> </w:t>
            </w:r>
            <w:r>
              <w:rPr>
                <w:sz w:val="16"/>
              </w:rPr>
              <w:t>support</w:t>
            </w:r>
            <w:r>
              <w:rPr>
                <w:spacing w:val="-10"/>
                <w:sz w:val="16"/>
              </w:rPr>
              <w:t xml:space="preserve"> </w:t>
            </w:r>
            <w:r>
              <w:rPr>
                <w:sz w:val="16"/>
              </w:rPr>
              <w:t>the economic policy of the</w:t>
            </w:r>
            <w:r>
              <w:rPr>
                <w:spacing w:val="-7"/>
                <w:sz w:val="16"/>
              </w:rPr>
              <w:t xml:space="preserve"> </w:t>
            </w:r>
            <w:r>
              <w:rPr>
                <w:sz w:val="16"/>
              </w:rPr>
              <w:t>Government, including</w:t>
            </w:r>
            <w:r>
              <w:rPr>
                <w:spacing w:val="-11"/>
                <w:sz w:val="16"/>
              </w:rPr>
              <w:t xml:space="preserve"> </w:t>
            </w:r>
            <w:r>
              <w:rPr>
                <w:sz w:val="16"/>
              </w:rPr>
              <w:t>for</w:t>
            </w:r>
            <w:r>
              <w:rPr>
                <w:spacing w:val="-10"/>
                <w:sz w:val="16"/>
              </w:rPr>
              <w:t xml:space="preserve"> </w:t>
            </w:r>
            <w:r>
              <w:rPr>
                <w:sz w:val="16"/>
              </w:rPr>
              <w:t>growth and</w:t>
            </w:r>
            <w:r>
              <w:rPr>
                <w:spacing w:val="-7"/>
                <w:sz w:val="16"/>
              </w:rPr>
              <w:t xml:space="preserve"> </w:t>
            </w:r>
            <w:r>
              <w:rPr>
                <w:sz w:val="16"/>
              </w:rPr>
              <w:t>employment.</w:t>
            </w:r>
          </w:p>
        </w:tc>
        <w:tc>
          <w:tcPr>
            <w:tcW w:w="1104" w:type="pct"/>
            <w:tcBorders>
              <w:top w:val="single" w:sz="4" w:space="0" w:color="auto"/>
              <w:bottom w:val="single" w:sz="4" w:space="0" w:color="auto"/>
            </w:tcBorders>
          </w:tcPr>
          <w:p w14:paraId="7BC2EC0B" w14:textId="38E907EB" w:rsidR="00B30FF0" w:rsidRDefault="00B30FF0" w:rsidP="00B30FF0">
            <w:pPr>
              <w:pStyle w:val="TableParagraph"/>
              <w:spacing w:before="125" w:line="220" w:lineRule="auto"/>
              <w:ind w:left="110" w:right="457"/>
              <w:rPr>
                <w:sz w:val="16"/>
              </w:rPr>
            </w:pPr>
            <w:r>
              <w:rPr>
                <w:sz w:val="16"/>
              </w:rPr>
              <w:t>The inflation target</w:t>
            </w:r>
            <w:r>
              <w:rPr>
                <w:spacing w:val="40"/>
                <w:sz w:val="16"/>
              </w:rPr>
              <w:t xml:space="preserve"> </w:t>
            </w:r>
            <w:r>
              <w:rPr>
                <w:sz w:val="16"/>
              </w:rPr>
              <w:t>of 2 per cent applies at all times. This reflects the primacy of price stability and the inflation target. The Monetary Policy Committee</w:t>
            </w:r>
            <w:r>
              <w:rPr>
                <w:spacing w:val="-11"/>
                <w:sz w:val="16"/>
              </w:rPr>
              <w:t xml:space="preserve"> </w:t>
            </w:r>
            <w:r>
              <w:rPr>
                <w:sz w:val="16"/>
              </w:rPr>
              <w:t>may</w:t>
            </w:r>
            <w:r>
              <w:rPr>
                <w:spacing w:val="-10"/>
                <w:sz w:val="16"/>
              </w:rPr>
              <w:t xml:space="preserve"> </w:t>
            </w:r>
            <w:r>
              <w:rPr>
                <w:sz w:val="16"/>
              </w:rPr>
              <w:t>wish to allow inflation to deviate from the target</w:t>
            </w:r>
            <w:r>
              <w:rPr>
                <w:spacing w:val="-7"/>
                <w:sz w:val="16"/>
              </w:rPr>
              <w:t xml:space="preserve"> </w:t>
            </w:r>
            <w:r>
              <w:rPr>
                <w:sz w:val="16"/>
              </w:rPr>
              <w:t>temporarily.</w:t>
            </w:r>
          </w:p>
        </w:tc>
        <w:tc>
          <w:tcPr>
            <w:tcW w:w="1104" w:type="pct"/>
            <w:tcBorders>
              <w:top w:val="single" w:sz="4" w:space="0" w:color="auto"/>
              <w:bottom w:val="single" w:sz="4" w:space="0" w:color="auto"/>
            </w:tcBorders>
          </w:tcPr>
          <w:p w14:paraId="7FE6651E" w14:textId="5EE181FC" w:rsidR="00B30FF0" w:rsidRDefault="00B30FF0" w:rsidP="00B30FF0">
            <w:pPr>
              <w:pStyle w:val="TableParagraph"/>
              <w:spacing w:before="125" w:line="220" w:lineRule="auto"/>
              <w:ind w:left="111" w:right="265"/>
              <w:rPr>
                <w:sz w:val="16"/>
              </w:rPr>
            </w:pPr>
            <w:r>
              <w:rPr>
                <w:sz w:val="16"/>
              </w:rPr>
              <w:t>The</w:t>
            </w:r>
            <w:r>
              <w:rPr>
                <w:spacing w:val="-11"/>
                <w:sz w:val="16"/>
              </w:rPr>
              <w:t xml:space="preserve"> </w:t>
            </w:r>
            <w:r>
              <w:rPr>
                <w:sz w:val="16"/>
              </w:rPr>
              <w:t>Government’s economic</w:t>
            </w:r>
            <w:r>
              <w:rPr>
                <w:spacing w:val="-7"/>
                <w:sz w:val="16"/>
              </w:rPr>
              <w:t xml:space="preserve"> </w:t>
            </w:r>
            <w:r>
              <w:rPr>
                <w:sz w:val="16"/>
              </w:rPr>
              <w:t>policy includes</w:t>
            </w:r>
            <w:r>
              <w:rPr>
                <w:spacing w:val="-7"/>
                <w:sz w:val="16"/>
              </w:rPr>
              <w:t xml:space="preserve"> </w:t>
            </w:r>
            <w:r>
              <w:rPr>
                <w:sz w:val="16"/>
              </w:rPr>
              <w:t xml:space="preserve">high </w:t>
            </w:r>
            <w:r>
              <w:rPr>
                <w:spacing w:val="-2"/>
                <w:sz w:val="16"/>
              </w:rPr>
              <w:t>employment.</w:t>
            </w:r>
          </w:p>
        </w:tc>
        <w:tc>
          <w:tcPr>
            <w:tcW w:w="1104" w:type="pct"/>
            <w:tcBorders>
              <w:top w:val="single" w:sz="4" w:space="0" w:color="auto"/>
              <w:bottom w:val="single" w:sz="4" w:space="0" w:color="auto"/>
              <w:right w:val="nil"/>
            </w:tcBorders>
          </w:tcPr>
          <w:p w14:paraId="44C22B4E" w14:textId="00C60490" w:rsidR="00B30FF0" w:rsidRDefault="00B30FF0" w:rsidP="00B30FF0">
            <w:pPr>
              <w:pStyle w:val="TableParagraph"/>
              <w:spacing w:before="136" w:line="220" w:lineRule="auto"/>
              <w:ind w:left="111" w:right="233"/>
              <w:rPr>
                <w:sz w:val="16"/>
              </w:rPr>
            </w:pPr>
            <w:r>
              <w:rPr>
                <w:sz w:val="16"/>
              </w:rPr>
              <w:t>In 2013 the remit changed</w:t>
            </w:r>
            <w:r>
              <w:rPr>
                <w:spacing w:val="-7"/>
                <w:sz w:val="16"/>
              </w:rPr>
              <w:t xml:space="preserve"> </w:t>
            </w:r>
            <w:r>
              <w:rPr>
                <w:sz w:val="16"/>
              </w:rPr>
              <w:t>to emphasise</w:t>
            </w:r>
            <w:r>
              <w:rPr>
                <w:spacing w:val="-7"/>
                <w:sz w:val="16"/>
              </w:rPr>
              <w:t xml:space="preserve"> </w:t>
            </w:r>
            <w:r>
              <w:rPr>
                <w:sz w:val="16"/>
              </w:rPr>
              <w:t>the need,</w:t>
            </w:r>
            <w:r>
              <w:rPr>
                <w:spacing w:val="-11"/>
                <w:sz w:val="16"/>
              </w:rPr>
              <w:t xml:space="preserve"> </w:t>
            </w:r>
            <w:r>
              <w:rPr>
                <w:sz w:val="16"/>
              </w:rPr>
              <w:t>when</w:t>
            </w:r>
            <w:r>
              <w:rPr>
                <w:spacing w:val="-10"/>
                <w:sz w:val="16"/>
              </w:rPr>
              <w:t xml:space="preserve"> </w:t>
            </w:r>
            <w:r>
              <w:rPr>
                <w:sz w:val="16"/>
              </w:rPr>
              <w:t>large</w:t>
            </w:r>
            <w:r>
              <w:rPr>
                <w:spacing w:val="-11"/>
                <w:sz w:val="16"/>
              </w:rPr>
              <w:t xml:space="preserve"> </w:t>
            </w:r>
            <w:r>
              <w:rPr>
                <w:sz w:val="16"/>
              </w:rPr>
              <w:t>or persistent</w:t>
            </w:r>
            <w:r>
              <w:rPr>
                <w:spacing w:val="-7"/>
                <w:sz w:val="16"/>
              </w:rPr>
              <w:t xml:space="preserve"> </w:t>
            </w:r>
            <w:r>
              <w:rPr>
                <w:sz w:val="16"/>
              </w:rPr>
              <w:t>shocks occur, to consider and</w:t>
            </w:r>
            <w:r>
              <w:rPr>
                <w:spacing w:val="-11"/>
                <w:sz w:val="16"/>
              </w:rPr>
              <w:t xml:space="preserve"> </w:t>
            </w:r>
            <w:r>
              <w:rPr>
                <w:sz w:val="16"/>
              </w:rPr>
              <w:t>communicate</w:t>
            </w:r>
            <w:r>
              <w:rPr>
                <w:spacing w:val="-10"/>
                <w:sz w:val="16"/>
              </w:rPr>
              <w:t xml:space="preserve"> </w:t>
            </w:r>
            <w:r>
              <w:rPr>
                <w:sz w:val="16"/>
              </w:rPr>
              <w:t>the trade-offs</w:t>
            </w:r>
            <w:r>
              <w:rPr>
                <w:spacing w:val="-7"/>
                <w:sz w:val="16"/>
              </w:rPr>
              <w:t xml:space="preserve"> </w:t>
            </w:r>
            <w:r>
              <w:rPr>
                <w:sz w:val="16"/>
              </w:rPr>
              <w:t>between keeping</w:t>
            </w:r>
            <w:r>
              <w:rPr>
                <w:spacing w:val="-7"/>
                <w:sz w:val="16"/>
              </w:rPr>
              <w:t xml:space="preserve"> </w:t>
            </w:r>
            <w:r>
              <w:rPr>
                <w:sz w:val="16"/>
              </w:rPr>
              <w:t>inflation at the target and avoiding</w:t>
            </w:r>
            <w:r>
              <w:rPr>
                <w:spacing w:val="-11"/>
                <w:sz w:val="16"/>
              </w:rPr>
              <w:t xml:space="preserve"> </w:t>
            </w:r>
            <w:r>
              <w:rPr>
                <w:sz w:val="16"/>
              </w:rPr>
              <w:t>undesirable volatility in output.</w:t>
            </w:r>
          </w:p>
        </w:tc>
      </w:tr>
      <w:tr w:rsidR="00394625" w14:paraId="5656A49D" w14:textId="77777777" w:rsidTr="003D61B7">
        <w:trPr>
          <w:trHeight w:val="3379"/>
        </w:trPr>
        <w:tc>
          <w:tcPr>
            <w:tcW w:w="583" w:type="pct"/>
            <w:tcBorders>
              <w:top w:val="single" w:sz="4" w:space="0" w:color="auto"/>
              <w:left w:val="nil"/>
              <w:bottom w:val="single" w:sz="4" w:space="0" w:color="auto"/>
            </w:tcBorders>
          </w:tcPr>
          <w:p w14:paraId="462EACCF" w14:textId="02185680" w:rsidR="00394625" w:rsidRDefault="00394625" w:rsidP="00394625">
            <w:pPr>
              <w:pStyle w:val="TableParagraph"/>
              <w:spacing w:before="111" w:line="209" w:lineRule="exact"/>
              <w:ind w:left="110"/>
              <w:rPr>
                <w:rFonts w:ascii="Open Sans"/>
                <w:b/>
                <w:sz w:val="16"/>
              </w:rPr>
            </w:pPr>
            <w:r>
              <w:rPr>
                <w:rFonts w:ascii="Open Sans"/>
                <w:b/>
                <w:spacing w:val="-2"/>
                <w:sz w:val="16"/>
              </w:rPr>
              <w:lastRenderedPageBreak/>
              <w:t xml:space="preserve">Norges </w:t>
            </w:r>
            <w:r>
              <w:rPr>
                <w:rFonts w:ascii="Open Sans"/>
                <w:b/>
                <w:spacing w:val="-4"/>
                <w:sz w:val="16"/>
              </w:rPr>
              <w:t>Bank</w:t>
            </w:r>
          </w:p>
        </w:tc>
        <w:tc>
          <w:tcPr>
            <w:tcW w:w="1104" w:type="pct"/>
            <w:tcBorders>
              <w:top w:val="single" w:sz="4" w:space="0" w:color="auto"/>
              <w:bottom w:val="single" w:sz="4" w:space="0" w:color="auto"/>
            </w:tcBorders>
          </w:tcPr>
          <w:p w14:paraId="34CCEC5D" w14:textId="2C9AC593" w:rsidR="00394625" w:rsidRDefault="00394625" w:rsidP="00394625">
            <w:pPr>
              <w:pStyle w:val="TableParagraph"/>
              <w:spacing w:before="125" w:line="220" w:lineRule="auto"/>
              <w:ind w:left="110" w:right="265"/>
              <w:rPr>
                <w:sz w:val="16"/>
              </w:rPr>
            </w:pPr>
            <w:r>
              <w:rPr>
                <w:sz w:val="16"/>
              </w:rPr>
              <w:t>The purpose of central</w:t>
            </w:r>
            <w:r>
              <w:rPr>
                <w:spacing w:val="-7"/>
                <w:sz w:val="16"/>
              </w:rPr>
              <w:t xml:space="preserve"> </w:t>
            </w:r>
            <w:r>
              <w:rPr>
                <w:sz w:val="16"/>
              </w:rPr>
              <w:t>banking operations is to maintain</w:t>
            </w:r>
            <w:r>
              <w:rPr>
                <w:spacing w:val="-11"/>
                <w:sz w:val="16"/>
              </w:rPr>
              <w:t xml:space="preserve"> </w:t>
            </w:r>
            <w:r>
              <w:rPr>
                <w:sz w:val="16"/>
              </w:rPr>
              <w:t>monetary stability and to the stability of the financial</w:t>
            </w:r>
            <w:r>
              <w:rPr>
                <w:spacing w:val="-7"/>
                <w:sz w:val="16"/>
              </w:rPr>
              <w:t xml:space="preserve"> </w:t>
            </w:r>
            <w:r>
              <w:rPr>
                <w:sz w:val="16"/>
              </w:rPr>
              <w:t>system</w:t>
            </w:r>
            <w:r>
              <w:rPr>
                <w:spacing w:val="80"/>
                <w:sz w:val="16"/>
              </w:rPr>
              <w:t xml:space="preserve"> </w:t>
            </w:r>
            <w:r>
              <w:rPr>
                <w:sz w:val="16"/>
              </w:rPr>
              <w:t>and an efficient and secure</w:t>
            </w:r>
            <w:r>
              <w:rPr>
                <w:spacing w:val="-7"/>
                <w:sz w:val="16"/>
              </w:rPr>
              <w:t xml:space="preserve"> </w:t>
            </w:r>
            <w:r>
              <w:rPr>
                <w:sz w:val="16"/>
              </w:rPr>
              <w:t>payment system.</w:t>
            </w:r>
            <w:r>
              <w:rPr>
                <w:spacing w:val="-7"/>
                <w:sz w:val="16"/>
              </w:rPr>
              <w:t xml:space="preserve"> </w:t>
            </w:r>
            <w:r>
              <w:rPr>
                <w:sz w:val="16"/>
              </w:rPr>
              <w:t>Monetary policy</w:t>
            </w:r>
            <w:r>
              <w:rPr>
                <w:spacing w:val="-11"/>
                <w:sz w:val="16"/>
              </w:rPr>
              <w:t xml:space="preserve"> </w:t>
            </w:r>
            <w:r>
              <w:rPr>
                <w:sz w:val="16"/>
              </w:rPr>
              <w:t>shall</w:t>
            </w:r>
            <w:r>
              <w:rPr>
                <w:spacing w:val="-10"/>
                <w:sz w:val="16"/>
              </w:rPr>
              <w:t xml:space="preserve"> </w:t>
            </w:r>
            <w:r>
              <w:rPr>
                <w:sz w:val="16"/>
              </w:rPr>
              <w:t>maintain monetary</w:t>
            </w:r>
            <w:r>
              <w:rPr>
                <w:spacing w:val="-2"/>
                <w:sz w:val="16"/>
              </w:rPr>
              <w:t xml:space="preserve"> </w:t>
            </w:r>
            <w:r>
              <w:rPr>
                <w:sz w:val="16"/>
              </w:rPr>
              <w:t>stability</w:t>
            </w:r>
            <w:r>
              <w:rPr>
                <w:spacing w:val="-2"/>
                <w:sz w:val="16"/>
              </w:rPr>
              <w:t xml:space="preserve"> </w:t>
            </w:r>
            <w:r>
              <w:rPr>
                <w:sz w:val="16"/>
              </w:rPr>
              <w:t>by keeping inflation low and</w:t>
            </w:r>
            <w:r>
              <w:rPr>
                <w:spacing w:val="-7"/>
                <w:sz w:val="16"/>
              </w:rPr>
              <w:t xml:space="preserve"> </w:t>
            </w:r>
            <w:r>
              <w:rPr>
                <w:sz w:val="16"/>
              </w:rPr>
              <w:t>stable.</w:t>
            </w:r>
          </w:p>
          <w:p w14:paraId="07A86AA1" w14:textId="34948001" w:rsidR="00394625" w:rsidRDefault="00394625" w:rsidP="00394625">
            <w:pPr>
              <w:pStyle w:val="TableParagraph"/>
              <w:spacing w:before="136" w:line="220" w:lineRule="auto"/>
              <w:ind w:left="110" w:right="438"/>
              <w:rPr>
                <w:sz w:val="16"/>
              </w:rPr>
            </w:pPr>
            <w:r>
              <w:rPr>
                <w:sz w:val="16"/>
              </w:rPr>
              <w:t>The central bank shall contribute</w:t>
            </w:r>
            <w:r>
              <w:rPr>
                <w:spacing w:val="-11"/>
                <w:sz w:val="16"/>
              </w:rPr>
              <w:t xml:space="preserve"> </w:t>
            </w:r>
            <w:r>
              <w:rPr>
                <w:sz w:val="16"/>
              </w:rPr>
              <w:t>to</w:t>
            </w:r>
            <w:r>
              <w:rPr>
                <w:spacing w:val="-10"/>
                <w:sz w:val="16"/>
              </w:rPr>
              <w:t xml:space="preserve"> </w:t>
            </w:r>
            <w:r>
              <w:rPr>
                <w:sz w:val="16"/>
              </w:rPr>
              <w:t>high</w:t>
            </w:r>
            <w:r>
              <w:rPr>
                <w:spacing w:val="-11"/>
                <w:sz w:val="16"/>
              </w:rPr>
              <w:t xml:space="preserve"> </w:t>
            </w:r>
            <w:r>
              <w:rPr>
                <w:sz w:val="16"/>
              </w:rPr>
              <w:t>and stable</w:t>
            </w:r>
            <w:r>
              <w:rPr>
                <w:spacing w:val="-9"/>
                <w:sz w:val="16"/>
              </w:rPr>
              <w:t xml:space="preserve"> </w:t>
            </w:r>
            <w:r>
              <w:rPr>
                <w:sz w:val="16"/>
              </w:rPr>
              <w:t>production</w:t>
            </w:r>
            <w:r>
              <w:rPr>
                <w:spacing w:val="-9"/>
                <w:sz w:val="16"/>
              </w:rPr>
              <w:t xml:space="preserve"> </w:t>
            </w:r>
            <w:r>
              <w:rPr>
                <w:sz w:val="16"/>
              </w:rPr>
              <w:t>and employment</w:t>
            </w:r>
            <w:r>
              <w:rPr>
                <w:spacing w:val="-7"/>
                <w:sz w:val="16"/>
              </w:rPr>
              <w:t xml:space="preserve"> </w:t>
            </w:r>
            <w:r>
              <w:rPr>
                <w:sz w:val="16"/>
              </w:rPr>
              <w:t>(Norges Bank</w:t>
            </w:r>
            <w:r>
              <w:rPr>
                <w:spacing w:val="-7"/>
                <w:sz w:val="16"/>
              </w:rPr>
              <w:t xml:space="preserve"> </w:t>
            </w:r>
            <w:r>
              <w:rPr>
                <w:sz w:val="16"/>
              </w:rPr>
              <w:t>2022).</w:t>
            </w:r>
          </w:p>
        </w:tc>
        <w:tc>
          <w:tcPr>
            <w:tcW w:w="1104" w:type="pct"/>
            <w:tcBorders>
              <w:top w:val="single" w:sz="4" w:space="0" w:color="auto"/>
              <w:bottom w:val="single" w:sz="4" w:space="0" w:color="auto"/>
            </w:tcBorders>
          </w:tcPr>
          <w:p w14:paraId="630F4567" w14:textId="52C6BB46" w:rsidR="00394625" w:rsidRDefault="00394625" w:rsidP="00394625">
            <w:pPr>
              <w:pStyle w:val="TableParagraph"/>
              <w:spacing w:before="125" w:line="220" w:lineRule="auto"/>
              <w:ind w:left="110" w:right="122"/>
              <w:rPr>
                <w:sz w:val="16"/>
              </w:rPr>
            </w:pPr>
            <w:r>
              <w:rPr>
                <w:sz w:val="16"/>
              </w:rPr>
              <w:t>The</w:t>
            </w:r>
            <w:r>
              <w:rPr>
                <w:spacing w:val="-7"/>
                <w:sz w:val="16"/>
              </w:rPr>
              <w:t xml:space="preserve"> </w:t>
            </w:r>
            <w:r>
              <w:rPr>
                <w:sz w:val="16"/>
              </w:rPr>
              <w:t>operational target of monetary policy</w:t>
            </w:r>
            <w:r>
              <w:rPr>
                <w:spacing w:val="-10"/>
                <w:sz w:val="16"/>
              </w:rPr>
              <w:t xml:space="preserve"> </w:t>
            </w:r>
            <w:r>
              <w:rPr>
                <w:sz w:val="16"/>
              </w:rPr>
              <w:t>shall</w:t>
            </w:r>
            <w:r>
              <w:rPr>
                <w:spacing w:val="-10"/>
                <w:sz w:val="16"/>
              </w:rPr>
              <w:t xml:space="preserve"> </w:t>
            </w:r>
            <w:r>
              <w:rPr>
                <w:sz w:val="16"/>
              </w:rPr>
              <w:t>be</w:t>
            </w:r>
            <w:r>
              <w:rPr>
                <w:spacing w:val="-10"/>
                <w:sz w:val="16"/>
              </w:rPr>
              <w:t xml:space="preserve"> </w:t>
            </w:r>
            <w:r>
              <w:rPr>
                <w:sz w:val="16"/>
              </w:rPr>
              <w:t>annual consumer</w:t>
            </w:r>
            <w:r>
              <w:rPr>
                <w:spacing w:val="-7"/>
                <w:sz w:val="16"/>
              </w:rPr>
              <w:t xml:space="preserve"> </w:t>
            </w:r>
            <w:r>
              <w:rPr>
                <w:sz w:val="16"/>
              </w:rPr>
              <w:t>price inflation of close to 2</w:t>
            </w:r>
            <w:r>
              <w:rPr>
                <w:spacing w:val="-6"/>
                <w:sz w:val="16"/>
              </w:rPr>
              <w:t> </w:t>
            </w:r>
            <w:r>
              <w:rPr>
                <w:sz w:val="16"/>
              </w:rPr>
              <w:t>per</w:t>
            </w:r>
            <w:r>
              <w:rPr>
                <w:spacing w:val="-3"/>
                <w:sz w:val="16"/>
              </w:rPr>
              <w:t xml:space="preserve"> </w:t>
            </w:r>
            <w:r>
              <w:rPr>
                <w:sz w:val="16"/>
              </w:rPr>
              <w:t>cent</w:t>
            </w:r>
            <w:r>
              <w:rPr>
                <w:spacing w:val="-4"/>
                <w:sz w:val="16"/>
              </w:rPr>
              <w:t xml:space="preserve"> </w:t>
            </w:r>
            <w:r>
              <w:rPr>
                <w:sz w:val="16"/>
              </w:rPr>
              <w:t>over</w:t>
            </w:r>
            <w:r>
              <w:rPr>
                <w:spacing w:val="-3"/>
                <w:sz w:val="16"/>
              </w:rPr>
              <w:t xml:space="preserve"> </w:t>
            </w:r>
            <w:r>
              <w:rPr>
                <w:spacing w:val="-4"/>
                <w:sz w:val="16"/>
              </w:rPr>
              <w:t>time.</w:t>
            </w:r>
          </w:p>
        </w:tc>
        <w:tc>
          <w:tcPr>
            <w:tcW w:w="1104" w:type="pct"/>
            <w:tcBorders>
              <w:top w:val="single" w:sz="4" w:space="0" w:color="auto"/>
              <w:bottom w:val="single" w:sz="4" w:space="0" w:color="auto"/>
            </w:tcBorders>
          </w:tcPr>
          <w:p w14:paraId="5BE672FB" w14:textId="10FD5885" w:rsidR="00394625" w:rsidRDefault="00394625" w:rsidP="00394625">
            <w:pPr>
              <w:pStyle w:val="TableParagraph"/>
              <w:spacing w:before="125" w:line="220" w:lineRule="auto"/>
              <w:ind w:left="111" w:right="265"/>
              <w:rPr>
                <w:sz w:val="16"/>
              </w:rPr>
            </w:pPr>
            <w:r>
              <w:rPr>
                <w:sz w:val="16"/>
              </w:rPr>
              <w:t>Norges Bank seeks to stabilise</w:t>
            </w:r>
            <w:r>
              <w:rPr>
                <w:spacing w:val="-7"/>
                <w:sz w:val="16"/>
              </w:rPr>
              <w:t xml:space="preserve"> </w:t>
            </w:r>
            <w:r>
              <w:rPr>
                <w:sz w:val="16"/>
              </w:rPr>
              <w:t>employment around the highest level</w:t>
            </w:r>
            <w:r>
              <w:rPr>
                <w:spacing w:val="-11"/>
                <w:sz w:val="16"/>
              </w:rPr>
              <w:t xml:space="preserve"> </w:t>
            </w:r>
            <w:r>
              <w:rPr>
                <w:sz w:val="16"/>
              </w:rPr>
              <w:t>that</w:t>
            </w:r>
            <w:r>
              <w:rPr>
                <w:spacing w:val="-10"/>
                <w:sz w:val="16"/>
              </w:rPr>
              <w:t xml:space="preserve"> </w:t>
            </w:r>
            <w:r>
              <w:rPr>
                <w:sz w:val="16"/>
              </w:rPr>
              <w:t>is</w:t>
            </w:r>
            <w:r>
              <w:rPr>
                <w:spacing w:val="-11"/>
                <w:sz w:val="16"/>
              </w:rPr>
              <w:t xml:space="preserve"> </w:t>
            </w:r>
            <w:r>
              <w:rPr>
                <w:sz w:val="16"/>
              </w:rPr>
              <w:t>consistent with price stability over</w:t>
            </w:r>
            <w:r>
              <w:rPr>
                <w:spacing w:val="-7"/>
                <w:sz w:val="16"/>
              </w:rPr>
              <w:t xml:space="preserve"> </w:t>
            </w:r>
            <w:r>
              <w:rPr>
                <w:sz w:val="16"/>
              </w:rPr>
              <w:t>time.</w:t>
            </w:r>
          </w:p>
        </w:tc>
        <w:tc>
          <w:tcPr>
            <w:tcW w:w="1104" w:type="pct"/>
            <w:tcBorders>
              <w:top w:val="single" w:sz="4" w:space="0" w:color="auto"/>
              <w:bottom w:val="single" w:sz="4" w:space="0" w:color="auto"/>
              <w:right w:val="nil"/>
            </w:tcBorders>
          </w:tcPr>
          <w:p w14:paraId="32D5FCF9" w14:textId="4BD47AFB" w:rsidR="00394625" w:rsidRDefault="00394625" w:rsidP="00394625">
            <w:pPr>
              <w:pStyle w:val="TableParagraph"/>
              <w:spacing w:before="125" w:line="220" w:lineRule="auto"/>
              <w:ind w:left="111" w:right="277"/>
              <w:rPr>
                <w:sz w:val="16"/>
              </w:rPr>
            </w:pPr>
            <w:r>
              <w:rPr>
                <w:sz w:val="16"/>
              </w:rPr>
              <w:t>A new monetary policy</w:t>
            </w:r>
            <w:r>
              <w:rPr>
                <w:spacing w:val="-7"/>
                <w:sz w:val="16"/>
              </w:rPr>
              <w:t xml:space="preserve"> </w:t>
            </w:r>
            <w:r>
              <w:rPr>
                <w:sz w:val="16"/>
              </w:rPr>
              <w:t>mandate</w:t>
            </w:r>
            <w:r>
              <w:rPr>
                <w:spacing w:val="40"/>
                <w:sz w:val="16"/>
              </w:rPr>
              <w:t xml:space="preserve"> </w:t>
            </w:r>
            <w:r>
              <w:rPr>
                <w:sz w:val="16"/>
              </w:rPr>
              <w:t>was introduced in 2018.</w:t>
            </w:r>
            <w:r>
              <w:rPr>
                <w:spacing w:val="-11"/>
                <w:sz w:val="16"/>
              </w:rPr>
              <w:t xml:space="preserve"> </w:t>
            </w:r>
            <w:r>
              <w:rPr>
                <w:sz w:val="16"/>
              </w:rPr>
              <w:t>This</w:t>
            </w:r>
            <w:r>
              <w:rPr>
                <w:spacing w:val="-10"/>
                <w:sz w:val="16"/>
              </w:rPr>
              <w:t xml:space="preserve"> </w:t>
            </w:r>
            <w:r>
              <w:rPr>
                <w:sz w:val="16"/>
              </w:rPr>
              <w:t>included a reduction in the inflation target to 2 percent from 2.5 and amending the formulation</w:t>
            </w:r>
            <w:r>
              <w:rPr>
                <w:spacing w:val="-11"/>
                <w:sz w:val="16"/>
              </w:rPr>
              <w:t xml:space="preserve"> </w:t>
            </w:r>
            <w:r>
              <w:rPr>
                <w:sz w:val="16"/>
              </w:rPr>
              <w:t>to</w:t>
            </w:r>
            <w:r>
              <w:rPr>
                <w:spacing w:val="-10"/>
                <w:sz w:val="16"/>
              </w:rPr>
              <w:t xml:space="preserve"> </w:t>
            </w:r>
            <w:r>
              <w:rPr>
                <w:sz w:val="16"/>
              </w:rPr>
              <w:t>be</w:t>
            </w:r>
            <w:r>
              <w:rPr>
                <w:spacing w:val="-11"/>
                <w:sz w:val="16"/>
              </w:rPr>
              <w:t xml:space="preserve"> </w:t>
            </w:r>
            <w:r>
              <w:rPr>
                <w:sz w:val="16"/>
              </w:rPr>
              <w:t>high and stable output</w:t>
            </w:r>
            <w:r>
              <w:rPr>
                <w:spacing w:val="80"/>
                <w:sz w:val="16"/>
              </w:rPr>
              <w:t xml:space="preserve"> </w:t>
            </w:r>
            <w:r>
              <w:rPr>
                <w:sz w:val="16"/>
              </w:rPr>
              <w:t>and employment. It also included that inflation</w:t>
            </w:r>
            <w:r>
              <w:rPr>
                <w:spacing w:val="-7"/>
                <w:sz w:val="16"/>
              </w:rPr>
              <w:t xml:space="preserve"> </w:t>
            </w:r>
            <w:r>
              <w:rPr>
                <w:sz w:val="16"/>
              </w:rPr>
              <w:t>targeting should</w:t>
            </w:r>
            <w:r>
              <w:rPr>
                <w:spacing w:val="-7"/>
                <w:sz w:val="16"/>
              </w:rPr>
              <w:t xml:space="preserve"> </w:t>
            </w:r>
            <w:r>
              <w:rPr>
                <w:sz w:val="16"/>
              </w:rPr>
              <w:t>contribute to preventing the build-up</w:t>
            </w:r>
            <w:r>
              <w:rPr>
                <w:spacing w:val="-11"/>
                <w:sz w:val="16"/>
              </w:rPr>
              <w:t xml:space="preserve"> </w:t>
            </w:r>
            <w:r>
              <w:rPr>
                <w:sz w:val="16"/>
              </w:rPr>
              <w:t>of</w:t>
            </w:r>
            <w:r>
              <w:rPr>
                <w:spacing w:val="-10"/>
                <w:sz w:val="16"/>
              </w:rPr>
              <w:t xml:space="preserve"> </w:t>
            </w:r>
            <w:r>
              <w:rPr>
                <w:sz w:val="16"/>
              </w:rPr>
              <w:t xml:space="preserve">financial </w:t>
            </w:r>
            <w:r>
              <w:rPr>
                <w:spacing w:val="-2"/>
                <w:sz w:val="16"/>
              </w:rPr>
              <w:t>imbalances.</w:t>
            </w:r>
          </w:p>
        </w:tc>
      </w:tr>
      <w:tr w:rsidR="00237778" w14:paraId="4F8617DA" w14:textId="77777777" w:rsidTr="003D61B7">
        <w:trPr>
          <w:trHeight w:val="3379"/>
        </w:trPr>
        <w:tc>
          <w:tcPr>
            <w:tcW w:w="583" w:type="pct"/>
            <w:tcBorders>
              <w:top w:val="single" w:sz="4" w:space="0" w:color="auto"/>
              <w:left w:val="nil"/>
              <w:bottom w:val="single" w:sz="4" w:space="0" w:color="auto"/>
            </w:tcBorders>
          </w:tcPr>
          <w:p w14:paraId="1B285DED" w14:textId="373D1A6B" w:rsidR="00237778" w:rsidRDefault="00237778" w:rsidP="00237778">
            <w:pPr>
              <w:pStyle w:val="TableParagraph"/>
              <w:spacing w:before="122" w:line="209" w:lineRule="exact"/>
              <w:ind w:left="110"/>
              <w:rPr>
                <w:rFonts w:ascii="Open Sans"/>
                <w:b/>
                <w:spacing w:val="-2"/>
                <w:sz w:val="16"/>
              </w:rPr>
            </w:pPr>
            <w:r>
              <w:rPr>
                <w:rFonts w:ascii="Open Sans"/>
                <w:b/>
                <w:spacing w:val="-2"/>
                <w:sz w:val="16"/>
              </w:rPr>
              <w:t>Sveriges Riksbank</w:t>
            </w:r>
          </w:p>
        </w:tc>
        <w:tc>
          <w:tcPr>
            <w:tcW w:w="1104" w:type="pct"/>
            <w:tcBorders>
              <w:top w:val="single" w:sz="4" w:space="0" w:color="auto"/>
              <w:bottom w:val="single" w:sz="4" w:space="0" w:color="auto"/>
            </w:tcBorders>
          </w:tcPr>
          <w:p w14:paraId="10E8ED1A" w14:textId="3601A009" w:rsidR="00237778" w:rsidRDefault="00237778" w:rsidP="00237778">
            <w:pPr>
              <w:pStyle w:val="TableParagraph"/>
              <w:spacing w:before="136" w:line="220" w:lineRule="auto"/>
              <w:ind w:left="110" w:right="51"/>
              <w:rPr>
                <w:sz w:val="16"/>
              </w:rPr>
            </w:pPr>
            <w:r>
              <w:rPr>
                <w:sz w:val="16"/>
              </w:rPr>
              <w:t>Maintain</w:t>
            </w:r>
            <w:r>
              <w:rPr>
                <w:spacing w:val="-11"/>
                <w:sz w:val="16"/>
              </w:rPr>
              <w:t xml:space="preserve"> </w:t>
            </w:r>
            <w:r>
              <w:rPr>
                <w:sz w:val="16"/>
              </w:rPr>
              <w:t>permanently low and stable inflation.</w:t>
            </w:r>
            <w:r>
              <w:rPr>
                <w:spacing w:val="-7"/>
                <w:sz w:val="16"/>
              </w:rPr>
              <w:t xml:space="preserve"> </w:t>
            </w:r>
            <w:r>
              <w:rPr>
                <w:sz w:val="16"/>
              </w:rPr>
              <w:t>Without neglecting the price stability</w:t>
            </w:r>
            <w:r>
              <w:rPr>
                <w:spacing w:val="-7"/>
                <w:sz w:val="16"/>
              </w:rPr>
              <w:t xml:space="preserve"> </w:t>
            </w:r>
            <w:r>
              <w:rPr>
                <w:sz w:val="16"/>
              </w:rPr>
              <w:t>objective, the</w:t>
            </w:r>
            <w:r>
              <w:rPr>
                <w:spacing w:val="-7"/>
                <w:sz w:val="16"/>
              </w:rPr>
              <w:t xml:space="preserve"> </w:t>
            </w:r>
            <w:r>
              <w:rPr>
                <w:sz w:val="16"/>
              </w:rPr>
              <w:t>Riksbank shall</w:t>
            </w:r>
            <w:r>
              <w:rPr>
                <w:spacing w:val="-11"/>
                <w:sz w:val="16"/>
              </w:rPr>
              <w:t xml:space="preserve"> </w:t>
            </w:r>
            <w:r>
              <w:rPr>
                <w:sz w:val="16"/>
              </w:rPr>
              <w:t>contribute to a balanced development</w:t>
            </w:r>
            <w:r>
              <w:rPr>
                <w:spacing w:val="-11"/>
                <w:sz w:val="16"/>
              </w:rPr>
              <w:t xml:space="preserve"> </w:t>
            </w:r>
            <w:r>
              <w:rPr>
                <w:sz w:val="16"/>
              </w:rPr>
              <w:t>of production</w:t>
            </w:r>
            <w:r>
              <w:rPr>
                <w:spacing w:val="-11"/>
                <w:sz w:val="16"/>
              </w:rPr>
              <w:t xml:space="preserve"> </w:t>
            </w:r>
            <w:r>
              <w:rPr>
                <w:sz w:val="16"/>
              </w:rPr>
              <w:t xml:space="preserve">and </w:t>
            </w:r>
            <w:r>
              <w:rPr>
                <w:spacing w:val="-2"/>
                <w:sz w:val="16"/>
              </w:rPr>
              <w:t>employment.</w:t>
            </w:r>
          </w:p>
          <w:p w14:paraId="76A81CD2" w14:textId="52DCC301" w:rsidR="00237778" w:rsidRDefault="00237778" w:rsidP="00237778">
            <w:pPr>
              <w:pStyle w:val="TableParagraph"/>
              <w:spacing w:before="125" w:line="220" w:lineRule="auto"/>
              <w:ind w:left="110" w:right="265"/>
              <w:rPr>
                <w:sz w:val="16"/>
              </w:rPr>
            </w:pPr>
            <w:r>
              <w:rPr>
                <w:sz w:val="16"/>
              </w:rPr>
              <w:t>The Riksbank shall, without</w:t>
            </w:r>
            <w:r>
              <w:rPr>
                <w:spacing w:val="-7"/>
                <w:sz w:val="16"/>
              </w:rPr>
              <w:t xml:space="preserve"> </w:t>
            </w:r>
            <w:r>
              <w:rPr>
                <w:sz w:val="16"/>
              </w:rPr>
              <w:t>neglecting the price stability objective,</w:t>
            </w:r>
            <w:r>
              <w:rPr>
                <w:spacing w:val="-7"/>
                <w:sz w:val="16"/>
              </w:rPr>
              <w:t xml:space="preserve"> </w:t>
            </w:r>
            <w:r>
              <w:rPr>
                <w:sz w:val="16"/>
              </w:rPr>
              <w:t>contribute to the stability and efficiency of the financial</w:t>
            </w:r>
            <w:r>
              <w:rPr>
                <w:spacing w:val="-7"/>
                <w:sz w:val="16"/>
              </w:rPr>
              <w:t xml:space="preserve"> </w:t>
            </w:r>
            <w:r>
              <w:rPr>
                <w:sz w:val="16"/>
              </w:rPr>
              <w:t>system, including the ability of</w:t>
            </w:r>
            <w:r>
              <w:rPr>
                <w:spacing w:val="-11"/>
                <w:sz w:val="16"/>
              </w:rPr>
              <w:t xml:space="preserve"> </w:t>
            </w:r>
            <w:r>
              <w:rPr>
                <w:sz w:val="16"/>
              </w:rPr>
              <w:t>the</w:t>
            </w:r>
            <w:r>
              <w:rPr>
                <w:spacing w:val="-10"/>
                <w:sz w:val="16"/>
              </w:rPr>
              <w:t xml:space="preserve"> </w:t>
            </w:r>
            <w:r>
              <w:rPr>
                <w:sz w:val="16"/>
              </w:rPr>
              <w:t>public</w:t>
            </w:r>
            <w:r>
              <w:rPr>
                <w:spacing w:val="-11"/>
                <w:sz w:val="16"/>
              </w:rPr>
              <w:t xml:space="preserve"> </w:t>
            </w:r>
            <w:r>
              <w:rPr>
                <w:sz w:val="16"/>
              </w:rPr>
              <w:t>to</w:t>
            </w:r>
            <w:r>
              <w:rPr>
                <w:spacing w:val="-10"/>
                <w:sz w:val="16"/>
              </w:rPr>
              <w:t xml:space="preserve"> </w:t>
            </w:r>
            <w:r>
              <w:rPr>
                <w:sz w:val="16"/>
              </w:rPr>
              <w:t xml:space="preserve">make </w:t>
            </w:r>
            <w:r>
              <w:rPr>
                <w:spacing w:val="-2"/>
                <w:sz w:val="16"/>
              </w:rPr>
              <w:t>payments.</w:t>
            </w:r>
          </w:p>
        </w:tc>
        <w:tc>
          <w:tcPr>
            <w:tcW w:w="1104" w:type="pct"/>
            <w:tcBorders>
              <w:top w:val="single" w:sz="4" w:space="0" w:color="auto"/>
              <w:bottom w:val="single" w:sz="4" w:space="0" w:color="auto"/>
            </w:tcBorders>
          </w:tcPr>
          <w:p w14:paraId="2A669F53" w14:textId="37D4A9DC" w:rsidR="00237778" w:rsidRDefault="00237778" w:rsidP="00237778">
            <w:pPr>
              <w:pStyle w:val="TableParagraph"/>
              <w:spacing w:before="136" w:line="220" w:lineRule="auto"/>
              <w:ind w:left="110" w:right="118"/>
              <w:jc w:val="both"/>
              <w:rPr>
                <w:sz w:val="16"/>
              </w:rPr>
            </w:pPr>
            <w:r>
              <w:rPr>
                <w:sz w:val="16"/>
              </w:rPr>
              <w:t>Hold</w:t>
            </w:r>
            <w:r>
              <w:rPr>
                <w:spacing w:val="-9"/>
                <w:sz w:val="16"/>
              </w:rPr>
              <w:t xml:space="preserve"> </w:t>
            </w:r>
            <w:r>
              <w:rPr>
                <w:sz w:val="16"/>
              </w:rPr>
              <w:t>inflation</w:t>
            </w:r>
            <w:r>
              <w:rPr>
                <w:spacing w:val="-9"/>
                <w:sz w:val="16"/>
              </w:rPr>
              <w:t xml:space="preserve"> </w:t>
            </w:r>
            <w:r>
              <w:rPr>
                <w:sz w:val="16"/>
              </w:rPr>
              <w:t>around 2</w:t>
            </w:r>
            <w:r>
              <w:rPr>
                <w:spacing w:val="-9"/>
                <w:sz w:val="16"/>
              </w:rPr>
              <w:t xml:space="preserve"> </w:t>
            </w:r>
            <w:r>
              <w:rPr>
                <w:sz w:val="16"/>
              </w:rPr>
              <w:t>per</w:t>
            </w:r>
            <w:r>
              <w:rPr>
                <w:spacing w:val="-9"/>
                <w:sz w:val="16"/>
              </w:rPr>
              <w:t xml:space="preserve"> </w:t>
            </w:r>
            <w:r>
              <w:rPr>
                <w:sz w:val="16"/>
              </w:rPr>
              <w:t>cent</w:t>
            </w:r>
            <w:r>
              <w:rPr>
                <w:spacing w:val="-9"/>
                <w:sz w:val="16"/>
              </w:rPr>
              <w:t xml:space="preserve"> </w:t>
            </w:r>
            <w:r>
              <w:rPr>
                <w:sz w:val="16"/>
              </w:rPr>
              <w:t>a</w:t>
            </w:r>
            <w:r>
              <w:rPr>
                <w:spacing w:val="-9"/>
                <w:sz w:val="16"/>
              </w:rPr>
              <w:t xml:space="preserve"> </w:t>
            </w:r>
            <w:r>
              <w:rPr>
                <w:sz w:val="16"/>
              </w:rPr>
              <w:t>year</w:t>
            </w:r>
            <w:r>
              <w:rPr>
                <w:spacing w:val="-9"/>
                <w:sz w:val="16"/>
              </w:rPr>
              <w:t xml:space="preserve"> </w:t>
            </w:r>
            <w:r>
              <w:rPr>
                <w:sz w:val="16"/>
              </w:rPr>
              <w:t>with a tolerance band of</w:t>
            </w:r>
            <w:r>
              <w:rPr>
                <w:spacing w:val="-8"/>
                <w:sz w:val="16"/>
              </w:rPr>
              <w:t xml:space="preserve"> </w:t>
            </w:r>
            <w:r>
              <w:rPr>
                <w:sz w:val="16"/>
              </w:rPr>
              <w:t>+/-</w:t>
            </w:r>
            <w:r>
              <w:rPr>
                <w:spacing w:val="-5"/>
                <w:sz w:val="16"/>
              </w:rPr>
              <w:t xml:space="preserve"> </w:t>
            </w:r>
            <w:r>
              <w:rPr>
                <w:sz w:val="16"/>
              </w:rPr>
              <w:t>1</w:t>
            </w:r>
            <w:r>
              <w:rPr>
                <w:spacing w:val="-5"/>
                <w:sz w:val="16"/>
              </w:rPr>
              <w:t xml:space="preserve"> </w:t>
            </w:r>
            <w:r>
              <w:rPr>
                <w:sz w:val="16"/>
              </w:rPr>
              <w:t>per</w:t>
            </w:r>
            <w:r>
              <w:rPr>
                <w:spacing w:val="-5"/>
                <w:sz w:val="16"/>
              </w:rPr>
              <w:t xml:space="preserve"> </w:t>
            </w:r>
            <w:r>
              <w:rPr>
                <w:spacing w:val="-2"/>
                <w:sz w:val="16"/>
              </w:rPr>
              <w:t>cent.</w:t>
            </w:r>
          </w:p>
        </w:tc>
        <w:tc>
          <w:tcPr>
            <w:tcW w:w="1104" w:type="pct"/>
            <w:tcBorders>
              <w:top w:val="single" w:sz="4" w:space="0" w:color="auto"/>
              <w:bottom w:val="single" w:sz="4" w:space="0" w:color="auto"/>
            </w:tcBorders>
          </w:tcPr>
          <w:p w14:paraId="3DFAF085" w14:textId="04F88385" w:rsidR="00237778" w:rsidRDefault="00237778" w:rsidP="00237778">
            <w:pPr>
              <w:pStyle w:val="TableParagraph"/>
              <w:spacing w:before="125" w:line="220" w:lineRule="auto"/>
              <w:ind w:left="111" w:right="265"/>
              <w:rPr>
                <w:sz w:val="16"/>
              </w:rPr>
            </w:pPr>
            <w:r>
              <w:rPr>
                <w:sz w:val="16"/>
              </w:rPr>
              <w:t>[The Riksbank is] endeavouring</w:t>
            </w:r>
            <w:r>
              <w:rPr>
                <w:spacing w:val="-7"/>
                <w:sz w:val="16"/>
              </w:rPr>
              <w:t xml:space="preserve"> </w:t>
            </w:r>
            <w:r>
              <w:rPr>
                <w:sz w:val="16"/>
              </w:rPr>
              <w:t>to stabilise</w:t>
            </w:r>
            <w:r>
              <w:rPr>
                <w:spacing w:val="-7"/>
                <w:sz w:val="16"/>
              </w:rPr>
              <w:t xml:space="preserve"> </w:t>
            </w:r>
            <w:r>
              <w:rPr>
                <w:sz w:val="16"/>
              </w:rPr>
              <w:t>production and</w:t>
            </w:r>
            <w:r>
              <w:rPr>
                <w:spacing w:val="-7"/>
                <w:sz w:val="16"/>
              </w:rPr>
              <w:t xml:space="preserve"> </w:t>
            </w:r>
            <w:r>
              <w:rPr>
                <w:sz w:val="16"/>
              </w:rPr>
              <w:t>employment around paths that</w:t>
            </w:r>
            <w:r>
              <w:rPr>
                <w:spacing w:val="40"/>
                <w:sz w:val="16"/>
              </w:rPr>
              <w:t xml:space="preserve"> </w:t>
            </w:r>
            <w:r>
              <w:rPr>
                <w:sz w:val="16"/>
              </w:rPr>
              <w:t>are</w:t>
            </w:r>
            <w:r>
              <w:rPr>
                <w:spacing w:val="-11"/>
                <w:sz w:val="16"/>
              </w:rPr>
              <w:t xml:space="preserve"> </w:t>
            </w:r>
            <w:r>
              <w:rPr>
                <w:sz w:val="16"/>
              </w:rPr>
              <w:t>sustainable</w:t>
            </w:r>
            <w:r>
              <w:rPr>
                <w:spacing w:val="-10"/>
                <w:sz w:val="16"/>
              </w:rPr>
              <w:t xml:space="preserve"> </w:t>
            </w:r>
            <w:r>
              <w:rPr>
                <w:sz w:val="16"/>
              </w:rPr>
              <w:t>in</w:t>
            </w:r>
            <w:r>
              <w:rPr>
                <w:spacing w:val="-11"/>
                <w:sz w:val="16"/>
              </w:rPr>
              <w:t xml:space="preserve"> </w:t>
            </w:r>
            <w:r>
              <w:rPr>
                <w:sz w:val="16"/>
              </w:rPr>
              <w:t>the long term. This does not mean that the Riksbank</w:t>
            </w:r>
            <w:r>
              <w:rPr>
                <w:spacing w:val="-7"/>
                <w:sz w:val="16"/>
              </w:rPr>
              <w:t xml:space="preserve"> </w:t>
            </w:r>
            <w:r>
              <w:rPr>
                <w:sz w:val="16"/>
              </w:rPr>
              <w:t>neglects</w:t>
            </w:r>
            <w:r>
              <w:rPr>
                <w:spacing w:val="80"/>
                <w:sz w:val="16"/>
              </w:rPr>
              <w:t xml:space="preserve"> </w:t>
            </w:r>
            <w:r>
              <w:rPr>
                <w:sz w:val="16"/>
              </w:rPr>
              <w:t>the fact that the inflation target is the overriding</w:t>
            </w:r>
            <w:r>
              <w:rPr>
                <w:spacing w:val="-7"/>
                <w:sz w:val="16"/>
              </w:rPr>
              <w:t xml:space="preserve"> </w:t>
            </w:r>
            <w:r>
              <w:rPr>
                <w:sz w:val="16"/>
              </w:rPr>
              <w:t>objective.</w:t>
            </w:r>
          </w:p>
        </w:tc>
        <w:tc>
          <w:tcPr>
            <w:tcW w:w="1104" w:type="pct"/>
            <w:tcBorders>
              <w:top w:val="single" w:sz="4" w:space="0" w:color="auto"/>
              <w:bottom w:val="single" w:sz="4" w:space="0" w:color="auto"/>
              <w:right w:val="nil"/>
            </w:tcBorders>
          </w:tcPr>
          <w:p w14:paraId="5EE9EF16" w14:textId="4CDA345F" w:rsidR="00237778" w:rsidRDefault="00237778" w:rsidP="00237778">
            <w:pPr>
              <w:pStyle w:val="TableParagraph"/>
              <w:spacing w:before="125" w:line="220" w:lineRule="auto"/>
              <w:ind w:left="111" w:right="277"/>
              <w:rPr>
                <w:sz w:val="16"/>
              </w:rPr>
            </w:pPr>
            <w:r>
              <w:rPr>
                <w:sz w:val="16"/>
              </w:rPr>
              <w:t>A 1-3 per cent variation band was introduced in 2017</w:t>
            </w:r>
            <w:r>
              <w:rPr>
                <w:spacing w:val="40"/>
                <w:sz w:val="16"/>
              </w:rPr>
              <w:t xml:space="preserve"> </w:t>
            </w:r>
            <w:r>
              <w:rPr>
                <w:sz w:val="16"/>
              </w:rPr>
              <w:t>to</w:t>
            </w:r>
            <w:r>
              <w:rPr>
                <w:spacing w:val="-9"/>
                <w:sz w:val="16"/>
              </w:rPr>
              <w:t xml:space="preserve"> </w:t>
            </w:r>
            <w:r>
              <w:rPr>
                <w:sz w:val="16"/>
              </w:rPr>
              <w:t>show</w:t>
            </w:r>
            <w:r>
              <w:rPr>
                <w:spacing w:val="-9"/>
                <w:sz w:val="16"/>
              </w:rPr>
              <w:t xml:space="preserve"> </w:t>
            </w:r>
            <w:r>
              <w:rPr>
                <w:sz w:val="16"/>
              </w:rPr>
              <w:t>that</w:t>
            </w:r>
            <w:r>
              <w:rPr>
                <w:spacing w:val="-9"/>
                <w:sz w:val="16"/>
              </w:rPr>
              <w:t xml:space="preserve"> </w:t>
            </w:r>
            <w:r>
              <w:rPr>
                <w:sz w:val="16"/>
              </w:rPr>
              <w:t xml:space="preserve">inflation varies around the target. The variation band is not a target </w:t>
            </w:r>
            <w:r>
              <w:rPr>
                <w:spacing w:val="-2"/>
                <w:sz w:val="16"/>
              </w:rPr>
              <w:t>interval.</w:t>
            </w:r>
          </w:p>
        </w:tc>
      </w:tr>
      <w:tr w:rsidR="00D5302F" w14:paraId="01054F9A" w14:textId="77777777" w:rsidTr="003D61B7">
        <w:trPr>
          <w:trHeight w:val="3379"/>
        </w:trPr>
        <w:tc>
          <w:tcPr>
            <w:tcW w:w="583" w:type="pct"/>
            <w:tcBorders>
              <w:top w:val="single" w:sz="4" w:space="0" w:color="auto"/>
              <w:left w:val="nil"/>
              <w:bottom w:val="single" w:sz="4" w:space="0" w:color="auto"/>
            </w:tcBorders>
          </w:tcPr>
          <w:p w14:paraId="2AC8D06B" w14:textId="5A33B093" w:rsidR="00D5302F" w:rsidRDefault="00D5302F" w:rsidP="00D5302F">
            <w:pPr>
              <w:pStyle w:val="TableParagraph"/>
              <w:spacing w:before="122" w:line="209" w:lineRule="exact"/>
              <w:ind w:left="110"/>
              <w:rPr>
                <w:rFonts w:ascii="Open Sans"/>
                <w:b/>
                <w:spacing w:val="-2"/>
                <w:sz w:val="16"/>
              </w:rPr>
            </w:pPr>
            <w:r>
              <w:rPr>
                <w:rFonts w:ascii="Open Sans"/>
                <w:b/>
                <w:sz w:val="16"/>
              </w:rPr>
              <w:t>Bank</w:t>
            </w:r>
            <w:r>
              <w:rPr>
                <w:rFonts w:ascii="Open Sans"/>
                <w:b/>
                <w:spacing w:val="-11"/>
                <w:sz w:val="16"/>
              </w:rPr>
              <w:t xml:space="preserve"> </w:t>
            </w:r>
            <w:r>
              <w:rPr>
                <w:rFonts w:ascii="Open Sans"/>
                <w:b/>
                <w:sz w:val="16"/>
              </w:rPr>
              <w:t xml:space="preserve">of </w:t>
            </w:r>
            <w:r>
              <w:rPr>
                <w:rFonts w:ascii="Open Sans"/>
                <w:b/>
                <w:spacing w:val="-2"/>
                <w:sz w:val="16"/>
              </w:rPr>
              <w:t>Canada</w:t>
            </w:r>
          </w:p>
        </w:tc>
        <w:tc>
          <w:tcPr>
            <w:tcW w:w="1104" w:type="pct"/>
            <w:tcBorders>
              <w:top w:val="single" w:sz="4" w:space="0" w:color="auto"/>
              <w:bottom w:val="single" w:sz="4" w:space="0" w:color="auto"/>
            </w:tcBorders>
          </w:tcPr>
          <w:p w14:paraId="74F065D2" w14:textId="0C09E27A" w:rsidR="00D5302F" w:rsidRDefault="00D5302F" w:rsidP="00D5302F">
            <w:pPr>
              <w:pStyle w:val="TableParagraph"/>
              <w:spacing w:before="136" w:line="220" w:lineRule="auto"/>
              <w:ind w:left="110" w:right="51"/>
              <w:rPr>
                <w:sz w:val="16"/>
              </w:rPr>
            </w:pPr>
            <w:r>
              <w:rPr>
                <w:sz w:val="16"/>
              </w:rPr>
              <w:t>Preserve the value</w:t>
            </w:r>
            <w:r>
              <w:rPr>
                <w:spacing w:val="40"/>
                <w:sz w:val="16"/>
              </w:rPr>
              <w:t xml:space="preserve"> </w:t>
            </w:r>
            <w:r>
              <w:rPr>
                <w:sz w:val="16"/>
              </w:rPr>
              <w:t>of</w:t>
            </w:r>
            <w:r>
              <w:rPr>
                <w:spacing w:val="-11"/>
                <w:sz w:val="16"/>
              </w:rPr>
              <w:t xml:space="preserve"> </w:t>
            </w:r>
            <w:r>
              <w:rPr>
                <w:sz w:val="16"/>
              </w:rPr>
              <w:t>money</w:t>
            </w:r>
            <w:r>
              <w:rPr>
                <w:spacing w:val="-10"/>
                <w:sz w:val="16"/>
              </w:rPr>
              <w:t xml:space="preserve"> </w:t>
            </w:r>
            <w:r>
              <w:rPr>
                <w:sz w:val="16"/>
              </w:rPr>
              <w:t>by</w:t>
            </w:r>
            <w:r>
              <w:rPr>
                <w:spacing w:val="-11"/>
                <w:sz w:val="16"/>
              </w:rPr>
              <w:t xml:space="preserve"> </w:t>
            </w:r>
            <w:r>
              <w:rPr>
                <w:sz w:val="16"/>
              </w:rPr>
              <w:t xml:space="preserve">keeping </w:t>
            </w:r>
            <w:hyperlink r:id="rId51">
              <w:r>
                <w:rPr>
                  <w:sz w:val="16"/>
                </w:rPr>
                <w:t>inflation</w:t>
              </w:r>
            </w:hyperlink>
            <w:r>
              <w:rPr>
                <w:sz w:val="16"/>
              </w:rPr>
              <w:t xml:space="preserve"> low, stable and</w:t>
            </w:r>
            <w:r>
              <w:rPr>
                <w:spacing w:val="-7"/>
                <w:sz w:val="16"/>
              </w:rPr>
              <w:t xml:space="preserve"> </w:t>
            </w:r>
            <w:r>
              <w:rPr>
                <w:sz w:val="16"/>
              </w:rPr>
              <w:t>predictable.</w:t>
            </w:r>
          </w:p>
        </w:tc>
        <w:tc>
          <w:tcPr>
            <w:tcW w:w="1104" w:type="pct"/>
            <w:tcBorders>
              <w:top w:val="single" w:sz="4" w:space="0" w:color="auto"/>
              <w:bottom w:val="single" w:sz="4" w:space="0" w:color="auto"/>
            </w:tcBorders>
          </w:tcPr>
          <w:p w14:paraId="72CC7320" w14:textId="46FB5F2E" w:rsidR="00D5302F" w:rsidRDefault="00D5302F" w:rsidP="00D5302F">
            <w:pPr>
              <w:pStyle w:val="TableParagraph"/>
              <w:spacing w:before="111" w:line="209" w:lineRule="exact"/>
              <w:ind w:left="110"/>
              <w:rPr>
                <w:sz w:val="16"/>
              </w:rPr>
            </w:pPr>
            <w:r>
              <w:rPr>
                <w:sz w:val="16"/>
              </w:rPr>
              <w:t>The</w:t>
            </w:r>
            <w:r>
              <w:rPr>
                <w:spacing w:val="1"/>
                <w:sz w:val="16"/>
              </w:rPr>
              <w:t xml:space="preserve"> </w:t>
            </w:r>
            <w:r>
              <w:rPr>
                <w:sz w:val="16"/>
              </w:rPr>
              <w:t>best</w:t>
            </w:r>
            <w:r>
              <w:rPr>
                <w:spacing w:val="1"/>
                <w:sz w:val="16"/>
              </w:rPr>
              <w:t xml:space="preserve"> </w:t>
            </w:r>
            <w:r>
              <w:rPr>
                <w:spacing w:val="-2"/>
                <w:sz w:val="16"/>
              </w:rPr>
              <w:t xml:space="preserve">contribution </w:t>
            </w:r>
            <w:r>
              <w:rPr>
                <w:sz w:val="16"/>
              </w:rPr>
              <w:t>of</w:t>
            </w:r>
            <w:r>
              <w:rPr>
                <w:spacing w:val="3"/>
                <w:sz w:val="16"/>
              </w:rPr>
              <w:t xml:space="preserve"> </w:t>
            </w:r>
            <w:r>
              <w:rPr>
                <w:sz w:val="16"/>
              </w:rPr>
              <w:t>monetary</w:t>
            </w:r>
            <w:r>
              <w:rPr>
                <w:spacing w:val="3"/>
                <w:sz w:val="16"/>
              </w:rPr>
              <w:t xml:space="preserve"> </w:t>
            </w:r>
            <w:r>
              <w:rPr>
                <w:spacing w:val="-2"/>
                <w:sz w:val="16"/>
              </w:rPr>
              <w:t xml:space="preserve">policy </w:t>
            </w:r>
            <w:r>
              <w:rPr>
                <w:sz w:val="16"/>
              </w:rPr>
              <w:t>to</w:t>
            </w:r>
            <w:r>
              <w:rPr>
                <w:spacing w:val="-4"/>
                <w:sz w:val="16"/>
              </w:rPr>
              <w:t xml:space="preserve"> </w:t>
            </w:r>
            <w:r>
              <w:rPr>
                <w:sz w:val="16"/>
              </w:rPr>
              <w:t>the</w:t>
            </w:r>
            <w:r>
              <w:rPr>
                <w:spacing w:val="-4"/>
                <w:sz w:val="16"/>
              </w:rPr>
              <w:t xml:space="preserve"> </w:t>
            </w:r>
            <w:r>
              <w:rPr>
                <w:spacing w:val="-2"/>
                <w:sz w:val="16"/>
              </w:rPr>
              <w:t xml:space="preserve">wellbeing </w:t>
            </w:r>
            <w:r>
              <w:rPr>
                <w:sz w:val="16"/>
              </w:rPr>
              <w:t>of Canadians is to continue</w:t>
            </w:r>
            <w:r>
              <w:rPr>
                <w:spacing w:val="-11"/>
                <w:sz w:val="16"/>
              </w:rPr>
              <w:t xml:space="preserve"> </w:t>
            </w:r>
            <w:r>
              <w:rPr>
                <w:sz w:val="16"/>
              </w:rPr>
              <w:t>to</w:t>
            </w:r>
            <w:r>
              <w:rPr>
                <w:spacing w:val="-10"/>
                <w:sz w:val="16"/>
              </w:rPr>
              <w:t xml:space="preserve"> </w:t>
            </w:r>
            <w:r>
              <w:rPr>
                <w:sz w:val="16"/>
              </w:rPr>
              <w:t>focus</w:t>
            </w:r>
            <w:r>
              <w:rPr>
                <w:spacing w:val="-11"/>
                <w:sz w:val="16"/>
              </w:rPr>
              <w:t xml:space="preserve"> </w:t>
            </w:r>
            <w:r>
              <w:rPr>
                <w:sz w:val="16"/>
              </w:rPr>
              <w:t>on price</w:t>
            </w:r>
            <w:r>
              <w:rPr>
                <w:spacing w:val="-7"/>
                <w:sz w:val="16"/>
              </w:rPr>
              <w:t xml:space="preserve"> </w:t>
            </w:r>
            <w:r>
              <w:rPr>
                <w:sz w:val="16"/>
              </w:rPr>
              <w:t>stability.</w:t>
            </w:r>
          </w:p>
          <w:p w14:paraId="457F1808" w14:textId="15244D73" w:rsidR="00D5302F" w:rsidRDefault="00D5302F" w:rsidP="00D5302F">
            <w:pPr>
              <w:pStyle w:val="TableParagraph"/>
              <w:spacing w:before="112" w:line="220" w:lineRule="auto"/>
              <w:ind w:left="110" w:right="265"/>
              <w:rPr>
                <w:sz w:val="16"/>
              </w:rPr>
            </w:pPr>
            <w:r>
              <w:rPr>
                <w:sz w:val="16"/>
              </w:rPr>
              <w:t>The inflation target is 2 per cent, the midpoint</w:t>
            </w:r>
            <w:r>
              <w:rPr>
                <w:spacing w:val="-10"/>
                <w:sz w:val="16"/>
              </w:rPr>
              <w:t xml:space="preserve"> </w:t>
            </w:r>
            <w:r>
              <w:rPr>
                <w:sz w:val="16"/>
              </w:rPr>
              <w:t>of</w:t>
            </w:r>
            <w:r>
              <w:rPr>
                <w:spacing w:val="-10"/>
                <w:sz w:val="16"/>
              </w:rPr>
              <w:t xml:space="preserve"> </w:t>
            </w:r>
            <w:r>
              <w:rPr>
                <w:sz w:val="16"/>
              </w:rPr>
              <w:t>a</w:t>
            </w:r>
            <w:r>
              <w:rPr>
                <w:spacing w:val="-10"/>
                <w:sz w:val="16"/>
              </w:rPr>
              <w:t xml:space="preserve"> </w:t>
            </w:r>
            <w:r>
              <w:rPr>
                <w:sz w:val="16"/>
              </w:rPr>
              <w:t>1</w:t>
            </w:r>
            <w:r>
              <w:rPr>
                <w:spacing w:val="-10"/>
                <w:sz w:val="16"/>
              </w:rPr>
              <w:t xml:space="preserve"> </w:t>
            </w:r>
            <w:r>
              <w:rPr>
                <w:sz w:val="16"/>
              </w:rPr>
              <w:t>to</w:t>
            </w:r>
            <w:r>
              <w:rPr>
                <w:spacing w:val="-10"/>
                <w:sz w:val="16"/>
              </w:rPr>
              <w:t xml:space="preserve"> </w:t>
            </w:r>
            <w:r>
              <w:rPr>
                <w:sz w:val="16"/>
              </w:rPr>
              <w:t>3 per</w:t>
            </w:r>
            <w:r>
              <w:rPr>
                <w:spacing w:val="-3"/>
                <w:sz w:val="16"/>
              </w:rPr>
              <w:t xml:space="preserve"> </w:t>
            </w:r>
            <w:r>
              <w:rPr>
                <w:sz w:val="16"/>
              </w:rPr>
              <w:t>cent</w:t>
            </w:r>
            <w:r>
              <w:rPr>
                <w:spacing w:val="-2"/>
                <w:sz w:val="16"/>
              </w:rPr>
              <w:t xml:space="preserve"> </w:t>
            </w:r>
            <w:r>
              <w:rPr>
                <w:sz w:val="16"/>
              </w:rPr>
              <w:t>target</w:t>
            </w:r>
            <w:r>
              <w:rPr>
                <w:spacing w:val="-2"/>
                <w:sz w:val="16"/>
              </w:rPr>
              <w:t xml:space="preserve"> range.</w:t>
            </w:r>
          </w:p>
        </w:tc>
        <w:tc>
          <w:tcPr>
            <w:tcW w:w="1104" w:type="pct"/>
            <w:tcBorders>
              <w:top w:val="single" w:sz="4" w:space="0" w:color="auto"/>
              <w:bottom w:val="single" w:sz="4" w:space="0" w:color="auto"/>
            </w:tcBorders>
          </w:tcPr>
          <w:p w14:paraId="37C9D6BB" w14:textId="1FDFA882" w:rsidR="00D5302F" w:rsidRDefault="00D5302F" w:rsidP="00D5302F">
            <w:pPr>
              <w:pStyle w:val="TableParagraph"/>
              <w:spacing w:before="111" w:line="209" w:lineRule="exact"/>
              <w:ind w:left="111"/>
              <w:rPr>
                <w:sz w:val="16"/>
              </w:rPr>
            </w:pPr>
            <w:r>
              <w:rPr>
                <w:sz w:val="16"/>
              </w:rPr>
              <w:t>The</w:t>
            </w:r>
            <w:r>
              <w:rPr>
                <w:spacing w:val="1"/>
                <w:sz w:val="16"/>
              </w:rPr>
              <w:t xml:space="preserve"> </w:t>
            </w:r>
            <w:r>
              <w:rPr>
                <w:sz w:val="16"/>
              </w:rPr>
              <w:t>best</w:t>
            </w:r>
            <w:r>
              <w:rPr>
                <w:spacing w:val="1"/>
                <w:sz w:val="16"/>
              </w:rPr>
              <w:t xml:space="preserve"> </w:t>
            </w:r>
            <w:r>
              <w:rPr>
                <w:spacing w:val="-2"/>
                <w:sz w:val="16"/>
              </w:rPr>
              <w:t xml:space="preserve">contribution </w:t>
            </w:r>
            <w:r>
              <w:rPr>
                <w:sz w:val="16"/>
              </w:rPr>
              <w:t>of</w:t>
            </w:r>
            <w:r>
              <w:rPr>
                <w:spacing w:val="3"/>
                <w:sz w:val="16"/>
              </w:rPr>
              <w:t xml:space="preserve"> </w:t>
            </w:r>
            <w:r>
              <w:rPr>
                <w:sz w:val="16"/>
              </w:rPr>
              <w:t>monetary</w:t>
            </w:r>
            <w:r>
              <w:rPr>
                <w:spacing w:val="3"/>
                <w:sz w:val="16"/>
              </w:rPr>
              <w:t xml:space="preserve"> </w:t>
            </w:r>
            <w:r>
              <w:rPr>
                <w:spacing w:val="-2"/>
                <w:sz w:val="16"/>
              </w:rPr>
              <w:t xml:space="preserve">policy </w:t>
            </w:r>
            <w:r>
              <w:rPr>
                <w:sz w:val="16"/>
              </w:rPr>
              <w:t>to the wellbeing</w:t>
            </w:r>
            <w:r>
              <w:rPr>
                <w:spacing w:val="40"/>
                <w:sz w:val="16"/>
              </w:rPr>
              <w:t xml:space="preserve"> </w:t>
            </w:r>
            <w:r>
              <w:rPr>
                <w:sz w:val="16"/>
              </w:rPr>
              <w:t>of</w:t>
            </w:r>
            <w:r>
              <w:rPr>
                <w:spacing w:val="-9"/>
                <w:sz w:val="16"/>
              </w:rPr>
              <w:t xml:space="preserve"> </w:t>
            </w:r>
            <w:r>
              <w:rPr>
                <w:sz w:val="16"/>
              </w:rPr>
              <w:t>Canadians</w:t>
            </w:r>
            <w:r>
              <w:rPr>
                <w:spacing w:val="-9"/>
                <w:sz w:val="16"/>
              </w:rPr>
              <w:t xml:space="preserve"> </w:t>
            </w:r>
            <w:r>
              <w:rPr>
                <w:sz w:val="16"/>
              </w:rPr>
              <w:t>is</w:t>
            </w:r>
            <w:r>
              <w:rPr>
                <w:spacing w:val="-10"/>
                <w:sz w:val="16"/>
              </w:rPr>
              <w:t xml:space="preserve"> </w:t>
            </w:r>
            <w:r>
              <w:rPr>
                <w:sz w:val="16"/>
              </w:rPr>
              <w:t>to continue</w:t>
            </w:r>
            <w:r>
              <w:rPr>
                <w:spacing w:val="-1"/>
                <w:sz w:val="16"/>
              </w:rPr>
              <w:t xml:space="preserve"> </w:t>
            </w:r>
            <w:r>
              <w:rPr>
                <w:sz w:val="16"/>
              </w:rPr>
              <w:t>to</w:t>
            </w:r>
            <w:r>
              <w:rPr>
                <w:spacing w:val="-1"/>
                <w:sz w:val="16"/>
              </w:rPr>
              <w:t xml:space="preserve"> </w:t>
            </w:r>
            <w:r>
              <w:rPr>
                <w:sz w:val="16"/>
              </w:rPr>
              <w:t>focus on price stability. The</w:t>
            </w:r>
            <w:r>
              <w:rPr>
                <w:spacing w:val="-7"/>
                <w:sz w:val="16"/>
              </w:rPr>
              <w:t xml:space="preserve"> </w:t>
            </w:r>
            <w:r>
              <w:rPr>
                <w:sz w:val="16"/>
              </w:rPr>
              <w:t>Government and</w:t>
            </w:r>
            <w:r>
              <w:rPr>
                <w:spacing w:val="-11"/>
                <w:sz w:val="16"/>
              </w:rPr>
              <w:t xml:space="preserve"> </w:t>
            </w:r>
            <w:r>
              <w:rPr>
                <w:sz w:val="16"/>
              </w:rPr>
              <w:t>the</w:t>
            </w:r>
            <w:r>
              <w:rPr>
                <w:spacing w:val="-10"/>
                <w:sz w:val="16"/>
              </w:rPr>
              <w:t xml:space="preserve"> </w:t>
            </w:r>
            <w:r>
              <w:rPr>
                <w:sz w:val="16"/>
              </w:rPr>
              <w:t>Bank</w:t>
            </w:r>
            <w:r>
              <w:rPr>
                <w:spacing w:val="-11"/>
                <w:sz w:val="16"/>
              </w:rPr>
              <w:t xml:space="preserve"> </w:t>
            </w:r>
            <w:r>
              <w:rPr>
                <w:sz w:val="16"/>
              </w:rPr>
              <w:t>also agree that monetary policy</w:t>
            </w:r>
            <w:r>
              <w:rPr>
                <w:spacing w:val="-7"/>
                <w:sz w:val="16"/>
              </w:rPr>
              <w:t xml:space="preserve"> </w:t>
            </w:r>
            <w:r>
              <w:rPr>
                <w:sz w:val="16"/>
              </w:rPr>
              <w:t>should</w:t>
            </w:r>
            <w:r>
              <w:rPr>
                <w:spacing w:val="40"/>
                <w:sz w:val="16"/>
              </w:rPr>
              <w:t xml:space="preserve"> </w:t>
            </w:r>
            <w:r>
              <w:rPr>
                <w:sz w:val="16"/>
              </w:rPr>
              <w:t>continue to support maximum</w:t>
            </w:r>
            <w:r>
              <w:rPr>
                <w:spacing w:val="-11"/>
                <w:sz w:val="16"/>
              </w:rPr>
              <w:t xml:space="preserve"> </w:t>
            </w:r>
            <w:r>
              <w:rPr>
                <w:sz w:val="16"/>
              </w:rPr>
              <w:t xml:space="preserve">sustainable </w:t>
            </w:r>
            <w:r>
              <w:rPr>
                <w:spacing w:val="-2"/>
                <w:sz w:val="16"/>
              </w:rPr>
              <w:t xml:space="preserve">employment, </w:t>
            </w:r>
            <w:r>
              <w:rPr>
                <w:sz w:val="16"/>
              </w:rPr>
              <w:t>which is the level of employment</w:t>
            </w:r>
            <w:r>
              <w:rPr>
                <w:spacing w:val="-11"/>
                <w:sz w:val="16"/>
              </w:rPr>
              <w:t xml:space="preserve"> </w:t>
            </w:r>
            <w:r>
              <w:rPr>
                <w:sz w:val="16"/>
              </w:rPr>
              <w:t>beyond which</w:t>
            </w:r>
            <w:r>
              <w:rPr>
                <w:spacing w:val="-7"/>
                <w:sz w:val="16"/>
              </w:rPr>
              <w:t xml:space="preserve"> </w:t>
            </w:r>
            <w:r>
              <w:rPr>
                <w:sz w:val="16"/>
              </w:rPr>
              <w:t>inflationary pressures</w:t>
            </w:r>
            <w:r>
              <w:rPr>
                <w:spacing w:val="-7"/>
                <w:sz w:val="16"/>
              </w:rPr>
              <w:t xml:space="preserve"> </w:t>
            </w:r>
            <w:r>
              <w:rPr>
                <w:sz w:val="16"/>
              </w:rPr>
              <w:t>arise.</w:t>
            </w:r>
          </w:p>
        </w:tc>
        <w:tc>
          <w:tcPr>
            <w:tcW w:w="1104" w:type="pct"/>
            <w:tcBorders>
              <w:top w:val="single" w:sz="4" w:space="0" w:color="auto"/>
              <w:bottom w:val="single" w:sz="4" w:space="0" w:color="auto"/>
              <w:right w:val="nil"/>
            </w:tcBorders>
          </w:tcPr>
          <w:p w14:paraId="5B383D6B" w14:textId="77777777" w:rsidR="00D5302F" w:rsidRDefault="00D5302F" w:rsidP="00D5302F">
            <w:pPr>
              <w:pStyle w:val="TableParagraph"/>
              <w:spacing w:before="125" w:line="220" w:lineRule="auto"/>
              <w:ind w:left="111" w:right="55"/>
              <w:rPr>
                <w:sz w:val="16"/>
              </w:rPr>
            </w:pPr>
            <w:r>
              <w:rPr>
                <w:sz w:val="16"/>
              </w:rPr>
              <w:t>The inflation target was</w:t>
            </w:r>
            <w:r>
              <w:rPr>
                <w:spacing w:val="-7"/>
                <w:sz w:val="16"/>
              </w:rPr>
              <w:t xml:space="preserve"> </w:t>
            </w:r>
            <w:r>
              <w:rPr>
                <w:sz w:val="16"/>
              </w:rPr>
              <w:t>maintained following review of</w:t>
            </w:r>
            <w:r>
              <w:rPr>
                <w:spacing w:val="80"/>
                <w:sz w:val="16"/>
              </w:rPr>
              <w:t xml:space="preserve"> </w:t>
            </w:r>
            <w:r>
              <w:rPr>
                <w:sz w:val="16"/>
              </w:rPr>
              <w:t>the inflation target framework</w:t>
            </w:r>
            <w:r>
              <w:rPr>
                <w:spacing w:val="-11"/>
                <w:sz w:val="16"/>
              </w:rPr>
              <w:t xml:space="preserve"> </w:t>
            </w:r>
            <w:r>
              <w:rPr>
                <w:sz w:val="16"/>
              </w:rPr>
              <w:t xml:space="preserve">concluding in December 2021. </w:t>
            </w:r>
          </w:p>
          <w:p w14:paraId="553F8605" w14:textId="4743B04A" w:rsidR="00D5302F" w:rsidRDefault="00D5302F" w:rsidP="00D5302F">
            <w:pPr>
              <w:pStyle w:val="TableParagraph"/>
              <w:spacing w:before="125" w:line="220" w:lineRule="auto"/>
              <w:ind w:left="111" w:right="55"/>
              <w:rPr>
                <w:sz w:val="16"/>
              </w:rPr>
            </w:pPr>
            <w:r>
              <w:rPr>
                <w:sz w:val="16"/>
              </w:rPr>
              <w:t>The</w:t>
            </w:r>
            <w:r>
              <w:rPr>
                <w:spacing w:val="-7"/>
                <w:sz w:val="16"/>
              </w:rPr>
              <w:t xml:space="preserve"> </w:t>
            </w:r>
            <w:r>
              <w:rPr>
                <w:sz w:val="16"/>
              </w:rPr>
              <w:t>renewed statement</w:t>
            </w:r>
            <w:r>
              <w:rPr>
                <w:spacing w:val="-7"/>
                <w:sz w:val="16"/>
              </w:rPr>
              <w:t xml:space="preserve"> </w:t>
            </w:r>
            <w:r>
              <w:rPr>
                <w:sz w:val="16"/>
              </w:rPr>
              <w:t>included that the Bank of Canada</w:t>
            </w:r>
            <w:r>
              <w:rPr>
                <w:spacing w:val="-11"/>
                <w:sz w:val="16"/>
              </w:rPr>
              <w:t xml:space="preserve"> </w:t>
            </w:r>
            <w:r>
              <w:rPr>
                <w:sz w:val="16"/>
              </w:rPr>
              <w:t>will</w:t>
            </w:r>
            <w:r>
              <w:rPr>
                <w:spacing w:val="-10"/>
                <w:sz w:val="16"/>
              </w:rPr>
              <w:t xml:space="preserve"> </w:t>
            </w:r>
            <w:r>
              <w:rPr>
                <w:sz w:val="16"/>
              </w:rPr>
              <w:t>consider a broader range of labour market indicators</w:t>
            </w:r>
            <w:r>
              <w:rPr>
                <w:spacing w:val="-6"/>
                <w:sz w:val="16"/>
              </w:rPr>
              <w:t xml:space="preserve"> </w:t>
            </w:r>
            <w:r>
              <w:rPr>
                <w:sz w:val="16"/>
              </w:rPr>
              <w:t>and</w:t>
            </w:r>
            <w:r>
              <w:rPr>
                <w:spacing w:val="-6"/>
                <w:sz w:val="16"/>
              </w:rPr>
              <w:t xml:space="preserve"> </w:t>
            </w:r>
            <w:r>
              <w:rPr>
                <w:sz w:val="16"/>
              </w:rPr>
              <w:t>actively seek the level of maximum</w:t>
            </w:r>
            <w:r>
              <w:rPr>
                <w:spacing w:val="-7"/>
                <w:sz w:val="16"/>
              </w:rPr>
              <w:t xml:space="preserve"> </w:t>
            </w:r>
            <w:r>
              <w:rPr>
                <w:sz w:val="16"/>
              </w:rPr>
              <w:t>sustainable employment</w:t>
            </w:r>
            <w:r>
              <w:rPr>
                <w:spacing w:val="-7"/>
                <w:sz w:val="16"/>
              </w:rPr>
              <w:t xml:space="preserve"> </w:t>
            </w:r>
            <w:r>
              <w:rPr>
                <w:sz w:val="16"/>
              </w:rPr>
              <w:t xml:space="preserve">needed to keep inflation on </w:t>
            </w:r>
            <w:r>
              <w:rPr>
                <w:spacing w:val="-2"/>
                <w:sz w:val="16"/>
              </w:rPr>
              <w:t>target.</w:t>
            </w:r>
          </w:p>
        </w:tc>
      </w:tr>
      <w:tr w:rsidR="00831D09" w14:paraId="17006808" w14:textId="77777777" w:rsidTr="003D61B7">
        <w:trPr>
          <w:trHeight w:val="3379"/>
        </w:trPr>
        <w:tc>
          <w:tcPr>
            <w:tcW w:w="583" w:type="pct"/>
            <w:tcBorders>
              <w:top w:val="single" w:sz="4" w:space="0" w:color="auto"/>
              <w:left w:val="nil"/>
              <w:bottom w:val="single" w:sz="4" w:space="0" w:color="auto"/>
            </w:tcBorders>
          </w:tcPr>
          <w:p w14:paraId="74B9EECF" w14:textId="17EBFE3F" w:rsidR="00831D09" w:rsidRDefault="00831D09" w:rsidP="00831D09">
            <w:pPr>
              <w:pStyle w:val="TableParagraph"/>
              <w:spacing w:before="122" w:line="209" w:lineRule="exact"/>
              <w:ind w:left="110"/>
              <w:rPr>
                <w:rFonts w:ascii="Open Sans"/>
                <w:b/>
                <w:sz w:val="16"/>
              </w:rPr>
            </w:pPr>
            <w:r>
              <w:rPr>
                <w:rFonts w:ascii="Open Sans"/>
                <w:b/>
                <w:spacing w:val="-2"/>
                <w:sz w:val="16"/>
              </w:rPr>
              <w:lastRenderedPageBreak/>
              <w:t>European</w:t>
            </w:r>
            <w:r>
              <w:rPr>
                <w:rFonts w:ascii="Open Sans"/>
                <w:b/>
                <w:sz w:val="16"/>
              </w:rPr>
              <w:t xml:space="preserve"> </w:t>
            </w:r>
            <w:r>
              <w:rPr>
                <w:rFonts w:ascii="Open Sans"/>
                <w:b/>
                <w:spacing w:val="-2"/>
                <w:sz w:val="16"/>
              </w:rPr>
              <w:t>Central</w:t>
            </w:r>
            <w:r>
              <w:rPr>
                <w:rFonts w:ascii="Open Sans"/>
                <w:b/>
                <w:sz w:val="16"/>
              </w:rPr>
              <w:t xml:space="preserve"> </w:t>
            </w:r>
            <w:r>
              <w:rPr>
                <w:rFonts w:ascii="Open Sans"/>
                <w:b/>
                <w:spacing w:val="-4"/>
                <w:sz w:val="16"/>
              </w:rPr>
              <w:t>Bank</w:t>
            </w:r>
          </w:p>
        </w:tc>
        <w:tc>
          <w:tcPr>
            <w:tcW w:w="1104" w:type="pct"/>
            <w:tcBorders>
              <w:top w:val="single" w:sz="4" w:space="0" w:color="auto"/>
              <w:bottom w:val="single" w:sz="4" w:space="0" w:color="auto"/>
            </w:tcBorders>
          </w:tcPr>
          <w:p w14:paraId="1C0B7EC7" w14:textId="53856FE8" w:rsidR="00831D09" w:rsidRDefault="00831D09" w:rsidP="00831D09">
            <w:pPr>
              <w:pStyle w:val="TableParagraph"/>
              <w:spacing w:before="136" w:line="220" w:lineRule="auto"/>
              <w:ind w:left="110" w:right="51"/>
              <w:rPr>
                <w:sz w:val="16"/>
              </w:rPr>
            </w:pPr>
            <w:r>
              <w:rPr>
                <w:sz w:val="16"/>
              </w:rPr>
              <w:t>Price stability and without prejudice to the objective of price stability,</w:t>
            </w:r>
            <w:r>
              <w:rPr>
                <w:spacing w:val="-11"/>
                <w:sz w:val="16"/>
              </w:rPr>
              <w:t xml:space="preserve"> </w:t>
            </w:r>
            <w:r>
              <w:rPr>
                <w:sz w:val="16"/>
              </w:rPr>
              <w:t>the</w:t>
            </w:r>
            <w:r>
              <w:rPr>
                <w:spacing w:val="-10"/>
                <w:sz w:val="16"/>
              </w:rPr>
              <w:t xml:space="preserve"> </w:t>
            </w:r>
            <w:r>
              <w:rPr>
                <w:sz w:val="16"/>
              </w:rPr>
              <w:t>European Central Bank shall</w:t>
            </w:r>
            <w:r>
              <w:rPr>
                <w:spacing w:val="40"/>
                <w:sz w:val="16"/>
              </w:rPr>
              <w:t xml:space="preserve"> </w:t>
            </w:r>
            <w:r>
              <w:rPr>
                <w:sz w:val="16"/>
              </w:rPr>
              <w:t>also support the general</w:t>
            </w:r>
            <w:r>
              <w:rPr>
                <w:spacing w:val="-7"/>
                <w:sz w:val="16"/>
              </w:rPr>
              <w:t xml:space="preserve"> </w:t>
            </w:r>
            <w:r>
              <w:rPr>
                <w:sz w:val="16"/>
              </w:rPr>
              <w:t>economic policies in the EU with a view to contributing to the achievement of the Union’s objectives (ECB</w:t>
            </w:r>
            <w:r>
              <w:rPr>
                <w:spacing w:val="-7"/>
                <w:sz w:val="16"/>
              </w:rPr>
              <w:t xml:space="preserve"> </w:t>
            </w:r>
            <w:r>
              <w:rPr>
                <w:sz w:val="16"/>
              </w:rPr>
              <w:t>2021).</w:t>
            </w:r>
          </w:p>
        </w:tc>
        <w:tc>
          <w:tcPr>
            <w:tcW w:w="1104" w:type="pct"/>
            <w:tcBorders>
              <w:top w:val="single" w:sz="4" w:space="0" w:color="auto"/>
              <w:bottom w:val="single" w:sz="4" w:space="0" w:color="auto"/>
            </w:tcBorders>
          </w:tcPr>
          <w:p w14:paraId="000B4A46" w14:textId="220E5B6A" w:rsidR="00831D09" w:rsidRDefault="00831D09" w:rsidP="00831D09">
            <w:pPr>
              <w:pStyle w:val="TableParagraph"/>
              <w:spacing w:before="136" w:line="220" w:lineRule="auto"/>
              <w:ind w:left="110" w:right="156"/>
              <w:rPr>
                <w:sz w:val="16"/>
              </w:rPr>
            </w:pPr>
            <w:r>
              <w:rPr>
                <w:sz w:val="16"/>
              </w:rPr>
              <w:t>The inflation target</w:t>
            </w:r>
            <w:r>
              <w:rPr>
                <w:spacing w:val="80"/>
                <w:sz w:val="16"/>
              </w:rPr>
              <w:t xml:space="preserve"> </w:t>
            </w:r>
            <w:r>
              <w:rPr>
                <w:sz w:val="16"/>
              </w:rPr>
              <w:t>is</w:t>
            </w:r>
            <w:r>
              <w:rPr>
                <w:spacing w:val="-8"/>
                <w:sz w:val="16"/>
              </w:rPr>
              <w:t xml:space="preserve"> </w:t>
            </w:r>
            <w:r>
              <w:rPr>
                <w:sz w:val="16"/>
              </w:rPr>
              <w:t>symmetric</w:t>
            </w:r>
            <w:r>
              <w:rPr>
                <w:spacing w:val="-8"/>
                <w:sz w:val="16"/>
              </w:rPr>
              <w:t xml:space="preserve"> </w:t>
            </w:r>
            <w:r>
              <w:rPr>
                <w:sz w:val="16"/>
              </w:rPr>
              <w:t>at</w:t>
            </w:r>
            <w:r>
              <w:rPr>
                <w:spacing w:val="-8"/>
                <w:sz w:val="16"/>
              </w:rPr>
              <w:t xml:space="preserve"> </w:t>
            </w:r>
            <w:r>
              <w:rPr>
                <w:sz w:val="16"/>
              </w:rPr>
              <w:t>2</w:t>
            </w:r>
            <w:r>
              <w:rPr>
                <w:spacing w:val="-8"/>
                <w:sz w:val="16"/>
              </w:rPr>
              <w:t xml:space="preserve"> </w:t>
            </w:r>
            <w:r>
              <w:rPr>
                <w:sz w:val="16"/>
              </w:rPr>
              <w:t>per cent</w:t>
            </w:r>
            <w:r>
              <w:rPr>
                <w:spacing w:val="-3"/>
                <w:sz w:val="16"/>
              </w:rPr>
              <w:t xml:space="preserve"> </w:t>
            </w:r>
            <w:r>
              <w:rPr>
                <w:sz w:val="16"/>
              </w:rPr>
              <w:t>over</w:t>
            </w:r>
            <w:r>
              <w:rPr>
                <w:spacing w:val="-3"/>
                <w:sz w:val="16"/>
              </w:rPr>
              <w:t xml:space="preserve"> </w:t>
            </w:r>
            <w:r>
              <w:rPr>
                <w:sz w:val="16"/>
              </w:rPr>
              <w:t>the</w:t>
            </w:r>
            <w:r>
              <w:rPr>
                <w:spacing w:val="-3"/>
                <w:sz w:val="16"/>
              </w:rPr>
              <w:t xml:space="preserve"> </w:t>
            </w:r>
            <w:r>
              <w:rPr>
                <w:spacing w:val="-2"/>
                <w:sz w:val="16"/>
              </w:rPr>
              <w:t>medium term.</w:t>
            </w:r>
          </w:p>
        </w:tc>
        <w:tc>
          <w:tcPr>
            <w:tcW w:w="1104" w:type="pct"/>
            <w:tcBorders>
              <w:top w:val="single" w:sz="4" w:space="0" w:color="auto"/>
              <w:bottom w:val="single" w:sz="4" w:space="0" w:color="auto"/>
            </w:tcBorders>
          </w:tcPr>
          <w:p w14:paraId="4C2D18D3" w14:textId="1AA9D115" w:rsidR="00831D09" w:rsidRDefault="00831D09" w:rsidP="00831D09">
            <w:pPr>
              <w:pStyle w:val="TableParagraph"/>
              <w:spacing w:before="111" w:line="209" w:lineRule="exact"/>
              <w:ind w:left="111"/>
              <w:rPr>
                <w:sz w:val="16"/>
              </w:rPr>
            </w:pPr>
            <w:r>
              <w:rPr>
                <w:sz w:val="16"/>
              </w:rPr>
              <w:t>Price</w:t>
            </w:r>
            <w:r>
              <w:rPr>
                <w:spacing w:val="-7"/>
                <w:sz w:val="16"/>
              </w:rPr>
              <w:t xml:space="preserve"> </w:t>
            </w:r>
            <w:r>
              <w:rPr>
                <w:sz w:val="16"/>
              </w:rPr>
              <w:t>stability supports</w:t>
            </w:r>
            <w:r>
              <w:rPr>
                <w:spacing w:val="-11"/>
                <w:sz w:val="16"/>
              </w:rPr>
              <w:t xml:space="preserve"> </w:t>
            </w:r>
            <w:r>
              <w:rPr>
                <w:sz w:val="16"/>
              </w:rPr>
              <w:t>economic growth and job creation</w:t>
            </w:r>
            <w:r>
              <w:rPr>
                <w:spacing w:val="-7"/>
                <w:sz w:val="16"/>
              </w:rPr>
              <w:t xml:space="preserve"> </w:t>
            </w:r>
            <w:r>
              <w:rPr>
                <w:sz w:val="16"/>
              </w:rPr>
              <w:t>(the European</w:t>
            </w:r>
            <w:r>
              <w:rPr>
                <w:spacing w:val="-7"/>
                <w:sz w:val="16"/>
              </w:rPr>
              <w:t xml:space="preserve"> </w:t>
            </w:r>
            <w:r>
              <w:rPr>
                <w:sz w:val="16"/>
              </w:rPr>
              <w:t>Central Bank does not pursue a first-</w:t>
            </w:r>
            <w:r>
              <w:rPr>
                <w:spacing w:val="40"/>
                <w:sz w:val="16"/>
              </w:rPr>
              <w:t xml:space="preserve"> </w:t>
            </w:r>
            <w:r>
              <w:rPr>
                <w:sz w:val="16"/>
              </w:rPr>
              <w:t>order</w:t>
            </w:r>
            <w:r>
              <w:rPr>
                <w:spacing w:val="-7"/>
                <w:sz w:val="16"/>
              </w:rPr>
              <w:t xml:space="preserve"> </w:t>
            </w:r>
            <w:r>
              <w:rPr>
                <w:sz w:val="16"/>
              </w:rPr>
              <w:t xml:space="preserve">employment </w:t>
            </w:r>
            <w:r>
              <w:rPr>
                <w:spacing w:val="-2"/>
                <w:sz w:val="16"/>
              </w:rPr>
              <w:t>objective).</w:t>
            </w:r>
          </w:p>
        </w:tc>
        <w:tc>
          <w:tcPr>
            <w:tcW w:w="1104" w:type="pct"/>
            <w:tcBorders>
              <w:top w:val="single" w:sz="4" w:space="0" w:color="auto"/>
              <w:bottom w:val="single" w:sz="4" w:space="0" w:color="auto"/>
              <w:right w:val="nil"/>
            </w:tcBorders>
          </w:tcPr>
          <w:p w14:paraId="7FC6CFEB" w14:textId="77777777" w:rsidR="00831D09" w:rsidRDefault="00831D09" w:rsidP="00831D09">
            <w:pPr>
              <w:pStyle w:val="TableParagraph"/>
              <w:spacing w:before="136" w:line="220" w:lineRule="auto"/>
              <w:ind w:left="111" w:right="93"/>
              <w:rPr>
                <w:sz w:val="16"/>
              </w:rPr>
            </w:pPr>
            <w:r>
              <w:rPr>
                <w:sz w:val="16"/>
              </w:rPr>
              <w:t>In July 2021, the European</w:t>
            </w:r>
            <w:r>
              <w:rPr>
                <w:spacing w:val="-7"/>
                <w:sz w:val="16"/>
              </w:rPr>
              <w:t xml:space="preserve"> </w:t>
            </w:r>
            <w:r>
              <w:rPr>
                <w:sz w:val="16"/>
              </w:rPr>
              <w:t>Central Bank switched to a symmetric</w:t>
            </w:r>
            <w:r>
              <w:rPr>
                <w:spacing w:val="-7"/>
                <w:sz w:val="16"/>
              </w:rPr>
              <w:t xml:space="preserve"> </w:t>
            </w:r>
            <w:r>
              <w:rPr>
                <w:sz w:val="16"/>
              </w:rPr>
              <w:t>medium- term 2 per cent inflation target. Prior to</w:t>
            </w:r>
            <w:r>
              <w:rPr>
                <w:spacing w:val="-6"/>
                <w:sz w:val="16"/>
              </w:rPr>
              <w:t xml:space="preserve"> </w:t>
            </w:r>
            <w:r>
              <w:rPr>
                <w:sz w:val="16"/>
              </w:rPr>
              <w:t>this</w:t>
            </w:r>
            <w:r>
              <w:rPr>
                <w:spacing w:val="-6"/>
                <w:sz w:val="16"/>
              </w:rPr>
              <w:t xml:space="preserve"> </w:t>
            </w:r>
            <w:r>
              <w:rPr>
                <w:sz w:val="16"/>
              </w:rPr>
              <w:t>its</w:t>
            </w:r>
            <w:r>
              <w:rPr>
                <w:spacing w:val="-6"/>
                <w:sz w:val="16"/>
              </w:rPr>
              <w:t xml:space="preserve"> </w:t>
            </w:r>
            <w:r>
              <w:rPr>
                <w:sz w:val="16"/>
              </w:rPr>
              <w:t xml:space="preserve">quantitative definition was below but close to 2 per </w:t>
            </w:r>
            <w:r>
              <w:rPr>
                <w:spacing w:val="-2"/>
                <w:sz w:val="16"/>
              </w:rPr>
              <w:t>cent.</w:t>
            </w:r>
          </w:p>
          <w:p w14:paraId="791E35BC" w14:textId="09235A8B" w:rsidR="00831D09" w:rsidRDefault="00831D09" w:rsidP="00831D09">
            <w:pPr>
              <w:pStyle w:val="TableParagraph"/>
              <w:spacing w:before="125" w:line="220" w:lineRule="auto"/>
              <w:ind w:left="111" w:right="55"/>
              <w:rPr>
                <w:sz w:val="16"/>
              </w:rPr>
            </w:pPr>
            <w:r>
              <w:rPr>
                <w:sz w:val="16"/>
              </w:rPr>
              <w:t>The new target was expected to help</w:t>
            </w:r>
            <w:r>
              <w:rPr>
                <w:spacing w:val="40"/>
                <w:sz w:val="16"/>
              </w:rPr>
              <w:t xml:space="preserve"> </w:t>
            </w:r>
            <w:r>
              <w:rPr>
                <w:sz w:val="16"/>
              </w:rPr>
              <w:t>bring up low inflation by contributing to anchoring</w:t>
            </w:r>
            <w:r>
              <w:rPr>
                <w:spacing w:val="-11"/>
                <w:sz w:val="16"/>
              </w:rPr>
              <w:t xml:space="preserve"> </w:t>
            </w:r>
            <w:r>
              <w:rPr>
                <w:sz w:val="16"/>
              </w:rPr>
              <w:t>longer-term inflation</w:t>
            </w:r>
            <w:r>
              <w:rPr>
                <w:spacing w:val="-7"/>
                <w:sz w:val="16"/>
              </w:rPr>
              <w:t xml:space="preserve"> </w:t>
            </w:r>
            <w:r>
              <w:rPr>
                <w:sz w:val="16"/>
              </w:rPr>
              <w:t>expectations more</w:t>
            </w:r>
            <w:r>
              <w:rPr>
                <w:spacing w:val="-7"/>
                <w:sz w:val="16"/>
              </w:rPr>
              <w:t xml:space="preserve"> </w:t>
            </w:r>
            <w:r>
              <w:rPr>
                <w:sz w:val="16"/>
              </w:rPr>
              <w:t>solidly.</w:t>
            </w:r>
          </w:p>
        </w:tc>
      </w:tr>
      <w:tr w:rsidR="005600BD" w14:paraId="26C28631" w14:textId="77777777" w:rsidTr="003D61B7">
        <w:trPr>
          <w:trHeight w:val="3379"/>
        </w:trPr>
        <w:tc>
          <w:tcPr>
            <w:tcW w:w="583" w:type="pct"/>
            <w:tcBorders>
              <w:top w:val="single" w:sz="4" w:space="0" w:color="auto"/>
              <w:left w:val="nil"/>
              <w:bottom w:val="single" w:sz="8" w:space="0" w:color="204160"/>
            </w:tcBorders>
          </w:tcPr>
          <w:p w14:paraId="4591AA78" w14:textId="63DAF1C2" w:rsidR="005600BD" w:rsidRDefault="005600BD" w:rsidP="005600BD">
            <w:pPr>
              <w:pStyle w:val="TableParagraph"/>
              <w:spacing w:before="122" w:line="209" w:lineRule="exact"/>
              <w:ind w:left="110"/>
              <w:rPr>
                <w:rFonts w:ascii="Open Sans"/>
                <w:b/>
                <w:spacing w:val="-2"/>
                <w:sz w:val="16"/>
              </w:rPr>
            </w:pPr>
            <w:r>
              <w:rPr>
                <w:rFonts w:ascii="Open Sans"/>
                <w:b/>
                <w:sz w:val="16"/>
              </w:rPr>
              <w:t>Bank</w:t>
            </w:r>
            <w:r>
              <w:rPr>
                <w:rFonts w:ascii="Open Sans"/>
                <w:b/>
                <w:spacing w:val="-11"/>
                <w:sz w:val="16"/>
              </w:rPr>
              <w:t xml:space="preserve"> </w:t>
            </w:r>
            <w:r>
              <w:rPr>
                <w:rFonts w:ascii="Open Sans"/>
                <w:b/>
                <w:sz w:val="16"/>
              </w:rPr>
              <w:t xml:space="preserve">of </w:t>
            </w:r>
            <w:r>
              <w:rPr>
                <w:rFonts w:ascii="Open Sans"/>
                <w:b/>
                <w:spacing w:val="-2"/>
                <w:sz w:val="16"/>
              </w:rPr>
              <w:t>Korea</w:t>
            </w:r>
          </w:p>
        </w:tc>
        <w:tc>
          <w:tcPr>
            <w:tcW w:w="1104" w:type="pct"/>
            <w:tcBorders>
              <w:top w:val="single" w:sz="4" w:space="0" w:color="auto"/>
              <w:bottom w:val="single" w:sz="8" w:space="0" w:color="204160"/>
            </w:tcBorders>
          </w:tcPr>
          <w:p w14:paraId="00459B09" w14:textId="61797A23" w:rsidR="005600BD" w:rsidRDefault="005600BD" w:rsidP="005600BD">
            <w:pPr>
              <w:pStyle w:val="TableParagraph"/>
              <w:spacing w:before="136" w:line="220" w:lineRule="auto"/>
              <w:ind w:left="110" w:right="51"/>
              <w:rPr>
                <w:sz w:val="16"/>
              </w:rPr>
            </w:pPr>
            <w:r>
              <w:rPr>
                <w:sz w:val="16"/>
              </w:rPr>
              <w:t>To contribute to the sound</w:t>
            </w:r>
            <w:r>
              <w:rPr>
                <w:spacing w:val="-7"/>
                <w:sz w:val="16"/>
              </w:rPr>
              <w:t xml:space="preserve"> </w:t>
            </w:r>
            <w:r>
              <w:rPr>
                <w:sz w:val="16"/>
              </w:rPr>
              <w:t>development</w:t>
            </w:r>
            <w:r>
              <w:rPr>
                <w:spacing w:val="40"/>
                <w:sz w:val="16"/>
              </w:rPr>
              <w:t xml:space="preserve"> </w:t>
            </w:r>
            <w:r>
              <w:rPr>
                <w:sz w:val="16"/>
              </w:rPr>
              <w:t>of the national economy</w:t>
            </w:r>
            <w:r>
              <w:rPr>
                <w:spacing w:val="-1"/>
                <w:sz w:val="16"/>
              </w:rPr>
              <w:t xml:space="preserve"> </w:t>
            </w:r>
            <w:r>
              <w:rPr>
                <w:sz w:val="16"/>
              </w:rPr>
              <w:t>by</w:t>
            </w:r>
            <w:r>
              <w:rPr>
                <w:spacing w:val="-1"/>
                <w:sz w:val="16"/>
              </w:rPr>
              <w:t xml:space="preserve"> </w:t>
            </w:r>
            <w:r>
              <w:rPr>
                <w:sz w:val="16"/>
              </w:rPr>
              <w:t>pursuing price</w:t>
            </w:r>
            <w:r>
              <w:rPr>
                <w:spacing w:val="-7"/>
                <w:sz w:val="16"/>
              </w:rPr>
              <w:t xml:space="preserve"> </w:t>
            </w:r>
            <w:r>
              <w:rPr>
                <w:sz w:val="16"/>
              </w:rPr>
              <w:t>stability</w:t>
            </w:r>
            <w:r>
              <w:rPr>
                <w:spacing w:val="-7"/>
                <w:sz w:val="16"/>
              </w:rPr>
              <w:t xml:space="preserve"> </w:t>
            </w:r>
            <w:r>
              <w:rPr>
                <w:sz w:val="16"/>
              </w:rPr>
              <w:t>through the formulation and implementation</w:t>
            </w:r>
            <w:r>
              <w:rPr>
                <w:spacing w:val="-7"/>
                <w:sz w:val="16"/>
              </w:rPr>
              <w:t xml:space="preserve"> </w:t>
            </w:r>
            <w:r>
              <w:rPr>
                <w:sz w:val="16"/>
              </w:rPr>
              <w:t>of efficient</w:t>
            </w:r>
            <w:r>
              <w:rPr>
                <w:spacing w:val="-7"/>
                <w:sz w:val="16"/>
              </w:rPr>
              <w:t xml:space="preserve"> </w:t>
            </w:r>
            <w:r>
              <w:rPr>
                <w:sz w:val="16"/>
              </w:rPr>
              <w:t xml:space="preserve">monetary policy (Bank of Korea </w:t>
            </w:r>
            <w:r>
              <w:rPr>
                <w:spacing w:val="-2"/>
                <w:sz w:val="16"/>
              </w:rPr>
              <w:t>2023).</w:t>
            </w:r>
          </w:p>
        </w:tc>
        <w:tc>
          <w:tcPr>
            <w:tcW w:w="1104" w:type="pct"/>
            <w:tcBorders>
              <w:top w:val="single" w:sz="4" w:space="0" w:color="auto"/>
              <w:bottom w:val="single" w:sz="8" w:space="0" w:color="204160"/>
            </w:tcBorders>
          </w:tcPr>
          <w:p w14:paraId="095948CB" w14:textId="78ACBA20" w:rsidR="005600BD" w:rsidRDefault="005600BD" w:rsidP="005600BD">
            <w:pPr>
              <w:pStyle w:val="TableParagraph"/>
              <w:spacing w:before="125" w:line="220" w:lineRule="auto"/>
              <w:ind w:left="110" w:right="87"/>
              <w:rPr>
                <w:sz w:val="16"/>
              </w:rPr>
            </w:pPr>
            <w:r>
              <w:rPr>
                <w:sz w:val="16"/>
              </w:rPr>
              <w:t>The</w:t>
            </w:r>
            <w:r>
              <w:rPr>
                <w:spacing w:val="-10"/>
                <w:sz w:val="16"/>
              </w:rPr>
              <w:t xml:space="preserve"> </w:t>
            </w:r>
            <w:r>
              <w:rPr>
                <w:sz w:val="16"/>
              </w:rPr>
              <w:t>Bank</w:t>
            </w:r>
            <w:r>
              <w:rPr>
                <w:spacing w:val="-10"/>
                <w:sz w:val="16"/>
              </w:rPr>
              <w:t xml:space="preserve"> </w:t>
            </w:r>
            <w:r>
              <w:rPr>
                <w:sz w:val="16"/>
              </w:rPr>
              <w:t>of</w:t>
            </w:r>
            <w:r>
              <w:rPr>
                <w:spacing w:val="-10"/>
                <w:sz w:val="16"/>
              </w:rPr>
              <w:t xml:space="preserve"> </w:t>
            </w:r>
            <w:r>
              <w:rPr>
                <w:sz w:val="16"/>
              </w:rPr>
              <w:t>Korea</w:t>
            </w:r>
            <w:r>
              <w:rPr>
                <w:spacing w:val="-10"/>
                <w:sz w:val="16"/>
              </w:rPr>
              <w:t xml:space="preserve"> </w:t>
            </w:r>
            <w:r>
              <w:rPr>
                <w:sz w:val="16"/>
              </w:rPr>
              <w:t>will conduct its monetary policy with the aim of keeping CPI inflation at 2 per cent over the medium term, while</w:t>
            </w:r>
            <w:r>
              <w:rPr>
                <w:spacing w:val="-7"/>
                <w:sz w:val="16"/>
              </w:rPr>
              <w:t xml:space="preserve"> </w:t>
            </w:r>
            <w:r>
              <w:rPr>
                <w:sz w:val="16"/>
              </w:rPr>
              <w:t>considering symmetrically</w:t>
            </w:r>
            <w:r>
              <w:rPr>
                <w:spacing w:val="-7"/>
                <w:sz w:val="16"/>
              </w:rPr>
              <w:t xml:space="preserve"> </w:t>
            </w:r>
            <w:r>
              <w:rPr>
                <w:sz w:val="16"/>
              </w:rPr>
              <w:t>the</w:t>
            </w:r>
            <w:r>
              <w:rPr>
                <w:spacing w:val="40"/>
                <w:sz w:val="16"/>
              </w:rPr>
              <w:t xml:space="preserve"> </w:t>
            </w:r>
            <w:r>
              <w:rPr>
                <w:sz w:val="16"/>
              </w:rPr>
              <w:t>risks of inflation remaining</w:t>
            </w:r>
            <w:r>
              <w:rPr>
                <w:spacing w:val="-11"/>
                <w:sz w:val="16"/>
              </w:rPr>
              <w:t xml:space="preserve"> </w:t>
            </w:r>
            <w:r>
              <w:rPr>
                <w:sz w:val="16"/>
              </w:rPr>
              <w:t xml:space="preserve">persistently above or below the </w:t>
            </w:r>
            <w:r>
              <w:rPr>
                <w:spacing w:val="-2"/>
                <w:sz w:val="16"/>
              </w:rPr>
              <w:t>target.</w:t>
            </w:r>
          </w:p>
        </w:tc>
        <w:tc>
          <w:tcPr>
            <w:tcW w:w="1104" w:type="pct"/>
            <w:tcBorders>
              <w:top w:val="single" w:sz="4" w:space="0" w:color="auto"/>
              <w:bottom w:val="single" w:sz="8" w:space="0" w:color="204160"/>
            </w:tcBorders>
          </w:tcPr>
          <w:p w14:paraId="125E546A" w14:textId="77777777" w:rsidR="005600BD" w:rsidRDefault="005600BD" w:rsidP="005600BD">
            <w:pPr>
              <w:pStyle w:val="TableParagraph"/>
              <w:spacing w:before="125" w:line="220" w:lineRule="auto"/>
              <w:ind w:left="111" w:right="249"/>
              <w:rPr>
                <w:sz w:val="16"/>
              </w:rPr>
            </w:pPr>
            <w:r>
              <w:rPr>
                <w:sz w:val="16"/>
              </w:rPr>
              <w:t>By pursuing price stability,</w:t>
            </w:r>
            <w:r>
              <w:rPr>
                <w:spacing w:val="-7"/>
                <w:sz w:val="16"/>
              </w:rPr>
              <w:t xml:space="preserve"> </w:t>
            </w:r>
            <w:r>
              <w:rPr>
                <w:sz w:val="16"/>
              </w:rPr>
              <w:t>monetary policy</w:t>
            </w:r>
            <w:r>
              <w:rPr>
                <w:spacing w:val="-7"/>
                <w:sz w:val="16"/>
              </w:rPr>
              <w:t xml:space="preserve"> </w:t>
            </w:r>
            <w:r>
              <w:rPr>
                <w:sz w:val="16"/>
              </w:rPr>
              <w:t>contributes</w:t>
            </w:r>
            <w:r>
              <w:rPr>
                <w:spacing w:val="40"/>
                <w:sz w:val="16"/>
              </w:rPr>
              <w:t xml:space="preserve"> </w:t>
            </w:r>
            <w:r>
              <w:rPr>
                <w:sz w:val="16"/>
              </w:rPr>
              <w:t>to the sound development</w:t>
            </w:r>
            <w:r>
              <w:rPr>
                <w:spacing w:val="-11"/>
                <w:sz w:val="16"/>
              </w:rPr>
              <w:t xml:space="preserve"> </w:t>
            </w:r>
            <w:r>
              <w:rPr>
                <w:sz w:val="16"/>
              </w:rPr>
              <w:t>of</w:t>
            </w:r>
            <w:r>
              <w:rPr>
                <w:spacing w:val="-10"/>
                <w:sz w:val="16"/>
              </w:rPr>
              <w:t xml:space="preserve"> </w:t>
            </w:r>
            <w:r>
              <w:rPr>
                <w:sz w:val="16"/>
              </w:rPr>
              <w:t>the national</w:t>
            </w:r>
            <w:r>
              <w:rPr>
                <w:spacing w:val="-7"/>
                <w:sz w:val="16"/>
              </w:rPr>
              <w:t xml:space="preserve"> </w:t>
            </w:r>
            <w:r>
              <w:rPr>
                <w:sz w:val="16"/>
              </w:rPr>
              <w:t>economy.</w:t>
            </w:r>
          </w:p>
          <w:p w14:paraId="414A40C8" w14:textId="47D931E3" w:rsidR="005600BD" w:rsidRDefault="005600BD" w:rsidP="005600BD">
            <w:pPr>
              <w:pStyle w:val="TableParagraph"/>
              <w:spacing w:before="111" w:line="209" w:lineRule="exact"/>
              <w:ind w:left="111"/>
              <w:rPr>
                <w:sz w:val="16"/>
              </w:rPr>
            </w:pPr>
            <w:r>
              <w:rPr>
                <w:sz w:val="16"/>
              </w:rPr>
              <w:t xml:space="preserve">There is no </w:t>
            </w:r>
            <w:r>
              <w:rPr>
                <w:spacing w:val="-2"/>
                <w:sz w:val="16"/>
              </w:rPr>
              <w:t>employment</w:t>
            </w:r>
            <w:r>
              <w:rPr>
                <w:sz w:val="16"/>
              </w:rPr>
              <w:t xml:space="preserve"> </w:t>
            </w:r>
            <w:r>
              <w:rPr>
                <w:spacing w:val="-2"/>
                <w:sz w:val="16"/>
              </w:rPr>
              <w:t>objective.</w:t>
            </w:r>
          </w:p>
        </w:tc>
        <w:tc>
          <w:tcPr>
            <w:tcW w:w="1104" w:type="pct"/>
            <w:tcBorders>
              <w:top w:val="single" w:sz="4" w:space="0" w:color="auto"/>
              <w:bottom w:val="single" w:sz="8" w:space="0" w:color="204160"/>
              <w:right w:val="nil"/>
            </w:tcBorders>
          </w:tcPr>
          <w:p w14:paraId="58A400E0" w14:textId="725BA0F6" w:rsidR="005600BD" w:rsidRDefault="005600BD" w:rsidP="005600BD">
            <w:pPr>
              <w:pStyle w:val="TableParagraph"/>
              <w:spacing w:before="136" w:line="220" w:lineRule="auto"/>
              <w:ind w:left="111" w:right="93"/>
              <w:rPr>
                <w:sz w:val="16"/>
              </w:rPr>
            </w:pPr>
            <w:r>
              <w:rPr>
                <w:sz w:val="16"/>
              </w:rPr>
              <w:t>In 2019, the target was lowered to 2 per</w:t>
            </w:r>
            <w:r>
              <w:rPr>
                <w:spacing w:val="-10"/>
                <w:sz w:val="16"/>
              </w:rPr>
              <w:t xml:space="preserve"> </w:t>
            </w:r>
            <w:r>
              <w:rPr>
                <w:sz w:val="16"/>
              </w:rPr>
              <w:t>cent</w:t>
            </w:r>
            <w:r>
              <w:rPr>
                <w:spacing w:val="-10"/>
                <w:sz w:val="16"/>
              </w:rPr>
              <w:t xml:space="preserve"> </w:t>
            </w:r>
            <w:r>
              <w:rPr>
                <w:sz w:val="16"/>
              </w:rPr>
              <w:t>from</w:t>
            </w:r>
            <w:r>
              <w:rPr>
                <w:spacing w:val="-10"/>
                <w:sz w:val="16"/>
              </w:rPr>
              <w:t xml:space="preserve"> </w:t>
            </w:r>
            <w:r>
              <w:rPr>
                <w:sz w:val="16"/>
              </w:rPr>
              <w:t>3</w:t>
            </w:r>
            <w:r>
              <w:rPr>
                <w:spacing w:val="-10"/>
                <w:sz w:val="16"/>
              </w:rPr>
              <w:t xml:space="preserve"> </w:t>
            </w:r>
            <w:r>
              <w:rPr>
                <w:sz w:val="16"/>
              </w:rPr>
              <w:t>per cent (with a target band</w:t>
            </w:r>
            <w:r>
              <w:rPr>
                <w:spacing w:val="-3"/>
                <w:sz w:val="16"/>
              </w:rPr>
              <w:t xml:space="preserve"> </w:t>
            </w:r>
            <w:r>
              <w:rPr>
                <w:sz w:val="16"/>
              </w:rPr>
              <w:t>of</w:t>
            </w:r>
            <w:r>
              <w:rPr>
                <w:spacing w:val="-3"/>
                <w:sz w:val="16"/>
              </w:rPr>
              <w:t xml:space="preserve"> </w:t>
            </w:r>
            <w:r>
              <w:rPr>
                <w:sz w:val="16"/>
              </w:rPr>
              <w:t>2.5-3.5</w:t>
            </w:r>
            <w:r>
              <w:rPr>
                <w:spacing w:val="-3"/>
                <w:sz w:val="16"/>
              </w:rPr>
              <w:t xml:space="preserve"> </w:t>
            </w:r>
            <w:r>
              <w:rPr>
                <w:sz w:val="16"/>
              </w:rPr>
              <w:t xml:space="preserve">per </w:t>
            </w:r>
            <w:r>
              <w:rPr>
                <w:spacing w:val="-2"/>
                <w:sz w:val="16"/>
              </w:rPr>
              <w:t>cent).</w:t>
            </w:r>
          </w:p>
        </w:tc>
      </w:tr>
    </w:tbl>
    <w:p w14:paraId="7CDD9338" w14:textId="3CD99E33" w:rsidR="009B07D5" w:rsidRDefault="009B07D5" w:rsidP="002F3C72"/>
    <w:p w14:paraId="0396EF4F" w14:textId="77777777" w:rsidR="009B07D5" w:rsidRDefault="009B07D5">
      <w:pPr>
        <w:spacing w:before="0" w:after="160" w:line="259" w:lineRule="auto"/>
      </w:pPr>
      <w:r>
        <w:br w:type="page"/>
      </w:r>
    </w:p>
    <w:p w14:paraId="3FFF4BF5" w14:textId="77777777" w:rsidR="004E356E" w:rsidRDefault="004E356E" w:rsidP="004E356E">
      <w:pPr>
        <w:pStyle w:val="Heading1"/>
      </w:pPr>
      <w:bookmarkStart w:id="73" w:name="_Toc134221043"/>
      <w:r>
        <w:lastRenderedPageBreak/>
        <w:t>Appendix</w:t>
      </w:r>
      <w:r>
        <w:rPr>
          <w:spacing w:val="-23"/>
        </w:rPr>
        <w:t xml:space="preserve"> </w:t>
      </w:r>
      <w:r>
        <w:t>4:</w:t>
      </w:r>
      <w:r>
        <w:rPr>
          <w:spacing w:val="-21"/>
        </w:rPr>
        <w:t xml:space="preserve"> </w:t>
      </w:r>
      <w:r>
        <w:t>Methodology</w:t>
      </w:r>
      <w:bookmarkEnd w:id="73"/>
    </w:p>
    <w:p w14:paraId="04BBB607" w14:textId="77777777" w:rsidR="004E356E" w:rsidRDefault="004E356E" w:rsidP="004E356E">
      <w:pPr>
        <w:pStyle w:val="Heading2"/>
      </w:pPr>
      <w:bookmarkStart w:id="74" w:name="_Toc134221044"/>
      <w:r>
        <w:t>Timeline</w:t>
      </w:r>
      <w:r>
        <w:rPr>
          <w:spacing w:val="-18"/>
        </w:rPr>
        <w:t xml:space="preserve"> </w:t>
      </w:r>
      <w:r>
        <w:t>and</w:t>
      </w:r>
      <w:r>
        <w:rPr>
          <w:spacing w:val="-17"/>
        </w:rPr>
        <w:t xml:space="preserve"> </w:t>
      </w:r>
      <w:r>
        <w:t>Process</w:t>
      </w:r>
      <w:bookmarkEnd w:id="74"/>
    </w:p>
    <w:p w14:paraId="0E694D38" w14:textId="77777777" w:rsidR="004E356E" w:rsidRDefault="004E356E" w:rsidP="004E356E">
      <w:r>
        <w:t>On July 20, 2022, the Australian Government announced an independent review of the Reserve Bank of Australia (the Review).</w:t>
      </w:r>
    </w:p>
    <w:p w14:paraId="78C4122A" w14:textId="77777777" w:rsidR="004E356E" w:rsidRDefault="004E356E" w:rsidP="004E356E">
      <w:r>
        <w:t>The Review was led by 3 expert panellists – Dr Gordon de Brouwer PSM, Professor Renee Fry-McKibbin and Professor Carolyn A. Wilkins (the Panel).</w:t>
      </w:r>
    </w:p>
    <w:p w14:paraId="14F9D7A3" w14:textId="77777777" w:rsidR="004E356E" w:rsidRDefault="004E356E" w:rsidP="004E356E">
      <w:r>
        <w:t>Consistent with the Terms of Reference, the Panel considered the RBA’s objectives, performance, governance, culture and management and the interaction between monetary, fiscal and macroprudential policy. See Appendix 1 for the full Terms of Reference.</w:t>
      </w:r>
    </w:p>
    <w:p w14:paraId="4FD23DCA" w14:textId="77777777" w:rsidR="004E356E" w:rsidRDefault="004E356E" w:rsidP="004E356E">
      <w:r>
        <w:t>The Australian Government asked the Panel to produce a report and recommendations by the end of March 2023 (Figure 1).</w:t>
      </w:r>
    </w:p>
    <w:p w14:paraId="30DCEEEC" w14:textId="34DD9A86" w:rsidR="00041306" w:rsidRDefault="00041306" w:rsidP="00041306">
      <w:pPr>
        <w:pStyle w:val="BoxHeading"/>
        <w:rPr>
          <w:spacing w:val="-2"/>
        </w:rPr>
      </w:pPr>
      <w:r>
        <w:t>Figure</w:t>
      </w:r>
      <w:r>
        <w:rPr>
          <w:spacing w:val="-3"/>
        </w:rPr>
        <w:t xml:space="preserve"> </w:t>
      </w:r>
      <w:r>
        <w:t>1:</w:t>
      </w:r>
      <w:r>
        <w:rPr>
          <w:spacing w:val="-3"/>
        </w:rPr>
        <w:t xml:space="preserve"> </w:t>
      </w:r>
      <w:r>
        <w:rPr>
          <w:spacing w:val="-2"/>
        </w:rPr>
        <w:t>Timeline</w:t>
      </w:r>
    </w:p>
    <w:p w14:paraId="574D383E" w14:textId="36973232" w:rsidR="003D61B7" w:rsidRPr="003D61B7" w:rsidRDefault="003D61B7" w:rsidP="003D61B7">
      <w:pPr>
        <w:jc w:val="center"/>
      </w:pPr>
      <w:r>
        <w:rPr>
          <w:noProof/>
        </w:rPr>
        <w:drawing>
          <wp:inline distT="0" distB="0" distL="0" distR="0" wp14:anchorId="616D660E" wp14:editId="100633B8">
            <wp:extent cx="5128270" cy="3270511"/>
            <wp:effectExtent l="0" t="0" r="0" b="6350"/>
            <wp:docPr id="57" name="Picture 57" descr="A timeline of the key dates from throughout the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timeline of the key dates from throughout the review.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28270" cy="3270511"/>
                    </a:xfrm>
                    <a:prstGeom prst="rect">
                      <a:avLst/>
                    </a:prstGeom>
                  </pic:spPr>
                </pic:pic>
              </a:graphicData>
            </a:graphic>
          </wp:inline>
        </w:drawing>
      </w:r>
    </w:p>
    <w:p w14:paraId="7B2A8200" w14:textId="0D82344F" w:rsidR="00863053" w:rsidRDefault="00863053" w:rsidP="004F1C35">
      <w:r>
        <w:t>The Panel was supported by a Secretariat of 18 staff members drawn from Treasury, RBA and</w:t>
      </w:r>
      <w:r>
        <w:rPr>
          <w:spacing w:val="40"/>
        </w:rPr>
        <w:t xml:space="preserve"> </w:t>
      </w:r>
      <w:r>
        <w:t>APRA. The Panel put in place secondment agreements to make it clear that the Secretariat was obliged to act in the interests of the Review, under the direction of the Panel and Review executive.</w:t>
      </w:r>
      <w:r w:rsidR="0032261D">
        <w:t xml:space="preserve"> </w:t>
      </w:r>
      <w:r>
        <w:t>This also made it clear that members of the Secretariat were to act independently of their home agencies.</w:t>
      </w:r>
    </w:p>
    <w:p w14:paraId="28CA21C7" w14:textId="77777777" w:rsidR="00863053" w:rsidRDefault="00863053" w:rsidP="004F1C35">
      <w:r>
        <w:t>On</w:t>
      </w:r>
      <w:r>
        <w:rPr>
          <w:spacing w:val="-2"/>
        </w:rPr>
        <w:t xml:space="preserve"> </w:t>
      </w:r>
      <w:r>
        <w:t>15</w:t>
      </w:r>
      <w:r>
        <w:rPr>
          <w:spacing w:val="-2"/>
        </w:rPr>
        <w:t xml:space="preserve"> </w:t>
      </w:r>
      <w:r>
        <w:t>September</w:t>
      </w:r>
      <w:r>
        <w:rPr>
          <w:spacing w:val="-2"/>
        </w:rPr>
        <w:t xml:space="preserve"> </w:t>
      </w:r>
      <w:r>
        <w:t>2022</w:t>
      </w:r>
      <w:r>
        <w:rPr>
          <w:spacing w:val="-2"/>
        </w:rPr>
        <w:t xml:space="preserve"> </w:t>
      </w:r>
      <w:r>
        <w:t>the</w:t>
      </w:r>
      <w:r>
        <w:rPr>
          <w:spacing w:val="-2"/>
        </w:rPr>
        <w:t xml:space="preserve"> </w:t>
      </w:r>
      <w:r>
        <w:t>Review</w:t>
      </w:r>
      <w:r>
        <w:rPr>
          <w:spacing w:val="-2"/>
        </w:rPr>
        <w:t xml:space="preserve"> </w:t>
      </w:r>
      <w:r>
        <w:t>published</w:t>
      </w:r>
      <w:r>
        <w:rPr>
          <w:spacing w:val="-2"/>
        </w:rPr>
        <w:t xml:space="preserve"> </w:t>
      </w:r>
      <w:r>
        <w:t>an</w:t>
      </w:r>
      <w:r>
        <w:rPr>
          <w:spacing w:val="-2"/>
        </w:rPr>
        <w:t xml:space="preserve"> </w:t>
      </w:r>
      <w:r>
        <w:t>Issues</w:t>
      </w:r>
      <w:r>
        <w:rPr>
          <w:spacing w:val="-2"/>
        </w:rPr>
        <w:t xml:space="preserve"> </w:t>
      </w:r>
      <w:r>
        <w:t>Paper</w:t>
      </w:r>
      <w:r>
        <w:rPr>
          <w:spacing w:val="-2"/>
        </w:rPr>
        <w:t xml:space="preserve"> </w:t>
      </w:r>
      <w:r>
        <w:t>to</w:t>
      </w:r>
      <w:r>
        <w:rPr>
          <w:spacing w:val="-2"/>
        </w:rPr>
        <w:t xml:space="preserve"> </w:t>
      </w:r>
      <w:r>
        <w:t>inform</w:t>
      </w:r>
      <w:r>
        <w:rPr>
          <w:spacing w:val="-2"/>
        </w:rPr>
        <w:t xml:space="preserve"> </w:t>
      </w:r>
      <w:r>
        <w:t>a</w:t>
      </w:r>
      <w:r>
        <w:rPr>
          <w:spacing w:val="-2"/>
        </w:rPr>
        <w:t xml:space="preserve"> </w:t>
      </w:r>
      <w:r>
        <w:t>public</w:t>
      </w:r>
      <w:r>
        <w:rPr>
          <w:spacing w:val="-2"/>
        </w:rPr>
        <w:t xml:space="preserve"> </w:t>
      </w:r>
      <w:r>
        <w:t>submissions process, which ran from 15 September to 7 November 2022.</w:t>
      </w:r>
    </w:p>
    <w:p w14:paraId="6D7E98CC" w14:textId="77777777" w:rsidR="00863053" w:rsidRDefault="00863053" w:rsidP="004F1C35">
      <w:r>
        <w:t>The Panel held a public event hosted by the Committee for Economic Development of Australia (CEDA)</w:t>
      </w:r>
      <w:r>
        <w:rPr>
          <w:spacing w:val="-1"/>
        </w:rPr>
        <w:t xml:space="preserve"> </w:t>
      </w:r>
      <w:r>
        <w:t>in</w:t>
      </w:r>
      <w:r>
        <w:rPr>
          <w:spacing w:val="-1"/>
        </w:rPr>
        <w:t xml:space="preserve"> </w:t>
      </w:r>
      <w:r>
        <w:t>Sydney</w:t>
      </w:r>
      <w:r>
        <w:rPr>
          <w:spacing w:val="-1"/>
        </w:rPr>
        <w:t xml:space="preserve"> </w:t>
      </w:r>
      <w:r>
        <w:t>on</w:t>
      </w:r>
      <w:r>
        <w:rPr>
          <w:spacing w:val="-1"/>
        </w:rPr>
        <w:t xml:space="preserve"> </w:t>
      </w:r>
      <w:r>
        <w:t>24</w:t>
      </w:r>
      <w:r>
        <w:rPr>
          <w:spacing w:val="-1"/>
        </w:rPr>
        <w:t xml:space="preserve"> </w:t>
      </w:r>
      <w:r>
        <w:t>November</w:t>
      </w:r>
      <w:r>
        <w:rPr>
          <w:spacing w:val="-1"/>
        </w:rPr>
        <w:t xml:space="preserve"> </w:t>
      </w:r>
      <w:r>
        <w:t>2022.</w:t>
      </w:r>
      <w:r>
        <w:rPr>
          <w:spacing w:val="-1"/>
        </w:rPr>
        <w:t xml:space="preserve"> </w:t>
      </w:r>
      <w:r>
        <w:t>The</w:t>
      </w:r>
      <w:r>
        <w:rPr>
          <w:spacing w:val="-1"/>
        </w:rPr>
        <w:t xml:space="preserve"> </w:t>
      </w:r>
      <w:r>
        <w:t>Panel</w:t>
      </w:r>
      <w:r>
        <w:rPr>
          <w:spacing w:val="-1"/>
        </w:rPr>
        <w:t xml:space="preserve"> </w:t>
      </w:r>
      <w:r>
        <w:t>discussed</w:t>
      </w:r>
      <w:r>
        <w:rPr>
          <w:spacing w:val="-1"/>
        </w:rPr>
        <w:t xml:space="preserve"> </w:t>
      </w:r>
      <w:r>
        <w:t>the</w:t>
      </w:r>
      <w:r>
        <w:rPr>
          <w:spacing w:val="-1"/>
        </w:rPr>
        <w:t xml:space="preserve"> </w:t>
      </w:r>
      <w:r>
        <w:t>issues</w:t>
      </w:r>
      <w:r>
        <w:rPr>
          <w:spacing w:val="-1"/>
        </w:rPr>
        <w:t xml:space="preserve"> </w:t>
      </w:r>
      <w:r>
        <w:t>that</w:t>
      </w:r>
      <w:r>
        <w:rPr>
          <w:spacing w:val="-1"/>
        </w:rPr>
        <w:t xml:space="preserve"> </w:t>
      </w:r>
      <w:r>
        <w:t>had</w:t>
      </w:r>
      <w:r>
        <w:rPr>
          <w:spacing w:val="-1"/>
        </w:rPr>
        <w:t xml:space="preserve"> </w:t>
      </w:r>
      <w:r>
        <w:t>been</w:t>
      </w:r>
      <w:r>
        <w:rPr>
          <w:spacing w:val="-1"/>
        </w:rPr>
        <w:t xml:space="preserve"> </w:t>
      </w:r>
      <w:r>
        <w:t>raised</w:t>
      </w:r>
      <w:r>
        <w:rPr>
          <w:spacing w:val="-1"/>
        </w:rPr>
        <w:t xml:space="preserve"> </w:t>
      </w:r>
      <w:r>
        <w:t>and balance of viewpoints from their consultations and public submissions and answered questions from the audience. The Panel held a similar closed event with RBA staff on 23 November 2022.</w:t>
      </w:r>
    </w:p>
    <w:p w14:paraId="36F9861C" w14:textId="0BE80FCD" w:rsidR="008A04A6" w:rsidRDefault="00863053" w:rsidP="001C6AE1">
      <w:pPr>
        <w:rPr>
          <w:spacing w:val="-2"/>
        </w:rPr>
      </w:pPr>
      <w:r>
        <w:rPr>
          <w:noProof/>
        </w:rPr>
        <mc:AlternateContent>
          <mc:Choice Requires="wps">
            <w:drawing>
              <wp:anchor distT="0" distB="0" distL="114300" distR="114300" simplePos="0" relativeHeight="251658248" behindDoc="1" locked="0" layoutInCell="1" allowOverlap="1" wp14:anchorId="2575CA9F" wp14:editId="2F26760D">
                <wp:simplePos x="0" y="0"/>
                <wp:positionH relativeFrom="page">
                  <wp:posOffset>4541520</wp:posOffset>
                </wp:positionH>
                <wp:positionV relativeFrom="paragraph">
                  <wp:posOffset>1028700</wp:posOffset>
                </wp:positionV>
                <wp:extent cx="0" cy="0"/>
                <wp:effectExtent l="0" t="0" r="0" b="0"/>
                <wp:wrapNone/>
                <wp:docPr id="116" name="Straight Connector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20416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C406F" id="Straight Connector 116" o:spid="_x0000_s1026" alt="&quot;&quot;" style="position:absolute;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7.6pt,81pt" to="357.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" strokecolor="#204160" strokeweight=".25pt">
                <w10:wrap anchorx="page"/>
              </v:line>
            </w:pict>
          </mc:Fallback>
        </mc:AlternateContent>
      </w:r>
      <w:r>
        <w:t>The</w:t>
      </w:r>
      <w:r>
        <w:rPr>
          <w:spacing w:val="-2"/>
        </w:rPr>
        <w:t xml:space="preserve"> </w:t>
      </w:r>
      <w:r>
        <w:t>Panel</w:t>
      </w:r>
      <w:r>
        <w:rPr>
          <w:spacing w:val="-2"/>
        </w:rPr>
        <w:t xml:space="preserve"> </w:t>
      </w:r>
      <w:r>
        <w:t>presented</w:t>
      </w:r>
      <w:r>
        <w:rPr>
          <w:spacing w:val="-2"/>
        </w:rPr>
        <w:t xml:space="preserve"> </w:t>
      </w:r>
      <w:r>
        <w:t>its</w:t>
      </w:r>
      <w:r>
        <w:rPr>
          <w:spacing w:val="-2"/>
        </w:rPr>
        <w:t xml:space="preserve"> </w:t>
      </w:r>
      <w:r>
        <w:t>final</w:t>
      </w:r>
      <w:r>
        <w:rPr>
          <w:spacing w:val="-2"/>
        </w:rPr>
        <w:t xml:space="preserve"> </w:t>
      </w:r>
      <w:r>
        <w:t>report</w:t>
      </w:r>
      <w:r>
        <w:rPr>
          <w:spacing w:val="-2"/>
        </w:rPr>
        <w:t xml:space="preserve"> </w:t>
      </w:r>
      <w:r>
        <w:t>to</w:t>
      </w:r>
      <w:r>
        <w:rPr>
          <w:spacing w:val="-2"/>
        </w:rPr>
        <w:t xml:space="preserve"> </w:t>
      </w:r>
      <w:r>
        <w:t>the</w:t>
      </w:r>
      <w:r>
        <w:rPr>
          <w:spacing w:val="-2"/>
        </w:rPr>
        <w:t xml:space="preserve"> </w:t>
      </w:r>
      <w:r>
        <w:t>Treasurer</w:t>
      </w:r>
      <w:r>
        <w:rPr>
          <w:spacing w:val="-2"/>
        </w:rPr>
        <w:t xml:space="preserve"> </w:t>
      </w:r>
      <w:r>
        <w:t>on</w:t>
      </w:r>
      <w:r>
        <w:rPr>
          <w:spacing w:val="-2"/>
        </w:rPr>
        <w:t xml:space="preserve"> </w:t>
      </w:r>
      <w:r>
        <w:t>31</w:t>
      </w:r>
      <w:r>
        <w:rPr>
          <w:spacing w:val="-2"/>
        </w:rPr>
        <w:t xml:space="preserve"> </w:t>
      </w:r>
      <w:r>
        <w:t>March</w:t>
      </w:r>
      <w:r>
        <w:rPr>
          <w:spacing w:val="-2"/>
        </w:rPr>
        <w:t xml:space="preserve"> 2023.</w:t>
      </w:r>
      <w:r w:rsidR="008A04A6">
        <w:rPr>
          <w:spacing w:val="-2"/>
        </w:rPr>
        <w:br w:type="page"/>
      </w:r>
    </w:p>
    <w:tbl>
      <w:tblPr>
        <w:tblW w:w="5000" w:type="pct"/>
        <w:tblCellMar>
          <w:left w:w="0" w:type="dxa"/>
          <w:right w:w="0" w:type="dxa"/>
        </w:tblCellMar>
        <w:tblLook w:val="01E0" w:firstRow="1" w:lastRow="1" w:firstColumn="1" w:lastColumn="1" w:noHBand="0" w:noVBand="0"/>
      </w:tblPr>
      <w:tblGrid>
        <w:gridCol w:w="4535"/>
        <w:gridCol w:w="4535"/>
      </w:tblGrid>
      <w:tr w:rsidR="008A04A6" w14:paraId="20E5817F" w14:textId="77777777" w:rsidTr="008A04A6">
        <w:trPr>
          <w:trHeight w:val="320"/>
        </w:trPr>
        <w:tc>
          <w:tcPr>
            <w:tcW w:w="2500" w:type="pct"/>
          </w:tcPr>
          <w:p w14:paraId="432CB52C" w14:textId="77777777" w:rsidR="008A04A6" w:rsidRDefault="008A04A6" w:rsidP="00F22AE5">
            <w:pPr>
              <w:pStyle w:val="TableParagraph"/>
              <w:ind w:left="113"/>
              <w:rPr>
                <w:rFonts w:ascii="Open Sans"/>
                <w:b/>
                <w:sz w:val="18"/>
              </w:rPr>
            </w:pPr>
            <w:r>
              <w:rPr>
                <w:rFonts w:ascii="Open Sans"/>
                <w:b/>
                <w:color w:val="204160"/>
                <w:sz w:val="18"/>
              </w:rPr>
              <w:lastRenderedPageBreak/>
              <w:t>Secretariat</w:t>
            </w:r>
            <w:r>
              <w:rPr>
                <w:rFonts w:ascii="Open Sans"/>
                <w:b/>
                <w:color w:val="204160"/>
                <w:spacing w:val="6"/>
                <w:sz w:val="18"/>
              </w:rPr>
              <w:t xml:space="preserve"> </w:t>
            </w:r>
            <w:r>
              <w:rPr>
                <w:rFonts w:ascii="Open Sans"/>
                <w:b/>
                <w:color w:val="204160"/>
                <w:spacing w:val="-2"/>
                <w:sz w:val="18"/>
              </w:rPr>
              <w:t>members</w:t>
            </w:r>
          </w:p>
        </w:tc>
        <w:tc>
          <w:tcPr>
            <w:tcW w:w="2500" w:type="pct"/>
          </w:tcPr>
          <w:p w14:paraId="252F4136" w14:textId="77777777" w:rsidR="008A04A6" w:rsidRDefault="008A04A6" w:rsidP="00F22AE5">
            <w:pPr>
              <w:pStyle w:val="TableParagraph"/>
              <w:rPr>
                <w:rFonts w:ascii="Times New Roman"/>
                <w:sz w:val="18"/>
              </w:rPr>
            </w:pPr>
          </w:p>
        </w:tc>
      </w:tr>
      <w:tr w:rsidR="008A04A6" w14:paraId="7DD138CE" w14:textId="77777777" w:rsidTr="008A04A6">
        <w:trPr>
          <w:trHeight w:val="394"/>
        </w:trPr>
        <w:tc>
          <w:tcPr>
            <w:tcW w:w="2500" w:type="pct"/>
            <w:tcBorders>
              <w:bottom w:val="single" w:sz="2" w:space="0" w:color="204160"/>
            </w:tcBorders>
          </w:tcPr>
          <w:p w14:paraId="1FA5A68D" w14:textId="77777777" w:rsidR="008A04A6" w:rsidRDefault="008A04A6" w:rsidP="00F22AE5">
            <w:pPr>
              <w:pStyle w:val="TableParagraph"/>
              <w:spacing w:before="76"/>
              <w:ind w:left="113"/>
              <w:rPr>
                <w:sz w:val="18"/>
              </w:rPr>
            </w:pPr>
            <w:r>
              <w:rPr>
                <w:sz w:val="18"/>
              </w:rPr>
              <w:t>Hamish</w:t>
            </w:r>
            <w:r>
              <w:rPr>
                <w:spacing w:val="-3"/>
                <w:sz w:val="18"/>
              </w:rPr>
              <w:t xml:space="preserve"> </w:t>
            </w:r>
            <w:r>
              <w:rPr>
                <w:spacing w:val="-2"/>
                <w:sz w:val="18"/>
              </w:rPr>
              <w:t>McDonald</w:t>
            </w:r>
          </w:p>
        </w:tc>
        <w:tc>
          <w:tcPr>
            <w:tcW w:w="2500" w:type="pct"/>
            <w:tcBorders>
              <w:bottom w:val="single" w:sz="2" w:space="0" w:color="204160"/>
            </w:tcBorders>
          </w:tcPr>
          <w:p w14:paraId="30F338A7" w14:textId="77777777" w:rsidR="008A04A6" w:rsidRDefault="008A04A6" w:rsidP="00F22AE5">
            <w:pPr>
              <w:pStyle w:val="TableParagraph"/>
              <w:spacing w:before="76"/>
              <w:ind w:left="113"/>
              <w:rPr>
                <w:sz w:val="18"/>
              </w:rPr>
            </w:pPr>
            <w:r>
              <w:rPr>
                <w:sz w:val="18"/>
              </w:rPr>
              <w:t>Head</w:t>
            </w:r>
            <w:r>
              <w:rPr>
                <w:spacing w:val="-2"/>
                <w:sz w:val="18"/>
              </w:rPr>
              <w:t xml:space="preserve"> </w:t>
            </w:r>
            <w:r>
              <w:rPr>
                <w:sz w:val="18"/>
              </w:rPr>
              <w:t>of</w:t>
            </w:r>
            <w:r>
              <w:rPr>
                <w:spacing w:val="-1"/>
                <w:sz w:val="18"/>
              </w:rPr>
              <w:t xml:space="preserve"> </w:t>
            </w:r>
            <w:r>
              <w:rPr>
                <w:spacing w:val="-2"/>
                <w:sz w:val="18"/>
              </w:rPr>
              <w:t>Secretariat</w:t>
            </w:r>
          </w:p>
        </w:tc>
      </w:tr>
      <w:tr w:rsidR="008A04A6" w14:paraId="77C5E6B0" w14:textId="77777777" w:rsidTr="008A04A6">
        <w:trPr>
          <w:trHeight w:val="391"/>
        </w:trPr>
        <w:tc>
          <w:tcPr>
            <w:tcW w:w="2500" w:type="pct"/>
            <w:tcBorders>
              <w:top w:val="single" w:sz="2" w:space="0" w:color="204160"/>
              <w:bottom w:val="single" w:sz="2" w:space="0" w:color="204160"/>
            </w:tcBorders>
          </w:tcPr>
          <w:p w14:paraId="5E7D2461" w14:textId="77777777" w:rsidR="008A04A6" w:rsidRDefault="008A04A6" w:rsidP="00F22AE5">
            <w:pPr>
              <w:pStyle w:val="TableParagraph"/>
              <w:spacing w:before="73"/>
              <w:ind w:left="110"/>
              <w:rPr>
                <w:sz w:val="18"/>
              </w:rPr>
            </w:pPr>
            <w:r>
              <w:rPr>
                <w:sz w:val="18"/>
              </w:rPr>
              <w:t xml:space="preserve">Tim </w:t>
            </w:r>
            <w:r>
              <w:rPr>
                <w:spacing w:val="-2"/>
                <w:sz w:val="18"/>
              </w:rPr>
              <w:t>Taylor</w:t>
            </w:r>
          </w:p>
        </w:tc>
        <w:tc>
          <w:tcPr>
            <w:tcW w:w="2500" w:type="pct"/>
            <w:tcBorders>
              <w:top w:val="single" w:sz="2" w:space="0" w:color="204160"/>
              <w:bottom w:val="single" w:sz="2" w:space="0" w:color="204160"/>
            </w:tcBorders>
          </w:tcPr>
          <w:p w14:paraId="01E98CA9" w14:textId="77777777" w:rsidR="008A04A6" w:rsidRDefault="008A04A6" w:rsidP="00F22AE5">
            <w:pPr>
              <w:pStyle w:val="TableParagraph"/>
              <w:spacing w:before="73"/>
              <w:ind w:left="110"/>
              <w:rPr>
                <w:sz w:val="18"/>
              </w:rPr>
            </w:pPr>
            <w:r>
              <w:rPr>
                <w:sz w:val="18"/>
              </w:rPr>
              <w:t>Deputy</w:t>
            </w:r>
            <w:r>
              <w:rPr>
                <w:spacing w:val="3"/>
                <w:sz w:val="18"/>
              </w:rPr>
              <w:t xml:space="preserve"> </w:t>
            </w:r>
            <w:r>
              <w:rPr>
                <w:sz w:val="18"/>
              </w:rPr>
              <w:t>Head</w:t>
            </w:r>
            <w:r>
              <w:rPr>
                <w:spacing w:val="3"/>
                <w:sz w:val="18"/>
              </w:rPr>
              <w:t xml:space="preserve"> </w:t>
            </w:r>
            <w:r>
              <w:rPr>
                <w:sz w:val="18"/>
              </w:rPr>
              <w:t>of</w:t>
            </w:r>
            <w:r>
              <w:rPr>
                <w:spacing w:val="3"/>
                <w:sz w:val="18"/>
              </w:rPr>
              <w:t xml:space="preserve"> </w:t>
            </w:r>
            <w:r>
              <w:rPr>
                <w:spacing w:val="-2"/>
                <w:sz w:val="18"/>
              </w:rPr>
              <w:t>Secretariat</w:t>
            </w:r>
          </w:p>
        </w:tc>
      </w:tr>
      <w:tr w:rsidR="008A04A6" w14:paraId="63BC54AB" w14:textId="77777777" w:rsidTr="008A04A6">
        <w:trPr>
          <w:trHeight w:val="391"/>
        </w:trPr>
        <w:tc>
          <w:tcPr>
            <w:tcW w:w="2500" w:type="pct"/>
            <w:tcBorders>
              <w:top w:val="single" w:sz="2" w:space="0" w:color="204160"/>
              <w:bottom w:val="single" w:sz="2" w:space="0" w:color="204160"/>
            </w:tcBorders>
          </w:tcPr>
          <w:p w14:paraId="7E2FF016" w14:textId="77777777" w:rsidR="008A04A6" w:rsidRDefault="008A04A6" w:rsidP="00F22AE5">
            <w:pPr>
              <w:pStyle w:val="TableParagraph"/>
              <w:spacing w:before="73"/>
              <w:ind w:left="113"/>
              <w:rPr>
                <w:sz w:val="18"/>
              </w:rPr>
            </w:pPr>
            <w:r>
              <w:rPr>
                <w:sz w:val="18"/>
              </w:rPr>
              <w:t xml:space="preserve">Monique </w:t>
            </w:r>
            <w:r>
              <w:rPr>
                <w:spacing w:val="-2"/>
                <w:sz w:val="18"/>
              </w:rPr>
              <w:t>Champion</w:t>
            </w:r>
          </w:p>
        </w:tc>
        <w:tc>
          <w:tcPr>
            <w:tcW w:w="2500" w:type="pct"/>
            <w:tcBorders>
              <w:top w:val="single" w:sz="2" w:space="0" w:color="204160"/>
              <w:bottom w:val="single" w:sz="2" w:space="0" w:color="204160"/>
            </w:tcBorders>
          </w:tcPr>
          <w:p w14:paraId="101A8065" w14:textId="77777777" w:rsidR="008A04A6" w:rsidRDefault="008A04A6" w:rsidP="00F22AE5">
            <w:pPr>
              <w:pStyle w:val="TableParagraph"/>
              <w:rPr>
                <w:rFonts w:ascii="Times New Roman"/>
                <w:sz w:val="18"/>
              </w:rPr>
            </w:pPr>
          </w:p>
        </w:tc>
      </w:tr>
      <w:tr w:rsidR="008A04A6" w14:paraId="33A73E63" w14:textId="77777777" w:rsidTr="008A04A6">
        <w:trPr>
          <w:trHeight w:val="391"/>
        </w:trPr>
        <w:tc>
          <w:tcPr>
            <w:tcW w:w="2500" w:type="pct"/>
            <w:tcBorders>
              <w:top w:val="single" w:sz="2" w:space="0" w:color="204160"/>
              <w:bottom w:val="single" w:sz="2" w:space="0" w:color="204160"/>
            </w:tcBorders>
          </w:tcPr>
          <w:p w14:paraId="4B0903E1" w14:textId="77777777" w:rsidR="008A04A6" w:rsidRDefault="008A04A6" w:rsidP="00F22AE5">
            <w:pPr>
              <w:pStyle w:val="TableParagraph"/>
              <w:spacing w:before="73"/>
              <w:ind w:left="113"/>
              <w:rPr>
                <w:sz w:val="18"/>
              </w:rPr>
            </w:pPr>
            <w:r>
              <w:rPr>
                <w:sz w:val="18"/>
              </w:rPr>
              <w:t>Sally</w:t>
            </w:r>
            <w:r>
              <w:rPr>
                <w:spacing w:val="5"/>
                <w:sz w:val="18"/>
              </w:rPr>
              <w:t xml:space="preserve"> </w:t>
            </w:r>
            <w:r>
              <w:rPr>
                <w:spacing w:val="-2"/>
                <w:sz w:val="18"/>
              </w:rPr>
              <w:t>Clarke</w:t>
            </w:r>
          </w:p>
        </w:tc>
        <w:tc>
          <w:tcPr>
            <w:tcW w:w="2500" w:type="pct"/>
            <w:tcBorders>
              <w:top w:val="single" w:sz="2" w:space="0" w:color="204160"/>
              <w:bottom w:val="single" w:sz="2" w:space="0" w:color="204160"/>
            </w:tcBorders>
          </w:tcPr>
          <w:p w14:paraId="33E6ADD3" w14:textId="77777777" w:rsidR="008A04A6" w:rsidRDefault="008A04A6" w:rsidP="00F22AE5">
            <w:pPr>
              <w:pStyle w:val="TableParagraph"/>
              <w:rPr>
                <w:rFonts w:ascii="Times New Roman"/>
                <w:sz w:val="18"/>
              </w:rPr>
            </w:pPr>
          </w:p>
        </w:tc>
      </w:tr>
      <w:tr w:rsidR="008A04A6" w14:paraId="59F25F5B" w14:textId="77777777" w:rsidTr="008A04A6">
        <w:trPr>
          <w:trHeight w:val="391"/>
        </w:trPr>
        <w:tc>
          <w:tcPr>
            <w:tcW w:w="2500" w:type="pct"/>
            <w:tcBorders>
              <w:top w:val="single" w:sz="2" w:space="0" w:color="204160"/>
              <w:bottom w:val="single" w:sz="2" w:space="0" w:color="204160"/>
            </w:tcBorders>
          </w:tcPr>
          <w:p w14:paraId="3211216D" w14:textId="77777777" w:rsidR="008A04A6" w:rsidRDefault="008A04A6" w:rsidP="00F22AE5">
            <w:pPr>
              <w:pStyle w:val="TableParagraph"/>
              <w:spacing w:before="73"/>
              <w:ind w:left="113"/>
              <w:rPr>
                <w:sz w:val="18"/>
              </w:rPr>
            </w:pPr>
            <w:r>
              <w:rPr>
                <w:sz w:val="18"/>
              </w:rPr>
              <w:t xml:space="preserve">Andrew </w:t>
            </w:r>
            <w:r>
              <w:rPr>
                <w:spacing w:val="-2"/>
                <w:sz w:val="18"/>
              </w:rPr>
              <w:t>Hartley</w:t>
            </w:r>
          </w:p>
        </w:tc>
        <w:tc>
          <w:tcPr>
            <w:tcW w:w="2500" w:type="pct"/>
            <w:tcBorders>
              <w:top w:val="single" w:sz="2" w:space="0" w:color="204160"/>
              <w:bottom w:val="single" w:sz="2" w:space="0" w:color="204160"/>
            </w:tcBorders>
          </w:tcPr>
          <w:p w14:paraId="563C14AF" w14:textId="77777777" w:rsidR="008A04A6" w:rsidRDefault="008A04A6" w:rsidP="00F22AE5">
            <w:pPr>
              <w:pStyle w:val="TableParagraph"/>
              <w:rPr>
                <w:rFonts w:ascii="Times New Roman"/>
                <w:sz w:val="18"/>
              </w:rPr>
            </w:pPr>
          </w:p>
        </w:tc>
      </w:tr>
      <w:tr w:rsidR="008A04A6" w14:paraId="4E2AF62A" w14:textId="77777777" w:rsidTr="008A04A6">
        <w:trPr>
          <w:trHeight w:val="391"/>
        </w:trPr>
        <w:tc>
          <w:tcPr>
            <w:tcW w:w="2500" w:type="pct"/>
            <w:tcBorders>
              <w:top w:val="single" w:sz="2" w:space="0" w:color="204160"/>
              <w:bottom w:val="single" w:sz="2" w:space="0" w:color="204160"/>
            </w:tcBorders>
          </w:tcPr>
          <w:p w14:paraId="42410179" w14:textId="77777777" w:rsidR="008A04A6" w:rsidRDefault="008A04A6" w:rsidP="00F22AE5">
            <w:pPr>
              <w:pStyle w:val="TableParagraph"/>
              <w:spacing w:before="73"/>
              <w:ind w:left="113"/>
              <w:rPr>
                <w:sz w:val="18"/>
              </w:rPr>
            </w:pPr>
            <w:r>
              <w:rPr>
                <w:sz w:val="18"/>
              </w:rPr>
              <w:t xml:space="preserve">Kate </w:t>
            </w:r>
            <w:r>
              <w:rPr>
                <w:spacing w:val="-2"/>
                <w:sz w:val="18"/>
              </w:rPr>
              <w:t>Hickie</w:t>
            </w:r>
          </w:p>
        </w:tc>
        <w:tc>
          <w:tcPr>
            <w:tcW w:w="2500" w:type="pct"/>
            <w:tcBorders>
              <w:top w:val="single" w:sz="2" w:space="0" w:color="204160"/>
              <w:bottom w:val="single" w:sz="2" w:space="0" w:color="204160"/>
            </w:tcBorders>
          </w:tcPr>
          <w:p w14:paraId="52E24983" w14:textId="77777777" w:rsidR="008A04A6" w:rsidRDefault="008A04A6" w:rsidP="00F22AE5">
            <w:pPr>
              <w:pStyle w:val="TableParagraph"/>
              <w:rPr>
                <w:rFonts w:ascii="Times New Roman"/>
                <w:sz w:val="18"/>
              </w:rPr>
            </w:pPr>
          </w:p>
        </w:tc>
      </w:tr>
      <w:tr w:rsidR="008A04A6" w14:paraId="342D41F8" w14:textId="77777777" w:rsidTr="008A04A6">
        <w:trPr>
          <w:trHeight w:val="391"/>
        </w:trPr>
        <w:tc>
          <w:tcPr>
            <w:tcW w:w="2500" w:type="pct"/>
            <w:tcBorders>
              <w:top w:val="single" w:sz="2" w:space="0" w:color="204160"/>
              <w:bottom w:val="single" w:sz="2" w:space="0" w:color="204160"/>
            </w:tcBorders>
          </w:tcPr>
          <w:p w14:paraId="61327F59" w14:textId="77777777" w:rsidR="008A04A6" w:rsidRDefault="008A04A6" w:rsidP="00F22AE5">
            <w:pPr>
              <w:pStyle w:val="TableParagraph"/>
              <w:spacing w:before="73"/>
              <w:ind w:left="113"/>
              <w:rPr>
                <w:sz w:val="18"/>
              </w:rPr>
            </w:pPr>
            <w:r>
              <w:rPr>
                <w:sz w:val="18"/>
              </w:rPr>
              <w:t>David</w:t>
            </w:r>
            <w:r>
              <w:rPr>
                <w:spacing w:val="3"/>
                <w:sz w:val="18"/>
              </w:rPr>
              <w:t xml:space="preserve"> </w:t>
            </w:r>
            <w:r>
              <w:rPr>
                <w:spacing w:val="-2"/>
                <w:sz w:val="18"/>
              </w:rPr>
              <w:t>Lancaster</w:t>
            </w:r>
          </w:p>
        </w:tc>
        <w:tc>
          <w:tcPr>
            <w:tcW w:w="2500" w:type="pct"/>
            <w:tcBorders>
              <w:top w:val="single" w:sz="2" w:space="0" w:color="204160"/>
              <w:bottom w:val="single" w:sz="2" w:space="0" w:color="204160"/>
            </w:tcBorders>
          </w:tcPr>
          <w:p w14:paraId="694C6E38" w14:textId="77777777" w:rsidR="008A04A6" w:rsidRDefault="008A04A6" w:rsidP="00F22AE5">
            <w:pPr>
              <w:pStyle w:val="TableParagraph"/>
              <w:rPr>
                <w:rFonts w:ascii="Times New Roman"/>
                <w:sz w:val="18"/>
              </w:rPr>
            </w:pPr>
          </w:p>
        </w:tc>
      </w:tr>
      <w:tr w:rsidR="008A04A6" w14:paraId="416A9DD4" w14:textId="77777777" w:rsidTr="008A04A6">
        <w:trPr>
          <w:trHeight w:val="391"/>
        </w:trPr>
        <w:tc>
          <w:tcPr>
            <w:tcW w:w="2500" w:type="pct"/>
            <w:tcBorders>
              <w:top w:val="single" w:sz="2" w:space="0" w:color="204160"/>
              <w:bottom w:val="single" w:sz="2" w:space="0" w:color="204160"/>
            </w:tcBorders>
          </w:tcPr>
          <w:p w14:paraId="4748A8F3" w14:textId="77777777" w:rsidR="008A04A6" w:rsidRDefault="008A04A6" w:rsidP="00F22AE5">
            <w:pPr>
              <w:pStyle w:val="TableParagraph"/>
              <w:spacing w:before="73"/>
              <w:ind w:left="113"/>
              <w:rPr>
                <w:sz w:val="18"/>
              </w:rPr>
            </w:pPr>
            <w:r>
              <w:rPr>
                <w:sz w:val="18"/>
              </w:rPr>
              <w:t>Jitana</w:t>
            </w:r>
            <w:r>
              <w:rPr>
                <w:spacing w:val="4"/>
                <w:sz w:val="18"/>
              </w:rPr>
              <w:t xml:space="preserve"> </w:t>
            </w:r>
            <w:r>
              <w:rPr>
                <w:spacing w:val="-4"/>
                <w:sz w:val="18"/>
              </w:rPr>
              <w:t>Lyall</w:t>
            </w:r>
          </w:p>
        </w:tc>
        <w:tc>
          <w:tcPr>
            <w:tcW w:w="2500" w:type="pct"/>
            <w:tcBorders>
              <w:top w:val="single" w:sz="2" w:space="0" w:color="204160"/>
              <w:bottom w:val="single" w:sz="2" w:space="0" w:color="204160"/>
            </w:tcBorders>
          </w:tcPr>
          <w:p w14:paraId="498654A8" w14:textId="77777777" w:rsidR="008A04A6" w:rsidRDefault="008A04A6" w:rsidP="00F22AE5">
            <w:pPr>
              <w:pStyle w:val="TableParagraph"/>
              <w:rPr>
                <w:rFonts w:ascii="Times New Roman"/>
                <w:sz w:val="18"/>
              </w:rPr>
            </w:pPr>
          </w:p>
        </w:tc>
      </w:tr>
      <w:tr w:rsidR="008A04A6" w14:paraId="05F86D42" w14:textId="77777777" w:rsidTr="008A04A6">
        <w:trPr>
          <w:trHeight w:val="391"/>
        </w:trPr>
        <w:tc>
          <w:tcPr>
            <w:tcW w:w="2500" w:type="pct"/>
            <w:tcBorders>
              <w:top w:val="single" w:sz="2" w:space="0" w:color="204160"/>
              <w:bottom w:val="single" w:sz="2" w:space="0" w:color="204160"/>
            </w:tcBorders>
          </w:tcPr>
          <w:p w14:paraId="32359DF7" w14:textId="77777777" w:rsidR="008A04A6" w:rsidRDefault="008A04A6" w:rsidP="00F22AE5">
            <w:pPr>
              <w:pStyle w:val="TableParagraph"/>
              <w:spacing w:before="73"/>
              <w:ind w:left="113"/>
              <w:rPr>
                <w:sz w:val="18"/>
              </w:rPr>
            </w:pPr>
            <w:r>
              <w:rPr>
                <w:sz w:val="18"/>
              </w:rPr>
              <w:t>Matthew</w:t>
            </w:r>
            <w:r>
              <w:rPr>
                <w:spacing w:val="6"/>
                <w:sz w:val="18"/>
              </w:rPr>
              <w:t xml:space="preserve"> </w:t>
            </w:r>
            <w:r>
              <w:rPr>
                <w:spacing w:val="-2"/>
                <w:sz w:val="18"/>
              </w:rPr>
              <w:t>Mercer</w:t>
            </w:r>
          </w:p>
        </w:tc>
        <w:tc>
          <w:tcPr>
            <w:tcW w:w="2500" w:type="pct"/>
            <w:tcBorders>
              <w:top w:val="single" w:sz="2" w:space="0" w:color="204160"/>
              <w:bottom w:val="single" w:sz="2" w:space="0" w:color="204160"/>
            </w:tcBorders>
          </w:tcPr>
          <w:p w14:paraId="4DF9DF4D" w14:textId="77777777" w:rsidR="008A04A6" w:rsidRDefault="008A04A6" w:rsidP="00F22AE5">
            <w:pPr>
              <w:pStyle w:val="TableParagraph"/>
              <w:rPr>
                <w:rFonts w:ascii="Times New Roman"/>
                <w:sz w:val="18"/>
              </w:rPr>
            </w:pPr>
          </w:p>
        </w:tc>
      </w:tr>
      <w:tr w:rsidR="008A04A6" w14:paraId="1D6CAF1A" w14:textId="77777777" w:rsidTr="008A04A6">
        <w:trPr>
          <w:trHeight w:val="391"/>
        </w:trPr>
        <w:tc>
          <w:tcPr>
            <w:tcW w:w="2500" w:type="pct"/>
            <w:tcBorders>
              <w:top w:val="single" w:sz="2" w:space="0" w:color="204160"/>
              <w:bottom w:val="single" w:sz="2" w:space="0" w:color="204160"/>
            </w:tcBorders>
          </w:tcPr>
          <w:p w14:paraId="2684401D" w14:textId="77777777" w:rsidR="008A04A6" w:rsidRDefault="008A04A6" w:rsidP="00F22AE5">
            <w:pPr>
              <w:pStyle w:val="TableParagraph"/>
              <w:spacing w:before="73"/>
              <w:ind w:left="113"/>
              <w:rPr>
                <w:sz w:val="18"/>
              </w:rPr>
            </w:pPr>
            <w:r>
              <w:rPr>
                <w:sz w:val="18"/>
              </w:rPr>
              <w:t>Emily</w:t>
            </w:r>
            <w:r>
              <w:rPr>
                <w:spacing w:val="-1"/>
                <w:sz w:val="18"/>
              </w:rPr>
              <w:t xml:space="preserve"> </w:t>
            </w:r>
            <w:r>
              <w:rPr>
                <w:spacing w:val="-2"/>
                <w:sz w:val="18"/>
              </w:rPr>
              <w:t>Milford</w:t>
            </w:r>
          </w:p>
        </w:tc>
        <w:tc>
          <w:tcPr>
            <w:tcW w:w="2500" w:type="pct"/>
            <w:tcBorders>
              <w:top w:val="single" w:sz="2" w:space="0" w:color="204160"/>
              <w:bottom w:val="single" w:sz="2" w:space="0" w:color="204160"/>
            </w:tcBorders>
          </w:tcPr>
          <w:p w14:paraId="3A9C68C9" w14:textId="77777777" w:rsidR="008A04A6" w:rsidRDefault="008A04A6" w:rsidP="00F22AE5">
            <w:pPr>
              <w:pStyle w:val="TableParagraph"/>
              <w:rPr>
                <w:rFonts w:ascii="Times New Roman"/>
                <w:sz w:val="18"/>
              </w:rPr>
            </w:pPr>
          </w:p>
        </w:tc>
      </w:tr>
      <w:tr w:rsidR="008A04A6" w14:paraId="17A69FD8" w14:textId="77777777" w:rsidTr="008A04A6">
        <w:trPr>
          <w:trHeight w:val="391"/>
        </w:trPr>
        <w:tc>
          <w:tcPr>
            <w:tcW w:w="2500" w:type="pct"/>
            <w:tcBorders>
              <w:top w:val="single" w:sz="2" w:space="0" w:color="204160"/>
              <w:bottom w:val="single" w:sz="2" w:space="0" w:color="204160"/>
            </w:tcBorders>
          </w:tcPr>
          <w:p w14:paraId="6D86483E" w14:textId="77777777" w:rsidR="008A04A6" w:rsidRDefault="008A04A6" w:rsidP="00F22AE5">
            <w:pPr>
              <w:pStyle w:val="TableParagraph"/>
              <w:spacing w:before="73"/>
              <w:ind w:left="113"/>
              <w:rPr>
                <w:sz w:val="18"/>
              </w:rPr>
            </w:pPr>
            <w:r>
              <w:rPr>
                <w:sz w:val="18"/>
              </w:rPr>
              <w:t>Ben</w:t>
            </w:r>
            <w:r>
              <w:rPr>
                <w:spacing w:val="-2"/>
                <w:sz w:val="18"/>
              </w:rPr>
              <w:t xml:space="preserve"> Mowatt</w:t>
            </w:r>
          </w:p>
        </w:tc>
        <w:tc>
          <w:tcPr>
            <w:tcW w:w="2500" w:type="pct"/>
            <w:tcBorders>
              <w:top w:val="single" w:sz="2" w:space="0" w:color="204160"/>
              <w:bottom w:val="single" w:sz="2" w:space="0" w:color="204160"/>
            </w:tcBorders>
          </w:tcPr>
          <w:p w14:paraId="538E5D85" w14:textId="77777777" w:rsidR="008A04A6" w:rsidRDefault="008A04A6" w:rsidP="00F22AE5">
            <w:pPr>
              <w:pStyle w:val="TableParagraph"/>
              <w:rPr>
                <w:rFonts w:ascii="Times New Roman"/>
                <w:sz w:val="18"/>
              </w:rPr>
            </w:pPr>
          </w:p>
        </w:tc>
      </w:tr>
      <w:tr w:rsidR="008A04A6" w14:paraId="783AB932" w14:textId="77777777" w:rsidTr="008A04A6">
        <w:trPr>
          <w:trHeight w:val="391"/>
        </w:trPr>
        <w:tc>
          <w:tcPr>
            <w:tcW w:w="2500" w:type="pct"/>
            <w:tcBorders>
              <w:top w:val="single" w:sz="2" w:space="0" w:color="204160"/>
              <w:bottom w:val="single" w:sz="2" w:space="0" w:color="204160"/>
            </w:tcBorders>
          </w:tcPr>
          <w:p w14:paraId="6E4EE3DA" w14:textId="77777777" w:rsidR="008A04A6" w:rsidRDefault="008A04A6" w:rsidP="00F22AE5">
            <w:pPr>
              <w:pStyle w:val="TableParagraph"/>
              <w:spacing w:before="73"/>
              <w:ind w:left="113"/>
              <w:rPr>
                <w:sz w:val="18"/>
              </w:rPr>
            </w:pPr>
            <w:r>
              <w:rPr>
                <w:sz w:val="18"/>
              </w:rPr>
              <w:t>Suh</w:t>
            </w:r>
            <w:r>
              <w:rPr>
                <w:spacing w:val="-2"/>
                <w:sz w:val="18"/>
              </w:rPr>
              <w:t xml:space="preserve"> </w:t>
            </w:r>
            <w:r>
              <w:rPr>
                <w:sz w:val="18"/>
              </w:rPr>
              <w:t>Mian</w:t>
            </w:r>
            <w:r>
              <w:rPr>
                <w:spacing w:val="-2"/>
                <w:sz w:val="18"/>
              </w:rPr>
              <w:t xml:space="preserve"> </w:t>
            </w:r>
            <w:r>
              <w:rPr>
                <w:spacing w:val="-5"/>
                <w:sz w:val="18"/>
              </w:rPr>
              <w:t>Ng</w:t>
            </w:r>
          </w:p>
        </w:tc>
        <w:tc>
          <w:tcPr>
            <w:tcW w:w="2500" w:type="pct"/>
            <w:tcBorders>
              <w:top w:val="single" w:sz="2" w:space="0" w:color="204160"/>
              <w:bottom w:val="single" w:sz="2" w:space="0" w:color="204160"/>
            </w:tcBorders>
          </w:tcPr>
          <w:p w14:paraId="63881FD9" w14:textId="77777777" w:rsidR="008A04A6" w:rsidRDefault="008A04A6" w:rsidP="00F22AE5">
            <w:pPr>
              <w:pStyle w:val="TableParagraph"/>
              <w:rPr>
                <w:rFonts w:ascii="Times New Roman"/>
                <w:sz w:val="18"/>
              </w:rPr>
            </w:pPr>
          </w:p>
        </w:tc>
      </w:tr>
      <w:tr w:rsidR="008A04A6" w14:paraId="59FF23B4" w14:textId="77777777" w:rsidTr="008A04A6">
        <w:trPr>
          <w:trHeight w:val="391"/>
        </w:trPr>
        <w:tc>
          <w:tcPr>
            <w:tcW w:w="2500" w:type="pct"/>
            <w:tcBorders>
              <w:top w:val="single" w:sz="2" w:space="0" w:color="204160"/>
              <w:bottom w:val="single" w:sz="2" w:space="0" w:color="204160"/>
            </w:tcBorders>
          </w:tcPr>
          <w:p w14:paraId="7FDFAC8B" w14:textId="77777777" w:rsidR="008A04A6" w:rsidRDefault="008A04A6" w:rsidP="00F22AE5">
            <w:pPr>
              <w:pStyle w:val="TableParagraph"/>
              <w:spacing w:before="73"/>
              <w:ind w:left="113"/>
              <w:rPr>
                <w:sz w:val="18"/>
              </w:rPr>
            </w:pPr>
            <w:r>
              <w:rPr>
                <w:sz w:val="18"/>
              </w:rPr>
              <w:t>Michelle</w:t>
            </w:r>
            <w:r>
              <w:rPr>
                <w:spacing w:val="1"/>
                <w:sz w:val="18"/>
              </w:rPr>
              <w:t xml:space="preserve"> </w:t>
            </w:r>
            <w:r>
              <w:rPr>
                <w:spacing w:val="-2"/>
                <w:sz w:val="18"/>
              </w:rPr>
              <w:t>Noack</w:t>
            </w:r>
          </w:p>
        </w:tc>
        <w:tc>
          <w:tcPr>
            <w:tcW w:w="2500" w:type="pct"/>
            <w:tcBorders>
              <w:top w:val="single" w:sz="2" w:space="0" w:color="204160"/>
              <w:bottom w:val="single" w:sz="2" w:space="0" w:color="204160"/>
            </w:tcBorders>
          </w:tcPr>
          <w:p w14:paraId="42EB5A97" w14:textId="77777777" w:rsidR="008A04A6" w:rsidRDefault="008A04A6" w:rsidP="00F22AE5">
            <w:pPr>
              <w:pStyle w:val="TableParagraph"/>
              <w:rPr>
                <w:rFonts w:ascii="Times New Roman"/>
                <w:sz w:val="18"/>
              </w:rPr>
            </w:pPr>
          </w:p>
        </w:tc>
      </w:tr>
      <w:tr w:rsidR="008A04A6" w14:paraId="160492BF" w14:textId="77777777" w:rsidTr="008A04A6">
        <w:trPr>
          <w:trHeight w:val="391"/>
        </w:trPr>
        <w:tc>
          <w:tcPr>
            <w:tcW w:w="2500" w:type="pct"/>
            <w:tcBorders>
              <w:top w:val="single" w:sz="2" w:space="0" w:color="204160"/>
              <w:bottom w:val="single" w:sz="2" w:space="0" w:color="204160"/>
            </w:tcBorders>
          </w:tcPr>
          <w:p w14:paraId="2C0989DB" w14:textId="77777777" w:rsidR="008A04A6" w:rsidRDefault="008A04A6" w:rsidP="00F22AE5">
            <w:pPr>
              <w:pStyle w:val="TableParagraph"/>
              <w:spacing w:before="73"/>
              <w:ind w:left="113"/>
              <w:rPr>
                <w:sz w:val="18"/>
              </w:rPr>
            </w:pPr>
            <w:r>
              <w:rPr>
                <w:sz w:val="18"/>
              </w:rPr>
              <w:t>Jenelle</w:t>
            </w:r>
            <w:r>
              <w:rPr>
                <w:spacing w:val="1"/>
                <w:sz w:val="18"/>
              </w:rPr>
              <w:t xml:space="preserve"> </w:t>
            </w:r>
            <w:r>
              <w:rPr>
                <w:spacing w:val="-2"/>
                <w:sz w:val="18"/>
              </w:rPr>
              <w:t>Provost</w:t>
            </w:r>
          </w:p>
        </w:tc>
        <w:tc>
          <w:tcPr>
            <w:tcW w:w="2500" w:type="pct"/>
            <w:tcBorders>
              <w:top w:val="single" w:sz="2" w:space="0" w:color="204160"/>
              <w:bottom w:val="single" w:sz="2" w:space="0" w:color="204160"/>
            </w:tcBorders>
          </w:tcPr>
          <w:p w14:paraId="04FA6BC2" w14:textId="77777777" w:rsidR="008A04A6" w:rsidRDefault="008A04A6" w:rsidP="00F22AE5">
            <w:pPr>
              <w:pStyle w:val="TableParagraph"/>
              <w:rPr>
                <w:rFonts w:ascii="Times New Roman"/>
                <w:sz w:val="18"/>
              </w:rPr>
            </w:pPr>
          </w:p>
        </w:tc>
      </w:tr>
      <w:tr w:rsidR="008A04A6" w14:paraId="28CEF318" w14:textId="77777777" w:rsidTr="008A04A6">
        <w:trPr>
          <w:trHeight w:val="391"/>
        </w:trPr>
        <w:tc>
          <w:tcPr>
            <w:tcW w:w="2500" w:type="pct"/>
            <w:tcBorders>
              <w:top w:val="single" w:sz="2" w:space="0" w:color="204160"/>
              <w:bottom w:val="single" w:sz="2" w:space="0" w:color="204160"/>
            </w:tcBorders>
          </w:tcPr>
          <w:p w14:paraId="487E75BD" w14:textId="77777777" w:rsidR="008A04A6" w:rsidRDefault="008A04A6" w:rsidP="00F22AE5">
            <w:pPr>
              <w:pStyle w:val="TableParagraph"/>
              <w:spacing w:before="73"/>
              <w:ind w:left="113"/>
              <w:rPr>
                <w:sz w:val="18"/>
              </w:rPr>
            </w:pPr>
            <w:r>
              <w:rPr>
                <w:sz w:val="18"/>
              </w:rPr>
              <w:t xml:space="preserve">Ewan </w:t>
            </w:r>
            <w:r>
              <w:rPr>
                <w:spacing w:val="-2"/>
                <w:sz w:val="18"/>
              </w:rPr>
              <w:t>Rankin</w:t>
            </w:r>
          </w:p>
        </w:tc>
        <w:tc>
          <w:tcPr>
            <w:tcW w:w="2500" w:type="pct"/>
            <w:tcBorders>
              <w:top w:val="single" w:sz="2" w:space="0" w:color="204160"/>
              <w:bottom w:val="single" w:sz="2" w:space="0" w:color="204160"/>
            </w:tcBorders>
          </w:tcPr>
          <w:p w14:paraId="3677B106" w14:textId="77777777" w:rsidR="008A04A6" w:rsidRDefault="008A04A6" w:rsidP="00F22AE5">
            <w:pPr>
              <w:pStyle w:val="TableParagraph"/>
              <w:rPr>
                <w:rFonts w:ascii="Times New Roman"/>
                <w:sz w:val="18"/>
              </w:rPr>
            </w:pPr>
          </w:p>
        </w:tc>
      </w:tr>
      <w:tr w:rsidR="008A04A6" w14:paraId="665EFE8A" w14:textId="77777777" w:rsidTr="008A04A6">
        <w:trPr>
          <w:trHeight w:val="391"/>
        </w:trPr>
        <w:tc>
          <w:tcPr>
            <w:tcW w:w="2500" w:type="pct"/>
            <w:tcBorders>
              <w:top w:val="single" w:sz="2" w:space="0" w:color="204160"/>
              <w:bottom w:val="single" w:sz="2" w:space="0" w:color="204160"/>
            </w:tcBorders>
          </w:tcPr>
          <w:p w14:paraId="2650B73D" w14:textId="77777777" w:rsidR="008A04A6" w:rsidRDefault="008A04A6" w:rsidP="00F22AE5">
            <w:pPr>
              <w:pStyle w:val="TableParagraph"/>
              <w:spacing w:before="73"/>
              <w:ind w:left="113"/>
              <w:rPr>
                <w:sz w:val="18"/>
              </w:rPr>
            </w:pPr>
            <w:r>
              <w:rPr>
                <w:sz w:val="18"/>
              </w:rPr>
              <w:t>Sarah</w:t>
            </w:r>
            <w:r>
              <w:rPr>
                <w:spacing w:val="2"/>
                <w:sz w:val="18"/>
              </w:rPr>
              <w:t xml:space="preserve"> </w:t>
            </w:r>
            <w:r>
              <w:rPr>
                <w:spacing w:val="-2"/>
                <w:sz w:val="18"/>
              </w:rPr>
              <w:t>Thomas</w:t>
            </w:r>
          </w:p>
        </w:tc>
        <w:tc>
          <w:tcPr>
            <w:tcW w:w="2500" w:type="pct"/>
            <w:tcBorders>
              <w:top w:val="single" w:sz="2" w:space="0" w:color="204160"/>
              <w:bottom w:val="single" w:sz="2" w:space="0" w:color="204160"/>
            </w:tcBorders>
          </w:tcPr>
          <w:p w14:paraId="019258A2" w14:textId="77777777" w:rsidR="008A04A6" w:rsidRDefault="008A04A6" w:rsidP="00F22AE5">
            <w:pPr>
              <w:pStyle w:val="TableParagraph"/>
              <w:rPr>
                <w:rFonts w:ascii="Times New Roman"/>
                <w:sz w:val="18"/>
              </w:rPr>
            </w:pPr>
          </w:p>
        </w:tc>
      </w:tr>
      <w:tr w:rsidR="008A04A6" w14:paraId="49E47481" w14:textId="77777777" w:rsidTr="008A04A6">
        <w:trPr>
          <w:trHeight w:val="391"/>
        </w:trPr>
        <w:tc>
          <w:tcPr>
            <w:tcW w:w="2500" w:type="pct"/>
            <w:tcBorders>
              <w:top w:val="single" w:sz="2" w:space="0" w:color="204160"/>
              <w:bottom w:val="single" w:sz="2" w:space="0" w:color="204160"/>
            </w:tcBorders>
          </w:tcPr>
          <w:p w14:paraId="6557DD1B" w14:textId="77777777" w:rsidR="008A04A6" w:rsidRDefault="008A04A6" w:rsidP="00F22AE5">
            <w:pPr>
              <w:pStyle w:val="TableParagraph"/>
              <w:spacing w:before="73"/>
              <w:ind w:left="113"/>
              <w:rPr>
                <w:sz w:val="18"/>
              </w:rPr>
            </w:pPr>
            <w:r>
              <w:rPr>
                <w:sz w:val="18"/>
              </w:rPr>
              <w:t>Miles</w:t>
            </w:r>
            <w:r>
              <w:rPr>
                <w:spacing w:val="-2"/>
                <w:sz w:val="18"/>
              </w:rPr>
              <w:t xml:space="preserve"> Waring</w:t>
            </w:r>
          </w:p>
        </w:tc>
        <w:tc>
          <w:tcPr>
            <w:tcW w:w="2500" w:type="pct"/>
            <w:tcBorders>
              <w:top w:val="single" w:sz="2" w:space="0" w:color="204160"/>
              <w:bottom w:val="single" w:sz="2" w:space="0" w:color="204160"/>
            </w:tcBorders>
          </w:tcPr>
          <w:p w14:paraId="76CA4C77" w14:textId="77777777" w:rsidR="008A04A6" w:rsidRDefault="008A04A6" w:rsidP="00F22AE5">
            <w:pPr>
              <w:pStyle w:val="TableParagraph"/>
              <w:rPr>
                <w:rFonts w:ascii="Times New Roman"/>
                <w:sz w:val="18"/>
              </w:rPr>
            </w:pPr>
          </w:p>
        </w:tc>
      </w:tr>
      <w:tr w:rsidR="008A04A6" w14:paraId="79F80314" w14:textId="77777777" w:rsidTr="008A04A6">
        <w:trPr>
          <w:trHeight w:val="391"/>
        </w:trPr>
        <w:tc>
          <w:tcPr>
            <w:tcW w:w="2500" w:type="pct"/>
            <w:tcBorders>
              <w:top w:val="single" w:sz="2" w:space="0" w:color="204160"/>
              <w:bottom w:val="single" w:sz="2" w:space="0" w:color="204160"/>
            </w:tcBorders>
          </w:tcPr>
          <w:p w14:paraId="5C565BB1" w14:textId="77777777" w:rsidR="008A04A6" w:rsidRDefault="008A04A6" w:rsidP="00F22AE5">
            <w:pPr>
              <w:pStyle w:val="TableParagraph"/>
              <w:spacing w:before="73"/>
              <w:ind w:left="113"/>
              <w:rPr>
                <w:sz w:val="18"/>
              </w:rPr>
            </w:pPr>
            <w:r>
              <w:rPr>
                <w:sz w:val="18"/>
              </w:rPr>
              <w:t>Georgia</w:t>
            </w:r>
            <w:r>
              <w:rPr>
                <w:spacing w:val="1"/>
                <w:sz w:val="18"/>
              </w:rPr>
              <w:t xml:space="preserve"> </w:t>
            </w:r>
            <w:r>
              <w:rPr>
                <w:spacing w:val="-2"/>
                <w:sz w:val="18"/>
              </w:rPr>
              <w:t>Wiley</w:t>
            </w:r>
          </w:p>
        </w:tc>
        <w:tc>
          <w:tcPr>
            <w:tcW w:w="2500" w:type="pct"/>
            <w:tcBorders>
              <w:top w:val="single" w:sz="2" w:space="0" w:color="204160"/>
              <w:bottom w:val="single" w:sz="2" w:space="0" w:color="204160"/>
            </w:tcBorders>
          </w:tcPr>
          <w:p w14:paraId="7808858A" w14:textId="77777777" w:rsidR="008A04A6" w:rsidRDefault="008A04A6" w:rsidP="00F22AE5">
            <w:pPr>
              <w:pStyle w:val="TableParagraph"/>
              <w:rPr>
                <w:rFonts w:ascii="Times New Roman"/>
                <w:sz w:val="18"/>
              </w:rPr>
            </w:pPr>
          </w:p>
        </w:tc>
      </w:tr>
    </w:tbl>
    <w:p w14:paraId="3BF1B417" w14:textId="6F9EB51A" w:rsidR="008A04A6" w:rsidRDefault="008A04A6" w:rsidP="004E356E"/>
    <w:p w14:paraId="3696A9A5" w14:textId="77777777" w:rsidR="008A04A6" w:rsidRDefault="008A04A6">
      <w:pPr>
        <w:spacing w:before="0" w:after="160" w:line="259" w:lineRule="auto"/>
      </w:pPr>
      <w:r>
        <w:br w:type="page"/>
      </w:r>
    </w:p>
    <w:p w14:paraId="27ADE1DA" w14:textId="77777777" w:rsidR="00907468" w:rsidRDefault="00907468" w:rsidP="00907468">
      <w:pPr>
        <w:pStyle w:val="Heading2"/>
      </w:pPr>
      <w:bookmarkStart w:id="75" w:name="_Toc134221045"/>
      <w:r>
        <w:lastRenderedPageBreak/>
        <w:t>Information</w:t>
      </w:r>
      <w:r>
        <w:rPr>
          <w:spacing w:val="-7"/>
        </w:rPr>
        <w:t xml:space="preserve"> </w:t>
      </w:r>
      <w:r>
        <w:rPr>
          <w:spacing w:val="-2"/>
        </w:rPr>
        <w:t>sources</w:t>
      </w:r>
      <w:bookmarkEnd w:id="75"/>
    </w:p>
    <w:p w14:paraId="1FBEFE8D" w14:textId="77777777" w:rsidR="00907468" w:rsidRDefault="00907468" w:rsidP="00907468">
      <w:r>
        <w:t>The Panel gathered a range of inputs to inform its assessment and recommendations. These inputs included:</w:t>
      </w:r>
    </w:p>
    <w:p w14:paraId="7D382496" w14:textId="77777777" w:rsidR="00907468" w:rsidRDefault="00907468" w:rsidP="0000278A">
      <w:pPr>
        <w:pStyle w:val="Bullet"/>
      </w:pPr>
      <w:r>
        <w:t>consultations</w:t>
      </w:r>
      <w:r>
        <w:rPr>
          <w:spacing w:val="4"/>
        </w:rPr>
        <w:t xml:space="preserve"> </w:t>
      </w:r>
      <w:r>
        <w:t>with</w:t>
      </w:r>
      <w:r>
        <w:rPr>
          <w:spacing w:val="4"/>
        </w:rPr>
        <w:t xml:space="preserve"> </w:t>
      </w:r>
      <w:r>
        <w:t>domestic</w:t>
      </w:r>
      <w:r>
        <w:rPr>
          <w:spacing w:val="5"/>
        </w:rPr>
        <w:t xml:space="preserve"> </w:t>
      </w:r>
      <w:r>
        <w:t>and</w:t>
      </w:r>
      <w:r>
        <w:rPr>
          <w:spacing w:val="4"/>
        </w:rPr>
        <w:t xml:space="preserve"> </w:t>
      </w:r>
      <w:r>
        <w:t>global</w:t>
      </w:r>
      <w:r>
        <w:rPr>
          <w:spacing w:val="5"/>
        </w:rPr>
        <w:t xml:space="preserve"> </w:t>
      </w:r>
      <w:r>
        <w:t>experts,</w:t>
      </w:r>
      <w:r>
        <w:rPr>
          <w:spacing w:val="4"/>
        </w:rPr>
        <w:t xml:space="preserve"> </w:t>
      </w:r>
      <w:r>
        <w:t>businesses,</w:t>
      </w:r>
      <w:r>
        <w:rPr>
          <w:spacing w:val="4"/>
        </w:rPr>
        <w:t xml:space="preserve"> </w:t>
      </w:r>
      <w:r>
        <w:t>unions</w:t>
      </w:r>
      <w:r>
        <w:rPr>
          <w:spacing w:val="5"/>
        </w:rPr>
        <w:t xml:space="preserve"> </w:t>
      </w:r>
      <w:r>
        <w:t>and</w:t>
      </w:r>
      <w:r>
        <w:rPr>
          <w:spacing w:val="4"/>
        </w:rPr>
        <w:t xml:space="preserve"> </w:t>
      </w:r>
      <w:r>
        <w:t>the</w:t>
      </w:r>
      <w:r>
        <w:rPr>
          <w:spacing w:val="5"/>
        </w:rPr>
        <w:t xml:space="preserve"> </w:t>
      </w:r>
      <w:r>
        <w:rPr>
          <w:spacing w:val="-2"/>
        </w:rPr>
        <w:t>community</w:t>
      </w:r>
    </w:p>
    <w:p w14:paraId="6DE085A0" w14:textId="77777777" w:rsidR="00907468" w:rsidRDefault="00907468" w:rsidP="0000278A">
      <w:pPr>
        <w:pStyle w:val="Bullet"/>
      </w:pPr>
      <w:r>
        <w:t xml:space="preserve">public </w:t>
      </w:r>
      <w:r>
        <w:rPr>
          <w:spacing w:val="-2"/>
        </w:rPr>
        <w:t>submissions</w:t>
      </w:r>
    </w:p>
    <w:p w14:paraId="59734422" w14:textId="77777777" w:rsidR="00907468" w:rsidRDefault="00907468" w:rsidP="0000278A">
      <w:pPr>
        <w:pStyle w:val="Bullet"/>
      </w:pPr>
      <w:r>
        <w:t>focus</w:t>
      </w:r>
      <w:r>
        <w:rPr>
          <w:spacing w:val="-2"/>
        </w:rPr>
        <w:t xml:space="preserve"> groups</w:t>
      </w:r>
    </w:p>
    <w:p w14:paraId="3609B3AE" w14:textId="77777777" w:rsidR="00907468" w:rsidRDefault="00907468" w:rsidP="0000278A">
      <w:pPr>
        <w:pStyle w:val="Bullet"/>
      </w:pPr>
      <w:r>
        <w:t>surveys</w:t>
      </w:r>
      <w:r>
        <w:rPr>
          <w:spacing w:val="3"/>
        </w:rPr>
        <w:t xml:space="preserve"> </w:t>
      </w:r>
      <w:r>
        <w:t>of</w:t>
      </w:r>
      <w:r>
        <w:rPr>
          <w:spacing w:val="3"/>
        </w:rPr>
        <w:t xml:space="preserve"> </w:t>
      </w:r>
      <w:r>
        <w:t>current</w:t>
      </w:r>
      <w:r>
        <w:rPr>
          <w:spacing w:val="3"/>
        </w:rPr>
        <w:t xml:space="preserve"> </w:t>
      </w:r>
      <w:r>
        <w:t>and</w:t>
      </w:r>
      <w:r>
        <w:rPr>
          <w:spacing w:val="3"/>
        </w:rPr>
        <w:t xml:space="preserve"> </w:t>
      </w:r>
      <w:r>
        <w:t>former</w:t>
      </w:r>
      <w:r>
        <w:rPr>
          <w:spacing w:val="3"/>
        </w:rPr>
        <w:t xml:space="preserve"> </w:t>
      </w:r>
      <w:r>
        <w:t>RBA</w:t>
      </w:r>
      <w:r>
        <w:rPr>
          <w:spacing w:val="3"/>
        </w:rPr>
        <w:t xml:space="preserve"> </w:t>
      </w:r>
      <w:r>
        <w:t>staff</w:t>
      </w:r>
      <w:r>
        <w:rPr>
          <w:spacing w:val="3"/>
        </w:rPr>
        <w:t xml:space="preserve"> </w:t>
      </w:r>
      <w:r>
        <w:rPr>
          <w:spacing w:val="-2"/>
        </w:rPr>
        <w:t>members.</w:t>
      </w:r>
    </w:p>
    <w:p w14:paraId="2D3EE032" w14:textId="77777777" w:rsidR="00907468" w:rsidRDefault="00907468" w:rsidP="00907468">
      <w:r>
        <w:t>In all, the Review benefitted from more than 1,500 contributions and conducted events to outline what it was hearing which directly reached almost 1,000 people.</w:t>
      </w:r>
    </w:p>
    <w:p w14:paraId="602BAAAA" w14:textId="77777777" w:rsidR="00907468" w:rsidRDefault="00907468" w:rsidP="00907468">
      <w:r>
        <w:t>The Panel is deeply grateful to all the people who contributed their time and insight to the work of the Review.</w:t>
      </w:r>
    </w:p>
    <w:p w14:paraId="3FCA221F" w14:textId="77777777" w:rsidR="00907468" w:rsidRDefault="00907468" w:rsidP="00907468">
      <w:pPr>
        <w:pStyle w:val="Heading3"/>
      </w:pPr>
      <w:r>
        <w:t>Panel</w:t>
      </w:r>
      <w:r>
        <w:rPr>
          <w:spacing w:val="-11"/>
        </w:rPr>
        <w:t xml:space="preserve"> </w:t>
      </w:r>
      <w:r>
        <w:t>consultations</w:t>
      </w:r>
    </w:p>
    <w:p w14:paraId="488BD787" w14:textId="77777777" w:rsidR="00907468" w:rsidRDefault="00907468" w:rsidP="00907468">
      <w:r>
        <w:t>The Panel consulted with 137 global and domestic experts, including current and former</w:t>
      </w:r>
      <w:r>
        <w:rPr>
          <w:spacing w:val="40"/>
        </w:rPr>
        <w:t xml:space="preserve"> </w:t>
      </w:r>
      <w:r>
        <w:t>Reserve Bank Board and staff members, parliamentarians and academics. It also consulted with representatives of businesses, unions, public institutions and community groups. (Figure 2)</w:t>
      </w:r>
    </w:p>
    <w:p w14:paraId="37D82ED5" w14:textId="77777777" w:rsidR="00907468" w:rsidRDefault="00907468" w:rsidP="00907468">
      <w:r>
        <w:t>Many of these consultations were conducted by videoconference. Panel members also conducted in-person interviews over 2 weeks in August and November 2022, including meetings in Sydney, Melbourne, and Canberra.</w:t>
      </w:r>
    </w:p>
    <w:p w14:paraId="7B898495" w14:textId="77777777" w:rsidR="00907468" w:rsidRDefault="00907468" w:rsidP="00907468">
      <w:r>
        <w:t>As part of these consultations, the Panel conducted 4 round table conversations with leading academics and market economists across Australia.</w:t>
      </w:r>
    </w:p>
    <w:p w14:paraId="70E3D63C" w14:textId="34235BAC" w:rsidR="00907468" w:rsidRDefault="00907468" w:rsidP="00907468">
      <w:pPr>
        <w:rPr>
          <w:spacing w:val="-2"/>
        </w:rPr>
      </w:pPr>
      <w:r>
        <w:t>A</w:t>
      </w:r>
      <w:r>
        <w:rPr>
          <w:spacing w:val="-2"/>
        </w:rPr>
        <w:t xml:space="preserve"> </w:t>
      </w:r>
      <w:r>
        <w:t>list of people the Panel</w:t>
      </w:r>
      <w:r>
        <w:rPr>
          <w:spacing w:val="1"/>
        </w:rPr>
        <w:t xml:space="preserve"> </w:t>
      </w:r>
      <w:r>
        <w:t>engaged directly with is included</w:t>
      </w:r>
      <w:r>
        <w:rPr>
          <w:spacing w:val="1"/>
        </w:rPr>
        <w:t xml:space="preserve"> </w:t>
      </w:r>
      <w:r>
        <w:t>at the end of this</w:t>
      </w:r>
      <w:r>
        <w:rPr>
          <w:spacing w:val="1"/>
        </w:rPr>
        <w:t xml:space="preserve"> </w:t>
      </w:r>
      <w:r>
        <w:rPr>
          <w:spacing w:val="-2"/>
        </w:rPr>
        <w:t>section.</w:t>
      </w:r>
    </w:p>
    <w:p w14:paraId="4B80B10C" w14:textId="77777777" w:rsidR="00907468" w:rsidRDefault="00907468">
      <w:pPr>
        <w:spacing w:before="0" w:after="160" w:line="259" w:lineRule="auto"/>
        <w:rPr>
          <w:spacing w:val="-2"/>
        </w:rPr>
      </w:pPr>
      <w:r>
        <w:rPr>
          <w:spacing w:val="-2"/>
        </w:rPr>
        <w:br w:type="page"/>
      </w:r>
    </w:p>
    <w:p w14:paraId="3D745D12" w14:textId="2DE269BC" w:rsidR="00D1483B" w:rsidRDefault="00907468" w:rsidP="00907468">
      <w:pPr>
        <w:pStyle w:val="BoxHeading"/>
      </w:pPr>
      <w:r>
        <w:lastRenderedPageBreak/>
        <w:t>Figure 2 Consultation statistics</w:t>
      </w:r>
    </w:p>
    <w:p w14:paraId="65348F70" w14:textId="65988E64" w:rsidR="001C6AE1" w:rsidRPr="001C6AE1" w:rsidRDefault="001C6AE1" w:rsidP="001C6AE1">
      <w:pPr>
        <w:jc w:val="center"/>
      </w:pPr>
      <w:r>
        <w:rPr>
          <w:noProof/>
        </w:rPr>
        <w:drawing>
          <wp:inline distT="0" distB="0" distL="0" distR="0" wp14:anchorId="289B6F77" wp14:editId="0380A030">
            <wp:extent cx="5120650" cy="6630937"/>
            <wp:effectExtent l="0" t="0" r="3810" b="0"/>
            <wp:docPr id="58" name="Picture 58" descr="An overview of the consultations undertaken by the Panel and the Review, with figures for the number of individual and organisational meetings, and the category of the meeting participants by the sector of their expert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n overview of the consultations undertaken by the Panel and the Review, with figures for the number of individual and organisational meetings, and the category of the meeting participants by the sector of their expertise. "/>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20650" cy="6630937"/>
                    </a:xfrm>
                    <a:prstGeom prst="rect">
                      <a:avLst/>
                    </a:prstGeom>
                  </pic:spPr>
                </pic:pic>
              </a:graphicData>
            </a:graphic>
          </wp:inline>
        </w:drawing>
      </w:r>
    </w:p>
    <w:p w14:paraId="61FF0DD6" w14:textId="77777777" w:rsidR="00D1483B" w:rsidRDefault="00D1483B">
      <w:pPr>
        <w:spacing w:before="0" w:after="160" w:line="259" w:lineRule="auto"/>
        <w:rPr>
          <w:b/>
          <w:color w:val="204060" w:themeColor="accent1"/>
          <w:sz w:val="26"/>
          <w:szCs w:val="26"/>
        </w:rPr>
      </w:pPr>
      <w:r>
        <w:br w:type="page"/>
      </w:r>
    </w:p>
    <w:p w14:paraId="3B26C7ED" w14:textId="77777777" w:rsidR="002703D5" w:rsidRDefault="002703D5" w:rsidP="002703D5">
      <w:pPr>
        <w:pStyle w:val="Heading3"/>
      </w:pPr>
      <w:r>
        <w:lastRenderedPageBreak/>
        <w:t>Public</w:t>
      </w:r>
      <w:r>
        <w:rPr>
          <w:spacing w:val="-13"/>
        </w:rPr>
        <w:t xml:space="preserve"> </w:t>
      </w:r>
      <w:r>
        <w:t>submissions</w:t>
      </w:r>
    </w:p>
    <w:p w14:paraId="59D0A2B7" w14:textId="77777777" w:rsidR="002703D5" w:rsidRDefault="002703D5" w:rsidP="002703D5">
      <w:r>
        <w:t>The Review provided the public with an Issues Paper and submission guidelines and asked submitters to address the Terms of Reference.</w:t>
      </w:r>
    </w:p>
    <w:p w14:paraId="33FF3B98" w14:textId="77777777" w:rsidR="002703D5" w:rsidRDefault="002703D5" w:rsidP="002703D5">
      <w:r>
        <w:t>The</w:t>
      </w:r>
      <w:r>
        <w:rPr>
          <w:spacing w:val="-1"/>
        </w:rPr>
        <w:t xml:space="preserve"> </w:t>
      </w:r>
      <w:r>
        <w:t>Review</w:t>
      </w:r>
      <w:r>
        <w:rPr>
          <w:spacing w:val="-1"/>
        </w:rPr>
        <w:t xml:space="preserve"> </w:t>
      </w:r>
      <w:r>
        <w:t>received</w:t>
      </w:r>
      <w:r>
        <w:rPr>
          <w:spacing w:val="-1"/>
        </w:rPr>
        <w:t xml:space="preserve"> </w:t>
      </w:r>
      <w:r>
        <w:t>a</w:t>
      </w:r>
      <w:r>
        <w:rPr>
          <w:spacing w:val="-1"/>
        </w:rPr>
        <w:t xml:space="preserve"> </w:t>
      </w:r>
      <w:r>
        <w:t>total</w:t>
      </w:r>
      <w:r>
        <w:rPr>
          <w:spacing w:val="-1"/>
        </w:rPr>
        <w:t xml:space="preserve"> </w:t>
      </w:r>
      <w:r>
        <w:t>of</w:t>
      </w:r>
      <w:r>
        <w:rPr>
          <w:spacing w:val="-1"/>
        </w:rPr>
        <w:t xml:space="preserve"> </w:t>
      </w:r>
      <w:r>
        <w:t>117</w:t>
      </w:r>
      <w:r>
        <w:rPr>
          <w:spacing w:val="-1"/>
        </w:rPr>
        <w:t xml:space="preserve"> </w:t>
      </w:r>
      <w:r>
        <w:t>submissions</w:t>
      </w:r>
      <w:r>
        <w:rPr>
          <w:spacing w:val="-1"/>
        </w:rPr>
        <w:t xml:space="preserve"> </w:t>
      </w:r>
      <w:r>
        <w:t>from</w:t>
      </w:r>
      <w:r>
        <w:rPr>
          <w:spacing w:val="-1"/>
        </w:rPr>
        <w:t xml:space="preserve"> </w:t>
      </w:r>
      <w:r>
        <w:t>diverse</w:t>
      </w:r>
      <w:r>
        <w:rPr>
          <w:spacing w:val="-1"/>
        </w:rPr>
        <w:t xml:space="preserve"> </w:t>
      </w:r>
      <w:r>
        <w:t>stakeholders,</w:t>
      </w:r>
      <w:r>
        <w:rPr>
          <w:spacing w:val="-1"/>
        </w:rPr>
        <w:t xml:space="preserve"> </w:t>
      </w:r>
      <w:r>
        <w:t>including</w:t>
      </w:r>
      <w:r>
        <w:rPr>
          <w:spacing w:val="-1"/>
        </w:rPr>
        <w:t xml:space="preserve"> </w:t>
      </w:r>
      <w:r>
        <w:t>from</w:t>
      </w:r>
      <w:r>
        <w:rPr>
          <w:spacing w:val="-1"/>
        </w:rPr>
        <w:t xml:space="preserve"> </w:t>
      </w:r>
      <w:r>
        <w:t>the finance industry, community service sector, union groups and members of the public.</w:t>
      </w:r>
    </w:p>
    <w:p w14:paraId="619E0C62" w14:textId="77777777" w:rsidR="002703D5" w:rsidRDefault="002703D5" w:rsidP="002703D5">
      <w:r>
        <w:t>Participants provided submissions by the RBA Review website portal and by email. Some RBA staff also provided confidential submissions via a separate portal, which could not be accessed by RBA secondees. The Review accepted late submissions by email for a short time after the official closing date. The Review accepted public, anonymous, and confidential submissions to allow for input from the widest range of contributors.</w:t>
      </w:r>
    </w:p>
    <w:p w14:paraId="074E0776" w14:textId="77777777" w:rsidR="002703D5" w:rsidRDefault="002703D5" w:rsidP="002703D5">
      <w:r>
        <w:t>The</w:t>
      </w:r>
      <w:r>
        <w:rPr>
          <w:spacing w:val="-1"/>
        </w:rPr>
        <w:t xml:space="preserve"> </w:t>
      </w:r>
      <w:r>
        <w:t>Review</w:t>
      </w:r>
      <w:r>
        <w:rPr>
          <w:spacing w:val="-1"/>
        </w:rPr>
        <w:t xml:space="preserve"> </w:t>
      </w:r>
      <w:r>
        <w:t>published</w:t>
      </w:r>
      <w:r>
        <w:rPr>
          <w:spacing w:val="-1"/>
        </w:rPr>
        <w:t xml:space="preserve"> </w:t>
      </w:r>
      <w:r>
        <w:t>78</w:t>
      </w:r>
      <w:r>
        <w:rPr>
          <w:spacing w:val="-1"/>
        </w:rPr>
        <w:t xml:space="preserve"> </w:t>
      </w:r>
      <w:r>
        <w:t>submissions</w:t>
      </w:r>
      <w:r>
        <w:rPr>
          <w:spacing w:val="-1"/>
        </w:rPr>
        <w:t xml:space="preserve"> </w:t>
      </w:r>
      <w:r>
        <w:t>on</w:t>
      </w:r>
      <w:r>
        <w:rPr>
          <w:spacing w:val="-1"/>
        </w:rPr>
        <w:t xml:space="preserve"> </w:t>
      </w:r>
      <w:r>
        <w:t>its</w:t>
      </w:r>
      <w:r>
        <w:rPr>
          <w:spacing w:val="-1"/>
        </w:rPr>
        <w:t xml:space="preserve"> </w:t>
      </w:r>
      <w:r>
        <w:t>public</w:t>
      </w:r>
      <w:r>
        <w:rPr>
          <w:spacing w:val="-1"/>
        </w:rPr>
        <w:t xml:space="preserve"> </w:t>
      </w:r>
      <w:r>
        <w:t>website</w:t>
      </w:r>
      <w:r>
        <w:rPr>
          <w:spacing w:val="-1"/>
        </w:rPr>
        <w:t xml:space="preserve"> </w:t>
      </w:r>
      <w:r>
        <w:t>on</w:t>
      </w:r>
      <w:r>
        <w:rPr>
          <w:spacing w:val="-1"/>
        </w:rPr>
        <w:t xml:space="preserve"> </w:t>
      </w:r>
      <w:r>
        <w:t>8</w:t>
      </w:r>
      <w:r>
        <w:rPr>
          <w:spacing w:val="-1"/>
        </w:rPr>
        <w:t xml:space="preserve"> </w:t>
      </w:r>
      <w:r>
        <w:t>December</w:t>
      </w:r>
      <w:r>
        <w:rPr>
          <w:spacing w:val="-1"/>
        </w:rPr>
        <w:t xml:space="preserve"> </w:t>
      </w:r>
      <w:r>
        <w:t>2022.</w:t>
      </w:r>
      <w:r>
        <w:rPr>
          <w:spacing w:val="-1"/>
        </w:rPr>
        <w:t xml:space="preserve"> </w:t>
      </w:r>
      <w:r>
        <w:t>Some submissions were not published due to confidentiality or legal policy.</w:t>
      </w:r>
    </w:p>
    <w:p w14:paraId="0990E9F6" w14:textId="77777777" w:rsidR="002703D5" w:rsidRDefault="002703D5" w:rsidP="002703D5">
      <w:pPr>
        <w:pStyle w:val="Heading3"/>
      </w:pPr>
      <w:r>
        <w:t>Information</w:t>
      </w:r>
      <w:r>
        <w:rPr>
          <w:spacing w:val="3"/>
        </w:rPr>
        <w:t xml:space="preserve"> </w:t>
      </w:r>
      <w:r>
        <w:t>requests</w:t>
      </w:r>
    </w:p>
    <w:p w14:paraId="2E1B087A" w14:textId="5F91E8CC" w:rsidR="002703D5" w:rsidRDefault="002703D5" w:rsidP="002703D5">
      <w:r>
        <w:t>The Review issued 4 information requests to the RBA, on 15 August 2022, 27 September 2022, 30 November 2022 and 16 February 2023. These requests covered all aspects of the Terms of</w:t>
      </w:r>
      <w:r>
        <w:rPr>
          <w:spacing w:val="-3"/>
        </w:rPr>
        <w:t xml:space="preserve"> </w:t>
      </w:r>
      <w:r>
        <w:rPr>
          <w:spacing w:val="-2"/>
        </w:rPr>
        <w:t>Reference.</w:t>
      </w:r>
    </w:p>
    <w:p w14:paraId="335C0668" w14:textId="3A0F57E4" w:rsidR="002703D5" w:rsidRDefault="002703D5" w:rsidP="002703D5">
      <w:r>
        <w:t>The Review has published the three summary notes provided by the RBA in response to</w:t>
      </w:r>
      <w:r>
        <w:rPr>
          <w:spacing w:val="80"/>
        </w:rPr>
        <w:t xml:space="preserve"> </w:t>
      </w:r>
      <w:r>
        <w:t xml:space="preserve">these requests on its website. Alongside these summary documents the RBA provided nearly 500 supporting documents. Many of these were confidential internal documents such as board papers and human resources documents. The RBA provided all documents and information </w:t>
      </w:r>
      <w:r>
        <w:rPr>
          <w:spacing w:val="-2"/>
        </w:rPr>
        <w:t>requested.</w:t>
      </w:r>
    </w:p>
    <w:p w14:paraId="6C6E89C3" w14:textId="77777777" w:rsidR="002703D5" w:rsidRDefault="002703D5" w:rsidP="002703D5">
      <w:r>
        <w:t>The RBA was given the opportunity to provide written comments in response to a draft of the Review.</w:t>
      </w:r>
    </w:p>
    <w:p w14:paraId="30CA14C4" w14:textId="77777777" w:rsidR="002703D5" w:rsidRDefault="002703D5" w:rsidP="002703D5">
      <w:pPr>
        <w:pStyle w:val="Heading3"/>
      </w:pPr>
      <w:r>
        <w:t>Survey</w:t>
      </w:r>
      <w:r>
        <w:rPr>
          <w:spacing w:val="-6"/>
        </w:rPr>
        <w:t xml:space="preserve"> </w:t>
      </w:r>
      <w:r>
        <w:t>of</w:t>
      </w:r>
      <w:r>
        <w:rPr>
          <w:spacing w:val="-6"/>
        </w:rPr>
        <w:t xml:space="preserve"> </w:t>
      </w:r>
      <w:r>
        <w:t>current</w:t>
      </w:r>
      <w:r>
        <w:rPr>
          <w:spacing w:val="-5"/>
        </w:rPr>
        <w:t xml:space="preserve"> </w:t>
      </w:r>
      <w:r>
        <w:t>and</w:t>
      </w:r>
      <w:r>
        <w:rPr>
          <w:spacing w:val="-6"/>
        </w:rPr>
        <w:t xml:space="preserve"> </w:t>
      </w:r>
      <w:r>
        <w:t>former</w:t>
      </w:r>
      <w:r>
        <w:rPr>
          <w:spacing w:val="-6"/>
        </w:rPr>
        <w:t xml:space="preserve"> </w:t>
      </w:r>
      <w:r>
        <w:t>RBA</w:t>
      </w:r>
      <w:r>
        <w:rPr>
          <w:spacing w:val="-5"/>
        </w:rPr>
        <w:t xml:space="preserve"> </w:t>
      </w:r>
      <w:r>
        <w:rPr>
          <w:spacing w:val="-2"/>
        </w:rPr>
        <w:t>employees</w:t>
      </w:r>
    </w:p>
    <w:p w14:paraId="538B61D8" w14:textId="77777777" w:rsidR="002703D5" w:rsidRDefault="002703D5" w:rsidP="002703D5">
      <w:r>
        <w:t>The Review engaged a commercial provider, Big Village, to conduct an extensive survey of current and former RBA employees.</w:t>
      </w:r>
    </w:p>
    <w:p w14:paraId="25356F9D" w14:textId="77777777" w:rsidR="002703D5" w:rsidRDefault="002703D5" w:rsidP="002703D5">
      <w:r>
        <w:t>Big Village designed the survey to provide the Review with quantitative data on the RBA’s</w:t>
      </w:r>
      <w:r>
        <w:rPr>
          <w:spacing w:val="80"/>
        </w:rPr>
        <w:t xml:space="preserve"> </w:t>
      </w:r>
      <w:r>
        <w:t>workplace culture, values, and job satisfaction levels. The survey also asked participants to provide information on areas for improvement.</w:t>
      </w:r>
    </w:p>
    <w:p w14:paraId="0E07B334" w14:textId="77777777" w:rsidR="002703D5" w:rsidRDefault="002703D5" w:rsidP="002703D5">
      <w:r>
        <w:t>The commercial provider sent the survey to all current RBA employees. The survey was also sent</w:t>
      </w:r>
      <w:r>
        <w:rPr>
          <w:spacing w:val="80"/>
        </w:rPr>
        <w:t xml:space="preserve"> </w:t>
      </w:r>
      <w:r>
        <w:t>to a list of former staff members identified by the Secretariat and the RBA. 982 current and 107 former staff completed the survey, with responses received from 17 October to 5 November 2022.</w:t>
      </w:r>
    </w:p>
    <w:p w14:paraId="58728B36" w14:textId="77777777" w:rsidR="002703D5" w:rsidRDefault="002703D5" w:rsidP="002703D5">
      <w:r>
        <w:t>Data were broken down into categories based on gender, job classification level, employment</w:t>
      </w:r>
      <w:r>
        <w:rPr>
          <w:spacing w:val="40"/>
        </w:rPr>
        <w:t xml:space="preserve"> </w:t>
      </w:r>
      <w:r>
        <w:t>status,</w:t>
      </w:r>
      <w:r>
        <w:rPr>
          <w:spacing w:val="13"/>
        </w:rPr>
        <w:t xml:space="preserve"> </w:t>
      </w:r>
      <w:r>
        <w:t>and</w:t>
      </w:r>
      <w:r>
        <w:rPr>
          <w:spacing w:val="13"/>
        </w:rPr>
        <w:t xml:space="preserve"> </w:t>
      </w:r>
      <w:r>
        <w:t>whether</w:t>
      </w:r>
      <w:r>
        <w:rPr>
          <w:spacing w:val="13"/>
        </w:rPr>
        <w:t xml:space="preserve"> </w:t>
      </w:r>
      <w:r>
        <w:t>the</w:t>
      </w:r>
      <w:r>
        <w:rPr>
          <w:spacing w:val="13"/>
        </w:rPr>
        <w:t xml:space="preserve"> </w:t>
      </w:r>
      <w:r>
        <w:t>respondent</w:t>
      </w:r>
      <w:r>
        <w:rPr>
          <w:spacing w:val="13"/>
        </w:rPr>
        <w:t xml:space="preserve"> </w:t>
      </w:r>
      <w:r>
        <w:t>has</w:t>
      </w:r>
      <w:r>
        <w:rPr>
          <w:spacing w:val="13"/>
        </w:rPr>
        <w:t xml:space="preserve"> </w:t>
      </w:r>
      <w:r>
        <w:t>a</w:t>
      </w:r>
      <w:r>
        <w:rPr>
          <w:spacing w:val="13"/>
        </w:rPr>
        <w:t xml:space="preserve"> </w:t>
      </w:r>
      <w:r>
        <w:t>PhD/other</w:t>
      </w:r>
      <w:r>
        <w:rPr>
          <w:spacing w:val="13"/>
        </w:rPr>
        <w:t xml:space="preserve"> </w:t>
      </w:r>
      <w:r>
        <w:t>postgraduate</w:t>
      </w:r>
      <w:r>
        <w:rPr>
          <w:spacing w:val="13"/>
        </w:rPr>
        <w:t xml:space="preserve"> </w:t>
      </w:r>
      <w:r>
        <w:t>degree,</w:t>
      </w:r>
      <w:r>
        <w:rPr>
          <w:spacing w:val="13"/>
        </w:rPr>
        <w:t xml:space="preserve"> </w:t>
      </w:r>
      <w:r>
        <w:t>was</w:t>
      </w:r>
      <w:r>
        <w:rPr>
          <w:spacing w:val="13"/>
        </w:rPr>
        <w:t xml:space="preserve"> </w:t>
      </w:r>
      <w:r>
        <w:t>born</w:t>
      </w:r>
      <w:r>
        <w:rPr>
          <w:spacing w:val="13"/>
        </w:rPr>
        <w:t xml:space="preserve"> </w:t>
      </w:r>
      <w:r>
        <w:t>in</w:t>
      </w:r>
      <w:r>
        <w:rPr>
          <w:spacing w:val="13"/>
        </w:rPr>
        <w:t xml:space="preserve"> </w:t>
      </w:r>
      <w:r>
        <w:t>Australia or overseas, speaks a language other than English at home, their gender and sexuality and whether they identify as having an ongoing disability.</w:t>
      </w:r>
    </w:p>
    <w:p w14:paraId="0FDABDF4" w14:textId="7AF26BB9" w:rsidR="00B62E83" w:rsidRDefault="00B62E83" w:rsidP="008525BF">
      <w:r>
        <w:t>As part of preserving confidentiality, the Review team were provided with quantitative data where there were 10 or more respondents in any grouping (for example, particular demographics or</w:t>
      </w:r>
      <w:r w:rsidR="008525BF">
        <w:t xml:space="preserve"> </w:t>
      </w:r>
      <w:r>
        <w:t>by work unit). The Review did not have access to complete individual survey responses but was provided with de-identified responses to free-text questions.</w:t>
      </w:r>
    </w:p>
    <w:p w14:paraId="55B5FF8C" w14:textId="77777777" w:rsidR="00B62E83" w:rsidRDefault="00B62E83" w:rsidP="008525BF">
      <w:r>
        <w:t>The results from the survey were compared to the most recent Australian Public Service survey to gain further insights into RBA culture in contrast to broader public service culture.</w:t>
      </w:r>
    </w:p>
    <w:p w14:paraId="421989C2" w14:textId="77777777" w:rsidR="00B62E83" w:rsidRDefault="00B62E83" w:rsidP="008525BF">
      <w:pPr>
        <w:keepNext/>
      </w:pPr>
      <w:r>
        <w:t>Questions</w:t>
      </w:r>
      <w:r>
        <w:rPr>
          <w:spacing w:val="2"/>
        </w:rPr>
        <w:t xml:space="preserve"> </w:t>
      </w:r>
      <w:r>
        <w:t>sought</w:t>
      </w:r>
      <w:r>
        <w:rPr>
          <w:spacing w:val="3"/>
        </w:rPr>
        <w:t xml:space="preserve"> </w:t>
      </w:r>
      <w:r>
        <w:t>insight</w:t>
      </w:r>
      <w:r>
        <w:rPr>
          <w:spacing w:val="2"/>
        </w:rPr>
        <w:t xml:space="preserve"> </w:t>
      </w:r>
      <w:r>
        <w:t>into</w:t>
      </w:r>
      <w:r>
        <w:rPr>
          <w:spacing w:val="3"/>
        </w:rPr>
        <w:t xml:space="preserve"> </w:t>
      </w:r>
      <w:r>
        <w:t>staff</w:t>
      </w:r>
      <w:r>
        <w:rPr>
          <w:spacing w:val="2"/>
        </w:rPr>
        <w:t xml:space="preserve"> </w:t>
      </w:r>
      <w:r>
        <w:t>perceptions</w:t>
      </w:r>
      <w:r>
        <w:rPr>
          <w:spacing w:val="3"/>
        </w:rPr>
        <w:t xml:space="preserve"> </w:t>
      </w:r>
      <w:r>
        <w:rPr>
          <w:spacing w:val="-5"/>
        </w:rPr>
        <w:t>on:</w:t>
      </w:r>
    </w:p>
    <w:p w14:paraId="68C6A088" w14:textId="77777777" w:rsidR="00B62E83" w:rsidRDefault="00B62E83" w:rsidP="0000278A">
      <w:pPr>
        <w:pStyle w:val="Bullet"/>
      </w:pPr>
      <w:r>
        <w:t>what</w:t>
      </w:r>
      <w:r>
        <w:rPr>
          <w:spacing w:val="-1"/>
        </w:rPr>
        <w:t xml:space="preserve"> </w:t>
      </w:r>
      <w:r>
        <w:t>the RBA</w:t>
      </w:r>
      <w:r>
        <w:rPr>
          <w:spacing w:val="-1"/>
        </w:rPr>
        <w:t xml:space="preserve"> </w:t>
      </w:r>
      <w:r>
        <w:t xml:space="preserve">is doing </w:t>
      </w:r>
      <w:r>
        <w:rPr>
          <w:spacing w:val="-4"/>
        </w:rPr>
        <w:t>well</w:t>
      </w:r>
    </w:p>
    <w:p w14:paraId="27095F12" w14:textId="77777777" w:rsidR="00B62E83" w:rsidRDefault="00B62E83" w:rsidP="0000278A">
      <w:pPr>
        <w:pStyle w:val="Bullet"/>
      </w:pPr>
      <w:r>
        <w:lastRenderedPageBreak/>
        <w:t>what</w:t>
      </w:r>
      <w:r>
        <w:rPr>
          <w:spacing w:val="-1"/>
        </w:rPr>
        <w:t xml:space="preserve"> </w:t>
      </w:r>
      <w:r>
        <w:t>the RBA</w:t>
      </w:r>
      <w:r>
        <w:rPr>
          <w:spacing w:val="-1"/>
        </w:rPr>
        <w:t xml:space="preserve"> </w:t>
      </w:r>
      <w:r>
        <w:t>could be</w:t>
      </w:r>
      <w:r>
        <w:rPr>
          <w:spacing w:val="-1"/>
        </w:rPr>
        <w:t xml:space="preserve"> </w:t>
      </w:r>
      <w:r>
        <w:t xml:space="preserve">doing </w:t>
      </w:r>
      <w:r>
        <w:rPr>
          <w:spacing w:val="-2"/>
        </w:rPr>
        <w:t>better</w:t>
      </w:r>
    </w:p>
    <w:p w14:paraId="2D90EAF7" w14:textId="77777777" w:rsidR="00B62E83" w:rsidRDefault="00B62E83" w:rsidP="0000278A">
      <w:pPr>
        <w:pStyle w:val="Bullet"/>
      </w:pPr>
      <w:r>
        <w:t>potential</w:t>
      </w:r>
      <w:r>
        <w:rPr>
          <w:spacing w:val="-2"/>
        </w:rPr>
        <w:t xml:space="preserve"> </w:t>
      </w:r>
      <w:r>
        <w:t xml:space="preserve">skills </w:t>
      </w:r>
      <w:r>
        <w:rPr>
          <w:spacing w:val="-4"/>
        </w:rPr>
        <w:t>gaps</w:t>
      </w:r>
    </w:p>
    <w:p w14:paraId="2B92CCC4" w14:textId="77777777" w:rsidR="00B62E83" w:rsidRDefault="00B62E83" w:rsidP="0000278A">
      <w:pPr>
        <w:pStyle w:val="Bullet"/>
      </w:pPr>
      <w:r>
        <w:t>diversity</w:t>
      </w:r>
      <w:r>
        <w:rPr>
          <w:spacing w:val="8"/>
        </w:rPr>
        <w:t xml:space="preserve"> </w:t>
      </w:r>
      <w:r>
        <w:t>and</w:t>
      </w:r>
      <w:r>
        <w:rPr>
          <w:spacing w:val="8"/>
        </w:rPr>
        <w:t xml:space="preserve"> </w:t>
      </w:r>
      <w:r>
        <w:rPr>
          <w:spacing w:val="-2"/>
        </w:rPr>
        <w:t>inclusion</w:t>
      </w:r>
    </w:p>
    <w:p w14:paraId="39C6362C" w14:textId="77777777" w:rsidR="00B62E83" w:rsidRDefault="00B62E83" w:rsidP="0000278A">
      <w:pPr>
        <w:pStyle w:val="Bullet"/>
      </w:pPr>
      <w:r>
        <w:t>recruitment</w:t>
      </w:r>
      <w:r>
        <w:rPr>
          <w:spacing w:val="6"/>
        </w:rPr>
        <w:t xml:space="preserve"> </w:t>
      </w:r>
      <w:r>
        <w:rPr>
          <w:spacing w:val="-2"/>
        </w:rPr>
        <w:t>culture</w:t>
      </w:r>
    </w:p>
    <w:p w14:paraId="04190DF4" w14:textId="77777777" w:rsidR="00B62E83" w:rsidRDefault="00B62E83" w:rsidP="0000278A">
      <w:pPr>
        <w:pStyle w:val="Bullet"/>
      </w:pPr>
      <w:r>
        <w:t>management</w:t>
      </w:r>
      <w:r>
        <w:rPr>
          <w:spacing w:val="-2"/>
        </w:rPr>
        <w:t xml:space="preserve"> styles</w:t>
      </w:r>
    </w:p>
    <w:p w14:paraId="5039068F" w14:textId="77777777" w:rsidR="00B62E83" w:rsidRDefault="00B62E83" w:rsidP="0000278A">
      <w:pPr>
        <w:pStyle w:val="Bullet"/>
      </w:pPr>
      <w:r>
        <w:t>the</w:t>
      </w:r>
      <w:r>
        <w:rPr>
          <w:spacing w:val="3"/>
        </w:rPr>
        <w:t xml:space="preserve"> </w:t>
      </w:r>
      <w:r>
        <w:t>effectiveness</w:t>
      </w:r>
      <w:r>
        <w:rPr>
          <w:spacing w:val="4"/>
        </w:rPr>
        <w:t xml:space="preserve"> </w:t>
      </w:r>
      <w:r>
        <w:t>of</w:t>
      </w:r>
      <w:r>
        <w:rPr>
          <w:spacing w:val="4"/>
        </w:rPr>
        <w:t xml:space="preserve"> </w:t>
      </w:r>
      <w:r>
        <w:t>the</w:t>
      </w:r>
      <w:r>
        <w:rPr>
          <w:spacing w:val="4"/>
        </w:rPr>
        <w:t xml:space="preserve"> </w:t>
      </w:r>
      <w:r>
        <w:rPr>
          <w:spacing w:val="-2"/>
        </w:rPr>
        <w:t>workforce.</w:t>
      </w:r>
    </w:p>
    <w:p w14:paraId="36BD6947" w14:textId="77777777" w:rsidR="00B62E83" w:rsidRDefault="00B62E83" w:rsidP="008525BF">
      <w:r>
        <w:t>Participants were asked to respond to multiple-choice questions</w:t>
      </w:r>
      <w:r>
        <w:rPr>
          <w:spacing w:val="-4"/>
        </w:rPr>
        <w:t xml:space="preserve"> </w:t>
      </w:r>
      <w:r>
        <w:t>and the survey included free text questions.</w:t>
      </w:r>
    </w:p>
    <w:p w14:paraId="1B7C8DA8" w14:textId="77777777" w:rsidR="00B62E83" w:rsidRDefault="00B62E83" w:rsidP="008525BF">
      <w:r>
        <w:t>Summary reports of the surveys of current and former RBA staff were published on the Review’s website at the time that the final report was released.</w:t>
      </w:r>
    </w:p>
    <w:p w14:paraId="529C06AF" w14:textId="1E1E4ED6" w:rsidR="00B62E83" w:rsidRDefault="00B62E83" w:rsidP="008525BF">
      <w:pPr>
        <w:pStyle w:val="Heading3"/>
      </w:pPr>
      <w:r>
        <w:t>RBA</w:t>
      </w:r>
      <w:r>
        <w:rPr>
          <w:spacing w:val="-3"/>
        </w:rPr>
        <w:t xml:space="preserve"> </w:t>
      </w:r>
      <w:r>
        <w:t>focus</w:t>
      </w:r>
      <w:r>
        <w:rPr>
          <w:spacing w:val="-2"/>
        </w:rPr>
        <w:t xml:space="preserve"> groups</w:t>
      </w:r>
    </w:p>
    <w:p w14:paraId="46B93FFD" w14:textId="77777777" w:rsidR="00B62E83" w:rsidRDefault="00B62E83" w:rsidP="008525BF">
      <w:r>
        <w:t>The Review conducted 6 Focus groups with 40 current RBA staff in November and December of 2022. The groups consisted of people from various work areas and levels, representing a sample of the broader work population and included people in management positions, economic and IT experts, corporate, and communications roles.</w:t>
      </w:r>
    </w:p>
    <w:p w14:paraId="4BD8B3A3" w14:textId="77777777" w:rsidR="00B62E83" w:rsidRDefault="00B62E83" w:rsidP="008525BF">
      <w:r>
        <w:t>The focus groups helped gather evidence in a format that would suit those who prefer group discussion and provided the participants the opportunity to explore themes from the staff survey results.</w:t>
      </w:r>
    </w:p>
    <w:p w14:paraId="53704F2D" w14:textId="77777777" w:rsidR="00B62E83" w:rsidRDefault="00B62E83" w:rsidP="008525BF">
      <w:r>
        <w:t>Topics</w:t>
      </w:r>
      <w:r>
        <w:rPr>
          <w:spacing w:val="2"/>
        </w:rPr>
        <w:t xml:space="preserve"> </w:t>
      </w:r>
      <w:r>
        <w:t>discussed</w:t>
      </w:r>
      <w:r>
        <w:rPr>
          <w:spacing w:val="2"/>
        </w:rPr>
        <w:t xml:space="preserve"> </w:t>
      </w:r>
      <w:r>
        <w:t>by</w:t>
      </w:r>
      <w:r>
        <w:rPr>
          <w:spacing w:val="2"/>
        </w:rPr>
        <w:t xml:space="preserve"> </w:t>
      </w:r>
      <w:r>
        <w:t>focus</w:t>
      </w:r>
      <w:r>
        <w:rPr>
          <w:spacing w:val="2"/>
        </w:rPr>
        <w:t xml:space="preserve"> </w:t>
      </w:r>
      <w:r>
        <w:t>group</w:t>
      </w:r>
      <w:r>
        <w:rPr>
          <w:spacing w:val="2"/>
        </w:rPr>
        <w:t xml:space="preserve"> </w:t>
      </w:r>
      <w:r>
        <w:t>participants</w:t>
      </w:r>
      <w:r>
        <w:rPr>
          <w:spacing w:val="2"/>
        </w:rPr>
        <w:t xml:space="preserve"> </w:t>
      </w:r>
      <w:r>
        <w:rPr>
          <w:spacing w:val="-2"/>
        </w:rPr>
        <w:t>included:</w:t>
      </w:r>
    </w:p>
    <w:p w14:paraId="169A5ED2" w14:textId="77777777" w:rsidR="00B62E83" w:rsidRDefault="00B62E83" w:rsidP="0000278A">
      <w:pPr>
        <w:pStyle w:val="Bullet"/>
      </w:pPr>
      <w:r>
        <w:t>recruitment</w:t>
      </w:r>
      <w:r>
        <w:rPr>
          <w:spacing w:val="2"/>
        </w:rPr>
        <w:t xml:space="preserve"> </w:t>
      </w:r>
      <w:r>
        <w:t>and</w:t>
      </w:r>
      <w:r>
        <w:rPr>
          <w:spacing w:val="3"/>
        </w:rPr>
        <w:t xml:space="preserve"> </w:t>
      </w:r>
      <w:r>
        <w:rPr>
          <w:spacing w:val="-2"/>
        </w:rPr>
        <w:t>promotions</w:t>
      </w:r>
    </w:p>
    <w:p w14:paraId="3B34603A" w14:textId="77777777" w:rsidR="00B62E83" w:rsidRDefault="00B62E83" w:rsidP="0000278A">
      <w:pPr>
        <w:pStyle w:val="Bullet"/>
      </w:pPr>
      <w:r>
        <w:t>risk culture,</w:t>
      </w:r>
      <w:r>
        <w:rPr>
          <w:spacing w:val="1"/>
        </w:rPr>
        <w:t xml:space="preserve"> </w:t>
      </w:r>
      <w:r>
        <w:t>appetite</w:t>
      </w:r>
      <w:r>
        <w:rPr>
          <w:spacing w:val="1"/>
        </w:rPr>
        <w:t xml:space="preserve"> </w:t>
      </w:r>
      <w:r>
        <w:t>for</w:t>
      </w:r>
      <w:r>
        <w:rPr>
          <w:spacing w:val="1"/>
        </w:rPr>
        <w:t xml:space="preserve"> </w:t>
      </w:r>
      <w:r>
        <w:t>innovation</w:t>
      </w:r>
      <w:r>
        <w:rPr>
          <w:spacing w:val="1"/>
        </w:rPr>
        <w:t xml:space="preserve"> </w:t>
      </w:r>
      <w:r>
        <w:t>and</w:t>
      </w:r>
      <w:r>
        <w:rPr>
          <w:spacing w:val="1"/>
        </w:rPr>
        <w:t xml:space="preserve"> </w:t>
      </w:r>
      <w:r>
        <w:rPr>
          <w:spacing w:val="-2"/>
        </w:rPr>
        <w:t>creativity</w:t>
      </w:r>
    </w:p>
    <w:p w14:paraId="635C64EA" w14:textId="77777777" w:rsidR="00B62E83" w:rsidRDefault="00B62E83" w:rsidP="0000278A">
      <w:pPr>
        <w:pStyle w:val="Bullet"/>
      </w:pPr>
      <w:r>
        <w:t>diversity</w:t>
      </w:r>
      <w:r>
        <w:rPr>
          <w:spacing w:val="8"/>
        </w:rPr>
        <w:t xml:space="preserve"> </w:t>
      </w:r>
      <w:r>
        <w:t>and</w:t>
      </w:r>
      <w:r>
        <w:rPr>
          <w:spacing w:val="8"/>
        </w:rPr>
        <w:t xml:space="preserve"> </w:t>
      </w:r>
      <w:r>
        <w:rPr>
          <w:spacing w:val="-2"/>
        </w:rPr>
        <w:t>inclusion</w:t>
      </w:r>
    </w:p>
    <w:p w14:paraId="6A9848A9" w14:textId="77777777" w:rsidR="00B62E83" w:rsidRDefault="00B62E83" w:rsidP="0000278A">
      <w:pPr>
        <w:pStyle w:val="Bullet"/>
      </w:pPr>
      <w:r>
        <w:t>hierarchy</w:t>
      </w:r>
      <w:r>
        <w:rPr>
          <w:spacing w:val="-3"/>
        </w:rPr>
        <w:t xml:space="preserve"> </w:t>
      </w:r>
      <w:r>
        <w:t>and</w:t>
      </w:r>
      <w:r>
        <w:rPr>
          <w:spacing w:val="-1"/>
        </w:rPr>
        <w:t xml:space="preserve"> </w:t>
      </w:r>
      <w:r>
        <w:t xml:space="preserve">decision </w:t>
      </w:r>
      <w:r>
        <w:rPr>
          <w:spacing w:val="-2"/>
        </w:rPr>
        <w:t>making</w:t>
      </w:r>
    </w:p>
    <w:p w14:paraId="6F286B8F" w14:textId="77777777" w:rsidR="00B62E83" w:rsidRDefault="00B62E83" w:rsidP="0000278A">
      <w:pPr>
        <w:pStyle w:val="Bullet"/>
      </w:pPr>
      <w:r>
        <w:t>career</w:t>
      </w:r>
      <w:r>
        <w:rPr>
          <w:spacing w:val="2"/>
        </w:rPr>
        <w:t xml:space="preserve"> </w:t>
      </w:r>
      <w:r>
        <w:t>pathways</w:t>
      </w:r>
      <w:r>
        <w:rPr>
          <w:spacing w:val="2"/>
        </w:rPr>
        <w:t xml:space="preserve"> </w:t>
      </w:r>
      <w:r>
        <w:t>and</w:t>
      </w:r>
      <w:r>
        <w:rPr>
          <w:spacing w:val="2"/>
        </w:rPr>
        <w:t xml:space="preserve"> </w:t>
      </w:r>
      <w:r>
        <w:rPr>
          <w:spacing w:val="-2"/>
        </w:rPr>
        <w:t>development</w:t>
      </w:r>
    </w:p>
    <w:p w14:paraId="7CB349ED" w14:textId="77777777" w:rsidR="00B62E83" w:rsidRDefault="00B62E83" w:rsidP="0000278A">
      <w:pPr>
        <w:pStyle w:val="Bullet"/>
      </w:pPr>
      <w:r>
        <w:t>openness</w:t>
      </w:r>
      <w:r>
        <w:rPr>
          <w:spacing w:val="2"/>
        </w:rPr>
        <w:t xml:space="preserve"> </w:t>
      </w:r>
      <w:r>
        <w:t>to</w:t>
      </w:r>
      <w:r>
        <w:rPr>
          <w:spacing w:val="2"/>
        </w:rPr>
        <w:t xml:space="preserve"> </w:t>
      </w:r>
      <w:r>
        <w:t>internal</w:t>
      </w:r>
      <w:r>
        <w:rPr>
          <w:spacing w:val="2"/>
        </w:rPr>
        <w:t xml:space="preserve"> </w:t>
      </w:r>
      <w:r>
        <w:t>and</w:t>
      </w:r>
      <w:r>
        <w:rPr>
          <w:spacing w:val="2"/>
        </w:rPr>
        <w:t xml:space="preserve"> </w:t>
      </w:r>
      <w:r>
        <w:t>external</w:t>
      </w:r>
      <w:r>
        <w:rPr>
          <w:spacing w:val="2"/>
        </w:rPr>
        <w:t xml:space="preserve"> </w:t>
      </w:r>
      <w:r>
        <w:t>policy</w:t>
      </w:r>
      <w:r>
        <w:rPr>
          <w:spacing w:val="3"/>
        </w:rPr>
        <w:t xml:space="preserve"> </w:t>
      </w:r>
      <w:r>
        <w:rPr>
          <w:spacing w:val="-2"/>
        </w:rPr>
        <w:t>discussion</w:t>
      </w:r>
    </w:p>
    <w:p w14:paraId="05280868" w14:textId="77777777" w:rsidR="00B62E83" w:rsidRDefault="00B62E83" w:rsidP="0000278A">
      <w:pPr>
        <w:pStyle w:val="Bullet"/>
      </w:pPr>
      <w:r>
        <w:t>monetary</w:t>
      </w:r>
      <w:r>
        <w:rPr>
          <w:spacing w:val="7"/>
        </w:rPr>
        <w:t xml:space="preserve"> </w:t>
      </w:r>
      <w:r>
        <w:t>policy</w:t>
      </w:r>
      <w:r>
        <w:rPr>
          <w:spacing w:val="8"/>
        </w:rPr>
        <w:t xml:space="preserve"> </w:t>
      </w:r>
      <w:r>
        <w:t>decision</w:t>
      </w:r>
      <w:r>
        <w:rPr>
          <w:spacing w:val="8"/>
        </w:rPr>
        <w:t xml:space="preserve"> </w:t>
      </w:r>
      <w:r>
        <w:rPr>
          <w:spacing w:val="-2"/>
        </w:rPr>
        <w:t>making</w:t>
      </w:r>
    </w:p>
    <w:p w14:paraId="6BD72245" w14:textId="77777777" w:rsidR="00B62E83" w:rsidRDefault="00B62E83" w:rsidP="0000278A">
      <w:pPr>
        <w:pStyle w:val="Bullet"/>
      </w:pPr>
      <w:r>
        <w:t>leadership</w:t>
      </w:r>
      <w:r>
        <w:rPr>
          <w:spacing w:val="3"/>
        </w:rPr>
        <w:t xml:space="preserve"> </w:t>
      </w:r>
      <w:r>
        <w:rPr>
          <w:spacing w:val="-2"/>
        </w:rPr>
        <w:t>capability</w:t>
      </w:r>
    </w:p>
    <w:p w14:paraId="374A9C84" w14:textId="77777777" w:rsidR="00B62E83" w:rsidRDefault="00B62E83" w:rsidP="0000278A">
      <w:pPr>
        <w:pStyle w:val="Bullet"/>
      </w:pPr>
      <w:r>
        <w:t>change</w:t>
      </w:r>
      <w:r>
        <w:rPr>
          <w:spacing w:val="-3"/>
        </w:rPr>
        <w:t xml:space="preserve"> </w:t>
      </w:r>
      <w:r>
        <w:rPr>
          <w:spacing w:val="-2"/>
        </w:rPr>
        <w:t>management.</w:t>
      </w:r>
    </w:p>
    <w:p w14:paraId="3E20E0AA" w14:textId="77777777" w:rsidR="003B70FD" w:rsidRDefault="003B70FD" w:rsidP="008525BF">
      <w:pPr>
        <w:pStyle w:val="Heading3"/>
      </w:pPr>
      <w:r>
        <w:t>Focus</w:t>
      </w:r>
      <w:r>
        <w:rPr>
          <w:spacing w:val="-6"/>
        </w:rPr>
        <w:t xml:space="preserve"> </w:t>
      </w:r>
      <w:r>
        <w:t>groups</w:t>
      </w:r>
      <w:r>
        <w:rPr>
          <w:spacing w:val="-6"/>
        </w:rPr>
        <w:t xml:space="preserve"> </w:t>
      </w:r>
      <w:r>
        <w:t>with</w:t>
      </w:r>
      <w:r>
        <w:rPr>
          <w:spacing w:val="-6"/>
        </w:rPr>
        <w:t xml:space="preserve"> </w:t>
      </w:r>
      <w:r>
        <w:t>members</w:t>
      </w:r>
      <w:r>
        <w:rPr>
          <w:spacing w:val="-6"/>
        </w:rPr>
        <w:t xml:space="preserve"> </w:t>
      </w:r>
      <w:r>
        <w:t>of</w:t>
      </w:r>
      <w:r>
        <w:rPr>
          <w:spacing w:val="-6"/>
        </w:rPr>
        <w:t xml:space="preserve"> </w:t>
      </w:r>
      <w:r>
        <w:t>the</w:t>
      </w:r>
      <w:r>
        <w:rPr>
          <w:spacing w:val="-6"/>
        </w:rPr>
        <w:t xml:space="preserve"> </w:t>
      </w:r>
      <w:r>
        <w:rPr>
          <w:spacing w:val="-2"/>
        </w:rPr>
        <w:t>public</w:t>
      </w:r>
    </w:p>
    <w:p w14:paraId="56104090" w14:textId="06FE8BD7" w:rsidR="003B70FD" w:rsidRDefault="003B70FD" w:rsidP="008525BF">
      <w:r>
        <w:t>In</w:t>
      </w:r>
      <w:r>
        <w:rPr>
          <w:spacing w:val="-2"/>
        </w:rPr>
        <w:t xml:space="preserve"> </w:t>
      </w:r>
      <w:r>
        <w:t>October</w:t>
      </w:r>
      <w:r>
        <w:rPr>
          <w:spacing w:val="1"/>
        </w:rPr>
        <w:t xml:space="preserve"> </w:t>
      </w:r>
      <w:r>
        <w:t>2022,</w:t>
      </w:r>
      <w:r>
        <w:rPr>
          <w:spacing w:val="1"/>
        </w:rPr>
        <w:t xml:space="preserve"> </w:t>
      </w:r>
      <w:r>
        <w:t>the Review</w:t>
      </w:r>
      <w:r>
        <w:rPr>
          <w:spacing w:val="1"/>
        </w:rPr>
        <w:t xml:space="preserve"> </w:t>
      </w:r>
      <w:r>
        <w:t>commissioned</w:t>
      </w:r>
      <w:r>
        <w:rPr>
          <w:spacing w:val="1"/>
        </w:rPr>
        <w:t xml:space="preserve"> </w:t>
      </w:r>
      <w:r>
        <w:t>EY</w:t>
      </w:r>
      <w:r>
        <w:rPr>
          <w:spacing w:val="1"/>
        </w:rPr>
        <w:t xml:space="preserve"> </w:t>
      </w:r>
      <w:r>
        <w:t>to conduct</w:t>
      </w:r>
      <w:r>
        <w:rPr>
          <w:spacing w:val="1"/>
        </w:rPr>
        <w:t xml:space="preserve"> </w:t>
      </w:r>
      <w:r>
        <w:t>6</w:t>
      </w:r>
      <w:r>
        <w:rPr>
          <w:spacing w:val="1"/>
        </w:rPr>
        <w:t xml:space="preserve"> </w:t>
      </w:r>
      <w:r>
        <w:t>focus</w:t>
      </w:r>
      <w:r>
        <w:rPr>
          <w:spacing w:val="1"/>
        </w:rPr>
        <w:t xml:space="preserve"> </w:t>
      </w:r>
      <w:r>
        <w:t>groups, with</w:t>
      </w:r>
      <w:r>
        <w:rPr>
          <w:spacing w:val="1"/>
        </w:rPr>
        <w:t xml:space="preserve"> </w:t>
      </w:r>
      <w:r>
        <w:t>a</w:t>
      </w:r>
      <w:r>
        <w:rPr>
          <w:spacing w:val="1"/>
        </w:rPr>
        <w:t xml:space="preserve"> </w:t>
      </w:r>
      <w:r>
        <w:t>total</w:t>
      </w:r>
      <w:r>
        <w:rPr>
          <w:spacing w:val="1"/>
        </w:rPr>
        <w:t xml:space="preserve"> </w:t>
      </w:r>
      <w:r>
        <w:rPr>
          <w:spacing w:val="-5"/>
        </w:rPr>
        <w:t>of</w:t>
      </w:r>
      <w:r w:rsidR="008525BF">
        <w:rPr>
          <w:spacing w:val="-5"/>
        </w:rPr>
        <w:t xml:space="preserve"> </w:t>
      </w:r>
      <w:r>
        <w:t>42 members of the public, to gauge the perception of the RBA, including the role and function of the RBA.</w:t>
      </w:r>
    </w:p>
    <w:p w14:paraId="4889B831" w14:textId="77777777" w:rsidR="003B70FD" w:rsidRDefault="003B70FD" w:rsidP="008525BF">
      <w:r>
        <w:t>The Review conducted focus groups to gather data from members of the public who may not have contributed via the submissions process. Each focus group was held with participants’ consent and data were deidentified.</w:t>
      </w:r>
    </w:p>
    <w:p w14:paraId="666C0E82" w14:textId="77777777" w:rsidR="003B70FD" w:rsidRDefault="003B70FD" w:rsidP="008525BF">
      <w:r>
        <w:t>The focus groups included participants with a range of ages, genders, locations, incomes and wealth, household structures, and levels of education and financial literacy.</w:t>
      </w:r>
    </w:p>
    <w:p w14:paraId="5A7581D8" w14:textId="77777777" w:rsidR="003B70FD" w:rsidRDefault="003B70FD" w:rsidP="008525BF">
      <w:r>
        <w:t>Participants shared their views on the Australian economy and discussed their perceptions on the impact</w:t>
      </w:r>
      <w:r>
        <w:rPr>
          <w:spacing w:val="-1"/>
        </w:rPr>
        <w:t xml:space="preserve"> </w:t>
      </w:r>
      <w:r>
        <w:t>of</w:t>
      </w:r>
      <w:r>
        <w:rPr>
          <w:spacing w:val="1"/>
        </w:rPr>
        <w:t xml:space="preserve"> </w:t>
      </w:r>
      <w:r>
        <w:t>RBA</w:t>
      </w:r>
      <w:r>
        <w:rPr>
          <w:spacing w:val="1"/>
        </w:rPr>
        <w:t xml:space="preserve"> </w:t>
      </w:r>
      <w:r>
        <w:t>policy</w:t>
      </w:r>
      <w:r>
        <w:rPr>
          <w:spacing w:val="1"/>
        </w:rPr>
        <w:t xml:space="preserve"> </w:t>
      </w:r>
      <w:r>
        <w:t>on</w:t>
      </w:r>
      <w:r>
        <w:rPr>
          <w:spacing w:val="1"/>
        </w:rPr>
        <w:t xml:space="preserve"> </w:t>
      </w:r>
      <w:r>
        <w:t>their</w:t>
      </w:r>
      <w:r>
        <w:rPr>
          <w:spacing w:val="1"/>
        </w:rPr>
        <w:t xml:space="preserve"> </w:t>
      </w:r>
      <w:r>
        <w:t>own</w:t>
      </w:r>
      <w:r>
        <w:rPr>
          <w:spacing w:val="1"/>
        </w:rPr>
        <w:t xml:space="preserve"> </w:t>
      </w:r>
      <w:r>
        <w:t>lives</w:t>
      </w:r>
      <w:r>
        <w:rPr>
          <w:spacing w:val="1"/>
        </w:rPr>
        <w:t xml:space="preserve"> </w:t>
      </w:r>
      <w:r>
        <w:t>and</w:t>
      </w:r>
      <w:r>
        <w:rPr>
          <w:spacing w:val="1"/>
        </w:rPr>
        <w:t xml:space="preserve"> </w:t>
      </w:r>
      <w:r>
        <w:t>the</w:t>
      </w:r>
      <w:r>
        <w:rPr>
          <w:spacing w:val="1"/>
        </w:rPr>
        <w:t xml:space="preserve"> </w:t>
      </w:r>
      <w:r>
        <w:t>lives</w:t>
      </w:r>
      <w:r>
        <w:rPr>
          <w:spacing w:val="1"/>
        </w:rPr>
        <w:t xml:space="preserve"> </w:t>
      </w:r>
      <w:r>
        <w:t>of</w:t>
      </w:r>
      <w:r>
        <w:rPr>
          <w:spacing w:val="1"/>
        </w:rPr>
        <w:t xml:space="preserve"> </w:t>
      </w:r>
      <w:r>
        <w:t>other</w:t>
      </w:r>
      <w:r>
        <w:rPr>
          <w:spacing w:val="1"/>
        </w:rPr>
        <w:t xml:space="preserve"> </w:t>
      </w:r>
      <w:r>
        <w:t>Australians.</w:t>
      </w:r>
      <w:r>
        <w:rPr>
          <w:spacing w:val="1"/>
        </w:rPr>
        <w:t xml:space="preserve"> </w:t>
      </w:r>
      <w:r>
        <w:t>Topics</w:t>
      </w:r>
      <w:r>
        <w:rPr>
          <w:spacing w:val="1"/>
        </w:rPr>
        <w:t xml:space="preserve"> </w:t>
      </w:r>
      <w:r>
        <w:t>covered</w:t>
      </w:r>
      <w:r>
        <w:rPr>
          <w:spacing w:val="1"/>
        </w:rPr>
        <w:t xml:space="preserve"> </w:t>
      </w:r>
      <w:r>
        <w:rPr>
          <w:spacing w:val="-2"/>
        </w:rPr>
        <w:t>included:</w:t>
      </w:r>
    </w:p>
    <w:p w14:paraId="69031588" w14:textId="77777777" w:rsidR="003B70FD" w:rsidRDefault="003B70FD" w:rsidP="0000278A">
      <w:pPr>
        <w:pStyle w:val="Bullet"/>
      </w:pPr>
      <w:r>
        <w:lastRenderedPageBreak/>
        <w:t>the impact</w:t>
      </w:r>
      <w:r>
        <w:rPr>
          <w:spacing w:val="1"/>
        </w:rPr>
        <w:t xml:space="preserve"> </w:t>
      </w:r>
      <w:r>
        <w:t>of</w:t>
      </w:r>
      <w:r>
        <w:rPr>
          <w:spacing w:val="1"/>
        </w:rPr>
        <w:t xml:space="preserve"> </w:t>
      </w:r>
      <w:r>
        <w:t>the</w:t>
      </w:r>
      <w:r>
        <w:rPr>
          <w:spacing w:val="1"/>
        </w:rPr>
        <w:t xml:space="preserve"> </w:t>
      </w:r>
      <w:r>
        <w:t>economic</w:t>
      </w:r>
      <w:r>
        <w:rPr>
          <w:spacing w:val="1"/>
        </w:rPr>
        <w:t xml:space="preserve"> </w:t>
      </w:r>
      <w:r>
        <w:rPr>
          <w:spacing w:val="-2"/>
        </w:rPr>
        <w:t>environment</w:t>
      </w:r>
    </w:p>
    <w:p w14:paraId="365DE8FC" w14:textId="77777777" w:rsidR="003B70FD" w:rsidRDefault="003B70FD" w:rsidP="0000278A">
      <w:pPr>
        <w:pStyle w:val="Bullet"/>
      </w:pPr>
      <w:r>
        <w:t>participant</w:t>
      </w:r>
      <w:r>
        <w:rPr>
          <w:spacing w:val="4"/>
        </w:rPr>
        <w:t xml:space="preserve"> </w:t>
      </w:r>
      <w:r>
        <w:t>engagement</w:t>
      </w:r>
      <w:r>
        <w:rPr>
          <w:spacing w:val="5"/>
        </w:rPr>
        <w:t xml:space="preserve"> </w:t>
      </w:r>
      <w:r>
        <w:t>with</w:t>
      </w:r>
      <w:r>
        <w:rPr>
          <w:spacing w:val="4"/>
        </w:rPr>
        <w:t xml:space="preserve"> </w:t>
      </w:r>
      <w:r>
        <w:t>Australia’s</w:t>
      </w:r>
      <w:r>
        <w:rPr>
          <w:spacing w:val="5"/>
        </w:rPr>
        <w:t xml:space="preserve"> </w:t>
      </w:r>
      <w:r>
        <w:t>economic</w:t>
      </w:r>
      <w:r>
        <w:rPr>
          <w:spacing w:val="5"/>
        </w:rPr>
        <w:t xml:space="preserve"> </w:t>
      </w:r>
      <w:r>
        <w:rPr>
          <w:spacing w:val="-2"/>
        </w:rPr>
        <w:t>management</w:t>
      </w:r>
    </w:p>
    <w:p w14:paraId="4BBFD893" w14:textId="77777777" w:rsidR="003B70FD" w:rsidRDefault="003B70FD" w:rsidP="0000278A">
      <w:pPr>
        <w:pStyle w:val="Bullet"/>
      </w:pPr>
      <w:r>
        <w:t>perceptions</w:t>
      </w:r>
      <w:r>
        <w:rPr>
          <w:spacing w:val="1"/>
        </w:rPr>
        <w:t xml:space="preserve"> </w:t>
      </w:r>
      <w:r>
        <w:t>of</w:t>
      </w:r>
      <w:r>
        <w:rPr>
          <w:spacing w:val="2"/>
        </w:rPr>
        <w:t xml:space="preserve"> </w:t>
      </w:r>
      <w:r>
        <w:t>Australia’s</w:t>
      </w:r>
      <w:r>
        <w:rPr>
          <w:spacing w:val="1"/>
        </w:rPr>
        <w:t xml:space="preserve"> </w:t>
      </w:r>
      <w:r>
        <w:t>economic</w:t>
      </w:r>
      <w:r>
        <w:rPr>
          <w:spacing w:val="2"/>
        </w:rPr>
        <w:t xml:space="preserve"> </w:t>
      </w:r>
      <w:r>
        <w:rPr>
          <w:spacing w:val="-2"/>
        </w:rPr>
        <w:t>management</w:t>
      </w:r>
    </w:p>
    <w:p w14:paraId="19E44EC1" w14:textId="77777777" w:rsidR="003B70FD" w:rsidRDefault="003B70FD" w:rsidP="0000278A">
      <w:pPr>
        <w:pStyle w:val="Bullet"/>
      </w:pPr>
      <w:r>
        <w:t>perceptions</w:t>
      </w:r>
      <w:r>
        <w:rPr>
          <w:spacing w:val="-2"/>
        </w:rPr>
        <w:t xml:space="preserve"> </w:t>
      </w:r>
      <w:r>
        <w:t>of</w:t>
      </w:r>
      <w:r>
        <w:rPr>
          <w:spacing w:val="-1"/>
        </w:rPr>
        <w:t xml:space="preserve"> </w:t>
      </w:r>
      <w:r>
        <w:t>the</w:t>
      </w:r>
      <w:r>
        <w:rPr>
          <w:spacing w:val="-1"/>
        </w:rPr>
        <w:t xml:space="preserve"> </w:t>
      </w:r>
      <w:r>
        <w:rPr>
          <w:spacing w:val="-5"/>
        </w:rPr>
        <w:t>RBA</w:t>
      </w:r>
    </w:p>
    <w:p w14:paraId="66AE034D" w14:textId="77777777" w:rsidR="003B70FD" w:rsidRDefault="003B70FD" w:rsidP="0000278A">
      <w:pPr>
        <w:pStyle w:val="Bullet"/>
      </w:pPr>
      <w:r>
        <w:t>the</w:t>
      </w:r>
      <w:r>
        <w:rPr>
          <w:spacing w:val="-3"/>
        </w:rPr>
        <w:t xml:space="preserve"> </w:t>
      </w:r>
      <w:r>
        <w:t>role</w:t>
      </w:r>
      <w:r>
        <w:rPr>
          <w:spacing w:val="-1"/>
        </w:rPr>
        <w:t xml:space="preserve"> </w:t>
      </w:r>
      <w:r>
        <w:t>of</w:t>
      </w:r>
      <w:r>
        <w:rPr>
          <w:spacing w:val="-1"/>
        </w:rPr>
        <w:t xml:space="preserve"> </w:t>
      </w:r>
      <w:r>
        <w:t>the</w:t>
      </w:r>
      <w:r>
        <w:rPr>
          <w:spacing w:val="-1"/>
        </w:rPr>
        <w:t xml:space="preserve"> </w:t>
      </w:r>
      <w:r>
        <w:rPr>
          <w:spacing w:val="-4"/>
        </w:rPr>
        <w:t>RBA.</w:t>
      </w:r>
    </w:p>
    <w:p w14:paraId="3CC17BDC" w14:textId="77777777" w:rsidR="003B70FD" w:rsidRDefault="003B70FD" w:rsidP="008525BF">
      <w:r>
        <w:t>The</w:t>
      </w:r>
      <w:r>
        <w:rPr>
          <w:spacing w:val="2"/>
        </w:rPr>
        <w:t xml:space="preserve"> </w:t>
      </w:r>
      <w:r>
        <w:t>report</w:t>
      </w:r>
      <w:r>
        <w:rPr>
          <w:spacing w:val="3"/>
        </w:rPr>
        <w:t xml:space="preserve"> </w:t>
      </w:r>
      <w:r>
        <w:t>is</w:t>
      </w:r>
      <w:r>
        <w:rPr>
          <w:spacing w:val="3"/>
        </w:rPr>
        <w:t xml:space="preserve"> </w:t>
      </w:r>
      <w:r>
        <w:t>published</w:t>
      </w:r>
      <w:r>
        <w:rPr>
          <w:spacing w:val="2"/>
        </w:rPr>
        <w:t xml:space="preserve"> </w:t>
      </w:r>
      <w:r>
        <w:t>on</w:t>
      </w:r>
      <w:r>
        <w:rPr>
          <w:spacing w:val="3"/>
        </w:rPr>
        <w:t xml:space="preserve"> </w:t>
      </w:r>
      <w:r>
        <w:t>the</w:t>
      </w:r>
      <w:r>
        <w:rPr>
          <w:spacing w:val="3"/>
        </w:rPr>
        <w:t xml:space="preserve"> </w:t>
      </w:r>
      <w:r>
        <w:t>Review’s</w:t>
      </w:r>
      <w:r>
        <w:rPr>
          <w:spacing w:val="3"/>
        </w:rPr>
        <w:t xml:space="preserve"> </w:t>
      </w:r>
      <w:r>
        <w:rPr>
          <w:spacing w:val="-2"/>
        </w:rPr>
        <w:t>website.</w:t>
      </w:r>
    </w:p>
    <w:p w14:paraId="1A7354A9" w14:textId="77777777" w:rsidR="003B70FD" w:rsidRDefault="003B70FD" w:rsidP="008525BF">
      <w:pPr>
        <w:pStyle w:val="Heading3"/>
      </w:pPr>
      <w:r>
        <w:t>Expert</w:t>
      </w:r>
      <w:r>
        <w:rPr>
          <w:spacing w:val="5"/>
        </w:rPr>
        <w:t xml:space="preserve"> </w:t>
      </w:r>
      <w:r>
        <w:rPr>
          <w:spacing w:val="-2"/>
        </w:rPr>
        <w:t>reports</w:t>
      </w:r>
    </w:p>
    <w:p w14:paraId="55838480" w14:textId="77777777" w:rsidR="003B70FD" w:rsidRDefault="003B70FD" w:rsidP="008525BF">
      <w:r>
        <w:t>The</w:t>
      </w:r>
      <w:r>
        <w:rPr>
          <w:spacing w:val="-1"/>
        </w:rPr>
        <w:t xml:space="preserve"> </w:t>
      </w:r>
      <w:r>
        <w:t>Panel</w:t>
      </w:r>
      <w:r>
        <w:rPr>
          <w:spacing w:val="2"/>
        </w:rPr>
        <w:t xml:space="preserve"> </w:t>
      </w:r>
      <w:r>
        <w:t>commissioned</w:t>
      </w:r>
      <w:r>
        <w:rPr>
          <w:spacing w:val="2"/>
        </w:rPr>
        <w:t xml:space="preserve"> </w:t>
      </w:r>
      <w:r>
        <w:t>5</w:t>
      </w:r>
      <w:r>
        <w:rPr>
          <w:spacing w:val="2"/>
        </w:rPr>
        <w:t xml:space="preserve"> </w:t>
      </w:r>
      <w:r>
        <w:t>academic</w:t>
      </w:r>
      <w:r>
        <w:rPr>
          <w:spacing w:val="2"/>
        </w:rPr>
        <w:t xml:space="preserve"> </w:t>
      </w:r>
      <w:r>
        <w:t>experts</w:t>
      </w:r>
      <w:r>
        <w:rPr>
          <w:spacing w:val="2"/>
        </w:rPr>
        <w:t xml:space="preserve"> </w:t>
      </w:r>
      <w:r>
        <w:t>to</w:t>
      </w:r>
      <w:r>
        <w:rPr>
          <w:spacing w:val="1"/>
        </w:rPr>
        <w:t xml:space="preserve"> </w:t>
      </w:r>
      <w:r>
        <w:t>produce</w:t>
      </w:r>
      <w:r>
        <w:rPr>
          <w:spacing w:val="2"/>
        </w:rPr>
        <w:t xml:space="preserve"> </w:t>
      </w:r>
      <w:r>
        <w:t>papers</w:t>
      </w:r>
      <w:r>
        <w:rPr>
          <w:spacing w:val="2"/>
        </w:rPr>
        <w:t xml:space="preserve"> </w:t>
      </w:r>
      <w:r>
        <w:t>on</w:t>
      </w:r>
      <w:r>
        <w:rPr>
          <w:spacing w:val="2"/>
        </w:rPr>
        <w:t xml:space="preserve"> </w:t>
      </w:r>
      <w:r>
        <w:t>aspects</w:t>
      </w:r>
      <w:r>
        <w:rPr>
          <w:spacing w:val="2"/>
        </w:rPr>
        <w:t xml:space="preserve"> </w:t>
      </w:r>
      <w:r>
        <w:t>of</w:t>
      </w:r>
      <w:r>
        <w:rPr>
          <w:spacing w:val="2"/>
        </w:rPr>
        <w:t xml:space="preserve"> </w:t>
      </w:r>
      <w:r>
        <w:t>the</w:t>
      </w:r>
      <w:r>
        <w:rPr>
          <w:spacing w:val="2"/>
        </w:rPr>
        <w:t xml:space="preserve"> </w:t>
      </w:r>
      <w:r>
        <w:rPr>
          <w:spacing w:val="-2"/>
        </w:rPr>
        <w:t>Review:</w:t>
      </w:r>
    </w:p>
    <w:p w14:paraId="317F09AD" w14:textId="77777777" w:rsidR="003B70FD" w:rsidRDefault="003B70FD" w:rsidP="0000278A">
      <w:pPr>
        <w:pStyle w:val="Bullet"/>
      </w:pPr>
      <w:r>
        <w:t>Professor</w:t>
      </w:r>
      <w:r>
        <w:rPr>
          <w:spacing w:val="-1"/>
        </w:rPr>
        <w:t xml:space="preserve"> </w:t>
      </w:r>
      <w:r>
        <w:t>Prasanna Gai on</w:t>
      </w:r>
      <w:r>
        <w:rPr>
          <w:spacing w:val="-1"/>
        </w:rPr>
        <w:t xml:space="preserve"> </w:t>
      </w:r>
      <w:r>
        <w:t xml:space="preserve">central bank </w:t>
      </w:r>
      <w:r>
        <w:rPr>
          <w:spacing w:val="-2"/>
        </w:rPr>
        <w:t>governance</w:t>
      </w:r>
    </w:p>
    <w:p w14:paraId="71A31041" w14:textId="77777777" w:rsidR="003B70FD" w:rsidRDefault="003B70FD" w:rsidP="0000278A">
      <w:pPr>
        <w:pStyle w:val="Bullet"/>
      </w:pPr>
      <w:r>
        <w:t>Professor</w:t>
      </w:r>
      <w:r>
        <w:rPr>
          <w:spacing w:val="4"/>
        </w:rPr>
        <w:t xml:space="preserve"> </w:t>
      </w:r>
      <w:r>
        <w:t>Anil</w:t>
      </w:r>
      <w:r>
        <w:rPr>
          <w:spacing w:val="4"/>
        </w:rPr>
        <w:t xml:space="preserve"> </w:t>
      </w:r>
      <w:r>
        <w:t>Kashyap</w:t>
      </w:r>
      <w:r>
        <w:rPr>
          <w:spacing w:val="4"/>
        </w:rPr>
        <w:t xml:space="preserve"> </w:t>
      </w:r>
      <w:r>
        <w:t>on</w:t>
      </w:r>
      <w:r>
        <w:rPr>
          <w:spacing w:val="4"/>
        </w:rPr>
        <w:t xml:space="preserve"> </w:t>
      </w:r>
      <w:r>
        <w:t>the</w:t>
      </w:r>
      <w:r>
        <w:rPr>
          <w:spacing w:val="4"/>
        </w:rPr>
        <w:t xml:space="preserve"> </w:t>
      </w:r>
      <w:r>
        <w:t>interaction</w:t>
      </w:r>
      <w:r>
        <w:rPr>
          <w:spacing w:val="4"/>
        </w:rPr>
        <w:t xml:space="preserve"> </w:t>
      </w:r>
      <w:r>
        <w:t>between</w:t>
      </w:r>
      <w:r>
        <w:rPr>
          <w:spacing w:val="4"/>
        </w:rPr>
        <w:t xml:space="preserve"> </w:t>
      </w:r>
      <w:r>
        <w:t>macroprudential</w:t>
      </w:r>
      <w:r>
        <w:rPr>
          <w:spacing w:val="4"/>
        </w:rPr>
        <w:t xml:space="preserve"> </w:t>
      </w:r>
      <w:r>
        <w:t>and</w:t>
      </w:r>
      <w:r>
        <w:rPr>
          <w:spacing w:val="4"/>
        </w:rPr>
        <w:t xml:space="preserve"> </w:t>
      </w:r>
      <w:r>
        <w:t>monetary</w:t>
      </w:r>
      <w:r>
        <w:rPr>
          <w:spacing w:val="5"/>
        </w:rPr>
        <w:t xml:space="preserve"> </w:t>
      </w:r>
      <w:r>
        <w:rPr>
          <w:spacing w:val="-2"/>
        </w:rPr>
        <w:t>policy</w:t>
      </w:r>
    </w:p>
    <w:p w14:paraId="17B388B9" w14:textId="77777777" w:rsidR="003B70FD" w:rsidRDefault="003B70FD" w:rsidP="0000278A">
      <w:pPr>
        <w:pStyle w:val="Bullet"/>
      </w:pPr>
      <w:r>
        <w:t>Professor</w:t>
      </w:r>
      <w:r>
        <w:rPr>
          <w:spacing w:val="1"/>
        </w:rPr>
        <w:t xml:space="preserve"> </w:t>
      </w:r>
      <w:r>
        <w:t>Eric</w:t>
      </w:r>
      <w:r>
        <w:rPr>
          <w:spacing w:val="2"/>
        </w:rPr>
        <w:t xml:space="preserve"> </w:t>
      </w:r>
      <w:r>
        <w:t>Leeper</w:t>
      </w:r>
      <w:r>
        <w:rPr>
          <w:spacing w:val="1"/>
        </w:rPr>
        <w:t xml:space="preserve"> </w:t>
      </w:r>
      <w:r>
        <w:t>on</w:t>
      </w:r>
      <w:r>
        <w:rPr>
          <w:spacing w:val="2"/>
        </w:rPr>
        <w:t xml:space="preserve"> </w:t>
      </w:r>
      <w:r>
        <w:t>the</w:t>
      </w:r>
      <w:r>
        <w:rPr>
          <w:spacing w:val="1"/>
        </w:rPr>
        <w:t xml:space="preserve"> </w:t>
      </w:r>
      <w:r>
        <w:t>interaction</w:t>
      </w:r>
      <w:r>
        <w:rPr>
          <w:spacing w:val="2"/>
        </w:rPr>
        <w:t xml:space="preserve"> </w:t>
      </w:r>
      <w:r>
        <w:t>of</w:t>
      </w:r>
      <w:r>
        <w:rPr>
          <w:spacing w:val="1"/>
        </w:rPr>
        <w:t xml:space="preserve"> </w:t>
      </w:r>
      <w:r>
        <w:t>fiscal</w:t>
      </w:r>
      <w:r>
        <w:rPr>
          <w:spacing w:val="2"/>
        </w:rPr>
        <w:t xml:space="preserve"> </w:t>
      </w:r>
      <w:r>
        <w:t>and</w:t>
      </w:r>
      <w:r>
        <w:rPr>
          <w:spacing w:val="1"/>
        </w:rPr>
        <w:t xml:space="preserve"> </w:t>
      </w:r>
      <w:r>
        <w:t>monetary</w:t>
      </w:r>
      <w:r>
        <w:rPr>
          <w:spacing w:val="2"/>
        </w:rPr>
        <w:t xml:space="preserve"> </w:t>
      </w:r>
      <w:r>
        <w:rPr>
          <w:spacing w:val="-2"/>
        </w:rPr>
        <w:t>policy</w:t>
      </w:r>
    </w:p>
    <w:p w14:paraId="5D90E577" w14:textId="77777777" w:rsidR="003B70FD" w:rsidRDefault="003B70FD" w:rsidP="0000278A">
      <w:pPr>
        <w:pStyle w:val="Bullet"/>
      </w:pPr>
      <w:r>
        <w:t>Professor</w:t>
      </w:r>
      <w:r>
        <w:rPr>
          <w:spacing w:val="3"/>
        </w:rPr>
        <w:t xml:space="preserve"> </w:t>
      </w:r>
      <w:r>
        <w:t>Andrew</w:t>
      </w:r>
      <w:r>
        <w:rPr>
          <w:spacing w:val="4"/>
        </w:rPr>
        <w:t xml:space="preserve"> </w:t>
      </w:r>
      <w:r>
        <w:t>Levin</w:t>
      </w:r>
      <w:r>
        <w:rPr>
          <w:spacing w:val="3"/>
        </w:rPr>
        <w:t xml:space="preserve"> </w:t>
      </w:r>
      <w:r>
        <w:t>on</w:t>
      </w:r>
      <w:r>
        <w:rPr>
          <w:spacing w:val="4"/>
        </w:rPr>
        <w:t xml:space="preserve"> </w:t>
      </w:r>
      <w:r>
        <w:t>monetary</w:t>
      </w:r>
      <w:r>
        <w:rPr>
          <w:spacing w:val="4"/>
        </w:rPr>
        <w:t xml:space="preserve"> </w:t>
      </w:r>
      <w:r>
        <w:t>policy</w:t>
      </w:r>
      <w:r>
        <w:rPr>
          <w:spacing w:val="3"/>
        </w:rPr>
        <w:t xml:space="preserve"> </w:t>
      </w:r>
      <w:r>
        <w:t>frameworks</w:t>
      </w:r>
      <w:r>
        <w:rPr>
          <w:spacing w:val="4"/>
        </w:rPr>
        <w:t xml:space="preserve"> </w:t>
      </w:r>
      <w:r>
        <w:t>and</w:t>
      </w:r>
      <w:r>
        <w:rPr>
          <w:spacing w:val="3"/>
        </w:rPr>
        <w:t xml:space="preserve"> </w:t>
      </w:r>
      <w:r>
        <w:t>central</w:t>
      </w:r>
      <w:r>
        <w:rPr>
          <w:spacing w:val="4"/>
        </w:rPr>
        <w:t xml:space="preserve"> </w:t>
      </w:r>
      <w:r>
        <w:t>bank</w:t>
      </w:r>
      <w:r>
        <w:rPr>
          <w:spacing w:val="4"/>
        </w:rPr>
        <w:t xml:space="preserve"> </w:t>
      </w:r>
      <w:r>
        <w:rPr>
          <w:spacing w:val="-2"/>
        </w:rPr>
        <w:t>governance</w:t>
      </w:r>
    </w:p>
    <w:p w14:paraId="1ABFF248" w14:textId="77777777" w:rsidR="003B70FD" w:rsidRDefault="003B70FD" w:rsidP="0000278A">
      <w:pPr>
        <w:pStyle w:val="Bullet"/>
      </w:pPr>
      <w:r>
        <w:t>Professor Athanasios Orphanides on the</w:t>
      </w:r>
      <w:r>
        <w:rPr>
          <w:spacing w:val="1"/>
        </w:rPr>
        <w:t xml:space="preserve"> </w:t>
      </w:r>
      <w:r>
        <w:t>RBA’s choice of policy</w:t>
      </w:r>
      <w:r>
        <w:rPr>
          <w:spacing w:val="1"/>
        </w:rPr>
        <w:t xml:space="preserve"> </w:t>
      </w:r>
      <w:r>
        <w:rPr>
          <w:spacing w:val="-2"/>
        </w:rPr>
        <w:t>tools.</w:t>
      </w:r>
    </w:p>
    <w:p w14:paraId="50BE64C9" w14:textId="77777777" w:rsidR="003B70FD" w:rsidRDefault="003B70FD" w:rsidP="008525BF">
      <w:r>
        <w:t>The Panel, the Secretariat, and each academic expert first discussed the proposed theme of the research paper to establish the topic and scope of the paper. Each expert then produced their work independently while consulting with the Panel and providing drafts to the Secretariat to be considered throughout the process.</w:t>
      </w:r>
    </w:p>
    <w:p w14:paraId="332D4870" w14:textId="77777777" w:rsidR="003B70FD" w:rsidRDefault="003B70FD" w:rsidP="008525BF">
      <w:r>
        <w:t>This approach allowed the Panel to consider the valuable work of the academic experts</w:t>
      </w:r>
      <w:r>
        <w:rPr>
          <w:spacing w:val="40"/>
        </w:rPr>
        <w:t xml:space="preserve"> </w:t>
      </w:r>
      <w:r>
        <w:t>throughout the drafting of the report while maintaining the integrity of the papers as independent academic research.</w:t>
      </w:r>
    </w:p>
    <w:p w14:paraId="6B40CD39" w14:textId="77777777" w:rsidR="003B70FD" w:rsidRDefault="003B70FD" w:rsidP="008525BF">
      <w:r>
        <w:t>The</w:t>
      </w:r>
      <w:r>
        <w:rPr>
          <w:spacing w:val="3"/>
        </w:rPr>
        <w:t xml:space="preserve"> </w:t>
      </w:r>
      <w:r>
        <w:t>reports</w:t>
      </w:r>
      <w:r>
        <w:rPr>
          <w:spacing w:val="3"/>
        </w:rPr>
        <w:t xml:space="preserve"> </w:t>
      </w:r>
      <w:r>
        <w:t>are</w:t>
      </w:r>
      <w:r>
        <w:rPr>
          <w:spacing w:val="3"/>
        </w:rPr>
        <w:t xml:space="preserve"> </w:t>
      </w:r>
      <w:r>
        <w:t>published</w:t>
      </w:r>
      <w:r>
        <w:rPr>
          <w:spacing w:val="3"/>
        </w:rPr>
        <w:t xml:space="preserve"> </w:t>
      </w:r>
      <w:r>
        <w:t>on</w:t>
      </w:r>
      <w:r>
        <w:rPr>
          <w:spacing w:val="3"/>
        </w:rPr>
        <w:t xml:space="preserve"> </w:t>
      </w:r>
      <w:r>
        <w:t>the</w:t>
      </w:r>
      <w:r>
        <w:rPr>
          <w:spacing w:val="3"/>
        </w:rPr>
        <w:t xml:space="preserve"> </w:t>
      </w:r>
      <w:r>
        <w:t>Review’s</w:t>
      </w:r>
      <w:r>
        <w:rPr>
          <w:spacing w:val="4"/>
        </w:rPr>
        <w:t xml:space="preserve"> </w:t>
      </w:r>
      <w:r>
        <w:rPr>
          <w:spacing w:val="-2"/>
        </w:rPr>
        <w:t>website.</w:t>
      </w:r>
    </w:p>
    <w:p w14:paraId="3B800D91" w14:textId="77777777" w:rsidR="00E614DD" w:rsidRDefault="00E614DD" w:rsidP="008525BF">
      <w:pPr>
        <w:pStyle w:val="Heading3"/>
      </w:pPr>
      <w:r>
        <w:t>Economist</w:t>
      </w:r>
      <w:r>
        <w:rPr>
          <w:spacing w:val="-10"/>
        </w:rPr>
        <w:t xml:space="preserve"> </w:t>
      </w:r>
      <w:r>
        <w:rPr>
          <w:spacing w:val="-2"/>
        </w:rPr>
        <w:t>survey</w:t>
      </w:r>
    </w:p>
    <w:p w14:paraId="3A955169" w14:textId="77777777" w:rsidR="00E614DD" w:rsidRDefault="00E614DD" w:rsidP="008525BF">
      <w:r>
        <w:t>The Review surveyed Australian business economists to assist with research into the perception of the RBA communications strategy, and received 25 responses. The survey focussed on gaining an understanding of opportunities to improve communication about monetary policy decision making and strategy.</w:t>
      </w:r>
    </w:p>
    <w:p w14:paraId="5F125FD4" w14:textId="14D0318B" w:rsidR="00E614DD" w:rsidRDefault="00E614DD" w:rsidP="008525BF">
      <w:r>
        <w:t>The survey asked participants to respond to a series of multiple-choice questions on scale from “strongly agree” to “strongly disagree”, and additionally included some free text questions.</w:t>
      </w:r>
      <w:r w:rsidR="008525BF">
        <w:t xml:space="preserve"> </w:t>
      </w:r>
      <w:r>
        <w:t>Participants rated their satisfaction with RBA communications, including in comparison to global peers.</w:t>
      </w:r>
    </w:p>
    <w:p w14:paraId="5EF329B8" w14:textId="77777777" w:rsidR="00E614DD" w:rsidRDefault="00E614DD" w:rsidP="008525BF">
      <w:r>
        <w:t>The survey provided insight from financial sector professionals and explored feedback on potential improvements to the communications strategy of the RBA.</w:t>
      </w:r>
    </w:p>
    <w:p w14:paraId="4AAC7FF2" w14:textId="77777777" w:rsidR="00304609" w:rsidRDefault="00304609">
      <w:pPr>
        <w:spacing w:before="0" w:after="160" w:line="259" w:lineRule="auto"/>
        <w:rPr>
          <w:rFonts w:ascii="Calibri" w:hAnsi="Calibri" w:cs="Arial"/>
          <w:b/>
          <w:color w:val="5C7857" w:themeColor="accent2"/>
          <w:kern w:val="32"/>
          <w:sz w:val="28"/>
          <w:szCs w:val="26"/>
        </w:rPr>
      </w:pPr>
      <w:r>
        <w:br w:type="page"/>
      </w:r>
    </w:p>
    <w:p w14:paraId="2BA5F3E4" w14:textId="3DF3BD28" w:rsidR="003F1B0D" w:rsidRDefault="003F1B0D" w:rsidP="008525BF">
      <w:pPr>
        <w:pStyle w:val="Heading3"/>
      </w:pPr>
      <w:r>
        <w:lastRenderedPageBreak/>
        <w:t>Participants</w:t>
      </w:r>
      <w:r>
        <w:rPr>
          <w:spacing w:val="-9"/>
        </w:rPr>
        <w:t xml:space="preserve"> </w:t>
      </w:r>
      <w:r>
        <w:t>in</w:t>
      </w:r>
      <w:r>
        <w:rPr>
          <w:spacing w:val="-8"/>
        </w:rPr>
        <w:t xml:space="preserve"> </w:t>
      </w:r>
      <w:r>
        <w:t>panel</w:t>
      </w:r>
      <w:r>
        <w:rPr>
          <w:spacing w:val="-8"/>
        </w:rPr>
        <w:t xml:space="preserve"> </w:t>
      </w:r>
      <w:r>
        <w:t>interviews</w:t>
      </w:r>
    </w:p>
    <w:p w14:paraId="0863E063" w14:textId="77777777" w:rsidR="003F1B0D" w:rsidRDefault="003F1B0D" w:rsidP="008525BF">
      <w:r>
        <w:t>The</w:t>
      </w:r>
      <w:r>
        <w:rPr>
          <w:spacing w:val="-3"/>
        </w:rPr>
        <w:t xml:space="preserve"> </w:t>
      </w:r>
      <w:r>
        <w:t>Panel</w:t>
      </w:r>
      <w:r>
        <w:rPr>
          <w:spacing w:val="-3"/>
        </w:rPr>
        <w:t xml:space="preserve"> </w:t>
      </w:r>
      <w:r>
        <w:t>consulted</w:t>
      </w:r>
      <w:r>
        <w:rPr>
          <w:spacing w:val="-3"/>
        </w:rPr>
        <w:t xml:space="preserve"> </w:t>
      </w:r>
      <w:r>
        <w:t>with</w:t>
      </w:r>
      <w:r>
        <w:rPr>
          <w:spacing w:val="-3"/>
        </w:rPr>
        <w:t xml:space="preserve"> </w:t>
      </w:r>
      <w:r>
        <w:t>137</w:t>
      </w:r>
      <w:r>
        <w:rPr>
          <w:spacing w:val="-3"/>
        </w:rPr>
        <w:t xml:space="preserve"> </w:t>
      </w:r>
      <w:r>
        <w:t>people</w:t>
      </w:r>
      <w:r>
        <w:rPr>
          <w:spacing w:val="-3"/>
        </w:rPr>
        <w:t xml:space="preserve"> </w:t>
      </w:r>
      <w:r>
        <w:t>between</w:t>
      </w:r>
      <w:r>
        <w:rPr>
          <w:spacing w:val="-3"/>
        </w:rPr>
        <w:t xml:space="preserve"> </w:t>
      </w:r>
      <w:r>
        <w:t>September</w:t>
      </w:r>
      <w:r>
        <w:rPr>
          <w:spacing w:val="-3"/>
        </w:rPr>
        <w:t xml:space="preserve"> </w:t>
      </w:r>
      <w:r>
        <w:t>2022</w:t>
      </w:r>
      <w:r>
        <w:rPr>
          <w:spacing w:val="-3"/>
        </w:rPr>
        <w:t xml:space="preserve"> </w:t>
      </w:r>
      <w:r>
        <w:t>to</w:t>
      </w:r>
      <w:r>
        <w:rPr>
          <w:spacing w:val="-3"/>
        </w:rPr>
        <w:t xml:space="preserve"> </w:t>
      </w:r>
      <w:r>
        <w:t>March</w:t>
      </w:r>
      <w:r>
        <w:rPr>
          <w:spacing w:val="-3"/>
        </w:rPr>
        <w:t xml:space="preserve"> </w:t>
      </w:r>
      <w:r>
        <w:t>2023. This list contains the names of interviewees who spoke to the Review Panel.</w:t>
      </w:r>
    </w:p>
    <w:p w14:paraId="7AA3FD5E" w14:textId="77777777" w:rsidR="003F1B0D" w:rsidRDefault="003F1B0D" w:rsidP="008525BF">
      <w:r>
        <w:t>This list does not include names of individuals who asked to remain anonymous. It does not include the names of individuals the Panel has decided to hold in confidence either due to their position,</w:t>
      </w:r>
    </w:p>
    <w:p w14:paraId="003C0353" w14:textId="77777777" w:rsidR="003F1B0D" w:rsidRDefault="003F1B0D" w:rsidP="008525BF">
      <w:r>
        <w:t>or the confidential nature of their conversation with the Review. It does not include the names of people who spoke to the Secretariat but not the Panel.</w:t>
      </w:r>
    </w:p>
    <w:p w14:paraId="4B9C201F" w14:textId="77777777" w:rsidR="000607E7" w:rsidRDefault="000607E7" w:rsidP="008525BF"/>
    <w:p w14:paraId="4E0169BF" w14:textId="77777777" w:rsidR="00AA5043" w:rsidRPr="000607E7" w:rsidRDefault="00AA5043" w:rsidP="00B44F3C">
      <w:pPr>
        <w:pStyle w:val="Heading4"/>
      </w:pPr>
      <w:r w:rsidRPr="000607E7">
        <w:t>Current</w:t>
      </w:r>
      <w:r w:rsidRPr="000607E7">
        <w:rPr>
          <w:spacing w:val="4"/>
        </w:rPr>
        <w:t xml:space="preserve"> </w:t>
      </w:r>
      <w:r w:rsidRPr="000607E7">
        <w:t>Reserve</w:t>
      </w:r>
      <w:r w:rsidRPr="000607E7">
        <w:rPr>
          <w:spacing w:val="5"/>
        </w:rPr>
        <w:t xml:space="preserve"> </w:t>
      </w:r>
      <w:r w:rsidRPr="000607E7">
        <w:t>Bank</w:t>
      </w:r>
      <w:r w:rsidRPr="000607E7">
        <w:rPr>
          <w:spacing w:val="4"/>
        </w:rPr>
        <w:t xml:space="preserve"> </w:t>
      </w:r>
      <w:r w:rsidRPr="000607E7">
        <w:t>Board</w:t>
      </w:r>
      <w:r w:rsidRPr="000607E7">
        <w:rPr>
          <w:spacing w:val="5"/>
        </w:rPr>
        <w:t xml:space="preserve"> </w:t>
      </w:r>
      <w:r w:rsidRPr="000607E7">
        <w:rPr>
          <w:spacing w:val="-2"/>
        </w:rPr>
        <w:t>Members</w:t>
      </w:r>
    </w:p>
    <w:p w14:paraId="27429A55" w14:textId="77777777" w:rsidR="00AA5043" w:rsidRDefault="00AA5043" w:rsidP="00AA5043">
      <w:pPr>
        <w:pStyle w:val="BodyText"/>
        <w:spacing w:before="8"/>
        <w:rPr>
          <w:rFonts w:ascii="Open Sans"/>
          <w:b/>
          <w:sz w:val="6"/>
        </w:rPr>
      </w:pPr>
    </w:p>
    <w:tbl>
      <w:tblPr>
        <w:tblW w:w="5000" w:type="pct"/>
        <w:tblBorders>
          <w:top w:val="single" w:sz="2" w:space="0" w:color="204160"/>
          <w:left w:val="single" w:sz="2" w:space="0" w:color="204160"/>
          <w:bottom w:val="single" w:sz="2" w:space="0" w:color="204160"/>
          <w:right w:val="single" w:sz="2" w:space="0" w:color="204160"/>
          <w:insideH w:val="single" w:sz="2" w:space="0" w:color="204160"/>
          <w:insideV w:val="single" w:sz="2" w:space="0" w:color="204160"/>
        </w:tblBorders>
        <w:tblCellMar>
          <w:left w:w="0" w:type="dxa"/>
          <w:right w:w="0" w:type="dxa"/>
        </w:tblCellMar>
        <w:tblLook w:val="01E0" w:firstRow="1" w:lastRow="1" w:firstColumn="1" w:lastColumn="1" w:noHBand="0" w:noVBand="0"/>
      </w:tblPr>
      <w:tblGrid>
        <w:gridCol w:w="3187"/>
        <w:gridCol w:w="5883"/>
      </w:tblGrid>
      <w:tr w:rsidR="00AA5043" w14:paraId="1C655831" w14:textId="77777777" w:rsidTr="00C656E7">
        <w:trPr>
          <w:trHeight w:val="394"/>
        </w:trPr>
        <w:tc>
          <w:tcPr>
            <w:tcW w:w="1757" w:type="pct"/>
            <w:tcBorders>
              <w:top w:val="nil"/>
              <w:left w:val="nil"/>
            </w:tcBorders>
          </w:tcPr>
          <w:p w14:paraId="41276F78" w14:textId="77777777" w:rsidR="00AA5043" w:rsidRPr="000607E7" w:rsidRDefault="00AA5043" w:rsidP="00F22AE5">
            <w:pPr>
              <w:pStyle w:val="TableParagraph"/>
              <w:spacing w:before="88"/>
              <w:ind w:left="110"/>
              <w:rPr>
                <w:rFonts w:ascii="Calibri Light" w:hAnsi="Calibri Light" w:cs="Calibri Light"/>
                <w:sz w:val="16"/>
              </w:rPr>
            </w:pPr>
            <w:r w:rsidRPr="000607E7">
              <w:rPr>
                <w:rFonts w:ascii="Calibri Light" w:hAnsi="Calibri Light" w:cs="Calibri Light"/>
                <w:sz w:val="16"/>
              </w:rPr>
              <w:t>Mark</w:t>
            </w:r>
            <w:r w:rsidRPr="000607E7">
              <w:rPr>
                <w:rFonts w:ascii="Calibri Light" w:hAnsi="Calibri Light" w:cs="Calibri Light"/>
                <w:spacing w:val="-5"/>
                <w:sz w:val="16"/>
              </w:rPr>
              <w:t xml:space="preserve"> </w:t>
            </w:r>
            <w:r w:rsidRPr="000607E7">
              <w:rPr>
                <w:rFonts w:ascii="Calibri Light" w:hAnsi="Calibri Light" w:cs="Calibri Light"/>
                <w:spacing w:val="-2"/>
                <w:sz w:val="16"/>
              </w:rPr>
              <w:t>Barnaba</w:t>
            </w:r>
          </w:p>
        </w:tc>
        <w:tc>
          <w:tcPr>
            <w:tcW w:w="3243" w:type="pct"/>
            <w:tcBorders>
              <w:top w:val="nil"/>
              <w:right w:val="nil"/>
            </w:tcBorders>
          </w:tcPr>
          <w:p w14:paraId="20EC181A" w14:textId="77777777" w:rsidR="00AA5043" w:rsidRPr="000607E7" w:rsidRDefault="00AA5043" w:rsidP="00F22AE5">
            <w:pPr>
              <w:pStyle w:val="TableParagraph"/>
              <w:spacing w:before="88"/>
              <w:ind w:left="110"/>
              <w:rPr>
                <w:rFonts w:ascii="Calibri Light" w:hAnsi="Calibri Light" w:cs="Calibri Light"/>
                <w:sz w:val="16"/>
              </w:rPr>
            </w:pPr>
            <w:r w:rsidRPr="000607E7">
              <w:rPr>
                <w:rFonts w:ascii="Calibri Light" w:hAnsi="Calibri Light" w:cs="Calibri Light"/>
                <w:sz w:val="16"/>
              </w:rPr>
              <w:t>Board</w:t>
            </w:r>
            <w:r w:rsidRPr="000607E7">
              <w:rPr>
                <w:rFonts w:ascii="Calibri Light" w:hAnsi="Calibri Light" w:cs="Calibri Light"/>
                <w:spacing w:val="-2"/>
                <w:sz w:val="16"/>
              </w:rPr>
              <w:t xml:space="preserve"> Member</w:t>
            </w:r>
          </w:p>
        </w:tc>
      </w:tr>
      <w:tr w:rsidR="00AA5043" w14:paraId="0DCE9408" w14:textId="77777777" w:rsidTr="00C656E7">
        <w:trPr>
          <w:trHeight w:val="391"/>
        </w:trPr>
        <w:tc>
          <w:tcPr>
            <w:tcW w:w="1757" w:type="pct"/>
            <w:tcBorders>
              <w:left w:val="nil"/>
            </w:tcBorders>
          </w:tcPr>
          <w:p w14:paraId="76F512DC"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Michele</w:t>
            </w:r>
            <w:r w:rsidRPr="000607E7">
              <w:rPr>
                <w:rFonts w:ascii="Calibri Light" w:hAnsi="Calibri Light" w:cs="Calibri Light"/>
                <w:spacing w:val="-1"/>
                <w:sz w:val="16"/>
              </w:rPr>
              <w:t xml:space="preserve"> </w:t>
            </w:r>
            <w:r w:rsidRPr="000607E7">
              <w:rPr>
                <w:rFonts w:ascii="Calibri Light" w:hAnsi="Calibri Light" w:cs="Calibri Light"/>
                <w:spacing w:val="-2"/>
                <w:sz w:val="16"/>
              </w:rPr>
              <w:t>Bullock</w:t>
            </w:r>
          </w:p>
        </w:tc>
        <w:tc>
          <w:tcPr>
            <w:tcW w:w="3243" w:type="pct"/>
            <w:tcBorders>
              <w:right w:val="nil"/>
            </w:tcBorders>
          </w:tcPr>
          <w:p w14:paraId="32E17191"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Deputy</w:t>
            </w:r>
            <w:r w:rsidRPr="000607E7">
              <w:rPr>
                <w:rFonts w:ascii="Calibri Light" w:hAnsi="Calibri Light" w:cs="Calibri Light"/>
                <w:spacing w:val="5"/>
                <w:sz w:val="16"/>
              </w:rPr>
              <w:t xml:space="preserve"> </w:t>
            </w:r>
            <w:r w:rsidRPr="000607E7">
              <w:rPr>
                <w:rFonts w:ascii="Calibri Light" w:hAnsi="Calibri Light" w:cs="Calibri Light"/>
                <w:spacing w:val="-2"/>
                <w:sz w:val="16"/>
              </w:rPr>
              <w:t>Governor</w:t>
            </w:r>
          </w:p>
        </w:tc>
      </w:tr>
      <w:tr w:rsidR="00AA5043" w14:paraId="07891EAF" w14:textId="77777777" w:rsidTr="00C656E7">
        <w:trPr>
          <w:trHeight w:val="391"/>
        </w:trPr>
        <w:tc>
          <w:tcPr>
            <w:tcW w:w="1757" w:type="pct"/>
            <w:tcBorders>
              <w:left w:val="nil"/>
            </w:tcBorders>
          </w:tcPr>
          <w:p w14:paraId="4911ADE7"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Dr</w:t>
            </w:r>
            <w:r w:rsidRPr="000607E7">
              <w:rPr>
                <w:rFonts w:ascii="Calibri Light" w:hAnsi="Calibri Light" w:cs="Calibri Light"/>
                <w:spacing w:val="-3"/>
                <w:sz w:val="16"/>
              </w:rPr>
              <w:t xml:space="preserve"> </w:t>
            </w:r>
            <w:r w:rsidRPr="000607E7">
              <w:rPr>
                <w:rFonts w:ascii="Calibri Light" w:hAnsi="Calibri Light" w:cs="Calibri Light"/>
                <w:sz w:val="16"/>
              </w:rPr>
              <w:t>Wendy</w:t>
            </w:r>
            <w:r w:rsidRPr="000607E7">
              <w:rPr>
                <w:rFonts w:ascii="Calibri Light" w:hAnsi="Calibri Light" w:cs="Calibri Light"/>
                <w:spacing w:val="-3"/>
                <w:sz w:val="16"/>
              </w:rPr>
              <w:t xml:space="preserve"> </w:t>
            </w:r>
            <w:r w:rsidRPr="000607E7">
              <w:rPr>
                <w:rFonts w:ascii="Calibri Light" w:hAnsi="Calibri Light" w:cs="Calibri Light"/>
                <w:spacing w:val="-2"/>
                <w:sz w:val="16"/>
              </w:rPr>
              <w:t>Craik</w:t>
            </w:r>
          </w:p>
        </w:tc>
        <w:tc>
          <w:tcPr>
            <w:tcW w:w="3243" w:type="pct"/>
            <w:tcBorders>
              <w:right w:val="nil"/>
            </w:tcBorders>
          </w:tcPr>
          <w:p w14:paraId="46495D32"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Board</w:t>
            </w:r>
            <w:r w:rsidRPr="000607E7">
              <w:rPr>
                <w:rFonts w:ascii="Calibri Light" w:hAnsi="Calibri Light" w:cs="Calibri Light"/>
                <w:spacing w:val="-2"/>
                <w:sz w:val="16"/>
              </w:rPr>
              <w:t xml:space="preserve"> Member</w:t>
            </w:r>
          </w:p>
        </w:tc>
      </w:tr>
      <w:tr w:rsidR="00AA5043" w14:paraId="7738F255" w14:textId="77777777" w:rsidTr="00C656E7">
        <w:trPr>
          <w:trHeight w:val="391"/>
        </w:trPr>
        <w:tc>
          <w:tcPr>
            <w:tcW w:w="1757" w:type="pct"/>
            <w:tcBorders>
              <w:left w:val="nil"/>
            </w:tcBorders>
          </w:tcPr>
          <w:p w14:paraId="326AD90C"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Professor</w:t>
            </w:r>
            <w:r w:rsidRPr="000607E7">
              <w:rPr>
                <w:rFonts w:ascii="Calibri Light" w:hAnsi="Calibri Light" w:cs="Calibri Light"/>
                <w:spacing w:val="-5"/>
                <w:sz w:val="16"/>
              </w:rPr>
              <w:t xml:space="preserve"> </w:t>
            </w:r>
            <w:r w:rsidRPr="000607E7">
              <w:rPr>
                <w:rFonts w:ascii="Calibri Light" w:hAnsi="Calibri Light" w:cs="Calibri Light"/>
                <w:sz w:val="16"/>
              </w:rPr>
              <w:t>Ian</w:t>
            </w:r>
            <w:r w:rsidRPr="000607E7">
              <w:rPr>
                <w:rFonts w:ascii="Calibri Light" w:hAnsi="Calibri Light" w:cs="Calibri Light"/>
                <w:spacing w:val="-2"/>
                <w:sz w:val="16"/>
              </w:rPr>
              <w:t xml:space="preserve"> Harper</w:t>
            </w:r>
          </w:p>
        </w:tc>
        <w:tc>
          <w:tcPr>
            <w:tcW w:w="3243" w:type="pct"/>
            <w:tcBorders>
              <w:right w:val="nil"/>
            </w:tcBorders>
          </w:tcPr>
          <w:p w14:paraId="4815610C"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Board</w:t>
            </w:r>
            <w:r w:rsidRPr="000607E7">
              <w:rPr>
                <w:rFonts w:ascii="Calibri Light" w:hAnsi="Calibri Light" w:cs="Calibri Light"/>
                <w:spacing w:val="-2"/>
                <w:sz w:val="16"/>
              </w:rPr>
              <w:t xml:space="preserve"> Member</w:t>
            </w:r>
          </w:p>
        </w:tc>
      </w:tr>
      <w:tr w:rsidR="00AA5043" w14:paraId="5D09CC8E" w14:textId="77777777" w:rsidTr="00C656E7">
        <w:trPr>
          <w:trHeight w:val="391"/>
        </w:trPr>
        <w:tc>
          <w:tcPr>
            <w:tcW w:w="1757" w:type="pct"/>
            <w:tcBorders>
              <w:left w:val="nil"/>
            </w:tcBorders>
          </w:tcPr>
          <w:p w14:paraId="5EB59313"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 xml:space="preserve">Carolyn </w:t>
            </w:r>
            <w:r w:rsidRPr="000607E7">
              <w:rPr>
                <w:rFonts w:ascii="Calibri Light" w:hAnsi="Calibri Light" w:cs="Calibri Light"/>
                <w:spacing w:val="-2"/>
                <w:sz w:val="16"/>
              </w:rPr>
              <w:t>Hewson</w:t>
            </w:r>
          </w:p>
        </w:tc>
        <w:tc>
          <w:tcPr>
            <w:tcW w:w="3243" w:type="pct"/>
            <w:tcBorders>
              <w:right w:val="nil"/>
            </w:tcBorders>
          </w:tcPr>
          <w:p w14:paraId="76D824D4"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Board</w:t>
            </w:r>
            <w:r w:rsidRPr="000607E7">
              <w:rPr>
                <w:rFonts w:ascii="Calibri Light" w:hAnsi="Calibri Light" w:cs="Calibri Light"/>
                <w:spacing w:val="-2"/>
                <w:sz w:val="16"/>
              </w:rPr>
              <w:t xml:space="preserve"> Member</w:t>
            </w:r>
          </w:p>
        </w:tc>
      </w:tr>
      <w:tr w:rsidR="00AA5043" w14:paraId="31661B35" w14:textId="77777777" w:rsidTr="00C656E7">
        <w:trPr>
          <w:trHeight w:val="391"/>
        </w:trPr>
        <w:tc>
          <w:tcPr>
            <w:tcW w:w="1757" w:type="pct"/>
            <w:tcBorders>
              <w:left w:val="nil"/>
            </w:tcBorders>
          </w:tcPr>
          <w:p w14:paraId="5BF94105"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Dr</w:t>
            </w:r>
            <w:r w:rsidRPr="000607E7">
              <w:rPr>
                <w:rFonts w:ascii="Calibri Light" w:hAnsi="Calibri Light" w:cs="Calibri Light"/>
                <w:spacing w:val="-4"/>
                <w:sz w:val="16"/>
              </w:rPr>
              <w:t xml:space="preserve"> </w:t>
            </w:r>
            <w:r w:rsidRPr="000607E7">
              <w:rPr>
                <w:rFonts w:ascii="Calibri Light" w:hAnsi="Calibri Light" w:cs="Calibri Light"/>
                <w:sz w:val="16"/>
              </w:rPr>
              <w:t>Steven</w:t>
            </w:r>
            <w:r w:rsidRPr="000607E7">
              <w:rPr>
                <w:rFonts w:ascii="Calibri Light" w:hAnsi="Calibri Light" w:cs="Calibri Light"/>
                <w:spacing w:val="-3"/>
                <w:sz w:val="16"/>
              </w:rPr>
              <w:t xml:space="preserve"> </w:t>
            </w:r>
            <w:r w:rsidRPr="000607E7">
              <w:rPr>
                <w:rFonts w:ascii="Calibri Light" w:hAnsi="Calibri Light" w:cs="Calibri Light"/>
                <w:spacing w:val="-2"/>
                <w:sz w:val="16"/>
              </w:rPr>
              <w:t>Kennedy</w:t>
            </w:r>
          </w:p>
        </w:tc>
        <w:tc>
          <w:tcPr>
            <w:tcW w:w="3243" w:type="pct"/>
            <w:tcBorders>
              <w:right w:val="nil"/>
            </w:tcBorders>
          </w:tcPr>
          <w:p w14:paraId="04404A11"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Secretary</w:t>
            </w:r>
            <w:r w:rsidRPr="000607E7">
              <w:rPr>
                <w:rFonts w:ascii="Calibri Light" w:hAnsi="Calibri Light" w:cs="Calibri Light"/>
                <w:spacing w:val="1"/>
                <w:sz w:val="16"/>
              </w:rPr>
              <w:t xml:space="preserve"> </w:t>
            </w:r>
            <w:r w:rsidRPr="000607E7">
              <w:rPr>
                <w:rFonts w:ascii="Calibri Light" w:hAnsi="Calibri Light" w:cs="Calibri Light"/>
                <w:sz w:val="16"/>
              </w:rPr>
              <w:t>to</w:t>
            </w:r>
            <w:r w:rsidRPr="000607E7">
              <w:rPr>
                <w:rFonts w:ascii="Calibri Light" w:hAnsi="Calibri Light" w:cs="Calibri Light"/>
                <w:spacing w:val="1"/>
                <w:sz w:val="16"/>
              </w:rPr>
              <w:t xml:space="preserve"> </w:t>
            </w:r>
            <w:r w:rsidRPr="000607E7">
              <w:rPr>
                <w:rFonts w:ascii="Calibri Light" w:hAnsi="Calibri Light" w:cs="Calibri Light"/>
                <w:sz w:val="16"/>
              </w:rPr>
              <w:t>the</w:t>
            </w:r>
            <w:r w:rsidRPr="000607E7">
              <w:rPr>
                <w:rFonts w:ascii="Calibri Light" w:hAnsi="Calibri Light" w:cs="Calibri Light"/>
                <w:spacing w:val="1"/>
                <w:sz w:val="16"/>
              </w:rPr>
              <w:t xml:space="preserve"> </w:t>
            </w:r>
            <w:r w:rsidRPr="000607E7">
              <w:rPr>
                <w:rFonts w:ascii="Calibri Light" w:hAnsi="Calibri Light" w:cs="Calibri Light"/>
                <w:sz w:val="16"/>
              </w:rPr>
              <w:t>Australian</w:t>
            </w:r>
            <w:r w:rsidRPr="000607E7">
              <w:rPr>
                <w:rFonts w:ascii="Calibri Light" w:hAnsi="Calibri Light" w:cs="Calibri Light"/>
                <w:spacing w:val="2"/>
                <w:sz w:val="16"/>
              </w:rPr>
              <w:t xml:space="preserve"> </w:t>
            </w:r>
            <w:r w:rsidRPr="000607E7">
              <w:rPr>
                <w:rFonts w:ascii="Calibri Light" w:hAnsi="Calibri Light" w:cs="Calibri Light"/>
                <w:spacing w:val="-2"/>
                <w:sz w:val="16"/>
              </w:rPr>
              <w:t>Treasury</w:t>
            </w:r>
          </w:p>
        </w:tc>
      </w:tr>
      <w:tr w:rsidR="00AA5043" w14:paraId="0C786A6D" w14:textId="77777777" w:rsidTr="00C656E7">
        <w:trPr>
          <w:trHeight w:val="391"/>
        </w:trPr>
        <w:tc>
          <w:tcPr>
            <w:tcW w:w="1757" w:type="pct"/>
            <w:tcBorders>
              <w:left w:val="nil"/>
            </w:tcBorders>
          </w:tcPr>
          <w:p w14:paraId="352EA076"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Dr</w:t>
            </w:r>
            <w:r w:rsidRPr="000607E7">
              <w:rPr>
                <w:rFonts w:ascii="Calibri Light" w:hAnsi="Calibri Light" w:cs="Calibri Light"/>
                <w:spacing w:val="-4"/>
                <w:sz w:val="16"/>
              </w:rPr>
              <w:t xml:space="preserve"> </w:t>
            </w:r>
            <w:r w:rsidRPr="000607E7">
              <w:rPr>
                <w:rFonts w:ascii="Calibri Light" w:hAnsi="Calibri Light" w:cs="Calibri Light"/>
                <w:sz w:val="16"/>
              </w:rPr>
              <w:t>Philip</w:t>
            </w:r>
            <w:r w:rsidRPr="000607E7">
              <w:rPr>
                <w:rFonts w:ascii="Calibri Light" w:hAnsi="Calibri Light" w:cs="Calibri Light"/>
                <w:spacing w:val="-4"/>
                <w:sz w:val="16"/>
              </w:rPr>
              <w:t xml:space="preserve"> Lowe</w:t>
            </w:r>
          </w:p>
        </w:tc>
        <w:tc>
          <w:tcPr>
            <w:tcW w:w="3243" w:type="pct"/>
            <w:tcBorders>
              <w:right w:val="nil"/>
            </w:tcBorders>
          </w:tcPr>
          <w:p w14:paraId="58CEB166"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pacing w:val="-2"/>
                <w:sz w:val="16"/>
              </w:rPr>
              <w:t>Governor</w:t>
            </w:r>
          </w:p>
        </w:tc>
      </w:tr>
      <w:tr w:rsidR="00AA5043" w14:paraId="30EE7446" w14:textId="77777777" w:rsidTr="00C656E7">
        <w:trPr>
          <w:trHeight w:val="391"/>
        </w:trPr>
        <w:tc>
          <w:tcPr>
            <w:tcW w:w="1757" w:type="pct"/>
            <w:tcBorders>
              <w:left w:val="nil"/>
            </w:tcBorders>
          </w:tcPr>
          <w:p w14:paraId="02979F4F"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Carol</w:t>
            </w:r>
            <w:r w:rsidRPr="000607E7">
              <w:rPr>
                <w:rFonts w:ascii="Calibri Light" w:hAnsi="Calibri Light" w:cs="Calibri Light"/>
                <w:spacing w:val="-5"/>
                <w:sz w:val="16"/>
              </w:rPr>
              <w:t xml:space="preserve"> </w:t>
            </w:r>
            <w:r w:rsidRPr="000607E7">
              <w:rPr>
                <w:rFonts w:ascii="Calibri Light" w:hAnsi="Calibri Light" w:cs="Calibri Light"/>
                <w:spacing w:val="-2"/>
                <w:sz w:val="16"/>
              </w:rPr>
              <w:t>Schwartz</w:t>
            </w:r>
          </w:p>
        </w:tc>
        <w:tc>
          <w:tcPr>
            <w:tcW w:w="3243" w:type="pct"/>
            <w:tcBorders>
              <w:right w:val="nil"/>
            </w:tcBorders>
          </w:tcPr>
          <w:p w14:paraId="0DC746A9"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Board</w:t>
            </w:r>
            <w:r w:rsidRPr="000607E7">
              <w:rPr>
                <w:rFonts w:ascii="Calibri Light" w:hAnsi="Calibri Light" w:cs="Calibri Light"/>
                <w:spacing w:val="-2"/>
                <w:sz w:val="16"/>
              </w:rPr>
              <w:t xml:space="preserve"> Member</w:t>
            </w:r>
          </w:p>
        </w:tc>
      </w:tr>
      <w:tr w:rsidR="00AA5043" w14:paraId="01FF36C5" w14:textId="77777777" w:rsidTr="00C656E7">
        <w:trPr>
          <w:trHeight w:val="394"/>
        </w:trPr>
        <w:tc>
          <w:tcPr>
            <w:tcW w:w="1757" w:type="pct"/>
            <w:tcBorders>
              <w:left w:val="nil"/>
              <w:bottom w:val="nil"/>
            </w:tcBorders>
          </w:tcPr>
          <w:p w14:paraId="46EF78B9"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Alison</w:t>
            </w:r>
            <w:r w:rsidRPr="000607E7">
              <w:rPr>
                <w:rFonts w:ascii="Calibri Light" w:hAnsi="Calibri Light" w:cs="Calibri Light"/>
                <w:spacing w:val="1"/>
                <w:sz w:val="16"/>
              </w:rPr>
              <w:t xml:space="preserve"> </w:t>
            </w:r>
            <w:r w:rsidRPr="000607E7">
              <w:rPr>
                <w:rFonts w:ascii="Calibri Light" w:hAnsi="Calibri Light" w:cs="Calibri Light"/>
                <w:spacing w:val="-2"/>
                <w:sz w:val="16"/>
              </w:rPr>
              <w:t>Watkins</w:t>
            </w:r>
          </w:p>
        </w:tc>
        <w:tc>
          <w:tcPr>
            <w:tcW w:w="3243" w:type="pct"/>
            <w:tcBorders>
              <w:bottom w:val="nil"/>
              <w:right w:val="nil"/>
            </w:tcBorders>
          </w:tcPr>
          <w:p w14:paraId="6BF71C22" w14:textId="77777777" w:rsidR="00AA5043" w:rsidRPr="000607E7" w:rsidRDefault="00AA5043" w:rsidP="00F22AE5">
            <w:pPr>
              <w:pStyle w:val="TableParagraph"/>
              <w:spacing w:before="86"/>
              <w:ind w:left="110"/>
              <w:rPr>
                <w:rFonts w:ascii="Calibri Light" w:hAnsi="Calibri Light" w:cs="Calibri Light"/>
                <w:sz w:val="16"/>
              </w:rPr>
            </w:pPr>
            <w:r w:rsidRPr="000607E7">
              <w:rPr>
                <w:rFonts w:ascii="Calibri Light" w:hAnsi="Calibri Light" w:cs="Calibri Light"/>
                <w:sz w:val="16"/>
              </w:rPr>
              <w:t>Board</w:t>
            </w:r>
            <w:r w:rsidRPr="000607E7">
              <w:rPr>
                <w:rFonts w:ascii="Calibri Light" w:hAnsi="Calibri Light" w:cs="Calibri Light"/>
                <w:spacing w:val="-2"/>
                <w:sz w:val="16"/>
              </w:rPr>
              <w:t xml:space="preserve"> Member</w:t>
            </w:r>
          </w:p>
        </w:tc>
      </w:tr>
    </w:tbl>
    <w:p w14:paraId="10CC4BDE" w14:textId="6EB7E88D" w:rsidR="004C56C8" w:rsidRPr="00BD4BBB" w:rsidRDefault="004C56C8" w:rsidP="00B44F3C">
      <w:pPr>
        <w:pStyle w:val="Heading4"/>
      </w:pPr>
      <w:r w:rsidRPr="00BD4BBB">
        <w:t>Former</w:t>
      </w:r>
      <w:r w:rsidRPr="00BD4BBB">
        <w:rPr>
          <w:spacing w:val="5"/>
        </w:rPr>
        <w:t xml:space="preserve"> </w:t>
      </w:r>
      <w:r w:rsidRPr="00BD4BBB">
        <w:t>Reserve</w:t>
      </w:r>
      <w:r w:rsidRPr="00BD4BBB">
        <w:rPr>
          <w:spacing w:val="5"/>
        </w:rPr>
        <w:t xml:space="preserve"> </w:t>
      </w:r>
      <w:r w:rsidRPr="00BD4BBB">
        <w:t>Bank</w:t>
      </w:r>
      <w:r w:rsidRPr="00BD4BBB">
        <w:rPr>
          <w:spacing w:val="5"/>
        </w:rPr>
        <w:t xml:space="preserve"> </w:t>
      </w:r>
      <w:r w:rsidRPr="00BD4BBB">
        <w:t>Board</w:t>
      </w:r>
      <w:r w:rsidRPr="00BD4BBB">
        <w:rPr>
          <w:spacing w:val="6"/>
        </w:rPr>
        <w:t xml:space="preserve"> </w:t>
      </w:r>
      <w:r w:rsidRPr="00BD4BBB">
        <w:rPr>
          <w:spacing w:val="-2"/>
        </w:rPr>
        <w:t>Members</w:t>
      </w:r>
    </w:p>
    <w:p w14:paraId="088750E7" w14:textId="77777777" w:rsidR="004C56C8" w:rsidRDefault="004C56C8" w:rsidP="00BD4BBB">
      <w:pPr>
        <w:pStyle w:val="BodyText"/>
        <w:keepNext/>
        <w:keepLines/>
        <w:spacing w:before="7"/>
        <w:rPr>
          <w:rFonts w:ascii="Open Sans"/>
          <w:b/>
          <w:sz w:val="4"/>
        </w:rPr>
      </w:pPr>
    </w:p>
    <w:tbl>
      <w:tblPr>
        <w:tblW w:w="5000" w:type="pct"/>
        <w:tblBorders>
          <w:top w:val="single" w:sz="2" w:space="0" w:color="204160"/>
          <w:left w:val="single" w:sz="2" w:space="0" w:color="204160"/>
          <w:bottom w:val="single" w:sz="2" w:space="0" w:color="204160"/>
          <w:right w:val="single" w:sz="2" w:space="0" w:color="204160"/>
          <w:insideH w:val="single" w:sz="2" w:space="0" w:color="204160"/>
          <w:insideV w:val="single" w:sz="2" w:space="0" w:color="204160"/>
        </w:tblBorders>
        <w:tblCellMar>
          <w:left w:w="0" w:type="dxa"/>
          <w:right w:w="0" w:type="dxa"/>
        </w:tblCellMar>
        <w:tblLook w:val="01E0" w:firstRow="1" w:lastRow="1" w:firstColumn="1" w:lastColumn="1" w:noHBand="0" w:noVBand="0"/>
      </w:tblPr>
      <w:tblGrid>
        <w:gridCol w:w="3187"/>
        <w:gridCol w:w="5883"/>
      </w:tblGrid>
      <w:tr w:rsidR="00D57A77" w:rsidRPr="00D57A77" w14:paraId="083EC8A0" w14:textId="77777777" w:rsidTr="00965E50">
        <w:trPr>
          <w:trHeight w:val="335"/>
        </w:trPr>
        <w:tc>
          <w:tcPr>
            <w:tcW w:w="1757" w:type="pct"/>
            <w:tcBorders>
              <w:top w:val="nil"/>
              <w:left w:val="nil"/>
            </w:tcBorders>
          </w:tcPr>
          <w:p w14:paraId="1420D2F5" w14:textId="4DFEE923"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Ric Battellino</w:t>
            </w:r>
          </w:p>
        </w:tc>
        <w:tc>
          <w:tcPr>
            <w:tcW w:w="3243" w:type="pct"/>
            <w:tcBorders>
              <w:top w:val="nil"/>
              <w:right w:val="nil"/>
            </w:tcBorders>
          </w:tcPr>
          <w:p w14:paraId="4A49B202" w14:textId="78D8C555"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 xml:space="preserve">Former Deputy Governor (2007 - 2012) </w:t>
            </w:r>
          </w:p>
        </w:tc>
      </w:tr>
      <w:tr w:rsidR="00D57A77" w:rsidRPr="00D57A77" w14:paraId="7C0F142E" w14:textId="77777777" w:rsidTr="00965E50">
        <w:trPr>
          <w:trHeight w:val="335"/>
        </w:trPr>
        <w:tc>
          <w:tcPr>
            <w:tcW w:w="1757" w:type="pct"/>
            <w:tcBorders>
              <w:top w:val="nil"/>
              <w:left w:val="nil"/>
            </w:tcBorders>
          </w:tcPr>
          <w:p w14:paraId="2D422DA4" w14:textId="116196E8"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 xml:space="preserve">Jillian Broadbent </w:t>
            </w:r>
          </w:p>
        </w:tc>
        <w:tc>
          <w:tcPr>
            <w:tcW w:w="3243" w:type="pct"/>
            <w:tcBorders>
              <w:top w:val="nil"/>
              <w:right w:val="nil"/>
            </w:tcBorders>
          </w:tcPr>
          <w:p w14:paraId="5EDDBFAC" w14:textId="18B3D982"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 xml:space="preserve">Former Board Member (1998 - 2013) </w:t>
            </w:r>
          </w:p>
        </w:tc>
      </w:tr>
      <w:tr w:rsidR="00D57A77" w:rsidRPr="00D57A77" w14:paraId="7E131AFB" w14:textId="77777777" w:rsidTr="00965E50">
        <w:trPr>
          <w:trHeight w:val="335"/>
        </w:trPr>
        <w:tc>
          <w:tcPr>
            <w:tcW w:w="1757" w:type="pct"/>
            <w:tcBorders>
              <w:top w:val="nil"/>
              <w:left w:val="nil"/>
            </w:tcBorders>
          </w:tcPr>
          <w:p w14:paraId="4A879DAD" w14:textId="324239AE"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Dr Guy Debelle</w:t>
            </w:r>
          </w:p>
        </w:tc>
        <w:tc>
          <w:tcPr>
            <w:tcW w:w="3243" w:type="pct"/>
            <w:tcBorders>
              <w:top w:val="nil"/>
              <w:right w:val="nil"/>
            </w:tcBorders>
          </w:tcPr>
          <w:p w14:paraId="4FB8C2B9" w14:textId="5162AA3E"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 xml:space="preserve">Former Deputy Governor (2016 - 2022) </w:t>
            </w:r>
          </w:p>
        </w:tc>
      </w:tr>
      <w:tr w:rsidR="00D57A77" w:rsidRPr="00D57A77" w14:paraId="34B72427" w14:textId="77777777" w:rsidTr="00965E50">
        <w:trPr>
          <w:trHeight w:val="335"/>
        </w:trPr>
        <w:tc>
          <w:tcPr>
            <w:tcW w:w="1757" w:type="pct"/>
            <w:tcBorders>
              <w:top w:val="nil"/>
              <w:left w:val="nil"/>
            </w:tcBorders>
          </w:tcPr>
          <w:p w14:paraId="187E6958" w14:textId="36E51290"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Dr John Edwards</w:t>
            </w:r>
          </w:p>
        </w:tc>
        <w:tc>
          <w:tcPr>
            <w:tcW w:w="3243" w:type="pct"/>
            <w:tcBorders>
              <w:top w:val="nil"/>
              <w:right w:val="nil"/>
            </w:tcBorders>
          </w:tcPr>
          <w:p w14:paraId="449C2152" w14:textId="37D82232"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 xml:space="preserve">Former Board Member (2011 - 2016) </w:t>
            </w:r>
          </w:p>
        </w:tc>
      </w:tr>
      <w:tr w:rsidR="00D57A77" w:rsidRPr="00D57A77" w14:paraId="5877F849" w14:textId="77777777" w:rsidTr="00965E50">
        <w:trPr>
          <w:trHeight w:val="335"/>
        </w:trPr>
        <w:tc>
          <w:tcPr>
            <w:tcW w:w="1757" w:type="pct"/>
            <w:tcBorders>
              <w:top w:val="nil"/>
              <w:left w:val="nil"/>
            </w:tcBorders>
          </w:tcPr>
          <w:p w14:paraId="4B412F79" w14:textId="28DD9A4E"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Kathryn Fagg</w:t>
            </w:r>
          </w:p>
        </w:tc>
        <w:tc>
          <w:tcPr>
            <w:tcW w:w="3243" w:type="pct"/>
            <w:tcBorders>
              <w:top w:val="nil"/>
              <w:right w:val="nil"/>
            </w:tcBorders>
          </w:tcPr>
          <w:p w14:paraId="1EC72234" w14:textId="709A7501"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 xml:space="preserve">Former Board Member (2013 - 2018) </w:t>
            </w:r>
          </w:p>
        </w:tc>
      </w:tr>
      <w:tr w:rsidR="00D57A77" w:rsidRPr="00D57A77" w14:paraId="7697A85F" w14:textId="77777777" w:rsidTr="00965E50">
        <w:trPr>
          <w:trHeight w:val="335"/>
        </w:trPr>
        <w:tc>
          <w:tcPr>
            <w:tcW w:w="1757" w:type="pct"/>
            <w:tcBorders>
              <w:top w:val="nil"/>
              <w:left w:val="nil"/>
            </w:tcBorders>
          </w:tcPr>
          <w:p w14:paraId="182050B9" w14:textId="490559CB"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Bernie Frase</w:t>
            </w:r>
            <w:r w:rsidR="007B0B34">
              <w:rPr>
                <w:rFonts w:ascii="Calibri Light" w:hAnsi="Calibri Light" w:cs="Calibri Light"/>
                <w:sz w:val="16"/>
              </w:rPr>
              <w:t>r</w:t>
            </w:r>
          </w:p>
        </w:tc>
        <w:tc>
          <w:tcPr>
            <w:tcW w:w="3243" w:type="pct"/>
            <w:tcBorders>
              <w:top w:val="nil"/>
              <w:right w:val="nil"/>
            </w:tcBorders>
          </w:tcPr>
          <w:p w14:paraId="2AC5854D" w14:textId="1046CF81"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Former Governor (1989 - 1996)</w:t>
            </w:r>
            <w:r w:rsidR="008E5272">
              <w:rPr>
                <w:rFonts w:ascii="Calibri Light" w:hAnsi="Calibri Light" w:cs="Calibri Light"/>
                <w:sz w:val="16"/>
              </w:rPr>
              <w:br/>
            </w:r>
            <w:r w:rsidR="008E5272" w:rsidRPr="00D57A77">
              <w:rPr>
                <w:rFonts w:ascii="Calibri Light" w:hAnsi="Calibri Light" w:cs="Calibri Light"/>
                <w:sz w:val="16"/>
              </w:rPr>
              <w:t>Former Secretary to the Australian Treasury (1984 - 1989)</w:t>
            </w:r>
          </w:p>
        </w:tc>
      </w:tr>
      <w:tr w:rsidR="00D57A77" w:rsidRPr="00D57A77" w14:paraId="10295DFD" w14:textId="77777777" w:rsidTr="00965E50">
        <w:trPr>
          <w:trHeight w:val="335"/>
        </w:trPr>
        <w:tc>
          <w:tcPr>
            <w:tcW w:w="1757" w:type="pct"/>
            <w:tcBorders>
              <w:top w:val="nil"/>
              <w:left w:val="nil"/>
            </w:tcBorders>
          </w:tcPr>
          <w:p w14:paraId="016D400A" w14:textId="7BFEEB98"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John Fraser</w:t>
            </w:r>
          </w:p>
        </w:tc>
        <w:tc>
          <w:tcPr>
            <w:tcW w:w="3243" w:type="pct"/>
            <w:tcBorders>
              <w:top w:val="nil"/>
              <w:right w:val="nil"/>
            </w:tcBorders>
          </w:tcPr>
          <w:p w14:paraId="573E6805" w14:textId="47635C6D"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 xml:space="preserve">Former Secretary to the Australian Treasury (2015 - 2018) </w:t>
            </w:r>
          </w:p>
        </w:tc>
      </w:tr>
      <w:tr w:rsidR="00D57A77" w:rsidRPr="00D57A77" w14:paraId="1F395338" w14:textId="77777777" w:rsidTr="00965E50">
        <w:trPr>
          <w:trHeight w:val="335"/>
        </w:trPr>
        <w:tc>
          <w:tcPr>
            <w:tcW w:w="1757" w:type="pct"/>
            <w:tcBorders>
              <w:top w:val="nil"/>
              <w:left w:val="nil"/>
            </w:tcBorders>
          </w:tcPr>
          <w:p w14:paraId="1E076D82" w14:textId="715D08FD"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Phil Gaetjens</w:t>
            </w:r>
          </w:p>
        </w:tc>
        <w:tc>
          <w:tcPr>
            <w:tcW w:w="3243" w:type="pct"/>
            <w:tcBorders>
              <w:top w:val="nil"/>
              <w:right w:val="nil"/>
            </w:tcBorders>
          </w:tcPr>
          <w:p w14:paraId="1E00C95A" w14:textId="7D49228A"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 xml:space="preserve">Former Secretary to the Australian Treasury (2018 - 2019) </w:t>
            </w:r>
          </w:p>
        </w:tc>
      </w:tr>
      <w:tr w:rsidR="00D57A77" w:rsidRPr="00D57A77" w14:paraId="6AD464BD" w14:textId="77777777" w:rsidTr="00965E50">
        <w:trPr>
          <w:trHeight w:val="335"/>
        </w:trPr>
        <w:tc>
          <w:tcPr>
            <w:tcW w:w="1757" w:type="pct"/>
            <w:tcBorders>
              <w:top w:val="nil"/>
              <w:left w:val="nil"/>
            </w:tcBorders>
          </w:tcPr>
          <w:p w14:paraId="46A44AA1" w14:textId="4287FBC5"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Professor Bob Gregory</w:t>
            </w:r>
          </w:p>
        </w:tc>
        <w:tc>
          <w:tcPr>
            <w:tcW w:w="3243" w:type="pct"/>
            <w:tcBorders>
              <w:top w:val="nil"/>
              <w:right w:val="nil"/>
            </w:tcBorders>
          </w:tcPr>
          <w:p w14:paraId="27CFD2BD" w14:textId="26A8DE91"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 xml:space="preserve">Former Board Member (1985 - 1995) </w:t>
            </w:r>
          </w:p>
        </w:tc>
      </w:tr>
      <w:tr w:rsidR="00D57A77" w:rsidRPr="00D57A77" w14:paraId="157A0F10" w14:textId="77777777" w:rsidTr="00965E50">
        <w:trPr>
          <w:trHeight w:val="335"/>
        </w:trPr>
        <w:tc>
          <w:tcPr>
            <w:tcW w:w="1757" w:type="pct"/>
            <w:tcBorders>
              <w:top w:val="nil"/>
              <w:left w:val="nil"/>
            </w:tcBorders>
          </w:tcPr>
          <w:p w14:paraId="1C202C8A" w14:textId="6CCFAE91"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Dr Stephen Grenville</w:t>
            </w:r>
          </w:p>
        </w:tc>
        <w:tc>
          <w:tcPr>
            <w:tcW w:w="3243" w:type="pct"/>
            <w:tcBorders>
              <w:top w:val="nil"/>
              <w:right w:val="nil"/>
            </w:tcBorders>
          </w:tcPr>
          <w:p w14:paraId="195964BB" w14:textId="2B488265"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 xml:space="preserve">Former Deputy Governor (1996 - 2001) </w:t>
            </w:r>
          </w:p>
        </w:tc>
      </w:tr>
      <w:tr w:rsidR="00D57A77" w:rsidRPr="00D57A77" w14:paraId="2610550A" w14:textId="77777777" w:rsidTr="00965E50">
        <w:trPr>
          <w:trHeight w:val="335"/>
        </w:trPr>
        <w:tc>
          <w:tcPr>
            <w:tcW w:w="1757" w:type="pct"/>
            <w:tcBorders>
              <w:top w:val="nil"/>
              <w:left w:val="nil"/>
            </w:tcBorders>
          </w:tcPr>
          <w:p w14:paraId="148C9F21" w14:textId="55498300"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Dr Ken Henry</w:t>
            </w:r>
          </w:p>
        </w:tc>
        <w:tc>
          <w:tcPr>
            <w:tcW w:w="3243" w:type="pct"/>
            <w:tcBorders>
              <w:top w:val="nil"/>
              <w:right w:val="nil"/>
            </w:tcBorders>
          </w:tcPr>
          <w:p w14:paraId="71C17772" w14:textId="37F51127" w:rsidR="00D57A77" w:rsidRPr="00BD4BBB" w:rsidRDefault="00D57A77" w:rsidP="00D57A77">
            <w:pPr>
              <w:pStyle w:val="TableParagraph"/>
              <w:keepNext/>
              <w:keepLines/>
              <w:spacing w:before="57"/>
              <w:ind w:left="110"/>
              <w:rPr>
                <w:rFonts w:ascii="Calibri Light" w:hAnsi="Calibri Light" w:cs="Calibri Light"/>
                <w:sz w:val="16"/>
              </w:rPr>
            </w:pPr>
            <w:r w:rsidRPr="00D57A77">
              <w:rPr>
                <w:rFonts w:ascii="Calibri Light" w:hAnsi="Calibri Light" w:cs="Calibri Light"/>
                <w:sz w:val="16"/>
              </w:rPr>
              <w:t>Former Secretary to the Australian Treasury (2001 – 2011)</w:t>
            </w:r>
          </w:p>
        </w:tc>
      </w:tr>
      <w:tr w:rsidR="004C56C8" w14:paraId="01CE14FB" w14:textId="77777777" w:rsidTr="00BD4BBB">
        <w:trPr>
          <w:trHeight w:val="335"/>
        </w:trPr>
        <w:tc>
          <w:tcPr>
            <w:tcW w:w="1757" w:type="pct"/>
            <w:tcBorders>
              <w:top w:val="nil"/>
              <w:left w:val="nil"/>
            </w:tcBorders>
          </w:tcPr>
          <w:p w14:paraId="4A376BCF" w14:textId="77777777" w:rsidR="004C56C8" w:rsidRPr="00BD4BBB" w:rsidRDefault="004C56C8" w:rsidP="00BD4BBB">
            <w:pPr>
              <w:pStyle w:val="TableParagraph"/>
              <w:keepNext/>
              <w:keepLines/>
              <w:spacing w:before="57"/>
              <w:ind w:left="110"/>
              <w:rPr>
                <w:rFonts w:ascii="Calibri Light" w:hAnsi="Calibri Light" w:cs="Calibri Light"/>
                <w:sz w:val="16"/>
              </w:rPr>
            </w:pPr>
            <w:r w:rsidRPr="00BD4BBB">
              <w:rPr>
                <w:rFonts w:ascii="Calibri Light" w:hAnsi="Calibri Light" w:cs="Calibri Light"/>
                <w:sz w:val="16"/>
              </w:rPr>
              <w:t>Ian</w:t>
            </w:r>
            <w:r w:rsidRPr="00BD4BBB">
              <w:rPr>
                <w:rFonts w:ascii="Calibri Light" w:hAnsi="Calibri Light" w:cs="Calibri Light"/>
                <w:spacing w:val="-6"/>
                <w:sz w:val="16"/>
              </w:rPr>
              <w:t xml:space="preserve"> </w:t>
            </w:r>
            <w:r w:rsidRPr="00BD4BBB">
              <w:rPr>
                <w:rFonts w:ascii="Calibri Light" w:hAnsi="Calibri Light" w:cs="Calibri Light"/>
                <w:spacing w:val="-2"/>
                <w:sz w:val="16"/>
              </w:rPr>
              <w:t>Macfarlane</w:t>
            </w:r>
          </w:p>
        </w:tc>
        <w:tc>
          <w:tcPr>
            <w:tcW w:w="3243" w:type="pct"/>
            <w:tcBorders>
              <w:top w:val="nil"/>
              <w:right w:val="nil"/>
            </w:tcBorders>
          </w:tcPr>
          <w:p w14:paraId="4B2FBF63" w14:textId="77777777" w:rsidR="004C56C8" w:rsidRPr="00BD4BBB" w:rsidRDefault="004C56C8" w:rsidP="00BD4BBB">
            <w:pPr>
              <w:pStyle w:val="TableParagraph"/>
              <w:keepNext/>
              <w:keepLines/>
              <w:spacing w:before="57"/>
              <w:ind w:left="110"/>
              <w:rPr>
                <w:rFonts w:ascii="Calibri Light" w:hAnsi="Calibri Light" w:cs="Calibri Light"/>
                <w:sz w:val="16"/>
              </w:rPr>
            </w:pPr>
            <w:r w:rsidRPr="00BD4BBB">
              <w:rPr>
                <w:rFonts w:ascii="Calibri Light" w:hAnsi="Calibri Light" w:cs="Calibri Light"/>
                <w:sz w:val="16"/>
              </w:rPr>
              <w:t>Former</w:t>
            </w:r>
            <w:r w:rsidRPr="00BD4BBB">
              <w:rPr>
                <w:rFonts w:ascii="Calibri Light" w:hAnsi="Calibri Light" w:cs="Calibri Light"/>
                <w:spacing w:val="-7"/>
                <w:sz w:val="16"/>
              </w:rPr>
              <w:t xml:space="preserve"> </w:t>
            </w:r>
            <w:r w:rsidRPr="00BD4BBB">
              <w:rPr>
                <w:rFonts w:ascii="Calibri Light" w:hAnsi="Calibri Light" w:cs="Calibri Light"/>
                <w:sz w:val="16"/>
              </w:rPr>
              <w:t>Governor</w:t>
            </w:r>
            <w:r w:rsidRPr="00BD4BBB">
              <w:rPr>
                <w:rFonts w:ascii="Calibri Light" w:hAnsi="Calibri Light" w:cs="Calibri Light"/>
                <w:spacing w:val="-4"/>
                <w:sz w:val="16"/>
              </w:rPr>
              <w:t xml:space="preserve"> </w:t>
            </w:r>
            <w:r w:rsidRPr="00BD4BBB">
              <w:rPr>
                <w:rFonts w:ascii="Calibri Light" w:hAnsi="Calibri Light" w:cs="Calibri Light"/>
                <w:sz w:val="16"/>
              </w:rPr>
              <w:t>(1996</w:t>
            </w:r>
            <w:r w:rsidRPr="00BD4BBB">
              <w:rPr>
                <w:rFonts w:ascii="Calibri Light" w:hAnsi="Calibri Light" w:cs="Calibri Light"/>
                <w:spacing w:val="-5"/>
                <w:sz w:val="16"/>
              </w:rPr>
              <w:t xml:space="preserve"> </w:t>
            </w:r>
            <w:r w:rsidRPr="00BD4BBB">
              <w:rPr>
                <w:rFonts w:ascii="Calibri Light" w:hAnsi="Calibri Light" w:cs="Calibri Light"/>
                <w:sz w:val="16"/>
              </w:rPr>
              <w:t>–</w:t>
            </w:r>
            <w:r w:rsidRPr="00BD4BBB">
              <w:rPr>
                <w:rFonts w:ascii="Calibri Light" w:hAnsi="Calibri Light" w:cs="Calibri Light"/>
                <w:spacing w:val="-4"/>
                <w:sz w:val="16"/>
              </w:rPr>
              <w:t xml:space="preserve"> 2006)</w:t>
            </w:r>
          </w:p>
        </w:tc>
      </w:tr>
      <w:tr w:rsidR="004C56C8" w14:paraId="6553B681" w14:textId="77777777" w:rsidTr="00BD4BBB">
        <w:trPr>
          <w:trHeight w:val="335"/>
        </w:trPr>
        <w:tc>
          <w:tcPr>
            <w:tcW w:w="1757" w:type="pct"/>
            <w:tcBorders>
              <w:left w:val="nil"/>
            </w:tcBorders>
          </w:tcPr>
          <w:p w14:paraId="5A0796C2" w14:textId="77777777" w:rsidR="004C56C8" w:rsidRPr="00BD4BBB" w:rsidRDefault="004C56C8" w:rsidP="00F22AE5">
            <w:pPr>
              <w:pStyle w:val="TableParagraph"/>
              <w:spacing w:before="57"/>
              <w:ind w:left="110"/>
              <w:rPr>
                <w:rFonts w:ascii="Calibri Light" w:hAnsi="Calibri Light" w:cs="Calibri Light"/>
                <w:sz w:val="16"/>
              </w:rPr>
            </w:pPr>
            <w:r w:rsidRPr="00BD4BBB">
              <w:rPr>
                <w:rFonts w:ascii="Calibri Light" w:hAnsi="Calibri Light" w:cs="Calibri Light"/>
                <w:sz w:val="16"/>
              </w:rPr>
              <w:t>Professor Warwick</w:t>
            </w:r>
            <w:r w:rsidRPr="00BD4BBB">
              <w:rPr>
                <w:rFonts w:ascii="Calibri Light" w:hAnsi="Calibri Light" w:cs="Calibri Light"/>
                <w:spacing w:val="1"/>
                <w:sz w:val="16"/>
              </w:rPr>
              <w:t xml:space="preserve"> </w:t>
            </w:r>
            <w:r w:rsidRPr="00BD4BBB">
              <w:rPr>
                <w:rFonts w:ascii="Calibri Light" w:hAnsi="Calibri Light" w:cs="Calibri Light"/>
                <w:spacing w:val="-2"/>
                <w:sz w:val="16"/>
              </w:rPr>
              <w:t>McKibbin</w:t>
            </w:r>
          </w:p>
        </w:tc>
        <w:tc>
          <w:tcPr>
            <w:tcW w:w="3243" w:type="pct"/>
            <w:tcBorders>
              <w:right w:val="nil"/>
            </w:tcBorders>
          </w:tcPr>
          <w:p w14:paraId="702F6572" w14:textId="77777777" w:rsidR="004C56C8" w:rsidRPr="00BD4BBB" w:rsidRDefault="004C56C8" w:rsidP="00F22AE5">
            <w:pPr>
              <w:pStyle w:val="TableParagraph"/>
              <w:spacing w:before="57"/>
              <w:ind w:left="110"/>
              <w:rPr>
                <w:rFonts w:ascii="Calibri Light" w:hAnsi="Calibri Light" w:cs="Calibri Light"/>
                <w:sz w:val="16"/>
              </w:rPr>
            </w:pPr>
            <w:r w:rsidRPr="00BD4BBB">
              <w:rPr>
                <w:rFonts w:ascii="Calibri Light" w:hAnsi="Calibri Light" w:cs="Calibri Light"/>
                <w:sz w:val="16"/>
              </w:rPr>
              <w:t>Former</w:t>
            </w:r>
            <w:r w:rsidRPr="00BD4BBB">
              <w:rPr>
                <w:rFonts w:ascii="Calibri Light" w:hAnsi="Calibri Light" w:cs="Calibri Light"/>
                <w:spacing w:val="-2"/>
                <w:sz w:val="16"/>
              </w:rPr>
              <w:t xml:space="preserve"> </w:t>
            </w:r>
            <w:r w:rsidRPr="00BD4BBB">
              <w:rPr>
                <w:rFonts w:ascii="Calibri Light" w:hAnsi="Calibri Light" w:cs="Calibri Light"/>
                <w:sz w:val="16"/>
              </w:rPr>
              <w:t>Board</w:t>
            </w:r>
            <w:r w:rsidRPr="00BD4BBB">
              <w:rPr>
                <w:rFonts w:ascii="Calibri Light" w:hAnsi="Calibri Light" w:cs="Calibri Light"/>
                <w:spacing w:val="-2"/>
                <w:sz w:val="16"/>
              </w:rPr>
              <w:t xml:space="preserve"> </w:t>
            </w:r>
            <w:r w:rsidRPr="00BD4BBB">
              <w:rPr>
                <w:rFonts w:ascii="Calibri Light" w:hAnsi="Calibri Light" w:cs="Calibri Light"/>
                <w:sz w:val="16"/>
              </w:rPr>
              <w:t>Member</w:t>
            </w:r>
            <w:r w:rsidRPr="00BD4BBB">
              <w:rPr>
                <w:rFonts w:ascii="Calibri Light" w:hAnsi="Calibri Light" w:cs="Calibri Light"/>
                <w:spacing w:val="-2"/>
                <w:sz w:val="16"/>
              </w:rPr>
              <w:t xml:space="preserve"> </w:t>
            </w:r>
            <w:r w:rsidRPr="00BD4BBB">
              <w:rPr>
                <w:rFonts w:ascii="Calibri Light" w:hAnsi="Calibri Light" w:cs="Calibri Light"/>
                <w:sz w:val="16"/>
              </w:rPr>
              <w:t>(2001</w:t>
            </w:r>
            <w:r w:rsidRPr="00BD4BBB">
              <w:rPr>
                <w:rFonts w:ascii="Calibri Light" w:hAnsi="Calibri Light" w:cs="Calibri Light"/>
                <w:spacing w:val="-2"/>
                <w:sz w:val="16"/>
              </w:rPr>
              <w:t xml:space="preserve"> </w:t>
            </w:r>
            <w:r w:rsidRPr="00BD4BBB">
              <w:rPr>
                <w:rFonts w:ascii="Calibri Light" w:hAnsi="Calibri Light" w:cs="Calibri Light"/>
                <w:sz w:val="16"/>
              </w:rPr>
              <w:t>–</w:t>
            </w:r>
            <w:r w:rsidRPr="00BD4BBB">
              <w:rPr>
                <w:rFonts w:ascii="Calibri Light" w:hAnsi="Calibri Light" w:cs="Calibri Light"/>
                <w:spacing w:val="-2"/>
                <w:sz w:val="16"/>
              </w:rPr>
              <w:t xml:space="preserve"> 2011)</w:t>
            </w:r>
          </w:p>
        </w:tc>
      </w:tr>
      <w:tr w:rsidR="004C56C8" w14:paraId="1B1E3118" w14:textId="77777777" w:rsidTr="00BD4BBB">
        <w:trPr>
          <w:trHeight w:val="335"/>
        </w:trPr>
        <w:tc>
          <w:tcPr>
            <w:tcW w:w="1757" w:type="pct"/>
            <w:tcBorders>
              <w:left w:val="nil"/>
            </w:tcBorders>
          </w:tcPr>
          <w:p w14:paraId="578D68E0" w14:textId="77777777" w:rsidR="004C56C8" w:rsidRPr="00BD4BBB" w:rsidRDefault="004C56C8" w:rsidP="00F22AE5">
            <w:pPr>
              <w:pStyle w:val="TableParagraph"/>
              <w:spacing w:before="57"/>
              <w:ind w:left="110"/>
              <w:rPr>
                <w:rFonts w:ascii="Calibri Light" w:hAnsi="Calibri Light" w:cs="Calibri Light"/>
                <w:sz w:val="16"/>
              </w:rPr>
            </w:pPr>
            <w:r w:rsidRPr="00BD4BBB">
              <w:rPr>
                <w:rFonts w:ascii="Calibri Light" w:hAnsi="Calibri Light" w:cs="Calibri Light"/>
                <w:sz w:val="16"/>
              </w:rPr>
              <w:t>Allan</w:t>
            </w:r>
            <w:r w:rsidRPr="00BD4BBB">
              <w:rPr>
                <w:rFonts w:ascii="Calibri Light" w:hAnsi="Calibri Light" w:cs="Calibri Light"/>
                <w:spacing w:val="-2"/>
                <w:sz w:val="16"/>
              </w:rPr>
              <w:t xml:space="preserve"> </w:t>
            </w:r>
            <w:r w:rsidRPr="00BD4BBB">
              <w:rPr>
                <w:rFonts w:ascii="Calibri Light" w:hAnsi="Calibri Light" w:cs="Calibri Light"/>
                <w:spacing w:val="-4"/>
                <w:sz w:val="16"/>
              </w:rPr>
              <w:t>Moss</w:t>
            </w:r>
          </w:p>
        </w:tc>
        <w:tc>
          <w:tcPr>
            <w:tcW w:w="3243" w:type="pct"/>
            <w:tcBorders>
              <w:right w:val="nil"/>
            </w:tcBorders>
          </w:tcPr>
          <w:p w14:paraId="66FD366F" w14:textId="77777777" w:rsidR="004C56C8" w:rsidRPr="00BD4BBB" w:rsidRDefault="004C56C8" w:rsidP="00F22AE5">
            <w:pPr>
              <w:pStyle w:val="TableParagraph"/>
              <w:spacing w:before="57"/>
              <w:ind w:left="110"/>
              <w:rPr>
                <w:rFonts w:ascii="Calibri Light" w:hAnsi="Calibri Light" w:cs="Calibri Light"/>
                <w:sz w:val="16"/>
              </w:rPr>
            </w:pPr>
            <w:r w:rsidRPr="00BD4BBB">
              <w:rPr>
                <w:rFonts w:ascii="Calibri Light" w:hAnsi="Calibri Light" w:cs="Calibri Light"/>
                <w:sz w:val="16"/>
              </w:rPr>
              <w:t>Former</w:t>
            </w:r>
            <w:r w:rsidRPr="00BD4BBB">
              <w:rPr>
                <w:rFonts w:ascii="Calibri Light" w:hAnsi="Calibri Light" w:cs="Calibri Light"/>
                <w:spacing w:val="-6"/>
                <w:sz w:val="16"/>
              </w:rPr>
              <w:t xml:space="preserve"> </w:t>
            </w:r>
            <w:r w:rsidRPr="00BD4BBB">
              <w:rPr>
                <w:rFonts w:ascii="Calibri Light" w:hAnsi="Calibri Light" w:cs="Calibri Light"/>
                <w:sz w:val="16"/>
              </w:rPr>
              <w:t>Board</w:t>
            </w:r>
            <w:r w:rsidRPr="00BD4BBB">
              <w:rPr>
                <w:rFonts w:ascii="Calibri Light" w:hAnsi="Calibri Light" w:cs="Calibri Light"/>
                <w:spacing w:val="-5"/>
                <w:sz w:val="16"/>
              </w:rPr>
              <w:t xml:space="preserve"> </w:t>
            </w:r>
            <w:r w:rsidRPr="00BD4BBB">
              <w:rPr>
                <w:rFonts w:ascii="Calibri Light" w:hAnsi="Calibri Light" w:cs="Calibri Light"/>
                <w:sz w:val="16"/>
              </w:rPr>
              <w:t>Member</w:t>
            </w:r>
            <w:r w:rsidRPr="00BD4BBB">
              <w:rPr>
                <w:rFonts w:ascii="Calibri Light" w:hAnsi="Calibri Light" w:cs="Calibri Light"/>
                <w:spacing w:val="-5"/>
                <w:sz w:val="16"/>
              </w:rPr>
              <w:t xml:space="preserve"> </w:t>
            </w:r>
            <w:r w:rsidRPr="00BD4BBB">
              <w:rPr>
                <w:rFonts w:ascii="Calibri Light" w:hAnsi="Calibri Light" w:cs="Calibri Light"/>
                <w:sz w:val="16"/>
              </w:rPr>
              <w:t>(2015</w:t>
            </w:r>
            <w:r w:rsidRPr="00BD4BBB">
              <w:rPr>
                <w:rFonts w:ascii="Calibri Light" w:hAnsi="Calibri Light" w:cs="Calibri Light"/>
                <w:spacing w:val="-5"/>
                <w:sz w:val="16"/>
              </w:rPr>
              <w:t xml:space="preserve"> </w:t>
            </w:r>
            <w:r w:rsidRPr="00BD4BBB">
              <w:rPr>
                <w:rFonts w:ascii="Calibri Light" w:hAnsi="Calibri Light" w:cs="Calibri Light"/>
                <w:sz w:val="16"/>
              </w:rPr>
              <w:t>–</w:t>
            </w:r>
            <w:r w:rsidRPr="00BD4BBB">
              <w:rPr>
                <w:rFonts w:ascii="Calibri Light" w:hAnsi="Calibri Light" w:cs="Calibri Light"/>
                <w:spacing w:val="-5"/>
                <w:sz w:val="16"/>
              </w:rPr>
              <w:t xml:space="preserve"> </w:t>
            </w:r>
            <w:r w:rsidRPr="00BD4BBB">
              <w:rPr>
                <w:rFonts w:ascii="Calibri Light" w:hAnsi="Calibri Light" w:cs="Calibri Light"/>
                <w:spacing w:val="-2"/>
                <w:sz w:val="16"/>
              </w:rPr>
              <w:t>2020)</w:t>
            </w:r>
          </w:p>
        </w:tc>
      </w:tr>
      <w:tr w:rsidR="004C56C8" w14:paraId="5C0A6C8A" w14:textId="77777777" w:rsidTr="00BD4BBB">
        <w:trPr>
          <w:trHeight w:val="335"/>
        </w:trPr>
        <w:tc>
          <w:tcPr>
            <w:tcW w:w="1757" w:type="pct"/>
            <w:tcBorders>
              <w:left w:val="nil"/>
            </w:tcBorders>
          </w:tcPr>
          <w:p w14:paraId="704E275A" w14:textId="77777777" w:rsidR="004C56C8" w:rsidRPr="00BD4BBB" w:rsidRDefault="004C56C8" w:rsidP="00F22AE5">
            <w:pPr>
              <w:pStyle w:val="TableParagraph"/>
              <w:spacing w:before="57"/>
              <w:ind w:left="110"/>
              <w:rPr>
                <w:rFonts w:ascii="Calibri Light" w:hAnsi="Calibri Light" w:cs="Calibri Light"/>
                <w:sz w:val="16"/>
              </w:rPr>
            </w:pPr>
            <w:r w:rsidRPr="00BD4BBB">
              <w:rPr>
                <w:rFonts w:ascii="Calibri Light" w:hAnsi="Calibri Light" w:cs="Calibri Light"/>
                <w:sz w:val="16"/>
              </w:rPr>
              <w:t>Professor</w:t>
            </w:r>
            <w:r w:rsidRPr="00BD4BBB">
              <w:rPr>
                <w:rFonts w:ascii="Calibri Light" w:hAnsi="Calibri Light" w:cs="Calibri Light"/>
                <w:spacing w:val="-4"/>
                <w:sz w:val="16"/>
              </w:rPr>
              <w:t xml:space="preserve"> </w:t>
            </w:r>
            <w:r w:rsidRPr="00BD4BBB">
              <w:rPr>
                <w:rFonts w:ascii="Calibri Light" w:hAnsi="Calibri Light" w:cs="Calibri Light"/>
                <w:sz w:val="16"/>
              </w:rPr>
              <w:t>Adrian</w:t>
            </w:r>
            <w:r w:rsidRPr="00BD4BBB">
              <w:rPr>
                <w:rFonts w:ascii="Calibri Light" w:hAnsi="Calibri Light" w:cs="Calibri Light"/>
                <w:spacing w:val="-1"/>
                <w:sz w:val="16"/>
              </w:rPr>
              <w:t xml:space="preserve"> </w:t>
            </w:r>
            <w:r w:rsidRPr="00BD4BBB">
              <w:rPr>
                <w:rFonts w:ascii="Calibri Light" w:hAnsi="Calibri Light" w:cs="Calibri Light"/>
                <w:spacing w:val="-4"/>
                <w:sz w:val="16"/>
              </w:rPr>
              <w:t>Pagan</w:t>
            </w:r>
          </w:p>
        </w:tc>
        <w:tc>
          <w:tcPr>
            <w:tcW w:w="3243" w:type="pct"/>
            <w:tcBorders>
              <w:right w:val="nil"/>
            </w:tcBorders>
          </w:tcPr>
          <w:p w14:paraId="0148AC66" w14:textId="77777777" w:rsidR="004C56C8" w:rsidRPr="00BD4BBB" w:rsidRDefault="004C56C8" w:rsidP="00F22AE5">
            <w:pPr>
              <w:pStyle w:val="TableParagraph"/>
              <w:spacing w:before="57"/>
              <w:ind w:left="110"/>
              <w:rPr>
                <w:rFonts w:ascii="Calibri Light" w:hAnsi="Calibri Light" w:cs="Calibri Light"/>
                <w:sz w:val="16"/>
              </w:rPr>
            </w:pPr>
            <w:r w:rsidRPr="00BD4BBB">
              <w:rPr>
                <w:rFonts w:ascii="Calibri Light" w:hAnsi="Calibri Light" w:cs="Calibri Light"/>
                <w:sz w:val="16"/>
              </w:rPr>
              <w:t>Former</w:t>
            </w:r>
            <w:r w:rsidRPr="00BD4BBB">
              <w:rPr>
                <w:rFonts w:ascii="Calibri Light" w:hAnsi="Calibri Light" w:cs="Calibri Light"/>
                <w:spacing w:val="-5"/>
                <w:sz w:val="16"/>
              </w:rPr>
              <w:t xml:space="preserve"> </w:t>
            </w:r>
            <w:r w:rsidRPr="00BD4BBB">
              <w:rPr>
                <w:rFonts w:ascii="Calibri Light" w:hAnsi="Calibri Light" w:cs="Calibri Light"/>
                <w:sz w:val="16"/>
              </w:rPr>
              <w:t>Board</w:t>
            </w:r>
            <w:r w:rsidRPr="00BD4BBB">
              <w:rPr>
                <w:rFonts w:ascii="Calibri Light" w:hAnsi="Calibri Light" w:cs="Calibri Light"/>
                <w:spacing w:val="-5"/>
                <w:sz w:val="16"/>
              </w:rPr>
              <w:t xml:space="preserve"> </w:t>
            </w:r>
            <w:r w:rsidRPr="00BD4BBB">
              <w:rPr>
                <w:rFonts w:ascii="Calibri Light" w:hAnsi="Calibri Light" w:cs="Calibri Light"/>
                <w:sz w:val="16"/>
              </w:rPr>
              <w:t>Member</w:t>
            </w:r>
            <w:r w:rsidRPr="00BD4BBB">
              <w:rPr>
                <w:rFonts w:ascii="Calibri Light" w:hAnsi="Calibri Light" w:cs="Calibri Light"/>
                <w:spacing w:val="-5"/>
                <w:sz w:val="16"/>
              </w:rPr>
              <w:t xml:space="preserve"> </w:t>
            </w:r>
            <w:r w:rsidRPr="00BD4BBB">
              <w:rPr>
                <w:rFonts w:ascii="Calibri Light" w:hAnsi="Calibri Light" w:cs="Calibri Light"/>
                <w:sz w:val="16"/>
              </w:rPr>
              <w:t>(1995</w:t>
            </w:r>
            <w:r w:rsidRPr="00BD4BBB">
              <w:rPr>
                <w:rFonts w:ascii="Calibri Light" w:hAnsi="Calibri Light" w:cs="Calibri Light"/>
                <w:spacing w:val="-5"/>
                <w:sz w:val="16"/>
              </w:rPr>
              <w:t xml:space="preserve"> </w:t>
            </w:r>
            <w:r w:rsidRPr="00BD4BBB">
              <w:rPr>
                <w:rFonts w:ascii="Calibri Light" w:hAnsi="Calibri Light" w:cs="Calibri Light"/>
                <w:sz w:val="16"/>
              </w:rPr>
              <w:t>–</w:t>
            </w:r>
            <w:r w:rsidRPr="00BD4BBB">
              <w:rPr>
                <w:rFonts w:ascii="Calibri Light" w:hAnsi="Calibri Light" w:cs="Calibri Light"/>
                <w:spacing w:val="-5"/>
                <w:sz w:val="16"/>
              </w:rPr>
              <w:t xml:space="preserve"> </w:t>
            </w:r>
            <w:r w:rsidRPr="00BD4BBB">
              <w:rPr>
                <w:rFonts w:ascii="Calibri Light" w:hAnsi="Calibri Light" w:cs="Calibri Light"/>
                <w:spacing w:val="-2"/>
                <w:sz w:val="16"/>
              </w:rPr>
              <w:t>2000)</w:t>
            </w:r>
          </w:p>
        </w:tc>
      </w:tr>
      <w:tr w:rsidR="004C56C8" w14:paraId="7AA98206" w14:textId="77777777" w:rsidTr="00BD4BBB">
        <w:trPr>
          <w:trHeight w:val="335"/>
        </w:trPr>
        <w:tc>
          <w:tcPr>
            <w:tcW w:w="1757" w:type="pct"/>
            <w:tcBorders>
              <w:left w:val="nil"/>
            </w:tcBorders>
          </w:tcPr>
          <w:p w14:paraId="16F2DFC6" w14:textId="77777777" w:rsidR="004C56C8" w:rsidRPr="00BD4BBB" w:rsidRDefault="004C56C8" w:rsidP="00F22AE5">
            <w:pPr>
              <w:pStyle w:val="TableParagraph"/>
              <w:spacing w:before="57"/>
              <w:ind w:left="110"/>
              <w:rPr>
                <w:rFonts w:ascii="Calibri Light" w:hAnsi="Calibri Light" w:cs="Calibri Light"/>
                <w:sz w:val="16"/>
              </w:rPr>
            </w:pPr>
            <w:r w:rsidRPr="00BD4BBB">
              <w:rPr>
                <w:rFonts w:ascii="Calibri Light" w:hAnsi="Calibri Light" w:cs="Calibri Light"/>
                <w:sz w:val="16"/>
              </w:rPr>
              <w:t xml:space="preserve">Dr Martin </w:t>
            </w:r>
            <w:r w:rsidRPr="00BD4BBB">
              <w:rPr>
                <w:rFonts w:ascii="Calibri Light" w:hAnsi="Calibri Light" w:cs="Calibri Light"/>
                <w:spacing w:val="-2"/>
                <w:sz w:val="16"/>
              </w:rPr>
              <w:t>Parkinson</w:t>
            </w:r>
          </w:p>
        </w:tc>
        <w:tc>
          <w:tcPr>
            <w:tcW w:w="3243" w:type="pct"/>
            <w:tcBorders>
              <w:right w:val="nil"/>
            </w:tcBorders>
          </w:tcPr>
          <w:p w14:paraId="7E7F749C" w14:textId="77777777" w:rsidR="004C56C8" w:rsidRPr="00BD4BBB" w:rsidRDefault="004C56C8" w:rsidP="00F22AE5">
            <w:pPr>
              <w:pStyle w:val="TableParagraph"/>
              <w:spacing w:before="57"/>
              <w:ind w:left="110"/>
              <w:rPr>
                <w:rFonts w:ascii="Calibri Light" w:hAnsi="Calibri Light" w:cs="Calibri Light"/>
                <w:sz w:val="16"/>
              </w:rPr>
            </w:pPr>
            <w:r w:rsidRPr="00BD4BBB">
              <w:rPr>
                <w:rFonts w:ascii="Calibri Light" w:hAnsi="Calibri Light" w:cs="Calibri Light"/>
                <w:sz w:val="16"/>
              </w:rPr>
              <w:t>Former</w:t>
            </w:r>
            <w:r w:rsidRPr="00BD4BBB">
              <w:rPr>
                <w:rFonts w:ascii="Calibri Light" w:hAnsi="Calibri Light" w:cs="Calibri Light"/>
                <w:spacing w:val="-6"/>
                <w:sz w:val="16"/>
              </w:rPr>
              <w:t xml:space="preserve"> </w:t>
            </w:r>
            <w:r w:rsidRPr="00BD4BBB">
              <w:rPr>
                <w:rFonts w:ascii="Calibri Light" w:hAnsi="Calibri Light" w:cs="Calibri Light"/>
                <w:sz w:val="16"/>
              </w:rPr>
              <w:t>Secretary</w:t>
            </w:r>
            <w:r w:rsidRPr="00BD4BBB">
              <w:rPr>
                <w:rFonts w:ascii="Calibri Light" w:hAnsi="Calibri Light" w:cs="Calibri Light"/>
                <w:spacing w:val="-5"/>
                <w:sz w:val="16"/>
              </w:rPr>
              <w:t xml:space="preserve"> </w:t>
            </w:r>
            <w:r w:rsidRPr="00BD4BBB">
              <w:rPr>
                <w:rFonts w:ascii="Calibri Light" w:hAnsi="Calibri Light" w:cs="Calibri Light"/>
                <w:sz w:val="16"/>
              </w:rPr>
              <w:t>to</w:t>
            </w:r>
            <w:r w:rsidRPr="00BD4BBB">
              <w:rPr>
                <w:rFonts w:ascii="Calibri Light" w:hAnsi="Calibri Light" w:cs="Calibri Light"/>
                <w:spacing w:val="-5"/>
                <w:sz w:val="16"/>
              </w:rPr>
              <w:t xml:space="preserve"> </w:t>
            </w:r>
            <w:r w:rsidRPr="00BD4BBB">
              <w:rPr>
                <w:rFonts w:ascii="Calibri Light" w:hAnsi="Calibri Light" w:cs="Calibri Light"/>
                <w:sz w:val="16"/>
              </w:rPr>
              <w:t>the</w:t>
            </w:r>
            <w:r w:rsidRPr="00BD4BBB">
              <w:rPr>
                <w:rFonts w:ascii="Calibri Light" w:hAnsi="Calibri Light" w:cs="Calibri Light"/>
                <w:spacing w:val="-6"/>
                <w:sz w:val="16"/>
              </w:rPr>
              <w:t xml:space="preserve"> </w:t>
            </w:r>
            <w:r w:rsidRPr="00BD4BBB">
              <w:rPr>
                <w:rFonts w:ascii="Calibri Light" w:hAnsi="Calibri Light" w:cs="Calibri Light"/>
                <w:sz w:val="16"/>
              </w:rPr>
              <w:t>Australian</w:t>
            </w:r>
            <w:r w:rsidRPr="00BD4BBB">
              <w:rPr>
                <w:rFonts w:ascii="Calibri Light" w:hAnsi="Calibri Light" w:cs="Calibri Light"/>
                <w:spacing w:val="-5"/>
                <w:sz w:val="16"/>
              </w:rPr>
              <w:t xml:space="preserve"> </w:t>
            </w:r>
            <w:r w:rsidRPr="00BD4BBB">
              <w:rPr>
                <w:rFonts w:ascii="Calibri Light" w:hAnsi="Calibri Light" w:cs="Calibri Light"/>
                <w:sz w:val="16"/>
              </w:rPr>
              <w:t>Treasury</w:t>
            </w:r>
            <w:r w:rsidRPr="00BD4BBB">
              <w:rPr>
                <w:rFonts w:ascii="Calibri Light" w:hAnsi="Calibri Light" w:cs="Calibri Light"/>
                <w:spacing w:val="-5"/>
                <w:sz w:val="16"/>
              </w:rPr>
              <w:t xml:space="preserve"> </w:t>
            </w:r>
            <w:r w:rsidRPr="00BD4BBB">
              <w:rPr>
                <w:rFonts w:ascii="Calibri Light" w:hAnsi="Calibri Light" w:cs="Calibri Light"/>
                <w:sz w:val="16"/>
              </w:rPr>
              <w:t>(2011-</w:t>
            </w:r>
            <w:r w:rsidRPr="00BD4BBB">
              <w:rPr>
                <w:rFonts w:ascii="Calibri Light" w:hAnsi="Calibri Light" w:cs="Calibri Light"/>
                <w:spacing w:val="-4"/>
                <w:sz w:val="16"/>
              </w:rPr>
              <w:t>2014)</w:t>
            </w:r>
          </w:p>
        </w:tc>
      </w:tr>
      <w:tr w:rsidR="004C56C8" w14:paraId="20E13609" w14:textId="77777777" w:rsidTr="00BD4BBB">
        <w:trPr>
          <w:trHeight w:val="335"/>
        </w:trPr>
        <w:tc>
          <w:tcPr>
            <w:tcW w:w="1757" w:type="pct"/>
            <w:tcBorders>
              <w:left w:val="nil"/>
            </w:tcBorders>
          </w:tcPr>
          <w:p w14:paraId="53EE1C09" w14:textId="77777777" w:rsidR="004C56C8" w:rsidRPr="00BD4BBB" w:rsidRDefault="004C56C8" w:rsidP="00F22AE5">
            <w:pPr>
              <w:pStyle w:val="TableParagraph"/>
              <w:spacing w:before="57"/>
              <w:ind w:left="110"/>
              <w:rPr>
                <w:rFonts w:ascii="Calibri Light" w:hAnsi="Calibri Light" w:cs="Calibri Light"/>
                <w:sz w:val="16"/>
              </w:rPr>
            </w:pPr>
            <w:r w:rsidRPr="00BD4BBB">
              <w:rPr>
                <w:rFonts w:ascii="Calibri Light" w:hAnsi="Calibri Light" w:cs="Calibri Light"/>
                <w:sz w:val="16"/>
              </w:rPr>
              <w:t>Glenn</w:t>
            </w:r>
            <w:r w:rsidRPr="00BD4BBB">
              <w:rPr>
                <w:rFonts w:ascii="Calibri Light" w:hAnsi="Calibri Light" w:cs="Calibri Light"/>
                <w:spacing w:val="-2"/>
                <w:sz w:val="16"/>
              </w:rPr>
              <w:t xml:space="preserve"> Stevens</w:t>
            </w:r>
          </w:p>
        </w:tc>
        <w:tc>
          <w:tcPr>
            <w:tcW w:w="3243" w:type="pct"/>
            <w:tcBorders>
              <w:right w:val="nil"/>
            </w:tcBorders>
          </w:tcPr>
          <w:p w14:paraId="70B668D9" w14:textId="77777777" w:rsidR="004C56C8" w:rsidRPr="00BD4BBB" w:rsidRDefault="004C56C8" w:rsidP="00F22AE5">
            <w:pPr>
              <w:pStyle w:val="TableParagraph"/>
              <w:spacing w:before="57"/>
              <w:ind w:left="110"/>
              <w:rPr>
                <w:rFonts w:ascii="Calibri Light" w:hAnsi="Calibri Light" w:cs="Calibri Light"/>
                <w:sz w:val="16"/>
              </w:rPr>
            </w:pPr>
            <w:r w:rsidRPr="00BD4BBB">
              <w:rPr>
                <w:rFonts w:ascii="Calibri Light" w:hAnsi="Calibri Light" w:cs="Calibri Light"/>
                <w:sz w:val="16"/>
              </w:rPr>
              <w:t>Former Governor (2006 -</w:t>
            </w:r>
            <w:r w:rsidRPr="00BD4BBB">
              <w:rPr>
                <w:rFonts w:ascii="Calibri Light" w:hAnsi="Calibri Light" w:cs="Calibri Light"/>
                <w:spacing w:val="1"/>
                <w:sz w:val="16"/>
              </w:rPr>
              <w:t xml:space="preserve"> </w:t>
            </w:r>
            <w:r w:rsidRPr="00BD4BBB">
              <w:rPr>
                <w:rFonts w:ascii="Calibri Light" w:hAnsi="Calibri Light" w:cs="Calibri Light"/>
                <w:spacing w:val="-4"/>
                <w:sz w:val="16"/>
              </w:rPr>
              <w:t>2016)</w:t>
            </w:r>
          </w:p>
        </w:tc>
      </w:tr>
      <w:tr w:rsidR="004C56C8" w14:paraId="74A996AC" w14:textId="77777777" w:rsidTr="00BD4BBB">
        <w:trPr>
          <w:trHeight w:val="337"/>
        </w:trPr>
        <w:tc>
          <w:tcPr>
            <w:tcW w:w="1757" w:type="pct"/>
            <w:tcBorders>
              <w:left w:val="nil"/>
              <w:bottom w:val="nil"/>
            </w:tcBorders>
          </w:tcPr>
          <w:p w14:paraId="7AE2ABA4" w14:textId="77777777" w:rsidR="004C56C8" w:rsidRPr="00BD4BBB" w:rsidRDefault="004C56C8" w:rsidP="00F22AE5">
            <w:pPr>
              <w:pStyle w:val="TableParagraph"/>
              <w:spacing w:before="59"/>
              <w:ind w:left="110"/>
              <w:rPr>
                <w:rFonts w:ascii="Calibri Light" w:hAnsi="Calibri Light" w:cs="Calibri Light"/>
                <w:sz w:val="16"/>
              </w:rPr>
            </w:pPr>
            <w:r w:rsidRPr="00BD4BBB">
              <w:rPr>
                <w:rFonts w:ascii="Calibri Light" w:hAnsi="Calibri Light" w:cs="Calibri Light"/>
                <w:sz w:val="16"/>
              </w:rPr>
              <w:t>Catherine</w:t>
            </w:r>
            <w:r w:rsidRPr="00BD4BBB">
              <w:rPr>
                <w:rFonts w:ascii="Calibri Light" w:hAnsi="Calibri Light" w:cs="Calibri Light"/>
                <w:spacing w:val="3"/>
                <w:sz w:val="16"/>
              </w:rPr>
              <w:t xml:space="preserve"> </w:t>
            </w:r>
            <w:r w:rsidRPr="00BD4BBB">
              <w:rPr>
                <w:rFonts w:ascii="Calibri Light" w:hAnsi="Calibri Light" w:cs="Calibri Light"/>
                <w:spacing w:val="-2"/>
                <w:sz w:val="16"/>
              </w:rPr>
              <w:t>Tanna</w:t>
            </w:r>
          </w:p>
        </w:tc>
        <w:tc>
          <w:tcPr>
            <w:tcW w:w="3243" w:type="pct"/>
            <w:tcBorders>
              <w:bottom w:val="nil"/>
              <w:right w:val="nil"/>
            </w:tcBorders>
          </w:tcPr>
          <w:p w14:paraId="64DFB181" w14:textId="77777777" w:rsidR="004C56C8" w:rsidRPr="00BD4BBB" w:rsidRDefault="004C56C8" w:rsidP="00F22AE5">
            <w:pPr>
              <w:pStyle w:val="TableParagraph"/>
              <w:spacing w:before="59"/>
              <w:ind w:left="110"/>
              <w:rPr>
                <w:rFonts w:ascii="Calibri Light" w:hAnsi="Calibri Light" w:cs="Calibri Light"/>
                <w:sz w:val="16"/>
              </w:rPr>
            </w:pPr>
            <w:r w:rsidRPr="00BD4BBB">
              <w:rPr>
                <w:rFonts w:ascii="Calibri Light" w:hAnsi="Calibri Light" w:cs="Calibri Light"/>
                <w:sz w:val="16"/>
              </w:rPr>
              <w:t>Former</w:t>
            </w:r>
            <w:r w:rsidRPr="00BD4BBB">
              <w:rPr>
                <w:rFonts w:ascii="Calibri Light" w:hAnsi="Calibri Light" w:cs="Calibri Light"/>
                <w:spacing w:val="-6"/>
                <w:sz w:val="16"/>
              </w:rPr>
              <w:t xml:space="preserve"> </w:t>
            </w:r>
            <w:r w:rsidRPr="00BD4BBB">
              <w:rPr>
                <w:rFonts w:ascii="Calibri Light" w:hAnsi="Calibri Light" w:cs="Calibri Light"/>
                <w:sz w:val="16"/>
              </w:rPr>
              <w:t>Board</w:t>
            </w:r>
            <w:r w:rsidRPr="00BD4BBB">
              <w:rPr>
                <w:rFonts w:ascii="Calibri Light" w:hAnsi="Calibri Light" w:cs="Calibri Light"/>
                <w:spacing w:val="-6"/>
                <w:sz w:val="16"/>
              </w:rPr>
              <w:t xml:space="preserve"> </w:t>
            </w:r>
            <w:r w:rsidRPr="00BD4BBB">
              <w:rPr>
                <w:rFonts w:ascii="Calibri Light" w:hAnsi="Calibri Light" w:cs="Calibri Light"/>
                <w:sz w:val="16"/>
              </w:rPr>
              <w:t>Member</w:t>
            </w:r>
            <w:r w:rsidRPr="00BD4BBB">
              <w:rPr>
                <w:rFonts w:ascii="Calibri Light" w:hAnsi="Calibri Light" w:cs="Calibri Light"/>
                <w:spacing w:val="-6"/>
                <w:sz w:val="16"/>
              </w:rPr>
              <w:t xml:space="preserve"> </w:t>
            </w:r>
            <w:r w:rsidRPr="00BD4BBB">
              <w:rPr>
                <w:rFonts w:ascii="Calibri Light" w:hAnsi="Calibri Light" w:cs="Calibri Light"/>
                <w:sz w:val="16"/>
              </w:rPr>
              <w:t>(2011</w:t>
            </w:r>
            <w:r w:rsidRPr="00BD4BBB">
              <w:rPr>
                <w:rFonts w:ascii="Calibri Light" w:hAnsi="Calibri Light" w:cs="Calibri Light"/>
                <w:spacing w:val="-6"/>
                <w:sz w:val="16"/>
              </w:rPr>
              <w:t xml:space="preserve"> </w:t>
            </w:r>
            <w:r w:rsidRPr="00BD4BBB">
              <w:rPr>
                <w:rFonts w:ascii="Calibri Light" w:hAnsi="Calibri Light" w:cs="Calibri Light"/>
                <w:sz w:val="16"/>
              </w:rPr>
              <w:t>-</w:t>
            </w:r>
            <w:r w:rsidRPr="00BD4BBB">
              <w:rPr>
                <w:rFonts w:ascii="Calibri Light" w:hAnsi="Calibri Light" w:cs="Calibri Light"/>
                <w:spacing w:val="-5"/>
                <w:sz w:val="16"/>
              </w:rPr>
              <w:t xml:space="preserve"> </w:t>
            </w:r>
            <w:r w:rsidRPr="00BD4BBB">
              <w:rPr>
                <w:rFonts w:ascii="Calibri Light" w:hAnsi="Calibri Light" w:cs="Calibri Light"/>
                <w:spacing w:val="-2"/>
                <w:sz w:val="16"/>
              </w:rPr>
              <w:t>2021)</w:t>
            </w:r>
          </w:p>
        </w:tc>
      </w:tr>
    </w:tbl>
    <w:p w14:paraId="1D0CF542" w14:textId="5FB2ED40" w:rsidR="00B62E83" w:rsidRDefault="00B44F3C" w:rsidP="00B44F3C">
      <w:pPr>
        <w:pStyle w:val="Heading4"/>
      </w:pPr>
      <w:r>
        <w:lastRenderedPageBreak/>
        <w:t>Current</w:t>
      </w:r>
      <w:r>
        <w:rPr>
          <w:spacing w:val="3"/>
        </w:rPr>
        <w:t xml:space="preserve"> </w:t>
      </w:r>
      <w:r>
        <w:t>RBA</w:t>
      </w:r>
      <w:r>
        <w:rPr>
          <w:spacing w:val="3"/>
        </w:rPr>
        <w:t xml:space="preserve"> </w:t>
      </w:r>
      <w:r>
        <w:rPr>
          <w:spacing w:val="-2"/>
        </w:rPr>
        <w:t>Staff</w:t>
      </w:r>
    </w:p>
    <w:tbl>
      <w:tblPr>
        <w:tblW w:w="5000" w:type="pct"/>
        <w:tblBorders>
          <w:top w:val="single" w:sz="2" w:space="0" w:color="204160"/>
          <w:left w:val="single" w:sz="2" w:space="0" w:color="204160"/>
          <w:bottom w:val="single" w:sz="2" w:space="0" w:color="204160"/>
          <w:right w:val="single" w:sz="2" w:space="0" w:color="204160"/>
          <w:insideH w:val="single" w:sz="2" w:space="0" w:color="204160"/>
          <w:insideV w:val="single" w:sz="2" w:space="0" w:color="204160"/>
        </w:tblBorders>
        <w:tblCellMar>
          <w:left w:w="0" w:type="dxa"/>
          <w:right w:w="0" w:type="dxa"/>
        </w:tblCellMar>
        <w:tblLook w:val="01E0" w:firstRow="1" w:lastRow="1" w:firstColumn="1" w:lastColumn="1" w:noHBand="0" w:noVBand="0"/>
      </w:tblPr>
      <w:tblGrid>
        <w:gridCol w:w="3187"/>
        <w:gridCol w:w="5883"/>
      </w:tblGrid>
      <w:tr w:rsidR="008F7978" w:rsidRPr="00AA74FE" w14:paraId="14992197" w14:textId="77777777" w:rsidTr="00B44F3C">
        <w:trPr>
          <w:trHeight w:val="337"/>
        </w:trPr>
        <w:tc>
          <w:tcPr>
            <w:tcW w:w="1757" w:type="pct"/>
            <w:tcBorders>
              <w:top w:val="nil"/>
              <w:left w:val="nil"/>
            </w:tcBorders>
          </w:tcPr>
          <w:p w14:paraId="42532534" w14:textId="77777777" w:rsidR="008F7978" w:rsidRPr="00AA74FE" w:rsidRDefault="008F7978" w:rsidP="00AA74FE">
            <w:pPr>
              <w:pStyle w:val="TableParagraph"/>
              <w:spacing w:before="57"/>
              <w:ind w:left="110"/>
              <w:rPr>
                <w:rFonts w:ascii="Calibri Light" w:hAnsi="Calibri Light" w:cs="Calibri Light"/>
                <w:sz w:val="16"/>
              </w:rPr>
            </w:pPr>
            <w:r w:rsidRPr="00AA74FE">
              <w:rPr>
                <w:rFonts w:ascii="Calibri Light" w:hAnsi="Calibri Light" w:cs="Calibri Light"/>
                <w:sz w:val="16"/>
              </w:rPr>
              <w:t>Michele Bullock</w:t>
            </w:r>
          </w:p>
        </w:tc>
        <w:tc>
          <w:tcPr>
            <w:tcW w:w="3243" w:type="pct"/>
            <w:tcBorders>
              <w:top w:val="nil"/>
              <w:right w:val="nil"/>
            </w:tcBorders>
          </w:tcPr>
          <w:p w14:paraId="0AC72312" w14:textId="77777777" w:rsidR="008F7978" w:rsidRPr="00AA74FE" w:rsidRDefault="008F7978" w:rsidP="00AA74FE">
            <w:pPr>
              <w:pStyle w:val="TableParagraph"/>
              <w:spacing w:before="57"/>
              <w:ind w:left="110"/>
              <w:rPr>
                <w:rFonts w:ascii="Calibri Light" w:hAnsi="Calibri Light" w:cs="Calibri Light"/>
                <w:sz w:val="16"/>
              </w:rPr>
            </w:pPr>
            <w:r w:rsidRPr="00AA74FE">
              <w:rPr>
                <w:rFonts w:ascii="Calibri Light" w:hAnsi="Calibri Light" w:cs="Calibri Light"/>
                <w:sz w:val="16"/>
              </w:rPr>
              <w:t>Deputy Governor</w:t>
            </w:r>
          </w:p>
        </w:tc>
      </w:tr>
      <w:tr w:rsidR="008F7978" w:rsidRPr="00AA74FE" w14:paraId="3F51090C" w14:textId="77777777" w:rsidTr="00B44F3C">
        <w:trPr>
          <w:trHeight w:val="335"/>
        </w:trPr>
        <w:tc>
          <w:tcPr>
            <w:tcW w:w="1757" w:type="pct"/>
            <w:tcBorders>
              <w:left w:val="nil"/>
            </w:tcBorders>
          </w:tcPr>
          <w:p w14:paraId="51AA4C3C"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Anthony Dickman</w:t>
            </w:r>
          </w:p>
        </w:tc>
        <w:tc>
          <w:tcPr>
            <w:tcW w:w="3243" w:type="pct"/>
            <w:tcBorders>
              <w:right w:val="nil"/>
            </w:tcBorders>
          </w:tcPr>
          <w:p w14:paraId="0D3B8459"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Secretary</w:t>
            </w:r>
          </w:p>
        </w:tc>
      </w:tr>
      <w:tr w:rsidR="008F7978" w:rsidRPr="00AA74FE" w14:paraId="2D5FE70F" w14:textId="77777777" w:rsidTr="00B44F3C">
        <w:trPr>
          <w:trHeight w:val="335"/>
        </w:trPr>
        <w:tc>
          <w:tcPr>
            <w:tcW w:w="1757" w:type="pct"/>
            <w:tcBorders>
              <w:left w:val="nil"/>
            </w:tcBorders>
          </w:tcPr>
          <w:p w14:paraId="22D4EC79"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Dr Luci Ellis</w:t>
            </w:r>
          </w:p>
        </w:tc>
        <w:tc>
          <w:tcPr>
            <w:tcW w:w="3243" w:type="pct"/>
            <w:tcBorders>
              <w:right w:val="nil"/>
            </w:tcBorders>
          </w:tcPr>
          <w:p w14:paraId="5D80B300"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Assistant Governor</w:t>
            </w:r>
          </w:p>
        </w:tc>
      </w:tr>
      <w:tr w:rsidR="008F7978" w:rsidRPr="00AA74FE" w14:paraId="17A798A2" w14:textId="77777777" w:rsidTr="00B44F3C">
        <w:trPr>
          <w:trHeight w:val="335"/>
        </w:trPr>
        <w:tc>
          <w:tcPr>
            <w:tcW w:w="1757" w:type="pct"/>
            <w:tcBorders>
              <w:left w:val="nil"/>
            </w:tcBorders>
          </w:tcPr>
          <w:p w14:paraId="532FFF0B"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Dr Bradley Jones</w:t>
            </w:r>
          </w:p>
        </w:tc>
        <w:tc>
          <w:tcPr>
            <w:tcW w:w="3243" w:type="pct"/>
            <w:tcBorders>
              <w:right w:val="nil"/>
            </w:tcBorders>
          </w:tcPr>
          <w:p w14:paraId="7358259B"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Assistant Governor</w:t>
            </w:r>
          </w:p>
        </w:tc>
      </w:tr>
      <w:tr w:rsidR="008F7978" w:rsidRPr="00AA74FE" w14:paraId="7A9263F3" w14:textId="77777777" w:rsidTr="00B44F3C">
        <w:trPr>
          <w:trHeight w:val="335"/>
        </w:trPr>
        <w:tc>
          <w:tcPr>
            <w:tcW w:w="1757" w:type="pct"/>
            <w:tcBorders>
              <w:left w:val="nil"/>
            </w:tcBorders>
          </w:tcPr>
          <w:p w14:paraId="139732EE"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Dr Jonathan Kearns*</w:t>
            </w:r>
          </w:p>
        </w:tc>
        <w:tc>
          <w:tcPr>
            <w:tcW w:w="3243" w:type="pct"/>
            <w:tcBorders>
              <w:right w:val="nil"/>
            </w:tcBorders>
          </w:tcPr>
          <w:p w14:paraId="2A899128"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Head of Department</w:t>
            </w:r>
          </w:p>
        </w:tc>
      </w:tr>
      <w:tr w:rsidR="008F7978" w:rsidRPr="00AA74FE" w14:paraId="55955405" w14:textId="77777777" w:rsidTr="00B44F3C">
        <w:trPr>
          <w:trHeight w:val="335"/>
        </w:trPr>
        <w:tc>
          <w:tcPr>
            <w:tcW w:w="1757" w:type="pct"/>
            <w:tcBorders>
              <w:left w:val="nil"/>
            </w:tcBorders>
          </w:tcPr>
          <w:p w14:paraId="5D1158DD"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Dr Christopher Kent</w:t>
            </w:r>
          </w:p>
        </w:tc>
        <w:tc>
          <w:tcPr>
            <w:tcW w:w="3243" w:type="pct"/>
            <w:tcBorders>
              <w:right w:val="nil"/>
            </w:tcBorders>
          </w:tcPr>
          <w:p w14:paraId="7D8AEC39"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Assistant Governor</w:t>
            </w:r>
          </w:p>
        </w:tc>
      </w:tr>
      <w:tr w:rsidR="008F7978" w:rsidRPr="00AA74FE" w14:paraId="1D404D6B" w14:textId="77777777" w:rsidTr="00B44F3C">
        <w:trPr>
          <w:trHeight w:val="335"/>
        </w:trPr>
        <w:tc>
          <w:tcPr>
            <w:tcW w:w="1757" w:type="pct"/>
            <w:tcBorders>
              <w:left w:val="nil"/>
            </w:tcBorders>
          </w:tcPr>
          <w:p w14:paraId="5CC533D5"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Dr Marion Kohler</w:t>
            </w:r>
          </w:p>
        </w:tc>
        <w:tc>
          <w:tcPr>
            <w:tcW w:w="3243" w:type="pct"/>
            <w:tcBorders>
              <w:right w:val="nil"/>
            </w:tcBorders>
          </w:tcPr>
          <w:p w14:paraId="1462616D"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Head of Department</w:t>
            </w:r>
          </w:p>
        </w:tc>
      </w:tr>
      <w:tr w:rsidR="008F7978" w:rsidRPr="00AA74FE" w14:paraId="080D25D9" w14:textId="77777777" w:rsidTr="00B44F3C">
        <w:trPr>
          <w:trHeight w:val="335"/>
        </w:trPr>
        <w:tc>
          <w:tcPr>
            <w:tcW w:w="1757" w:type="pct"/>
            <w:tcBorders>
              <w:left w:val="nil"/>
            </w:tcBorders>
          </w:tcPr>
          <w:p w14:paraId="46E6CBE6"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Dr Philip Lowe</w:t>
            </w:r>
          </w:p>
        </w:tc>
        <w:tc>
          <w:tcPr>
            <w:tcW w:w="3243" w:type="pct"/>
            <w:tcBorders>
              <w:right w:val="nil"/>
            </w:tcBorders>
          </w:tcPr>
          <w:p w14:paraId="1F292214"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Governor</w:t>
            </w:r>
          </w:p>
        </w:tc>
      </w:tr>
      <w:tr w:rsidR="008F7978" w:rsidRPr="00AA74FE" w14:paraId="69D9DF3C" w14:textId="77777777" w:rsidTr="00B44F3C">
        <w:trPr>
          <w:trHeight w:val="335"/>
        </w:trPr>
        <w:tc>
          <w:tcPr>
            <w:tcW w:w="1757" w:type="pct"/>
            <w:tcBorders>
              <w:left w:val="nil"/>
            </w:tcBorders>
          </w:tcPr>
          <w:p w14:paraId="7B719B5E"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Michelle McPhee</w:t>
            </w:r>
          </w:p>
        </w:tc>
        <w:tc>
          <w:tcPr>
            <w:tcW w:w="3243" w:type="pct"/>
            <w:tcBorders>
              <w:right w:val="nil"/>
            </w:tcBorders>
          </w:tcPr>
          <w:p w14:paraId="5062656D"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Assistant Governor</w:t>
            </w:r>
          </w:p>
        </w:tc>
      </w:tr>
      <w:tr w:rsidR="008F7978" w:rsidRPr="00AA74FE" w14:paraId="26511A8C" w14:textId="77777777" w:rsidTr="00B44F3C">
        <w:trPr>
          <w:trHeight w:val="335"/>
        </w:trPr>
        <w:tc>
          <w:tcPr>
            <w:tcW w:w="1757" w:type="pct"/>
            <w:tcBorders>
              <w:left w:val="nil"/>
            </w:tcBorders>
          </w:tcPr>
          <w:p w14:paraId="6655FC6D"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Catherine Parr</w:t>
            </w:r>
          </w:p>
        </w:tc>
        <w:tc>
          <w:tcPr>
            <w:tcW w:w="3243" w:type="pct"/>
            <w:tcBorders>
              <w:right w:val="nil"/>
            </w:tcBorders>
          </w:tcPr>
          <w:p w14:paraId="0BC1D690"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General Counsel</w:t>
            </w:r>
          </w:p>
        </w:tc>
      </w:tr>
      <w:tr w:rsidR="008F7978" w:rsidRPr="00AA74FE" w14:paraId="3158F0B7" w14:textId="77777777" w:rsidTr="00B44F3C">
        <w:trPr>
          <w:trHeight w:val="335"/>
        </w:trPr>
        <w:tc>
          <w:tcPr>
            <w:tcW w:w="1757" w:type="pct"/>
            <w:tcBorders>
              <w:left w:val="nil"/>
            </w:tcBorders>
          </w:tcPr>
          <w:p w14:paraId="1074243C"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Dr John Simon</w:t>
            </w:r>
          </w:p>
        </w:tc>
        <w:tc>
          <w:tcPr>
            <w:tcW w:w="3243" w:type="pct"/>
            <w:tcBorders>
              <w:right w:val="nil"/>
            </w:tcBorders>
          </w:tcPr>
          <w:p w14:paraId="529ECE30"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Head of Department</w:t>
            </w:r>
          </w:p>
        </w:tc>
      </w:tr>
      <w:tr w:rsidR="008F7978" w:rsidRPr="00AA74FE" w14:paraId="65D6A3C1" w14:textId="77777777" w:rsidTr="00B44F3C">
        <w:trPr>
          <w:trHeight w:val="335"/>
        </w:trPr>
        <w:tc>
          <w:tcPr>
            <w:tcW w:w="1757" w:type="pct"/>
            <w:tcBorders>
              <w:left w:val="nil"/>
            </w:tcBorders>
          </w:tcPr>
          <w:p w14:paraId="3C1757D3"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Dr Penny Smith</w:t>
            </w:r>
          </w:p>
        </w:tc>
        <w:tc>
          <w:tcPr>
            <w:tcW w:w="3243" w:type="pct"/>
            <w:tcBorders>
              <w:right w:val="nil"/>
            </w:tcBorders>
          </w:tcPr>
          <w:p w14:paraId="66910E18"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Head of Department</w:t>
            </w:r>
          </w:p>
        </w:tc>
      </w:tr>
      <w:tr w:rsidR="008F7978" w:rsidRPr="00AA74FE" w14:paraId="5D2057FF" w14:textId="77777777" w:rsidTr="00B44F3C">
        <w:trPr>
          <w:trHeight w:val="337"/>
        </w:trPr>
        <w:tc>
          <w:tcPr>
            <w:tcW w:w="1757" w:type="pct"/>
            <w:tcBorders>
              <w:left w:val="nil"/>
              <w:bottom w:val="nil"/>
            </w:tcBorders>
          </w:tcPr>
          <w:p w14:paraId="765518AC"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Susan Woods</w:t>
            </w:r>
          </w:p>
        </w:tc>
        <w:tc>
          <w:tcPr>
            <w:tcW w:w="3243" w:type="pct"/>
            <w:tcBorders>
              <w:bottom w:val="nil"/>
              <w:right w:val="nil"/>
            </w:tcBorders>
          </w:tcPr>
          <w:p w14:paraId="39A07E76" w14:textId="77777777" w:rsidR="008F7978" w:rsidRPr="00AA74FE" w:rsidRDefault="008F7978" w:rsidP="00F22AE5">
            <w:pPr>
              <w:pStyle w:val="TableParagraph"/>
              <w:spacing w:before="57"/>
              <w:ind w:left="110"/>
              <w:rPr>
                <w:rFonts w:ascii="Calibri Light" w:hAnsi="Calibri Light" w:cs="Calibri Light"/>
                <w:sz w:val="16"/>
              </w:rPr>
            </w:pPr>
            <w:r w:rsidRPr="00AA74FE">
              <w:rPr>
                <w:rFonts w:ascii="Calibri Light" w:hAnsi="Calibri Light" w:cs="Calibri Light"/>
                <w:sz w:val="16"/>
              </w:rPr>
              <w:t>Assistant Governor</w:t>
            </w:r>
          </w:p>
        </w:tc>
      </w:tr>
    </w:tbl>
    <w:p w14:paraId="3CDB19BB" w14:textId="5268E094" w:rsidR="004612BD" w:rsidRDefault="00B44F3C" w:rsidP="00E05C63">
      <w:pPr>
        <w:pStyle w:val="Note"/>
        <w:rPr>
          <w:spacing w:val="-2"/>
        </w:rPr>
      </w:pPr>
      <w:r>
        <w:t>*Head of</w:t>
      </w:r>
      <w:r>
        <w:rPr>
          <w:spacing w:val="2"/>
        </w:rPr>
        <w:t xml:space="preserve"> </w:t>
      </w:r>
      <w:r>
        <w:t>Department</w:t>
      </w:r>
      <w:r>
        <w:rPr>
          <w:spacing w:val="2"/>
        </w:rPr>
        <w:t xml:space="preserve"> </w:t>
      </w:r>
      <w:r>
        <w:t>at</w:t>
      </w:r>
      <w:r>
        <w:rPr>
          <w:spacing w:val="2"/>
        </w:rPr>
        <w:t xml:space="preserve"> </w:t>
      </w:r>
      <w:r>
        <w:t>the</w:t>
      </w:r>
      <w:r>
        <w:rPr>
          <w:spacing w:val="2"/>
        </w:rPr>
        <w:t xml:space="preserve"> </w:t>
      </w:r>
      <w:r>
        <w:t>time</w:t>
      </w:r>
      <w:r>
        <w:rPr>
          <w:spacing w:val="2"/>
        </w:rPr>
        <w:t xml:space="preserve"> </w:t>
      </w:r>
      <w:r>
        <w:t>of</w:t>
      </w:r>
      <w:r>
        <w:rPr>
          <w:spacing w:val="3"/>
        </w:rPr>
        <w:t xml:space="preserve"> </w:t>
      </w:r>
      <w:r>
        <w:t>interview,</w:t>
      </w:r>
      <w:r>
        <w:rPr>
          <w:spacing w:val="2"/>
        </w:rPr>
        <w:t xml:space="preserve"> </w:t>
      </w:r>
      <w:r>
        <w:t>no</w:t>
      </w:r>
      <w:r>
        <w:rPr>
          <w:spacing w:val="2"/>
        </w:rPr>
        <w:t xml:space="preserve"> </w:t>
      </w:r>
      <w:r>
        <w:t>longer</w:t>
      </w:r>
      <w:r>
        <w:rPr>
          <w:spacing w:val="2"/>
        </w:rPr>
        <w:t xml:space="preserve"> </w:t>
      </w:r>
      <w:r>
        <w:t>an</w:t>
      </w:r>
      <w:r>
        <w:rPr>
          <w:spacing w:val="2"/>
        </w:rPr>
        <w:t xml:space="preserve"> </w:t>
      </w:r>
      <w:r>
        <w:t>RBA</w:t>
      </w:r>
      <w:r>
        <w:rPr>
          <w:spacing w:val="2"/>
        </w:rPr>
        <w:t xml:space="preserve"> </w:t>
      </w:r>
      <w:r>
        <w:t>staff</w:t>
      </w:r>
      <w:r>
        <w:rPr>
          <w:spacing w:val="3"/>
        </w:rPr>
        <w:t xml:space="preserve"> </w:t>
      </w:r>
      <w:r>
        <w:rPr>
          <w:spacing w:val="-2"/>
        </w:rPr>
        <w:t>member.</w:t>
      </w:r>
    </w:p>
    <w:p w14:paraId="705D381F" w14:textId="77777777" w:rsidR="004612BD" w:rsidRDefault="004612BD" w:rsidP="00FE44EE">
      <w:pPr>
        <w:pStyle w:val="Heading4"/>
      </w:pPr>
      <w:r>
        <w:t>Current</w:t>
      </w:r>
      <w:r>
        <w:rPr>
          <w:spacing w:val="1"/>
        </w:rPr>
        <w:t xml:space="preserve"> </w:t>
      </w:r>
      <w:r>
        <w:t>and</w:t>
      </w:r>
      <w:r>
        <w:rPr>
          <w:spacing w:val="1"/>
        </w:rPr>
        <w:t xml:space="preserve"> </w:t>
      </w:r>
      <w:r>
        <w:t>Former</w:t>
      </w:r>
      <w:r>
        <w:rPr>
          <w:spacing w:val="2"/>
        </w:rPr>
        <w:t xml:space="preserve"> </w:t>
      </w:r>
      <w:r>
        <w:rPr>
          <w:spacing w:val="-2"/>
        </w:rPr>
        <w:t>Parliamentarians</w:t>
      </w:r>
    </w:p>
    <w:p w14:paraId="433EFBD1" w14:textId="77777777" w:rsidR="004612BD" w:rsidRDefault="004612BD" w:rsidP="004612BD">
      <w:pPr>
        <w:pStyle w:val="BodyText"/>
        <w:spacing w:before="7"/>
        <w:rPr>
          <w:rFonts w:ascii="Open Sans"/>
          <w:b/>
          <w:sz w:val="4"/>
        </w:rPr>
      </w:pPr>
    </w:p>
    <w:tbl>
      <w:tblPr>
        <w:tblW w:w="5000" w:type="pct"/>
        <w:tblBorders>
          <w:top w:val="single" w:sz="2" w:space="0" w:color="204160"/>
          <w:left w:val="single" w:sz="2" w:space="0" w:color="204160"/>
          <w:bottom w:val="single" w:sz="2" w:space="0" w:color="204160"/>
          <w:right w:val="single" w:sz="2" w:space="0" w:color="204160"/>
          <w:insideH w:val="single" w:sz="2" w:space="0" w:color="204160"/>
          <w:insideV w:val="single" w:sz="2" w:space="0" w:color="204160"/>
        </w:tblBorders>
        <w:tblCellMar>
          <w:left w:w="0" w:type="dxa"/>
          <w:right w:w="0" w:type="dxa"/>
        </w:tblCellMar>
        <w:tblLook w:val="01E0" w:firstRow="1" w:lastRow="1" w:firstColumn="1" w:lastColumn="1" w:noHBand="0" w:noVBand="0"/>
      </w:tblPr>
      <w:tblGrid>
        <w:gridCol w:w="3187"/>
        <w:gridCol w:w="5883"/>
      </w:tblGrid>
      <w:tr w:rsidR="004612BD" w14:paraId="7F39AC5A" w14:textId="77777777" w:rsidTr="004612BD">
        <w:trPr>
          <w:trHeight w:val="337"/>
        </w:trPr>
        <w:tc>
          <w:tcPr>
            <w:tcW w:w="1757" w:type="pct"/>
            <w:tcBorders>
              <w:top w:val="nil"/>
              <w:left w:val="nil"/>
            </w:tcBorders>
          </w:tcPr>
          <w:p w14:paraId="624F52D2" w14:textId="77777777" w:rsidR="004612BD" w:rsidRPr="004612BD" w:rsidRDefault="004612BD" w:rsidP="00F22AE5">
            <w:pPr>
              <w:pStyle w:val="TableParagraph"/>
              <w:spacing w:before="60"/>
              <w:ind w:left="110"/>
              <w:rPr>
                <w:rFonts w:ascii="Calibri Light" w:hAnsi="Calibri Light" w:cs="Calibri Light"/>
                <w:sz w:val="16"/>
              </w:rPr>
            </w:pPr>
            <w:r w:rsidRPr="004612BD">
              <w:rPr>
                <w:rFonts w:ascii="Calibri Light" w:hAnsi="Calibri Light" w:cs="Calibri Light"/>
                <w:sz w:val="16"/>
              </w:rPr>
              <w:t>Hon</w:t>
            </w:r>
            <w:r w:rsidRPr="004612BD">
              <w:rPr>
                <w:rFonts w:ascii="Calibri Light" w:hAnsi="Calibri Light" w:cs="Calibri Light"/>
                <w:spacing w:val="-5"/>
                <w:sz w:val="16"/>
              </w:rPr>
              <w:t xml:space="preserve"> </w:t>
            </w:r>
            <w:r w:rsidRPr="004612BD">
              <w:rPr>
                <w:rFonts w:ascii="Calibri Light" w:hAnsi="Calibri Light" w:cs="Calibri Light"/>
                <w:sz w:val="16"/>
              </w:rPr>
              <w:t>Dr</w:t>
            </w:r>
            <w:r w:rsidRPr="004612BD">
              <w:rPr>
                <w:rFonts w:ascii="Calibri Light" w:hAnsi="Calibri Light" w:cs="Calibri Light"/>
                <w:spacing w:val="-2"/>
                <w:sz w:val="16"/>
              </w:rPr>
              <w:t xml:space="preserve"> </w:t>
            </w:r>
            <w:r w:rsidRPr="004612BD">
              <w:rPr>
                <w:rFonts w:ascii="Calibri Light" w:hAnsi="Calibri Light" w:cs="Calibri Light"/>
                <w:sz w:val="16"/>
              </w:rPr>
              <w:t>Jim</w:t>
            </w:r>
            <w:r w:rsidRPr="004612BD">
              <w:rPr>
                <w:rFonts w:ascii="Calibri Light" w:hAnsi="Calibri Light" w:cs="Calibri Light"/>
                <w:spacing w:val="-2"/>
                <w:sz w:val="16"/>
              </w:rPr>
              <w:t xml:space="preserve"> </w:t>
            </w:r>
            <w:r w:rsidRPr="004612BD">
              <w:rPr>
                <w:rFonts w:ascii="Calibri Light" w:hAnsi="Calibri Light" w:cs="Calibri Light"/>
                <w:sz w:val="16"/>
              </w:rPr>
              <w:t>Chalmers</w:t>
            </w:r>
            <w:r w:rsidRPr="004612BD">
              <w:rPr>
                <w:rFonts w:ascii="Calibri Light" w:hAnsi="Calibri Light" w:cs="Calibri Light"/>
                <w:spacing w:val="-2"/>
                <w:sz w:val="16"/>
              </w:rPr>
              <w:t xml:space="preserve"> </w:t>
            </w:r>
            <w:r w:rsidRPr="004612BD">
              <w:rPr>
                <w:rFonts w:ascii="Calibri Light" w:hAnsi="Calibri Light" w:cs="Calibri Light"/>
                <w:spacing w:val="-5"/>
                <w:sz w:val="16"/>
              </w:rPr>
              <w:t>MP</w:t>
            </w:r>
          </w:p>
        </w:tc>
        <w:tc>
          <w:tcPr>
            <w:tcW w:w="3243" w:type="pct"/>
            <w:tcBorders>
              <w:top w:val="nil"/>
              <w:right w:val="nil"/>
            </w:tcBorders>
          </w:tcPr>
          <w:p w14:paraId="18293096" w14:textId="77777777" w:rsidR="004612BD" w:rsidRPr="004612BD" w:rsidRDefault="004612BD" w:rsidP="00F22AE5">
            <w:pPr>
              <w:pStyle w:val="TableParagraph"/>
              <w:spacing w:before="60"/>
              <w:ind w:left="110"/>
              <w:rPr>
                <w:rFonts w:ascii="Calibri Light" w:hAnsi="Calibri Light" w:cs="Calibri Light"/>
                <w:sz w:val="16"/>
              </w:rPr>
            </w:pPr>
            <w:r w:rsidRPr="004612BD">
              <w:rPr>
                <w:rFonts w:ascii="Calibri Light" w:hAnsi="Calibri Light" w:cs="Calibri Light"/>
                <w:sz w:val="16"/>
              </w:rPr>
              <w:t>Treasurer,</w:t>
            </w:r>
            <w:r w:rsidRPr="004612BD">
              <w:rPr>
                <w:rFonts w:ascii="Calibri Light" w:hAnsi="Calibri Light" w:cs="Calibri Light"/>
                <w:spacing w:val="-11"/>
                <w:sz w:val="16"/>
              </w:rPr>
              <w:t xml:space="preserve"> </w:t>
            </w:r>
            <w:r w:rsidRPr="004612BD">
              <w:rPr>
                <w:rFonts w:ascii="Calibri Light" w:hAnsi="Calibri Light" w:cs="Calibri Light"/>
                <w:sz w:val="16"/>
              </w:rPr>
              <w:t>Australian</w:t>
            </w:r>
            <w:r w:rsidRPr="004612BD">
              <w:rPr>
                <w:rFonts w:ascii="Calibri Light" w:hAnsi="Calibri Light" w:cs="Calibri Light"/>
                <w:spacing w:val="-9"/>
                <w:sz w:val="16"/>
              </w:rPr>
              <w:t xml:space="preserve"> </w:t>
            </w:r>
            <w:r w:rsidRPr="004612BD">
              <w:rPr>
                <w:rFonts w:ascii="Calibri Light" w:hAnsi="Calibri Light" w:cs="Calibri Light"/>
                <w:sz w:val="16"/>
              </w:rPr>
              <w:t>Labor</w:t>
            </w:r>
            <w:r w:rsidRPr="004612BD">
              <w:rPr>
                <w:rFonts w:ascii="Calibri Light" w:hAnsi="Calibri Light" w:cs="Calibri Light"/>
                <w:spacing w:val="-9"/>
                <w:sz w:val="16"/>
              </w:rPr>
              <w:t xml:space="preserve"> </w:t>
            </w:r>
            <w:r w:rsidRPr="004612BD">
              <w:rPr>
                <w:rFonts w:ascii="Calibri Light" w:hAnsi="Calibri Light" w:cs="Calibri Light"/>
                <w:spacing w:val="-4"/>
                <w:sz w:val="16"/>
              </w:rPr>
              <w:t>Party</w:t>
            </w:r>
          </w:p>
        </w:tc>
      </w:tr>
      <w:tr w:rsidR="004612BD" w14:paraId="2260F81E" w14:textId="77777777" w:rsidTr="004612BD">
        <w:trPr>
          <w:trHeight w:val="335"/>
        </w:trPr>
        <w:tc>
          <w:tcPr>
            <w:tcW w:w="1757" w:type="pct"/>
            <w:tcBorders>
              <w:left w:val="nil"/>
            </w:tcBorders>
          </w:tcPr>
          <w:p w14:paraId="6295EBEF"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Kate</w:t>
            </w:r>
            <w:r w:rsidRPr="004612BD">
              <w:rPr>
                <w:rFonts w:ascii="Calibri Light" w:hAnsi="Calibri Light" w:cs="Calibri Light"/>
                <w:spacing w:val="-3"/>
                <w:sz w:val="16"/>
              </w:rPr>
              <w:t xml:space="preserve"> </w:t>
            </w:r>
            <w:r w:rsidRPr="004612BD">
              <w:rPr>
                <w:rFonts w:ascii="Calibri Light" w:hAnsi="Calibri Light" w:cs="Calibri Light"/>
                <w:sz w:val="16"/>
              </w:rPr>
              <w:t>Chaney</w:t>
            </w:r>
            <w:r w:rsidRPr="004612BD">
              <w:rPr>
                <w:rFonts w:ascii="Calibri Light" w:hAnsi="Calibri Light" w:cs="Calibri Light"/>
                <w:spacing w:val="-1"/>
                <w:sz w:val="16"/>
              </w:rPr>
              <w:t xml:space="preserve"> </w:t>
            </w:r>
            <w:r w:rsidRPr="004612BD">
              <w:rPr>
                <w:rFonts w:ascii="Calibri Light" w:hAnsi="Calibri Light" w:cs="Calibri Light"/>
                <w:spacing w:val="-5"/>
                <w:sz w:val="16"/>
              </w:rPr>
              <w:t>MP</w:t>
            </w:r>
          </w:p>
        </w:tc>
        <w:tc>
          <w:tcPr>
            <w:tcW w:w="3243" w:type="pct"/>
            <w:tcBorders>
              <w:right w:val="nil"/>
            </w:tcBorders>
          </w:tcPr>
          <w:p w14:paraId="2C8917C0"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Member</w:t>
            </w:r>
            <w:r w:rsidRPr="004612BD">
              <w:rPr>
                <w:rFonts w:ascii="Calibri Light" w:hAnsi="Calibri Light" w:cs="Calibri Light"/>
                <w:spacing w:val="-2"/>
                <w:sz w:val="16"/>
              </w:rPr>
              <w:t xml:space="preserve"> </w:t>
            </w:r>
            <w:r w:rsidRPr="004612BD">
              <w:rPr>
                <w:rFonts w:ascii="Calibri Light" w:hAnsi="Calibri Light" w:cs="Calibri Light"/>
                <w:sz w:val="16"/>
              </w:rPr>
              <w:t>of</w:t>
            </w:r>
            <w:r w:rsidRPr="004612BD">
              <w:rPr>
                <w:rFonts w:ascii="Calibri Light" w:hAnsi="Calibri Light" w:cs="Calibri Light"/>
                <w:spacing w:val="-1"/>
                <w:sz w:val="16"/>
              </w:rPr>
              <w:t xml:space="preserve"> </w:t>
            </w:r>
            <w:r w:rsidRPr="004612BD">
              <w:rPr>
                <w:rFonts w:ascii="Calibri Light" w:hAnsi="Calibri Light" w:cs="Calibri Light"/>
                <w:sz w:val="16"/>
              </w:rPr>
              <w:t>Parliament,</w:t>
            </w:r>
            <w:r w:rsidRPr="004612BD">
              <w:rPr>
                <w:rFonts w:ascii="Calibri Light" w:hAnsi="Calibri Light" w:cs="Calibri Light"/>
                <w:spacing w:val="-1"/>
                <w:sz w:val="16"/>
              </w:rPr>
              <w:t xml:space="preserve"> </w:t>
            </w:r>
            <w:r w:rsidRPr="004612BD">
              <w:rPr>
                <w:rFonts w:ascii="Calibri Light" w:hAnsi="Calibri Light" w:cs="Calibri Light"/>
                <w:spacing w:val="-2"/>
                <w:sz w:val="16"/>
              </w:rPr>
              <w:t>Independent</w:t>
            </w:r>
          </w:p>
        </w:tc>
      </w:tr>
      <w:tr w:rsidR="004612BD" w14:paraId="7776C1DB" w14:textId="77777777" w:rsidTr="004612BD">
        <w:trPr>
          <w:trHeight w:val="335"/>
        </w:trPr>
        <w:tc>
          <w:tcPr>
            <w:tcW w:w="1757" w:type="pct"/>
            <w:tcBorders>
              <w:left w:val="nil"/>
            </w:tcBorders>
          </w:tcPr>
          <w:p w14:paraId="7D1B68CB"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Hon</w:t>
            </w:r>
            <w:r w:rsidRPr="004612BD">
              <w:rPr>
                <w:rFonts w:ascii="Calibri Light" w:hAnsi="Calibri Light" w:cs="Calibri Light"/>
                <w:spacing w:val="-6"/>
                <w:sz w:val="16"/>
              </w:rPr>
              <w:t xml:space="preserve"> </w:t>
            </w:r>
            <w:r w:rsidRPr="004612BD">
              <w:rPr>
                <w:rFonts w:ascii="Calibri Light" w:hAnsi="Calibri Light" w:cs="Calibri Light"/>
                <w:sz w:val="16"/>
              </w:rPr>
              <w:t>Peter</w:t>
            </w:r>
            <w:r w:rsidRPr="004612BD">
              <w:rPr>
                <w:rFonts w:ascii="Calibri Light" w:hAnsi="Calibri Light" w:cs="Calibri Light"/>
                <w:spacing w:val="-4"/>
                <w:sz w:val="16"/>
              </w:rPr>
              <w:t xml:space="preserve"> </w:t>
            </w:r>
            <w:r w:rsidRPr="004612BD">
              <w:rPr>
                <w:rFonts w:ascii="Calibri Light" w:hAnsi="Calibri Light" w:cs="Calibri Light"/>
                <w:spacing w:val="-2"/>
                <w:sz w:val="16"/>
              </w:rPr>
              <w:t>Costello</w:t>
            </w:r>
          </w:p>
        </w:tc>
        <w:tc>
          <w:tcPr>
            <w:tcW w:w="3243" w:type="pct"/>
            <w:tcBorders>
              <w:right w:val="nil"/>
            </w:tcBorders>
          </w:tcPr>
          <w:p w14:paraId="1F90220B"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Former</w:t>
            </w:r>
            <w:r w:rsidRPr="004612BD">
              <w:rPr>
                <w:rFonts w:ascii="Calibri Light" w:hAnsi="Calibri Light" w:cs="Calibri Light"/>
                <w:spacing w:val="-6"/>
                <w:sz w:val="16"/>
              </w:rPr>
              <w:t xml:space="preserve"> </w:t>
            </w:r>
            <w:r w:rsidRPr="004612BD">
              <w:rPr>
                <w:rFonts w:ascii="Calibri Light" w:hAnsi="Calibri Light" w:cs="Calibri Light"/>
                <w:sz w:val="16"/>
              </w:rPr>
              <w:t>Treasurer</w:t>
            </w:r>
            <w:r w:rsidRPr="004612BD">
              <w:rPr>
                <w:rFonts w:ascii="Calibri Light" w:hAnsi="Calibri Light" w:cs="Calibri Light"/>
                <w:spacing w:val="-4"/>
                <w:sz w:val="16"/>
              </w:rPr>
              <w:t xml:space="preserve"> </w:t>
            </w:r>
            <w:r w:rsidRPr="004612BD">
              <w:rPr>
                <w:rFonts w:ascii="Calibri Light" w:hAnsi="Calibri Light" w:cs="Calibri Light"/>
                <w:sz w:val="16"/>
              </w:rPr>
              <w:t>(1996</w:t>
            </w:r>
            <w:r w:rsidRPr="004612BD">
              <w:rPr>
                <w:rFonts w:ascii="Calibri Light" w:hAnsi="Calibri Light" w:cs="Calibri Light"/>
                <w:spacing w:val="-4"/>
                <w:sz w:val="16"/>
              </w:rPr>
              <w:t xml:space="preserve"> </w:t>
            </w:r>
            <w:r w:rsidRPr="004612BD">
              <w:rPr>
                <w:rFonts w:ascii="Calibri Light" w:hAnsi="Calibri Light" w:cs="Calibri Light"/>
                <w:sz w:val="16"/>
              </w:rPr>
              <w:t>–</w:t>
            </w:r>
            <w:r w:rsidRPr="004612BD">
              <w:rPr>
                <w:rFonts w:ascii="Calibri Light" w:hAnsi="Calibri Light" w:cs="Calibri Light"/>
                <w:spacing w:val="-4"/>
                <w:sz w:val="16"/>
              </w:rPr>
              <w:t xml:space="preserve"> </w:t>
            </w:r>
            <w:r w:rsidRPr="004612BD">
              <w:rPr>
                <w:rFonts w:ascii="Calibri Light" w:hAnsi="Calibri Light" w:cs="Calibri Light"/>
                <w:sz w:val="16"/>
              </w:rPr>
              <w:t>2007),</w:t>
            </w:r>
            <w:r w:rsidRPr="004612BD">
              <w:rPr>
                <w:rFonts w:ascii="Calibri Light" w:hAnsi="Calibri Light" w:cs="Calibri Light"/>
                <w:spacing w:val="-4"/>
                <w:sz w:val="16"/>
              </w:rPr>
              <w:t xml:space="preserve"> </w:t>
            </w:r>
            <w:r w:rsidRPr="004612BD">
              <w:rPr>
                <w:rFonts w:ascii="Calibri Light" w:hAnsi="Calibri Light" w:cs="Calibri Light"/>
                <w:sz w:val="16"/>
              </w:rPr>
              <w:t>Liberal</w:t>
            </w:r>
            <w:r w:rsidRPr="004612BD">
              <w:rPr>
                <w:rFonts w:ascii="Calibri Light" w:hAnsi="Calibri Light" w:cs="Calibri Light"/>
                <w:spacing w:val="-4"/>
                <w:sz w:val="16"/>
              </w:rPr>
              <w:t xml:space="preserve"> </w:t>
            </w:r>
            <w:r w:rsidRPr="004612BD">
              <w:rPr>
                <w:rFonts w:ascii="Calibri Light" w:hAnsi="Calibri Light" w:cs="Calibri Light"/>
                <w:sz w:val="16"/>
              </w:rPr>
              <w:t>Party</w:t>
            </w:r>
            <w:r w:rsidRPr="004612BD">
              <w:rPr>
                <w:rFonts w:ascii="Calibri Light" w:hAnsi="Calibri Light" w:cs="Calibri Light"/>
                <w:spacing w:val="-4"/>
                <w:sz w:val="16"/>
              </w:rPr>
              <w:t xml:space="preserve"> </w:t>
            </w:r>
            <w:r w:rsidRPr="004612BD">
              <w:rPr>
                <w:rFonts w:ascii="Calibri Light" w:hAnsi="Calibri Light" w:cs="Calibri Light"/>
                <w:sz w:val="16"/>
              </w:rPr>
              <w:t>of</w:t>
            </w:r>
            <w:r w:rsidRPr="004612BD">
              <w:rPr>
                <w:rFonts w:ascii="Calibri Light" w:hAnsi="Calibri Light" w:cs="Calibri Light"/>
                <w:spacing w:val="-4"/>
                <w:sz w:val="16"/>
              </w:rPr>
              <w:t xml:space="preserve"> </w:t>
            </w:r>
            <w:r w:rsidRPr="004612BD">
              <w:rPr>
                <w:rFonts w:ascii="Calibri Light" w:hAnsi="Calibri Light" w:cs="Calibri Light"/>
                <w:spacing w:val="-2"/>
                <w:sz w:val="16"/>
              </w:rPr>
              <w:t>Australia</w:t>
            </w:r>
          </w:p>
        </w:tc>
      </w:tr>
      <w:tr w:rsidR="004612BD" w14:paraId="79B22BA2" w14:textId="77777777" w:rsidTr="004612BD">
        <w:trPr>
          <w:trHeight w:val="335"/>
        </w:trPr>
        <w:tc>
          <w:tcPr>
            <w:tcW w:w="1757" w:type="pct"/>
            <w:tcBorders>
              <w:left w:val="nil"/>
            </w:tcBorders>
          </w:tcPr>
          <w:p w14:paraId="21F7E1CD"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Zoe</w:t>
            </w:r>
            <w:r w:rsidRPr="004612BD">
              <w:rPr>
                <w:rFonts w:ascii="Calibri Light" w:hAnsi="Calibri Light" w:cs="Calibri Light"/>
                <w:spacing w:val="-5"/>
                <w:sz w:val="16"/>
              </w:rPr>
              <w:t xml:space="preserve"> </w:t>
            </w:r>
            <w:r w:rsidRPr="004612BD">
              <w:rPr>
                <w:rFonts w:ascii="Calibri Light" w:hAnsi="Calibri Light" w:cs="Calibri Light"/>
                <w:sz w:val="16"/>
              </w:rPr>
              <w:t>Daniel</w:t>
            </w:r>
            <w:r w:rsidRPr="004612BD">
              <w:rPr>
                <w:rFonts w:ascii="Calibri Light" w:hAnsi="Calibri Light" w:cs="Calibri Light"/>
                <w:spacing w:val="-4"/>
                <w:sz w:val="16"/>
              </w:rPr>
              <w:t xml:space="preserve"> </w:t>
            </w:r>
            <w:r w:rsidRPr="004612BD">
              <w:rPr>
                <w:rFonts w:ascii="Calibri Light" w:hAnsi="Calibri Light" w:cs="Calibri Light"/>
                <w:spacing w:val="-5"/>
                <w:sz w:val="16"/>
              </w:rPr>
              <w:t>MP</w:t>
            </w:r>
          </w:p>
        </w:tc>
        <w:tc>
          <w:tcPr>
            <w:tcW w:w="3243" w:type="pct"/>
            <w:tcBorders>
              <w:right w:val="nil"/>
            </w:tcBorders>
          </w:tcPr>
          <w:p w14:paraId="3D9E3709"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Member</w:t>
            </w:r>
            <w:r w:rsidRPr="004612BD">
              <w:rPr>
                <w:rFonts w:ascii="Calibri Light" w:hAnsi="Calibri Light" w:cs="Calibri Light"/>
                <w:spacing w:val="-2"/>
                <w:sz w:val="16"/>
              </w:rPr>
              <w:t xml:space="preserve"> </w:t>
            </w:r>
            <w:r w:rsidRPr="004612BD">
              <w:rPr>
                <w:rFonts w:ascii="Calibri Light" w:hAnsi="Calibri Light" w:cs="Calibri Light"/>
                <w:sz w:val="16"/>
              </w:rPr>
              <w:t>of</w:t>
            </w:r>
            <w:r w:rsidRPr="004612BD">
              <w:rPr>
                <w:rFonts w:ascii="Calibri Light" w:hAnsi="Calibri Light" w:cs="Calibri Light"/>
                <w:spacing w:val="-1"/>
                <w:sz w:val="16"/>
              </w:rPr>
              <w:t xml:space="preserve"> </w:t>
            </w:r>
            <w:r w:rsidRPr="004612BD">
              <w:rPr>
                <w:rFonts w:ascii="Calibri Light" w:hAnsi="Calibri Light" w:cs="Calibri Light"/>
                <w:sz w:val="16"/>
              </w:rPr>
              <w:t>Parliament,</w:t>
            </w:r>
            <w:r w:rsidRPr="004612BD">
              <w:rPr>
                <w:rFonts w:ascii="Calibri Light" w:hAnsi="Calibri Light" w:cs="Calibri Light"/>
                <w:spacing w:val="-1"/>
                <w:sz w:val="16"/>
              </w:rPr>
              <w:t xml:space="preserve"> </w:t>
            </w:r>
            <w:r w:rsidRPr="004612BD">
              <w:rPr>
                <w:rFonts w:ascii="Calibri Light" w:hAnsi="Calibri Light" w:cs="Calibri Light"/>
                <w:spacing w:val="-2"/>
                <w:sz w:val="16"/>
              </w:rPr>
              <w:t>Independent</w:t>
            </w:r>
          </w:p>
        </w:tc>
      </w:tr>
      <w:tr w:rsidR="004612BD" w14:paraId="4EEE8B53" w14:textId="77777777" w:rsidTr="004612BD">
        <w:trPr>
          <w:trHeight w:val="335"/>
        </w:trPr>
        <w:tc>
          <w:tcPr>
            <w:tcW w:w="1757" w:type="pct"/>
            <w:tcBorders>
              <w:left w:val="nil"/>
            </w:tcBorders>
          </w:tcPr>
          <w:p w14:paraId="4340DE1D"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Hon</w:t>
            </w:r>
            <w:r w:rsidRPr="004612BD">
              <w:rPr>
                <w:rFonts w:ascii="Calibri Light" w:hAnsi="Calibri Light" w:cs="Calibri Light"/>
                <w:spacing w:val="-3"/>
                <w:sz w:val="16"/>
              </w:rPr>
              <w:t xml:space="preserve"> </w:t>
            </w:r>
            <w:r w:rsidRPr="004612BD">
              <w:rPr>
                <w:rFonts w:ascii="Calibri Light" w:hAnsi="Calibri Light" w:cs="Calibri Light"/>
                <w:sz w:val="16"/>
              </w:rPr>
              <w:t>Josh</w:t>
            </w:r>
            <w:r w:rsidRPr="004612BD">
              <w:rPr>
                <w:rFonts w:ascii="Calibri Light" w:hAnsi="Calibri Light" w:cs="Calibri Light"/>
                <w:spacing w:val="-3"/>
                <w:sz w:val="16"/>
              </w:rPr>
              <w:t xml:space="preserve"> </w:t>
            </w:r>
            <w:r w:rsidRPr="004612BD">
              <w:rPr>
                <w:rFonts w:ascii="Calibri Light" w:hAnsi="Calibri Light" w:cs="Calibri Light"/>
                <w:spacing w:val="-2"/>
                <w:sz w:val="16"/>
              </w:rPr>
              <w:t>Frydenberg</w:t>
            </w:r>
          </w:p>
        </w:tc>
        <w:tc>
          <w:tcPr>
            <w:tcW w:w="3243" w:type="pct"/>
            <w:tcBorders>
              <w:right w:val="nil"/>
            </w:tcBorders>
          </w:tcPr>
          <w:p w14:paraId="2A95C68B"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Former</w:t>
            </w:r>
            <w:r w:rsidRPr="004612BD">
              <w:rPr>
                <w:rFonts w:ascii="Calibri Light" w:hAnsi="Calibri Light" w:cs="Calibri Light"/>
                <w:spacing w:val="-6"/>
                <w:sz w:val="16"/>
              </w:rPr>
              <w:t xml:space="preserve"> </w:t>
            </w:r>
            <w:r w:rsidRPr="004612BD">
              <w:rPr>
                <w:rFonts w:ascii="Calibri Light" w:hAnsi="Calibri Light" w:cs="Calibri Light"/>
                <w:sz w:val="16"/>
              </w:rPr>
              <w:t>Treasurer</w:t>
            </w:r>
            <w:r w:rsidRPr="004612BD">
              <w:rPr>
                <w:rFonts w:ascii="Calibri Light" w:hAnsi="Calibri Light" w:cs="Calibri Light"/>
                <w:spacing w:val="-5"/>
                <w:sz w:val="16"/>
              </w:rPr>
              <w:t xml:space="preserve"> </w:t>
            </w:r>
            <w:r w:rsidRPr="004612BD">
              <w:rPr>
                <w:rFonts w:ascii="Calibri Light" w:hAnsi="Calibri Light" w:cs="Calibri Light"/>
                <w:sz w:val="16"/>
              </w:rPr>
              <w:t>(2018</w:t>
            </w:r>
            <w:r w:rsidRPr="004612BD">
              <w:rPr>
                <w:rFonts w:ascii="Calibri Light" w:hAnsi="Calibri Light" w:cs="Calibri Light"/>
                <w:spacing w:val="-5"/>
                <w:sz w:val="16"/>
              </w:rPr>
              <w:t xml:space="preserve"> </w:t>
            </w:r>
            <w:r w:rsidRPr="004612BD">
              <w:rPr>
                <w:rFonts w:ascii="Calibri Light" w:hAnsi="Calibri Light" w:cs="Calibri Light"/>
                <w:sz w:val="16"/>
              </w:rPr>
              <w:t>–</w:t>
            </w:r>
            <w:r w:rsidRPr="004612BD">
              <w:rPr>
                <w:rFonts w:ascii="Calibri Light" w:hAnsi="Calibri Light" w:cs="Calibri Light"/>
                <w:spacing w:val="-5"/>
                <w:sz w:val="16"/>
              </w:rPr>
              <w:t xml:space="preserve"> </w:t>
            </w:r>
            <w:r w:rsidRPr="004612BD">
              <w:rPr>
                <w:rFonts w:ascii="Calibri Light" w:hAnsi="Calibri Light" w:cs="Calibri Light"/>
                <w:sz w:val="16"/>
              </w:rPr>
              <w:t>2022),</w:t>
            </w:r>
            <w:r w:rsidRPr="004612BD">
              <w:rPr>
                <w:rFonts w:ascii="Calibri Light" w:hAnsi="Calibri Light" w:cs="Calibri Light"/>
                <w:spacing w:val="-6"/>
                <w:sz w:val="16"/>
              </w:rPr>
              <w:t xml:space="preserve"> </w:t>
            </w:r>
            <w:r w:rsidRPr="004612BD">
              <w:rPr>
                <w:rFonts w:ascii="Calibri Light" w:hAnsi="Calibri Light" w:cs="Calibri Light"/>
                <w:sz w:val="16"/>
              </w:rPr>
              <w:t>Liberal</w:t>
            </w:r>
            <w:r w:rsidRPr="004612BD">
              <w:rPr>
                <w:rFonts w:ascii="Calibri Light" w:hAnsi="Calibri Light" w:cs="Calibri Light"/>
                <w:spacing w:val="-5"/>
                <w:sz w:val="16"/>
              </w:rPr>
              <w:t xml:space="preserve"> </w:t>
            </w:r>
            <w:r w:rsidRPr="004612BD">
              <w:rPr>
                <w:rFonts w:ascii="Calibri Light" w:hAnsi="Calibri Light" w:cs="Calibri Light"/>
                <w:sz w:val="16"/>
              </w:rPr>
              <w:t>Party</w:t>
            </w:r>
            <w:r w:rsidRPr="004612BD">
              <w:rPr>
                <w:rFonts w:ascii="Calibri Light" w:hAnsi="Calibri Light" w:cs="Calibri Light"/>
                <w:spacing w:val="-5"/>
                <w:sz w:val="16"/>
              </w:rPr>
              <w:t xml:space="preserve"> </w:t>
            </w:r>
            <w:r w:rsidRPr="004612BD">
              <w:rPr>
                <w:rFonts w:ascii="Calibri Light" w:hAnsi="Calibri Light" w:cs="Calibri Light"/>
                <w:sz w:val="16"/>
              </w:rPr>
              <w:t>of</w:t>
            </w:r>
            <w:r w:rsidRPr="004612BD">
              <w:rPr>
                <w:rFonts w:ascii="Calibri Light" w:hAnsi="Calibri Light" w:cs="Calibri Light"/>
                <w:spacing w:val="-5"/>
                <w:sz w:val="16"/>
              </w:rPr>
              <w:t xml:space="preserve"> </w:t>
            </w:r>
            <w:r w:rsidRPr="004612BD">
              <w:rPr>
                <w:rFonts w:ascii="Calibri Light" w:hAnsi="Calibri Light" w:cs="Calibri Light"/>
                <w:spacing w:val="-2"/>
                <w:sz w:val="16"/>
              </w:rPr>
              <w:t>Australia</w:t>
            </w:r>
          </w:p>
        </w:tc>
      </w:tr>
      <w:tr w:rsidR="004612BD" w14:paraId="41305B41" w14:textId="77777777" w:rsidTr="004612BD">
        <w:trPr>
          <w:trHeight w:val="335"/>
        </w:trPr>
        <w:tc>
          <w:tcPr>
            <w:tcW w:w="1757" w:type="pct"/>
            <w:tcBorders>
              <w:left w:val="nil"/>
            </w:tcBorders>
          </w:tcPr>
          <w:p w14:paraId="3063DE46"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Dr</w:t>
            </w:r>
            <w:r w:rsidRPr="004612BD">
              <w:rPr>
                <w:rFonts w:ascii="Calibri Light" w:hAnsi="Calibri Light" w:cs="Calibri Light"/>
                <w:spacing w:val="-3"/>
                <w:sz w:val="16"/>
              </w:rPr>
              <w:t xml:space="preserve"> </w:t>
            </w:r>
            <w:r w:rsidRPr="004612BD">
              <w:rPr>
                <w:rFonts w:ascii="Calibri Light" w:hAnsi="Calibri Light" w:cs="Calibri Light"/>
                <w:sz w:val="16"/>
              </w:rPr>
              <w:t>Helen</w:t>
            </w:r>
            <w:r w:rsidRPr="004612BD">
              <w:rPr>
                <w:rFonts w:ascii="Calibri Light" w:hAnsi="Calibri Light" w:cs="Calibri Light"/>
                <w:spacing w:val="-3"/>
                <w:sz w:val="16"/>
              </w:rPr>
              <w:t xml:space="preserve"> </w:t>
            </w:r>
            <w:r w:rsidRPr="004612BD">
              <w:rPr>
                <w:rFonts w:ascii="Calibri Light" w:hAnsi="Calibri Light" w:cs="Calibri Light"/>
                <w:sz w:val="16"/>
              </w:rPr>
              <w:t>Haines</w:t>
            </w:r>
            <w:r w:rsidRPr="004612BD">
              <w:rPr>
                <w:rFonts w:ascii="Calibri Light" w:hAnsi="Calibri Light" w:cs="Calibri Light"/>
                <w:spacing w:val="-2"/>
                <w:sz w:val="16"/>
              </w:rPr>
              <w:t xml:space="preserve"> </w:t>
            </w:r>
            <w:r w:rsidRPr="004612BD">
              <w:rPr>
                <w:rFonts w:ascii="Calibri Light" w:hAnsi="Calibri Light" w:cs="Calibri Light"/>
                <w:spacing w:val="-5"/>
                <w:sz w:val="16"/>
              </w:rPr>
              <w:t>MP</w:t>
            </w:r>
          </w:p>
        </w:tc>
        <w:tc>
          <w:tcPr>
            <w:tcW w:w="3243" w:type="pct"/>
            <w:tcBorders>
              <w:right w:val="nil"/>
            </w:tcBorders>
          </w:tcPr>
          <w:p w14:paraId="0252E539"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Member</w:t>
            </w:r>
            <w:r w:rsidRPr="004612BD">
              <w:rPr>
                <w:rFonts w:ascii="Calibri Light" w:hAnsi="Calibri Light" w:cs="Calibri Light"/>
                <w:spacing w:val="-2"/>
                <w:sz w:val="16"/>
              </w:rPr>
              <w:t xml:space="preserve"> </w:t>
            </w:r>
            <w:r w:rsidRPr="004612BD">
              <w:rPr>
                <w:rFonts w:ascii="Calibri Light" w:hAnsi="Calibri Light" w:cs="Calibri Light"/>
                <w:sz w:val="16"/>
              </w:rPr>
              <w:t>of</w:t>
            </w:r>
            <w:r w:rsidRPr="004612BD">
              <w:rPr>
                <w:rFonts w:ascii="Calibri Light" w:hAnsi="Calibri Light" w:cs="Calibri Light"/>
                <w:spacing w:val="-1"/>
                <w:sz w:val="16"/>
              </w:rPr>
              <w:t xml:space="preserve"> </w:t>
            </w:r>
            <w:r w:rsidRPr="004612BD">
              <w:rPr>
                <w:rFonts w:ascii="Calibri Light" w:hAnsi="Calibri Light" w:cs="Calibri Light"/>
                <w:sz w:val="16"/>
              </w:rPr>
              <w:t>Parliament,</w:t>
            </w:r>
            <w:r w:rsidRPr="004612BD">
              <w:rPr>
                <w:rFonts w:ascii="Calibri Light" w:hAnsi="Calibri Light" w:cs="Calibri Light"/>
                <w:spacing w:val="-1"/>
                <w:sz w:val="16"/>
              </w:rPr>
              <w:t xml:space="preserve"> </w:t>
            </w:r>
            <w:r w:rsidRPr="004612BD">
              <w:rPr>
                <w:rFonts w:ascii="Calibri Light" w:hAnsi="Calibri Light" w:cs="Calibri Light"/>
                <w:spacing w:val="-2"/>
                <w:sz w:val="16"/>
              </w:rPr>
              <w:t>Independent</w:t>
            </w:r>
          </w:p>
        </w:tc>
      </w:tr>
      <w:tr w:rsidR="004612BD" w14:paraId="60E04207" w14:textId="77777777" w:rsidTr="004612BD">
        <w:trPr>
          <w:trHeight w:val="335"/>
        </w:trPr>
        <w:tc>
          <w:tcPr>
            <w:tcW w:w="1757" w:type="pct"/>
            <w:tcBorders>
              <w:left w:val="nil"/>
            </w:tcBorders>
          </w:tcPr>
          <w:p w14:paraId="77299225"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Senator</w:t>
            </w:r>
            <w:r w:rsidRPr="004612BD">
              <w:rPr>
                <w:rFonts w:ascii="Calibri Light" w:hAnsi="Calibri Light" w:cs="Calibri Light"/>
                <w:spacing w:val="-4"/>
                <w:sz w:val="16"/>
              </w:rPr>
              <w:t xml:space="preserve"> </w:t>
            </w:r>
            <w:r w:rsidRPr="004612BD">
              <w:rPr>
                <w:rFonts w:ascii="Calibri Light" w:hAnsi="Calibri Light" w:cs="Calibri Light"/>
                <w:sz w:val="16"/>
              </w:rPr>
              <w:t>Jacqui</w:t>
            </w:r>
            <w:r w:rsidRPr="004612BD">
              <w:rPr>
                <w:rFonts w:ascii="Calibri Light" w:hAnsi="Calibri Light" w:cs="Calibri Light"/>
                <w:spacing w:val="-3"/>
                <w:sz w:val="16"/>
              </w:rPr>
              <w:t xml:space="preserve"> </w:t>
            </w:r>
            <w:r w:rsidRPr="004612BD">
              <w:rPr>
                <w:rFonts w:ascii="Calibri Light" w:hAnsi="Calibri Light" w:cs="Calibri Light"/>
                <w:spacing w:val="-2"/>
                <w:sz w:val="16"/>
              </w:rPr>
              <w:t>Lambie</w:t>
            </w:r>
          </w:p>
        </w:tc>
        <w:tc>
          <w:tcPr>
            <w:tcW w:w="3243" w:type="pct"/>
            <w:tcBorders>
              <w:right w:val="nil"/>
            </w:tcBorders>
          </w:tcPr>
          <w:p w14:paraId="10D89BDE"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Senator,</w:t>
            </w:r>
            <w:r w:rsidRPr="004612BD">
              <w:rPr>
                <w:rFonts w:ascii="Calibri Light" w:hAnsi="Calibri Light" w:cs="Calibri Light"/>
                <w:spacing w:val="-7"/>
                <w:sz w:val="16"/>
              </w:rPr>
              <w:t xml:space="preserve"> </w:t>
            </w:r>
            <w:r w:rsidRPr="004612BD">
              <w:rPr>
                <w:rFonts w:ascii="Calibri Light" w:hAnsi="Calibri Light" w:cs="Calibri Light"/>
                <w:sz w:val="16"/>
              </w:rPr>
              <w:t>Jacqui</w:t>
            </w:r>
            <w:r w:rsidRPr="004612BD">
              <w:rPr>
                <w:rFonts w:ascii="Calibri Light" w:hAnsi="Calibri Light" w:cs="Calibri Light"/>
                <w:spacing w:val="-6"/>
                <w:sz w:val="16"/>
              </w:rPr>
              <w:t xml:space="preserve"> </w:t>
            </w:r>
            <w:r w:rsidRPr="004612BD">
              <w:rPr>
                <w:rFonts w:ascii="Calibri Light" w:hAnsi="Calibri Light" w:cs="Calibri Light"/>
                <w:sz w:val="16"/>
              </w:rPr>
              <w:t>Lambie</w:t>
            </w:r>
            <w:r w:rsidRPr="004612BD">
              <w:rPr>
                <w:rFonts w:ascii="Calibri Light" w:hAnsi="Calibri Light" w:cs="Calibri Light"/>
                <w:spacing w:val="-6"/>
                <w:sz w:val="16"/>
              </w:rPr>
              <w:t xml:space="preserve"> </w:t>
            </w:r>
            <w:r w:rsidRPr="004612BD">
              <w:rPr>
                <w:rFonts w:ascii="Calibri Light" w:hAnsi="Calibri Light" w:cs="Calibri Light"/>
                <w:spacing w:val="-2"/>
                <w:sz w:val="16"/>
              </w:rPr>
              <w:t>Network</w:t>
            </w:r>
          </w:p>
        </w:tc>
      </w:tr>
      <w:tr w:rsidR="004612BD" w14:paraId="313A5170" w14:textId="77777777" w:rsidTr="004612BD">
        <w:trPr>
          <w:trHeight w:val="335"/>
        </w:trPr>
        <w:tc>
          <w:tcPr>
            <w:tcW w:w="1757" w:type="pct"/>
            <w:tcBorders>
              <w:left w:val="nil"/>
            </w:tcBorders>
          </w:tcPr>
          <w:p w14:paraId="1651F118"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Hon</w:t>
            </w:r>
            <w:r w:rsidRPr="004612BD">
              <w:rPr>
                <w:rFonts w:ascii="Calibri Light" w:hAnsi="Calibri Light" w:cs="Calibri Light"/>
                <w:spacing w:val="-5"/>
                <w:sz w:val="16"/>
              </w:rPr>
              <w:t xml:space="preserve"> </w:t>
            </w:r>
            <w:r w:rsidRPr="004612BD">
              <w:rPr>
                <w:rFonts w:ascii="Calibri Light" w:hAnsi="Calibri Light" w:cs="Calibri Light"/>
                <w:sz w:val="16"/>
              </w:rPr>
              <w:t>Dr</w:t>
            </w:r>
            <w:r w:rsidRPr="004612BD">
              <w:rPr>
                <w:rFonts w:ascii="Calibri Light" w:hAnsi="Calibri Light" w:cs="Calibri Light"/>
                <w:spacing w:val="-2"/>
                <w:sz w:val="16"/>
              </w:rPr>
              <w:t xml:space="preserve"> </w:t>
            </w:r>
            <w:r w:rsidRPr="004612BD">
              <w:rPr>
                <w:rFonts w:ascii="Calibri Light" w:hAnsi="Calibri Light" w:cs="Calibri Light"/>
                <w:sz w:val="16"/>
              </w:rPr>
              <w:t>Andrew</w:t>
            </w:r>
            <w:r w:rsidRPr="004612BD">
              <w:rPr>
                <w:rFonts w:ascii="Calibri Light" w:hAnsi="Calibri Light" w:cs="Calibri Light"/>
                <w:spacing w:val="-2"/>
                <w:sz w:val="16"/>
              </w:rPr>
              <w:t xml:space="preserve"> </w:t>
            </w:r>
            <w:r w:rsidRPr="004612BD">
              <w:rPr>
                <w:rFonts w:ascii="Calibri Light" w:hAnsi="Calibri Light" w:cs="Calibri Light"/>
                <w:sz w:val="16"/>
              </w:rPr>
              <w:t>Leigh</w:t>
            </w:r>
            <w:r w:rsidRPr="004612BD">
              <w:rPr>
                <w:rFonts w:ascii="Calibri Light" w:hAnsi="Calibri Light" w:cs="Calibri Light"/>
                <w:spacing w:val="-2"/>
                <w:sz w:val="16"/>
              </w:rPr>
              <w:t xml:space="preserve"> </w:t>
            </w:r>
            <w:r w:rsidRPr="004612BD">
              <w:rPr>
                <w:rFonts w:ascii="Calibri Light" w:hAnsi="Calibri Light" w:cs="Calibri Light"/>
                <w:spacing w:val="-5"/>
                <w:sz w:val="16"/>
              </w:rPr>
              <w:t>MP</w:t>
            </w:r>
          </w:p>
        </w:tc>
        <w:tc>
          <w:tcPr>
            <w:tcW w:w="3243" w:type="pct"/>
            <w:tcBorders>
              <w:right w:val="nil"/>
            </w:tcBorders>
          </w:tcPr>
          <w:p w14:paraId="609AE46F"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Assistant</w:t>
            </w:r>
            <w:r w:rsidRPr="004612BD">
              <w:rPr>
                <w:rFonts w:ascii="Calibri Light" w:hAnsi="Calibri Light" w:cs="Calibri Light"/>
                <w:spacing w:val="1"/>
                <w:sz w:val="16"/>
              </w:rPr>
              <w:t xml:space="preserve"> </w:t>
            </w:r>
            <w:r w:rsidRPr="004612BD">
              <w:rPr>
                <w:rFonts w:ascii="Calibri Light" w:hAnsi="Calibri Light" w:cs="Calibri Light"/>
                <w:sz w:val="16"/>
              </w:rPr>
              <w:t>Minister,</w:t>
            </w:r>
            <w:r w:rsidRPr="004612BD">
              <w:rPr>
                <w:rFonts w:ascii="Calibri Light" w:hAnsi="Calibri Light" w:cs="Calibri Light"/>
                <w:spacing w:val="1"/>
                <w:sz w:val="16"/>
              </w:rPr>
              <w:t xml:space="preserve"> </w:t>
            </w:r>
            <w:r w:rsidRPr="004612BD">
              <w:rPr>
                <w:rFonts w:ascii="Calibri Light" w:hAnsi="Calibri Light" w:cs="Calibri Light"/>
                <w:sz w:val="16"/>
              </w:rPr>
              <w:t>Australian</w:t>
            </w:r>
            <w:r w:rsidRPr="004612BD">
              <w:rPr>
                <w:rFonts w:ascii="Calibri Light" w:hAnsi="Calibri Light" w:cs="Calibri Light"/>
                <w:spacing w:val="1"/>
                <w:sz w:val="16"/>
              </w:rPr>
              <w:t xml:space="preserve"> </w:t>
            </w:r>
            <w:r w:rsidRPr="004612BD">
              <w:rPr>
                <w:rFonts w:ascii="Calibri Light" w:hAnsi="Calibri Light" w:cs="Calibri Light"/>
                <w:sz w:val="16"/>
              </w:rPr>
              <w:t>Labor</w:t>
            </w:r>
            <w:r w:rsidRPr="004612BD">
              <w:rPr>
                <w:rFonts w:ascii="Calibri Light" w:hAnsi="Calibri Light" w:cs="Calibri Light"/>
                <w:spacing w:val="1"/>
                <w:sz w:val="16"/>
              </w:rPr>
              <w:t xml:space="preserve"> </w:t>
            </w:r>
            <w:r w:rsidRPr="004612BD">
              <w:rPr>
                <w:rFonts w:ascii="Calibri Light" w:hAnsi="Calibri Light" w:cs="Calibri Light"/>
                <w:spacing w:val="-4"/>
                <w:sz w:val="16"/>
              </w:rPr>
              <w:t>Party</w:t>
            </w:r>
          </w:p>
        </w:tc>
      </w:tr>
      <w:tr w:rsidR="004612BD" w14:paraId="1DA0EFDF" w14:textId="77777777" w:rsidTr="004612BD">
        <w:trPr>
          <w:trHeight w:val="335"/>
        </w:trPr>
        <w:tc>
          <w:tcPr>
            <w:tcW w:w="1757" w:type="pct"/>
            <w:tcBorders>
              <w:left w:val="nil"/>
            </w:tcBorders>
          </w:tcPr>
          <w:p w14:paraId="25530ABC"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Senator</w:t>
            </w:r>
            <w:r w:rsidRPr="004612BD">
              <w:rPr>
                <w:rFonts w:ascii="Calibri Light" w:hAnsi="Calibri Light" w:cs="Calibri Light"/>
                <w:spacing w:val="-5"/>
                <w:sz w:val="16"/>
              </w:rPr>
              <w:t xml:space="preserve"> </w:t>
            </w:r>
            <w:r w:rsidRPr="004612BD">
              <w:rPr>
                <w:rFonts w:ascii="Calibri Light" w:hAnsi="Calibri Light" w:cs="Calibri Light"/>
                <w:sz w:val="16"/>
              </w:rPr>
              <w:t>Nick</w:t>
            </w:r>
            <w:r w:rsidRPr="004612BD">
              <w:rPr>
                <w:rFonts w:ascii="Calibri Light" w:hAnsi="Calibri Light" w:cs="Calibri Light"/>
                <w:spacing w:val="-3"/>
                <w:sz w:val="16"/>
              </w:rPr>
              <w:t xml:space="preserve"> </w:t>
            </w:r>
            <w:r w:rsidRPr="004612BD">
              <w:rPr>
                <w:rFonts w:ascii="Calibri Light" w:hAnsi="Calibri Light" w:cs="Calibri Light"/>
                <w:spacing w:val="-2"/>
                <w:sz w:val="16"/>
              </w:rPr>
              <w:t>McKim</w:t>
            </w:r>
          </w:p>
        </w:tc>
        <w:tc>
          <w:tcPr>
            <w:tcW w:w="3243" w:type="pct"/>
            <w:tcBorders>
              <w:right w:val="nil"/>
            </w:tcBorders>
          </w:tcPr>
          <w:p w14:paraId="7DCF87FD"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Senator,</w:t>
            </w:r>
            <w:r w:rsidRPr="004612BD">
              <w:rPr>
                <w:rFonts w:ascii="Calibri Light" w:hAnsi="Calibri Light" w:cs="Calibri Light"/>
                <w:spacing w:val="-6"/>
                <w:sz w:val="16"/>
              </w:rPr>
              <w:t xml:space="preserve"> </w:t>
            </w:r>
            <w:r w:rsidRPr="004612BD">
              <w:rPr>
                <w:rFonts w:ascii="Calibri Light" w:hAnsi="Calibri Light" w:cs="Calibri Light"/>
                <w:sz w:val="16"/>
              </w:rPr>
              <w:t>Australian</w:t>
            </w:r>
            <w:r w:rsidRPr="004612BD">
              <w:rPr>
                <w:rFonts w:ascii="Calibri Light" w:hAnsi="Calibri Light" w:cs="Calibri Light"/>
                <w:spacing w:val="-5"/>
                <w:sz w:val="16"/>
              </w:rPr>
              <w:t xml:space="preserve"> </w:t>
            </w:r>
            <w:r w:rsidRPr="004612BD">
              <w:rPr>
                <w:rFonts w:ascii="Calibri Light" w:hAnsi="Calibri Light" w:cs="Calibri Light"/>
                <w:spacing w:val="-2"/>
                <w:sz w:val="16"/>
              </w:rPr>
              <w:t>Greens</w:t>
            </w:r>
          </w:p>
        </w:tc>
      </w:tr>
      <w:tr w:rsidR="004612BD" w14:paraId="142028DE" w14:textId="77777777" w:rsidTr="004612BD">
        <w:trPr>
          <w:trHeight w:val="335"/>
        </w:trPr>
        <w:tc>
          <w:tcPr>
            <w:tcW w:w="1757" w:type="pct"/>
            <w:tcBorders>
              <w:left w:val="nil"/>
            </w:tcBorders>
          </w:tcPr>
          <w:p w14:paraId="421EF456"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Dr</w:t>
            </w:r>
            <w:r w:rsidRPr="004612BD">
              <w:rPr>
                <w:rFonts w:ascii="Calibri Light" w:hAnsi="Calibri Light" w:cs="Calibri Light"/>
                <w:spacing w:val="-1"/>
                <w:sz w:val="16"/>
              </w:rPr>
              <w:t xml:space="preserve"> </w:t>
            </w:r>
            <w:r w:rsidRPr="004612BD">
              <w:rPr>
                <w:rFonts w:ascii="Calibri Light" w:hAnsi="Calibri Light" w:cs="Calibri Light"/>
                <w:sz w:val="16"/>
              </w:rPr>
              <w:t>Monique</w:t>
            </w:r>
            <w:r w:rsidRPr="004612BD">
              <w:rPr>
                <w:rFonts w:ascii="Calibri Light" w:hAnsi="Calibri Light" w:cs="Calibri Light"/>
                <w:spacing w:val="-1"/>
                <w:sz w:val="16"/>
              </w:rPr>
              <w:t xml:space="preserve"> </w:t>
            </w:r>
            <w:r w:rsidRPr="004612BD">
              <w:rPr>
                <w:rFonts w:ascii="Calibri Light" w:hAnsi="Calibri Light" w:cs="Calibri Light"/>
                <w:sz w:val="16"/>
              </w:rPr>
              <w:t>Ryan</w:t>
            </w:r>
            <w:r w:rsidRPr="004612BD">
              <w:rPr>
                <w:rFonts w:ascii="Calibri Light" w:hAnsi="Calibri Light" w:cs="Calibri Light"/>
                <w:spacing w:val="-1"/>
                <w:sz w:val="16"/>
              </w:rPr>
              <w:t xml:space="preserve"> </w:t>
            </w:r>
            <w:r w:rsidRPr="004612BD">
              <w:rPr>
                <w:rFonts w:ascii="Calibri Light" w:hAnsi="Calibri Light" w:cs="Calibri Light"/>
                <w:spacing w:val="-5"/>
                <w:sz w:val="16"/>
              </w:rPr>
              <w:t>MP</w:t>
            </w:r>
          </w:p>
        </w:tc>
        <w:tc>
          <w:tcPr>
            <w:tcW w:w="3243" w:type="pct"/>
            <w:tcBorders>
              <w:right w:val="nil"/>
            </w:tcBorders>
          </w:tcPr>
          <w:p w14:paraId="3890552B"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Member</w:t>
            </w:r>
            <w:r w:rsidRPr="004612BD">
              <w:rPr>
                <w:rFonts w:ascii="Calibri Light" w:hAnsi="Calibri Light" w:cs="Calibri Light"/>
                <w:spacing w:val="-2"/>
                <w:sz w:val="16"/>
              </w:rPr>
              <w:t xml:space="preserve"> </w:t>
            </w:r>
            <w:r w:rsidRPr="004612BD">
              <w:rPr>
                <w:rFonts w:ascii="Calibri Light" w:hAnsi="Calibri Light" w:cs="Calibri Light"/>
                <w:sz w:val="16"/>
              </w:rPr>
              <w:t>of</w:t>
            </w:r>
            <w:r w:rsidRPr="004612BD">
              <w:rPr>
                <w:rFonts w:ascii="Calibri Light" w:hAnsi="Calibri Light" w:cs="Calibri Light"/>
                <w:spacing w:val="-1"/>
                <w:sz w:val="16"/>
              </w:rPr>
              <w:t xml:space="preserve"> </w:t>
            </w:r>
            <w:r w:rsidRPr="004612BD">
              <w:rPr>
                <w:rFonts w:ascii="Calibri Light" w:hAnsi="Calibri Light" w:cs="Calibri Light"/>
                <w:sz w:val="16"/>
              </w:rPr>
              <w:t>Parliament,</w:t>
            </w:r>
            <w:r w:rsidRPr="004612BD">
              <w:rPr>
                <w:rFonts w:ascii="Calibri Light" w:hAnsi="Calibri Light" w:cs="Calibri Light"/>
                <w:spacing w:val="-1"/>
                <w:sz w:val="16"/>
              </w:rPr>
              <w:t xml:space="preserve"> </w:t>
            </w:r>
            <w:r w:rsidRPr="004612BD">
              <w:rPr>
                <w:rFonts w:ascii="Calibri Light" w:hAnsi="Calibri Light" w:cs="Calibri Light"/>
                <w:spacing w:val="-2"/>
                <w:sz w:val="16"/>
              </w:rPr>
              <w:t>Independent</w:t>
            </w:r>
          </w:p>
        </w:tc>
      </w:tr>
      <w:tr w:rsidR="004612BD" w14:paraId="6C7D402B" w14:textId="77777777" w:rsidTr="004612BD">
        <w:trPr>
          <w:trHeight w:val="335"/>
        </w:trPr>
        <w:tc>
          <w:tcPr>
            <w:tcW w:w="1757" w:type="pct"/>
            <w:tcBorders>
              <w:left w:val="nil"/>
            </w:tcBorders>
          </w:tcPr>
          <w:p w14:paraId="30CC82BF"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Dr</w:t>
            </w:r>
            <w:r w:rsidRPr="004612BD">
              <w:rPr>
                <w:rFonts w:ascii="Calibri Light" w:hAnsi="Calibri Light" w:cs="Calibri Light"/>
                <w:spacing w:val="-2"/>
                <w:sz w:val="16"/>
              </w:rPr>
              <w:t xml:space="preserve"> </w:t>
            </w:r>
            <w:r w:rsidRPr="004612BD">
              <w:rPr>
                <w:rFonts w:ascii="Calibri Light" w:hAnsi="Calibri Light" w:cs="Calibri Light"/>
                <w:sz w:val="16"/>
              </w:rPr>
              <w:t>Sophie</w:t>
            </w:r>
            <w:r w:rsidRPr="004612BD">
              <w:rPr>
                <w:rFonts w:ascii="Calibri Light" w:hAnsi="Calibri Light" w:cs="Calibri Light"/>
                <w:spacing w:val="-1"/>
                <w:sz w:val="16"/>
              </w:rPr>
              <w:t xml:space="preserve"> </w:t>
            </w:r>
            <w:r w:rsidRPr="004612BD">
              <w:rPr>
                <w:rFonts w:ascii="Calibri Light" w:hAnsi="Calibri Light" w:cs="Calibri Light"/>
                <w:sz w:val="16"/>
              </w:rPr>
              <w:t>Scamps</w:t>
            </w:r>
            <w:r w:rsidRPr="004612BD">
              <w:rPr>
                <w:rFonts w:ascii="Calibri Light" w:hAnsi="Calibri Light" w:cs="Calibri Light"/>
                <w:spacing w:val="-1"/>
                <w:sz w:val="16"/>
              </w:rPr>
              <w:t xml:space="preserve"> </w:t>
            </w:r>
            <w:r w:rsidRPr="004612BD">
              <w:rPr>
                <w:rFonts w:ascii="Calibri Light" w:hAnsi="Calibri Light" w:cs="Calibri Light"/>
                <w:spacing w:val="-5"/>
                <w:sz w:val="16"/>
              </w:rPr>
              <w:t>MP</w:t>
            </w:r>
          </w:p>
        </w:tc>
        <w:tc>
          <w:tcPr>
            <w:tcW w:w="3243" w:type="pct"/>
            <w:tcBorders>
              <w:right w:val="nil"/>
            </w:tcBorders>
          </w:tcPr>
          <w:p w14:paraId="30C0B8C6"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Member</w:t>
            </w:r>
            <w:r w:rsidRPr="004612BD">
              <w:rPr>
                <w:rFonts w:ascii="Calibri Light" w:hAnsi="Calibri Light" w:cs="Calibri Light"/>
                <w:spacing w:val="-2"/>
                <w:sz w:val="16"/>
              </w:rPr>
              <w:t xml:space="preserve"> </w:t>
            </w:r>
            <w:r w:rsidRPr="004612BD">
              <w:rPr>
                <w:rFonts w:ascii="Calibri Light" w:hAnsi="Calibri Light" w:cs="Calibri Light"/>
                <w:sz w:val="16"/>
              </w:rPr>
              <w:t>of</w:t>
            </w:r>
            <w:r w:rsidRPr="004612BD">
              <w:rPr>
                <w:rFonts w:ascii="Calibri Light" w:hAnsi="Calibri Light" w:cs="Calibri Light"/>
                <w:spacing w:val="-1"/>
                <w:sz w:val="16"/>
              </w:rPr>
              <w:t xml:space="preserve"> </w:t>
            </w:r>
            <w:r w:rsidRPr="004612BD">
              <w:rPr>
                <w:rFonts w:ascii="Calibri Light" w:hAnsi="Calibri Light" w:cs="Calibri Light"/>
                <w:sz w:val="16"/>
              </w:rPr>
              <w:t>Parliament,</w:t>
            </w:r>
            <w:r w:rsidRPr="004612BD">
              <w:rPr>
                <w:rFonts w:ascii="Calibri Light" w:hAnsi="Calibri Light" w:cs="Calibri Light"/>
                <w:spacing w:val="-1"/>
                <w:sz w:val="16"/>
              </w:rPr>
              <w:t xml:space="preserve"> </w:t>
            </w:r>
            <w:r w:rsidRPr="004612BD">
              <w:rPr>
                <w:rFonts w:ascii="Calibri Light" w:hAnsi="Calibri Light" w:cs="Calibri Light"/>
                <w:spacing w:val="-2"/>
                <w:sz w:val="16"/>
              </w:rPr>
              <w:t>Independent</w:t>
            </w:r>
          </w:p>
        </w:tc>
      </w:tr>
      <w:tr w:rsidR="004612BD" w14:paraId="5484183A" w14:textId="77777777" w:rsidTr="004612BD">
        <w:trPr>
          <w:trHeight w:val="335"/>
        </w:trPr>
        <w:tc>
          <w:tcPr>
            <w:tcW w:w="1757" w:type="pct"/>
            <w:tcBorders>
              <w:left w:val="nil"/>
            </w:tcBorders>
          </w:tcPr>
          <w:p w14:paraId="1C13B353"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Allegra</w:t>
            </w:r>
            <w:r w:rsidRPr="004612BD">
              <w:rPr>
                <w:rFonts w:ascii="Calibri Light" w:hAnsi="Calibri Light" w:cs="Calibri Light"/>
                <w:spacing w:val="1"/>
                <w:sz w:val="16"/>
              </w:rPr>
              <w:t xml:space="preserve"> </w:t>
            </w:r>
            <w:r w:rsidRPr="004612BD">
              <w:rPr>
                <w:rFonts w:ascii="Calibri Light" w:hAnsi="Calibri Light" w:cs="Calibri Light"/>
                <w:sz w:val="16"/>
              </w:rPr>
              <w:t>Spender</w:t>
            </w:r>
            <w:r w:rsidRPr="004612BD">
              <w:rPr>
                <w:rFonts w:ascii="Calibri Light" w:hAnsi="Calibri Light" w:cs="Calibri Light"/>
                <w:spacing w:val="1"/>
                <w:sz w:val="16"/>
              </w:rPr>
              <w:t xml:space="preserve"> </w:t>
            </w:r>
            <w:r w:rsidRPr="004612BD">
              <w:rPr>
                <w:rFonts w:ascii="Calibri Light" w:hAnsi="Calibri Light" w:cs="Calibri Light"/>
                <w:spacing w:val="-5"/>
                <w:sz w:val="16"/>
              </w:rPr>
              <w:t>MP</w:t>
            </w:r>
          </w:p>
        </w:tc>
        <w:tc>
          <w:tcPr>
            <w:tcW w:w="3243" w:type="pct"/>
            <w:tcBorders>
              <w:right w:val="nil"/>
            </w:tcBorders>
          </w:tcPr>
          <w:p w14:paraId="3AD33AD0"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Member</w:t>
            </w:r>
            <w:r w:rsidRPr="004612BD">
              <w:rPr>
                <w:rFonts w:ascii="Calibri Light" w:hAnsi="Calibri Light" w:cs="Calibri Light"/>
                <w:spacing w:val="-2"/>
                <w:sz w:val="16"/>
              </w:rPr>
              <w:t xml:space="preserve"> </w:t>
            </w:r>
            <w:r w:rsidRPr="004612BD">
              <w:rPr>
                <w:rFonts w:ascii="Calibri Light" w:hAnsi="Calibri Light" w:cs="Calibri Light"/>
                <w:sz w:val="16"/>
              </w:rPr>
              <w:t>of</w:t>
            </w:r>
            <w:r w:rsidRPr="004612BD">
              <w:rPr>
                <w:rFonts w:ascii="Calibri Light" w:hAnsi="Calibri Light" w:cs="Calibri Light"/>
                <w:spacing w:val="-1"/>
                <w:sz w:val="16"/>
              </w:rPr>
              <w:t xml:space="preserve"> </w:t>
            </w:r>
            <w:r w:rsidRPr="004612BD">
              <w:rPr>
                <w:rFonts w:ascii="Calibri Light" w:hAnsi="Calibri Light" w:cs="Calibri Light"/>
                <w:sz w:val="16"/>
              </w:rPr>
              <w:t>Parliament,</w:t>
            </w:r>
            <w:r w:rsidRPr="004612BD">
              <w:rPr>
                <w:rFonts w:ascii="Calibri Light" w:hAnsi="Calibri Light" w:cs="Calibri Light"/>
                <w:spacing w:val="-1"/>
                <w:sz w:val="16"/>
              </w:rPr>
              <w:t xml:space="preserve"> </w:t>
            </w:r>
            <w:r w:rsidRPr="004612BD">
              <w:rPr>
                <w:rFonts w:ascii="Calibri Light" w:hAnsi="Calibri Light" w:cs="Calibri Light"/>
                <w:spacing w:val="-2"/>
                <w:sz w:val="16"/>
              </w:rPr>
              <w:t>Independent</w:t>
            </w:r>
          </w:p>
        </w:tc>
      </w:tr>
      <w:tr w:rsidR="004612BD" w14:paraId="71369AD7" w14:textId="77777777" w:rsidTr="004612BD">
        <w:trPr>
          <w:trHeight w:val="335"/>
        </w:trPr>
        <w:tc>
          <w:tcPr>
            <w:tcW w:w="1757" w:type="pct"/>
            <w:tcBorders>
              <w:left w:val="nil"/>
            </w:tcBorders>
          </w:tcPr>
          <w:p w14:paraId="6AA23AAA"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Zali</w:t>
            </w:r>
            <w:r w:rsidRPr="004612BD">
              <w:rPr>
                <w:rFonts w:ascii="Calibri Light" w:hAnsi="Calibri Light" w:cs="Calibri Light"/>
                <w:spacing w:val="1"/>
                <w:sz w:val="16"/>
              </w:rPr>
              <w:t xml:space="preserve"> </w:t>
            </w:r>
            <w:r w:rsidRPr="004612BD">
              <w:rPr>
                <w:rFonts w:ascii="Calibri Light" w:hAnsi="Calibri Light" w:cs="Calibri Light"/>
                <w:sz w:val="16"/>
              </w:rPr>
              <w:t>Steggall,</w:t>
            </w:r>
            <w:r w:rsidRPr="004612BD">
              <w:rPr>
                <w:rFonts w:ascii="Calibri Light" w:hAnsi="Calibri Light" w:cs="Calibri Light"/>
                <w:spacing w:val="1"/>
                <w:sz w:val="16"/>
              </w:rPr>
              <w:t xml:space="preserve"> </w:t>
            </w:r>
            <w:r w:rsidRPr="004612BD">
              <w:rPr>
                <w:rFonts w:ascii="Calibri Light" w:hAnsi="Calibri Light" w:cs="Calibri Light"/>
                <w:spacing w:val="-5"/>
                <w:sz w:val="16"/>
              </w:rPr>
              <w:t>MP</w:t>
            </w:r>
          </w:p>
        </w:tc>
        <w:tc>
          <w:tcPr>
            <w:tcW w:w="3243" w:type="pct"/>
            <w:tcBorders>
              <w:right w:val="nil"/>
            </w:tcBorders>
          </w:tcPr>
          <w:p w14:paraId="6CB1848A"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Member</w:t>
            </w:r>
            <w:r w:rsidRPr="004612BD">
              <w:rPr>
                <w:rFonts w:ascii="Calibri Light" w:hAnsi="Calibri Light" w:cs="Calibri Light"/>
                <w:spacing w:val="-2"/>
                <w:sz w:val="16"/>
              </w:rPr>
              <w:t xml:space="preserve"> </w:t>
            </w:r>
            <w:r w:rsidRPr="004612BD">
              <w:rPr>
                <w:rFonts w:ascii="Calibri Light" w:hAnsi="Calibri Light" w:cs="Calibri Light"/>
                <w:sz w:val="16"/>
              </w:rPr>
              <w:t>of</w:t>
            </w:r>
            <w:r w:rsidRPr="004612BD">
              <w:rPr>
                <w:rFonts w:ascii="Calibri Light" w:hAnsi="Calibri Light" w:cs="Calibri Light"/>
                <w:spacing w:val="-1"/>
                <w:sz w:val="16"/>
              </w:rPr>
              <w:t xml:space="preserve"> </w:t>
            </w:r>
            <w:r w:rsidRPr="004612BD">
              <w:rPr>
                <w:rFonts w:ascii="Calibri Light" w:hAnsi="Calibri Light" w:cs="Calibri Light"/>
                <w:sz w:val="16"/>
              </w:rPr>
              <w:t>Parliament,</w:t>
            </w:r>
            <w:r w:rsidRPr="004612BD">
              <w:rPr>
                <w:rFonts w:ascii="Calibri Light" w:hAnsi="Calibri Light" w:cs="Calibri Light"/>
                <w:spacing w:val="-1"/>
                <w:sz w:val="16"/>
              </w:rPr>
              <w:t xml:space="preserve"> </w:t>
            </w:r>
            <w:r w:rsidRPr="004612BD">
              <w:rPr>
                <w:rFonts w:ascii="Calibri Light" w:hAnsi="Calibri Light" w:cs="Calibri Light"/>
                <w:spacing w:val="-2"/>
                <w:sz w:val="16"/>
              </w:rPr>
              <w:t>Independent</w:t>
            </w:r>
          </w:p>
        </w:tc>
      </w:tr>
      <w:tr w:rsidR="004612BD" w14:paraId="346D8CC4" w14:textId="77777777" w:rsidTr="004612BD">
        <w:trPr>
          <w:trHeight w:val="337"/>
        </w:trPr>
        <w:tc>
          <w:tcPr>
            <w:tcW w:w="1757" w:type="pct"/>
            <w:tcBorders>
              <w:left w:val="nil"/>
              <w:bottom w:val="nil"/>
            </w:tcBorders>
          </w:tcPr>
          <w:p w14:paraId="56DF1BEC"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Hon</w:t>
            </w:r>
            <w:r w:rsidRPr="004612BD">
              <w:rPr>
                <w:rFonts w:ascii="Calibri Light" w:hAnsi="Calibri Light" w:cs="Calibri Light"/>
                <w:spacing w:val="-4"/>
                <w:sz w:val="16"/>
              </w:rPr>
              <w:t xml:space="preserve"> </w:t>
            </w:r>
            <w:r w:rsidRPr="004612BD">
              <w:rPr>
                <w:rFonts w:ascii="Calibri Light" w:hAnsi="Calibri Light" w:cs="Calibri Light"/>
                <w:sz w:val="16"/>
              </w:rPr>
              <w:t>Angus</w:t>
            </w:r>
            <w:r w:rsidRPr="004612BD">
              <w:rPr>
                <w:rFonts w:ascii="Calibri Light" w:hAnsi="Calibri Light" w:cs="Calibri Light"/>
                <w:spacing w:val="-4"/>
                <w:sz w:val="16"/>
              </w:rPr>
              <w:t xml:space="preserve"> </w:t>
            </w:r>
            <w:r w:rsidRPr="004612BD">
              <w:rPr>
                <w:rFonts w:ascii="Calibri Light" w:hAnsi="Calibri Light" w:cs="Calibri Light"/>
                <w:sz w:val="16"/>
              </w:rPr>
              <w:t>Taylor</w:t>
            </w:r>
            <w:r w:rsidRPr="004612BD">
              <w:rPr>
                <w:rFonts w:ascii="Calibri Light" w:hAnsi="Calibri Light" w:cs="Calibri Light"/>
                <w:spacing w:val="-3"/>
                <w:sz w:val="16"/>
              </w:rPr>
              <w:t xml:space="preserve"> </w:t>
            </w:r>
            <w:r w:rsidRPr="004612BD">
              <w:rPr>
                <w:rFonts w:ascii="Calibri Light" w:hAnsi="Calibri Light" w:cs="Calibri Light"/>
                <w:spacing w:val="-5"/>
                <w:sz w:val="16"/>
              </w:rPr>
              <w:t>MP</w:t>
            </w:r>
          </w:p>
        </w:tc>
        <w:tc>
          <w:tcPr>
            <w:tcW w:w="3243" w:type="pct"/>
            <w:tcBorders>
              <w:bottom w:val="nil"/>
              <w:right w:val="nil"/>
            </w:tcBorders>
          </w:tcPr>
          <w:p w14:paraId="483F0347" w14:textId="77777777" w:rsidR="004612BD" w:rsidRPr="004612BD" w:rsidRDefault="004612BD" w:rsidP="00F22AE5">
            <w:pPr>
              <w:pStyle w:val="TableParagraph"/>
              <w:spacing w:before="57"/>
              <w:ind w:left="110"/>
              <w:rPr>
                <w:rFonts w:ascii="Calibri Light" w:hAnsi="Calibri Light" w:cs="Calibri Light"/>
                <w:sz w:val="16"/>
              </w:rPr>
            </w:pPr>
            <w:r w:rsidRPr="004612BD">
              <w:rPr>
                <w:rFonts w:ascii="Calibri Light" w:hAnsi="Calibri Light" w:cs="Calibri Light"/>
                <w:sz w:val="16"/>
              </w:rPr>
              <w:t>Shadow</w:t>
            </w:r>
            <w:r w:rsidRPr="004612BD">
              <w:rPr>
                <w:rFonts w:ascii="Calibri Light" w:hAnsi="Calibri Light" w:cs="Calibri Light"/>
                <w:spacing w:val="-6"/>
                <w:sz w:val="16"/>
              </w:rPr>
              <w:t xml:space="preserve"> </w:t>
            </w:r>
            <w:r w:rsidRPr="004612BD">
              <w:rPr>
                <w:rFonts w:ascii="Calibri Light" w:hAnsi="Calibri Light" w:cs="Calibri Light"/>
                <w:sz w:val="16"/>
              </w:rPr>
              <w:t>Treasurer,</w:t>
            </w:r>
            <w:r w:rsidRPr="004612BD">
              <w:rPr>
                <w:rFonts w:ascii="Calibri Light" w:hAnsi="Calibri Light" w:cs="Calibri Light"/>
                <w:spacing w:val="-5"/>
                <w:sz w:val="16"/>
              </w:rPr>
              <w:t xml:space="preserve"> </w:t>
            </w:r>
            <w:r w:rsidRPr="004612BD">
              <w:rPr>
                <w:rFonts w:ascii="Calibri Light" w:hAnsi="Calibri Light" w:cs="Calibri Light"/>
                <w:sz w:val="16"/>
              </w:rPr>
              <w:t>Liberal</w:t>
            </w:r>
            <w:r w:rsidRPr="004612BD">
              <w:rPr>
                <w:rFonts w:ascii="Calibri Light" w:hAnsi="Calibri Light" w:cs="Calibri Light"/>
                <w:spacing w:val="-6"/>
                <w:sz w:val="16"/>
              </w:rPr>
              <w:t xml:space="preserve"> </w:t>
            </w:r>
            <w:r w:rsidRPr="004612BD">
              <w:rPr>
                <w:rFonts w:ascii="Calibri Light" w:hAnsi="Calibri Light" w:cs="Calibri Light"/>
                <w:sz w:val="16"/>
              </w:rPr>
              <w:t>Party</w:t>
            </w:r>
            <w:r w:rsidRPr="004612BD">
              <w:rPr>
                <w:rFonts w:ascii="Calibri Light" w:hAnsi="Calibri Light" w:cs="Calibri Light"/>
                <w:spacing w:val="-5"/>
                <w:sz w:val="16"/>
              </w:rPr>
              <w:t xml:space="preserve"> </w:t>
            </w:r>
            <w:r w:rsidRPr="004612BD">
              <w:rPr>
                <w:rFonts w:ascii="Calibri Light" w:hAnsi="Calibri Light" w:cs="Calibri Light"/>
                <w:sz w:val="16"/>
              </w:rPr>
              <w:t>of</w:t>
            </w:r>
            <w:r w:rsidRPr="004612BD">
              <w:rPr>
                <w:rFonts w:ascii="Calibri Light" w:hAnsi="Calibri Light" w:cs="Calibri Light"/>
                <w:spacing w:val="-5"/>
                <w:sz w:val="16"/>
              </w:rPr>
              <w:t xml:space="preserve"> </w:t>
            </w:r>
            <w:r w:rsidRPr="004612BD">
              <w:rPr>
                <w:rFonts w:ascii="Calibri Light" w:hAnsi="Calibri Light" w:cs="Calibri Light"/>
                <w:spacing w:val="-2"/>
                <w:sz w:val="16"/>
              </w:rPr>
              <w:t>Australia</w:t>
            </w:r>
          </w:p>
        </w:tc>
      </w:tr>
    </w:tbl>
    <w:p w14:paraId="13C1C67E" w14:textId="00D889DC" w:rsidR="005E4800" w:rsidRDefault="005E4800" w:rsidP="005E4800">
      <w:pPr>
        <w:pStyle w:val="Heading4"/>
      </w:pPr>
      <w:r>
        <w:t>Other Contributors</w:t>
      </w:r>
    </w:p>
    <w:tbl>
      <w:tblPr>
        <w:tblW w:w="5000" w:type="pct"/>
        <w:tblBorders>
          <w:top w:val="single" w:sz="2" w:space="0" w:color="204160"/>
          <w:left w:val="single" w:sz="2" w:space="0" w:color="204160"/>
          <w:bottom w:val="single" w:sz="2" w:space="0" w:color="204160"/>
          <w:right w:val="single" w:sz="2" w:space="0" w:color="204160"/>
          <w:insideH w:val="single" w:sz="2" w:space="0" w:color="204160"/>
          <w:insideV w:val="single" w:sz="2" w:space="0" w:color="204160"/>
        </w:tblBorders>
        <w:tblCellMar>
          <w:left w:w="0" w:type="dxa"/>
          <w:right w:w="0" w:type="dxa"/>
        </w:tblCellMar>
        <w:tblLook w:val="01E0" w:firstRow="1" w:lastRow="1" w:firstColumn="1" w:lastColumn="1" w:noHBand="0" w:noVBand="0"/>
      </w:tblPr>
      <w:tblGrid>
        <w:gridCol w:w="3187"/>
        <w:gridCol w:w="5883"/>
      </w:tblGrid>
      <w:tr w:rsidR="00E454C1" w14:paraId="30CC4C1C" w14:textId="77777777" w:rsidTr="00E454C1">
        <w:trPr>
          <w:trHeight w:val="337"/>
        </w:trPr>
        <w:tc>
          <w:tcPr>
            <w:tcW w:w="1757" w:type="pct"/>
            <w:tcBorders>
              <w:top w:val="single" w:sz="2" w:space="0" w:color="204160"/>
              <w:left w:val="nil"/>
              <w:bottom w:val="nil"/>
              <w:right w:val="single" w:sz="2" w:space="0" w:color="204160"/>
            </w:tcBorders>
          </w:tcPr>
          <w:p w14:paraId="60D22D30" w14:textId="77777777" w:rsidR="00E454C1" w:rsidRPr="00E454C1" w:rsidRDefault="00E454C1" w:rsidP="00E454C1">
            <w:pPr>
              <w:pStyle w:val="TableParagraph"/>
              <w:spacing w:before="57"/>
              <w:ind w:left="110"/>
              <w:rPr>
                <w:rFonts w:ascii="Calibri Light" w:hAnsi="Calibri Light" w:cs="Calibri Light"/>
                <w:sz w:val="16"/>
              </w:rPr>
            </w:pPr>
            <w:r w:rsidRPr="00E454C1">
              <w:rPr>
                <w:rFonts w:ascii="Calibri Light" w:hAnsi="Calibri Light" w:cs="Calibri Light"/>
                <w:sz w:val="16"/>
              </w:rPr>
              <w:t>Dr Shiro Armstrong</w:t>
            </w:r>
          </w:p>
        </w:tc>
        <w:tc>
          <w:tcPr>
            <w:tcW w:w="3243" w:type="pct"/>
            <w:tcBorders>
              <w:top w:val="single" w:sz="2" w:space="0" w:color="204160"/>
              <w:left w:val="single" w:sz="2" w:space="0" w:color="204160"/>
              <w:bottom w:val="nil"/>
              <w:right w:val="nil"/>
            </w:tcBorders>
          </w:tcPr>
          <w:p w14:paraId="7A1C7548" w14:textId="77777777" w:rsidR="00E454C1" w:rsidRPr="00E454C1" w:rsidRDefault="00E454C1" w:rsidP="00E454C1">
            <w:pPr>
              <w:pStyle w:val="TableParagraph"/>
              <w:spacing w:before="57"/>
              <w:ind w:left="110"/>
              <w:rPr>
                <w:rFonts w:ascii="Calibri Light" w:hAnsi="Calibri Light" w:cs="Calibri Light"/>
                <w:sz w:val="16"/>
              </w:rPr>
            </w:pPr>
            <w:r w:rsidRPr="00E454C1">
              <w:rPr>
                <w:rFonts w:ascii="Calibri Light" w:hAnsi="Calibri Light" w:cs="Calibri Light"/>
                <w:sz w:val="16"/>
              </w:rPr>
              <w:t>Australian National University</w:t>
            </w:r>
          </w:p>
        </w:tc>
      </w:tr>
      <w:tr w:rsidR="00E454C1" w14:paraId="61202050" w14:textId="77777777" w:rsidTr="00E454C1">
        <w:trPr>
          <w:trHeight w:val="337"/>
        </w:trPr>
        <w:tc>
          <w:tcPr>
            <w:tcW w:w="1757" w:type="pct"/>
            <w:tcBorders>
              <w:top w:val="single" w:sz="2" w:space="0" w:color="204160"/>
              <w:left w:val="nil"/>
              <w:bottom w:val="nil"/>
              <w:right w:val="single" w:sz="2" w:space="0" w:color="204160"/>
            </w:tcBorders>
          </w:tcPr>
          <w:p w14:paraId="289098E1"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Tom Arup</w:t>
            </w:r>
          </w:p>
        </w:tc>
        <w:tc>
          <w:tcPr>
            <w:tcW w:w="3243" w:type="pct"/>
            <w:tcBorders>
              <w:top w:val="single" w:sz="2" w:space="0" w:color="204160"/>
              <w:left w:val="single" w:sz="2" w:space="0" w:color="204160"/>
              <w:bottom w:val="nil"/>
              <w:right w:val="nil"/>
            </w:tcBorders>
          </w:tcPr>
          <w:p w14:paraId="4E45A6E3"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Senior Specialist Stewardship, Centre for Policy Development</w:t>
            </w:r>
          </w:p>
        </w:tc>
      </w:tr>
      <w:tr w:rsidR="00E454C1" w14:paraId="7B02E8AD" w14:textId="77777777" w:rsidTr="00E454C1">
        <w:trPr>
          <w:trHeight w:val="337"/>
        </w:trPr>
        <w:tc>
          <w:tcPr>
            <w:tcW w:w="1757" w:type="pct"/>
            <w:tcBorders>
              <w:top w:val="single" w:sz="2" w:space="0" w:color="204160"/>
              <w:left w:val="nil"/>
              <w:bottom w:val="nil"/>
              <w:right w:val="single" w:sz="2" w:space="0" w:color="204160"/>
            </w:tcBorders>
          </w:tcPr>
          <w:p w14:paraId="288492B4"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Dr Sally Auld</w:t>
            </w:r>
          </w:p>
        </w:tc>
        <w:tc>
          <w:tcPr>
            <w:tcW w:w="3243" w:type="pct"/>
            <w:tcBorders>
              <w:top w:val="single" w:sz="2" w:space="0" w:color="204160"/>
              <w:left w:val="single" w:sz="2" w:space="0" w:color="204160"/>
              <w:bottom w:val="nil"/>
              <w:right w:val="nil"/>
            </w:tcBorders>
          </w:tcPr>
          <w:p w14:paraId="00FCBD9D"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Chief Investment Officer, JBWere</w:t>
            </w:r>
          </w:p>
        </w:tc>
      </w:tr>
      <w:tr w:rsidR="00E454C1" w14:paraId="0D422F1C" w14:textId="77777777" w:rsidTr="00E454C1">
        <w:trPr>
          <w:trHeight w:val="337"/>
        </w:trPr>
        <w:tc>
          <w:tcPr>
            <w:tcW w:w="1757" w:type="pct"/>
            <w:tcBorders>
              <w:top w:val="single" w:sz="2" w:space="0" w:color="204160"/>
              <w:left w:val="nil"/>
              <w:bottom w:val="nil"/>
              <w:right w:val="single" w:sz="2" w:space="0" w:color="204160"/>
            </w:tcBorders>
          </w:tcPr>
          <w:p w14:paraId="39A54157"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Dr Andrew Bailey</w:t>
            </w:r>
          </w:p>
        </w:tc>
        <w:tc>
          <w:tcPr>
            <w:tcW w:w="3243" w:type="pct"/>
            <w:tcBorders>
              <w:top w:val="single" w:sz="2" w:space="0" w:color="204160"/>
              <w:left w:val="single" w:sz="2" w:space="0" w:color="204160"/>
              <w:bottom w:val="nil"/>
              <w:right w:val="nil"/>
            </w:tcBorders>
          </w:tcPr>
          <w:p w14:paraId="13C87BCD"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Governor, Bank of England</w:t>
            </w:r>
          </w:p>
        </w:tc>
      </w:tr>
      <w:tr w:rsidR="00E454C1" w14:paraId="4EFEE0E4" w14:textId="77777777" w:rsidTr="00E454C1">
        <w:trPr>
          <w:trHeight w:val="337"/>
        </w:trPr>
        <w:tc>
          <w:tcPr>
            <w:tcW w:w="1757" w:type="pct"/>
            <w:tcBorders>
              <w:top w:val="single" w:sz="2" w:space="0" w:color="204160"/>
              <w:left w:val="nil"/>
              <w:bottom w:val="nil"/>
              <w:right w:val="single" w:sz="2" w:space="0" w:color="204160"/>
            </w:tcBorders>
          </w:tcPr>
          <w:p w14:paraId="3F15EB29"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Hon Anna Bligh</w:t>
            </w:r>
          </w:p>
        </w:tc>
        <w:tc>
          <w:tcPr>
            <w:tcW w:w="3243" w:type="pct"/>
            <w:tcBorders>
              <w:top w:val="single" w:sz="2" w:space="0" w:color="204160"/>
              <w:left w:val="single" w:sz="2" w:space="0" w:color="204160"/>
              <w:bottom w:val="nil"/>
              <w:right w:val="nil"/>
            </w:tcBorders>
          </w:tcPr>
          <w:p w14:paraId="46EB6141"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CEO, Australian Banking Association</w:t>
            </w:r>
          </w:p>
        </w:tc>
      </w:tr>
      <w:tr w:rsidR="00E454C1" w14:paraId="263A0387" w14:textId="77777777" w:rsidTr="00E454C1">
        <w:trPr>
          <w:trHeight w:val="337"/>
        </w:trPr>
        <w:tc>
          <w:tcPr>
            <w:tcW w:w="1757" w:type="pct"/>
            <w:tcBorders>
              <w:top w:val="single" w:sz="2" w:space="0" w:color="204160"/>
              <w:left w:val="nil"/>
              <w:bottom w:val="nil"/>
              <w:right w:val="single" w:sz="2" w:space="0" w:color="204160"/>
            </w:tcBorders>
          </w:tcPr>
          <w:p w14:paraId="23066259"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Alexi Boyd</w:t>
            </w:r>
          </w:p>
        </w:tc>
        <w:tc>
          <w:tcPr>
            <w:tcW w:w="3243" w:type="pct"/>
            <w:tcBorders>
              <w:top w:val="single" w:sz="2" w:space="0" w:color="204160"/>
              <w:left w:val="single" w:sz="2" w:space="0" w:color="204160"/>
              <w:bottom w:val="nil"/>
              <w:right w:val="nil"/>
            </w:tcBorders>
          </w:tcPr>
          <w:p w14:paraId="46F7A9CD"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Former CEO, Council of Small Business Organisations Australia</w:t>
            </w:r>
          </w:p>
        </w:tc>
      </w:tr>
      <w:tr w:rsidR="00E454C1" w14:paraId="0F0CA138" w14:textId="77777777" w:rsidTr="00E454C1">
        <w:trPr>
          <w:trHeight w:val="337"/>
        </w:trPr>
        <w:tc>
          <w:tcPr>
            <w:tcW w:w="1757" w:type="pct"/>
            <w:tcBorders>
              <w:top w:val="single" w:sz="2" w:space="0" w:color="204160"/>
              <w:left w:val="nil"/>
              <w:bottom w:val="nil"/>
              <w:right w:val="single" w:sz="2" w:space="0" w:color="204160"/>
            </w:tcBorders>
          </w:tcPr>
          <w:p w14:paraId="1AA614A8"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Sarah Breeden</w:t>
            </w:r>
          </w:p>
        </w:tc>
        <w:tc>
          <w:tcPr>
            <w:tcW w:w="3243" w:type="pct"/>
            <w:tcBorders>
              <w:top w:val="single" w:sz="2" w:space="0" w:color="204160"/>
              <w:left w:val="single" w:sz="2" w:space="0" w:color="204160"/>
              <w:bottom w:val="nil"/>
              <w:right w:val="nil"/>
            </w:tcBorders>
          </w:tcPr>
          <w:p w14:paraId="707336DD"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Executive Director, Bank of England</w:t>
            </w:r>
          </w:p>
        </w:tc>
      </w:tr>
      <w:tr w:rsidR="00E454C1" w14:paraId="0979F247" w14:textId="77777777" w:rsidTr="00E454C1">
        <w:trPr>
          <w:trHeight w:val="337"/>
        </w:trPr>
        <w:tc>
          <w:tcPr>
            <w:tcW w:w="1757" w:type="pct"/>
            <w:tcBorders>
              <w:top w:val="single" w:sz="2" w:space="0" w:color="204160"/>
              <w:left w:val="nil"/>
              <w:bottom w:val="nil"/>
              <w:right w:val="single" w:sz="2" w:space="0" w:color="204160"/>
            </w:tcBorders>
          </w:tcPr>
          <w:p w14:paraId="7291883B"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Dr Peter Burn</w:t>
            </w:r>
          </w:p>
        </w:tc>
        <w:tc>
          <w:tcPr>
            <w:tcW w:w="3243" w:type="pct"/>
            <w:tcBorders>
              <w:top w:val="single" w:sz="2" w:space="0" w:color="204160"/>
              <w:left w:val="single" w:sz="2" w:space="0" w:color="204160"/>
              <w:bottom w:val="nil"/>
              <w:right w:val="nil"/>
            </w:tcBorders>
          </w:tcPr>
          <w:p w14:paraId="542423B0"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Head of Influence and Policy, Australian Industry Group</w:t>
            </w:r>
          </w:p>
        </w:tc>
      </w:tr>
      <w:tr w:rsidR="00E454C1" w14:paraId="53A5AB8B" w14:textId="77777777" w:rsidTr="00E454C1">
        <w:trPr>
          <w:trHeight w:val="337"/>
        </w:trPr>
        <w:tc>
          <w:tcPr>
            <w:tcW w:w="1757" w:type="pct"/>
            <w:tcBorders>
              <w:top w:val="single" w:sz="2" w:space="0" w:color="204160"/>
              <w:left w:val="nil"/>
              <w:bottom w:val="nil"/>
              <w:right w:val="single" w:sz="2" w:space="0" w:color="204160"/>
            </w:tcBorders>
          </w:tcPr>
          <w:p w14:paraId="26505161"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lastRenderedPageBreak/>
              <w:t>Wayne Byres</w:t>
            </w:r>
          </w:p>
        </w:tc>
        <w:tc>
          <w:tcPr>
            <w:tcW w:w="3243" w:type="pct"/>
            <w:tcBorders>
              <w:top w:val="single" w:sz="2" w:space="0" w:color="204160"/>
              <w:left w:val="single" w:sz="2" w:space="0" w:color="204160"/>
              <w:bottom w:val="nil"/>
              <w:right w:val="nil"/>
            </w:tcBorders>
          </w:tcPr>
          <w:p w14:paraId="724EC9EE"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Former Chair, Australian Prudential Regulation Authority (2014–22)</w:t>
            </w:r>
          </w:p>
        </w:tc>
      </w:tr>
      <w:tr w:rsidR="00E454C1" w14:paraId="755F3EC4" w14:textId="77777777" w:rsidTr="00E454C1">
        <w:trPr>
          <w:trHeight w:val="337"/>
        </w:trPr>
        <w:tc>
          <w:tcPr>
            <w:tcW w:w="1757" w:type="pct"/>
            <w:tcBorders>
              <w:top w:val="single" w:sz="2" w:space="0" w:color="204160"/>
              <w:left w:val="nil"/>
              <w:bottom w:val="nil"/>
              <w:right w:val="single" w:sz="2" w:space="0" w:color="204160"/>
            </w:tcBorders>
          </w:tcPr>
          <w:p w14:paraId="15B2C58C"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Dr Mark Carney</w:t>
            </w:r>
          </w:p>
        </w:tc>
        <w:tc>
          <w:tcPr>
            <w:tcW w:w="3243" w:type="pct"/>
            <w:tcBorders>
              <w:top w:val="single" w:sz="2" w:space="0" w:color="204160"/>
              <w:left w:val="single" w:sz="2" w:space="0" w:color="204160"/>
              <w:bottom w:val="nil"/>
              <w:right w:val="nil"/>
            </w:tcBorders>
          </w:tcPr>
          <w:p w14:paraId="06513B5E"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Former Governor, Bank of England and Canada</w:t>
            </w:r>
          </w:p>
        </w:tc>
      </w:tr>
      <w:tr w:rsidR="00E454C1" w14:paraId="3F98075A" w14:textId="77777777" w:rsidTr="00E454C1">
        <w:trPr>
          <w:trHeight w:val="337"/>
        </w:trPr>
        <w:tc>
          <w:tcPr>
            <w:tcW w:w="1757" w:type="pct"/>
            <w:tcBorders>
              <w:top w:val="single" w:sz="2" w:space="0" w:color="204160"/>
              <w:left w:val="nil"/>
              <w:bottom w:val="nil"/>
              <w:right w:val="single" w:sz="2" w:space="0" w:color="204160"/>
            </w:tcBorders>
          </w:tcPr>
          <w:p w14:paraId="61F7D931"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Karen Chester</w:t>
            </w:r>
          </w:p>
        </w:tc>
        <w:tc>
          <w:tcPr>
            <w:tcW w:w="3243" w:type="pct"/>
            <w:tcBorders>
              <w:top w:val="single" w:sz="2" w:space="0" w:color="204160"/>
              <w:left w:val="single" w:sz="2" w:space="0" w:color="204160"/>
              <w:bottom w:val="nil"/>
              <w:right w:val="nil"/>
            </w:tcBorders>
          </w:tcPr>
          <w:p w14:paraId="7C540D88"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Deputy Chair, Australian Securities and Investments Commission</w:t>
            </w:r>
          </w:p>
        </w:tc>
      </w:tr>
      <w:tr w:rsidR="00E454C1" w14:paraId="3473F052" w14:textId="77777777" w:rsidTr="00E454C1">
        <w:trPr>
          <w:trHeight w:val="337"/>
        </w:trPr>
        <w:tc>
          <w:tcPr>
            <w:tcW w:w="1757" w:type="pct"/>
            <w:tcBorders>
              <w:top w:val="single" w:sz="2" w:space="0" w:color="204160"/>
              <w:left w:val="nil"/>
              <w:bottom w:val="nil"/>
              <w:right w:val="single" w:sz="2" w:space="0" w:color="204160"/>
            </w:tcBorders>
          </w:tcPr>
          <w:p w14:paraId="465EE5BB"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Melinda Cilento</w:t>
            </w:r>
          </w:p>
        </w:tc>
        <w:tc>
          <w:tcPr>
            <w:tcW w:w="3243" w:type="pct"/>
            <w:tcBorders>
              <w:top w:val="single" w:sz="2" w:space="0" w:color="204160"/>
              <w:left w:val="single" w:sz="2" w:space="0" w:color="204160"/>
              <w:bottom w:val="nil"/>
              <w:right w:val="nil"/>
            </w:tcBorders>
          </w:tcPr>
          <w:p w14:paraId="41A00F33"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Chief Executive, Committee for Economic Development of Australia</w:t>
            </w:r>
          </w:p>
        </w:tc>
      </w:tr>
      <w:tr w:rsidR="00E454C1" w14:paraId="1B4FFF9A" w14:textId="77777777" w:rsidTr="00E454C1">
        <w:trPr>
          <w:trHeight w:val="337"/>
        </w:trPr>
        <w:tc>
          <w:tcPr>
            <w:tcW w:w="1757" w:type="pct"/>
            <w:tcBorders>
              <w:top w:val="single" w:sz="2" w:space="0" w:color="204160"/>
              <w:left w:val="nil"/>
              <w:bottom w:val="nil"/>
              <w:right w:val="single" w:sz="2" w:space="0" w:color="204160"/>
            </w:tcBorders>
          </w:tcPr>
          <w:p w14:paraId="5ED736A1"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Brendan Coates</w:t>
            </w:r>
          </w:p>
        </w:tc>
        <w:tc>
          <w:tcPr>
            <w:tcW w:w="3243" w:type="pct"/>
            <w:tcBorders>
              <w:top w:val="single" w:sz="2" w:space="0" w:color="204160"/>
              <w:left w:val="single" w:sz="2" w:space="0" w:color="204160"/>
              <w:bottom w:val="nil"/>
              <w:right w:val="nil"/>
            </w:tcBorders>
          </w:tcPr>
          <w:p w14:paraId="0157AB37"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Economic Policy Program Director, Grattan Institute</w:t>
            </w:r>
          </w:p>
        </w:tc>
      </w:tr>
      <w:tr w:rsidR="00E454C1" w14:paraId="13AEB460" w14:textId="77777777" w:rsidTr="00E454C1">
        <w:trPr>
          <w:trHeight w:val="337"/>
        </w:trPr>
        <w:tc>
          <w:tcPr>
            <w:tcW w:w="1757" w:type="pct"/>
            <w:tcBorders>
              <w:top w:val="single" w:sz="2" w:space="0" w:color="204160"/>
              <w:left w:val="nil"/>
              <w:bottom w:val="nil"/>
              <w:right w:val="single" w:sz="2" w:space="0" w:color="204160"/>
            </w:tcBorders>
          </w:tcPr>
          <w:p w14:paraId="670D6746"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Associate Professor Selwyn Cornish</w:t>
            </w:r>
          </w:p>
        </w:tc>
        <w:tc>
          <w:tcPr>
            <w:tcW w:w="3243" w:type="pct"/>
            <w:tcBorders>
              <w:top w:val="single" w:sz="2" w:space="0" w:color="204160"/>
              <w:left w:val="single" w:sz="2" w:space="0" w:color="204160"/>
              <w:bottom w:val="nil"/>
              <w:right w:val="nil"/>
            </w:tcBorders>
          </w:tcPr>
          <w:p w14:paraId="083FD3D8"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Australian National University</w:t>
            </w:r>
          </w:p>
        </w:tc>
      </w:tr>
      <w:tr w:rsidR="00E454C1" w14:paraId="375ACBF5" w14:textId="77777777" w:rsidTr="00E454C1">
        <w:trPr>
          <w:trHeight w:val="337"/>
        </w:trPr>
        <w:tc>
          <w:tcPr>
            <w:tcW w:w="1757" w:type="pct"/>
            <w:tcBorders>
              <w:top w:val="single" w:sz="2" w:space="0" w:color="204160"/>
              <w:left w:val="nil"/>
              <w:bottom w:val="nil"/>
              <w:right w:val="single" w:sz="2" w:space="0" w:color="204160"/>
            </w:tcBorders>
          </w:tcPr>
          <w:p w14:paraId="304A957A"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Charmaine Crowe</w:t>
            </w:r>
          </w:p>
        </w:tc>
        <w:tc>
          <w:tcPr>
            <w:tcW w:w="3243" w:type="pct"/>
            <w:tcBorders>
              <w:top w:val="single" w:sz="2" w:space="0" w:color="204160"/>
              <w:left w:val="single" w:sz="2" w:space="0" w:color="204160"/>
              <w:bottom w:val="nil"/>
              <w:right w:val="nil"/>
            </w:tcBorders>
          </w:tcPr>
          <w:p w14:paraId="3855318D"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Social Security Program Director, Australian Council of Social Service</w:t>
            </w:r>
          </w:p>
        </w:tc>
      </w:tr>
      <w:tr w:rsidR="00E454C1" w14:paraId="27EFEE75" w14:textId="77777777" w:rsidTr="00E454C1">
        <w:trPr>
          <w:trHeight w:val="337"/>
        </w:trPr>
        <w:tc>
          <w:tcPr>
            <w:tcW w:w="1757" w:type="pct"/>
            <w:tcBorders>
              <w:top w:val="single" w:sz="2" w:space="0" w:color="204160"/>
              <w:left w:val="nil"/>
              <w:bottom w:val="nil"/>
              <w:right w:val="single" w:sz="2" w:space="0" w:color="204160"/>
            </w:tcBorders>
          </w:tcPr>
          <w:p w14:paraId="314F58C3"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Dr Peter Davidson</w:t>
            </w:r>
          </w:p>
        </w:tc>
        <w:tc>
          <w:tcPr>
            <w:tcW w:w="3243" w:type="pct"/>
            <w:tcBorders>
              <w:top w:val="single" w:sz="2" w:space="0" w:color="204160"/>
              <w:left w:val="single" w:sz="2" w:space="0" w:color="204160"/>
              <w:bottom w:val="nil"/>
              <w:right w:val="nil"/>
            </w:tcBorders>
          </w:tcPr>
          <w:p w14:paraId="4C0CF3C0"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Principal Advisor, Australian Council of Social Service</w:t>
            </w:r>
          </w:p>
        </w:tc>
      </w:tr>
      <w:tr w:rsidR="00E454C1" w14:paraId="06C499D8" w14:textId="77777777" w:rsidTr="005E4800">
        <w:trPr>
          <w:trHeight w:val="337"/>
        </w:trPr>
        <w:tc>
          <w:tcPr>
            <w:tcW w:w="1757" w:type="pct"/>
            <w:tcBorders>
              <w:top w:val="single" w:sz="2" w:space="0" w:color="204160"/>
              <w:left w:val="nil"/>
              <w:bottom w:val="single" w:sz="2" w:space="0" w:color="204160"/>
              <w:right w:val="single" w:sz="2" w:space="0" w:color="204160"/>
            </w:tcBorders>
          </w:tcPr>
          <w:p w14:paraId="3A9BD2F3"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Katie Dean</w:t>
            </w:r>
          </w:p>
        </w:tc>
        <w:tc>
          <w:tcPr>
            <w:tcW w:w="3243" w:type="pct"/>
            <w:tcBorders>
              <w:top w:val="single" w:sz="2" w:space="0" w:color="204160"/>
              <w:left w:val="single" w:sz="2" w:space="0" w:color="204160"/>
              <w:bottom w:val="single" w:sz="2" w:space="0" w:color="204160"/>
              <w:right w:val="nil"/>
            </w:tcBorders>
          </w:tcPr>
          <w:p w14:paraId="06F882F5"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Head of Fixed Income, Currency and Cash, Australian Super</w:t>
            </w:r>
          </w:p>
        </w:tc>
      </w:tr>
      <w:tr w:rsidR="00E454C1" w14:paraId="19910D36" w14:textId="77777777" w:rsidTr="005E4800">
        <w:trPr>
          <w:trHeight w:val="337"/>
        </w:trPr>
        <w:tc>
          <w:tcPr>
            <w:tcW w:w="1757" w:type="pct"/>
            <w:tcBorders>
              <w:top w:val="single" w:sz="2" w:space="0" w:color="204160"/>
              <w:left w:val="nil"/>
              <w:bottom w:val="single" w:sz="4" w:space="0" w:color="auto"/>
              <w:right w:val="single" w:sz="2" w:space="0" w:color="204160"/>
            </w:tcBorders>
          </w:tcPr>
          <w:p w14:paraId="3F4EA6B8"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Dr Pragyan Deb</w:t>
            </w:r>
          </w:p>
        </w:tc>
        <w:tc>
          <w:tcPr>
            <w:tcW w:w="3243" w:type="pct"/>
            <w:tcBorders>
              <w:top w:val="single" w:sz="2" w:space="0" w:color="204160"/>
              <w:left w:val="single" w:sz="2" w:space="0" w:color="204160"/>
              <w:bottom w:val="single" w:sz="4" w:space="0" w:color="auto"/>
              <w:right w:val="nil"/>
            </w:tcBorders>
          </w:tcPr>
          <w:p w14:paraId="475EC3F9" w14:textId="77777777" w:rsidR="00E454C1" w:rsidRPr="00E454C1" w:rsidRDefault="00E454C1" w:rsidP="00F22AE5">
            <w:pPr>
              <w:pStyle w:val="TableParagraph"/>
              <w:spacing w:before="57"/>
              <w:ind w:left="110"/>
              <w:rPr>
                <w:rFonts w:ascii="Calibri Light" w:hAnsi="Calibri Light" w:cs="Calibri Light"/>
                <w:sz w:val="16"/>
              </w:rPr>
            </w:pPr>
            <w:r w:rsidRPr="00E454C1">
              <w:rPr>
                <w:rFonts w:ascii="Calibri Light" w:hAnsi="Calibri Light" w:cs="Calibri Light"/>
                <w:sz w:val="16"/>
              </w:rPr>
              <w:t>IMF Mission Team</w:t>
            </w:r>
          </w:p>
        </w:tc>
      </w:tr>
      <w:tr w:rsidR="004D06E9" w14:paraId="39C7C181" w14:textId="77777777" w:rsidTr="005E4800">
        <w:trPr>
          <w:trHeight w:val="335"/>
        </w:trPr>
        <w:tc>
          <w:tcPr>
            <w:tcW w:w="1757" w:type="pct"/>
            <w:tcBorders>
              <w:top w:val="single" w:sz="4" w:space="0" w:color="auto"/>
              <w:left w:val="nil"/>
              <w:right w:val="single" w:sz="4" w:space="0" w:color="auto"/>
            </w:tcBorders>
          </w:tcPr>
          <w:p w14:paraId="366E2816"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2"/>
                <w:sz w:val="16"/>
              </w:rPr>
              <w:t xml:space="preserve"> </w:t>
            </w:r>
            <w:r w:rsidRPr="00D06F87">
              <w:rPr>
                <w:rFonts w:ascii="Calibri Light" w:hAnsi="Calibri Light" w:cs="Calibri Light"/>
                <w:sz w:val="16"/>
              </w:rPr>
              <w:t>Begona</w:t>
            </w:r>
            <w:r w:rsidRPr="00D06F87">
              <w:rPr>
                <w:rFonts w:ascii="Calibri Light" w:hAnsi="Calibri Light" w:cs="Calibri Light"/>
                <w:spacing w:val="-2"/>
                <w:sz w:val="16"/>
              </w:rPr>
              <w:t xml:space="preserve"> Dominguez</w:t>
            </w:r>
          </w:p>
        </w:tc>
        <w:tc>
          <w:tcPr>
            <w:tcW w:w="3243" w:type="pct"/>
            <w:tcBorders>
              <w:top w:val="single" w:sz="4" w:space="0" w:color="auto"/>
              <w:left w:val="single" w:sz="4" w:space="0" w:color="auto"/>
              <w:right w:val="nil"/>
            </w:tcBorders>
          </w:tcPr>
          <w:p w14:paraId="3B0494A8"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Queensland</w:t>
            </w:r>
          </w:p>
        </w:tc>
      </w:tr>
      <w:tr w:rsidR="004D06E9" w14:paraId="1B1C409D" w14:textId="77777777" w:rsidTr="00D06F87">
        <w:trPr>
          <w:trHeight w:val="335"/>
        </w:trPr>
        <w:tc>
          <w:tcPr>
            <w:tcW w:w="1757" w:type="pct"/>
            <w:tcBorders>
              <w:left w:val="nil"/>
              <w:right w:val="single" w:sz="4" w:space="0" w:color="auto"/>
            </w:tcBorders>
          </w:tcPr>
          <w:p w14:paraId="3F574EDA"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5"/>
                <w:sz w:val="16"/>
              </w:rPr>
              <w:t xml:space="preserve"> </w:t>
            </w:r>
            <w:r w:rsidRPr="00D06F87">
              <w:rPr>
                <w:rFonts w:ascii="Calibri Light" w:hAnsi="Calibri Light" w:cs="Calibri Light"/>
                <w:sz w:val="16"/>
              </w:rPr>
              <w:t>Jose</w:t>
            </w:r>
            <w:r w:rsidRPr="00D06F87">
              <w:rPr>
                <w:rFonts w:ascii="Calibri Light" w:hAnsi="Calibri Light" w:cs="Calibri Light"/>
                <w:spacing w:val="-2"/>
                <w:sz w:val="16"/>
              </w:rPr>
              <w:t xml:space="preserve"> Dorich</w:t>
            </w:r>
          </w:p>
        </w:tc>
        <w:tc>
          <w:tcPr>
            <w:tcW w:w="3243" w:type="pct"/>
            <w:tcBorders>
              <w:left w:val="single" w:sz="4" w:space="0" w:color="auto"/>
              <w:right w:val="nil"/>
            </w:tcBorders>
          </w:tcPr>
          <w:p w14:paraId="1378C4A2"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Deputy</w:t>
            </w:r>
            <w:r w:rsidRPr="00D06F87">
              <w:rPr>
                <w:rFonts w:ascii="Calibri Light" w:hAnsi="Calibri Light" w:cs="Calibri Light"/>
                <w:spacing w:val="-3"/>
                <w:sz w:val="16"/>
              </w:rPr>
              <w:t xml:space="preserve"> </w:t>
            </w:r>
            <w:r w:rsidRPr="00D06F87">
              <w:rPr>
                <w:rFonts w:ascii="Calibri Light" w:hAnsi="Calibri Light" w:cs="Calibri Light"/>
                <w:sz w:val="16"/>
              </w:rPr>
              <w:t>Managing</w:t>
            </w:r>
            <w:r w:rsidRPr="00D06F87">
              <w:rPr>
                <w:rFonts w:ascii="Calibri Light" w:hAnsi="Calibri Light" w:cs="Calibri Light"/>
                <w:spacing w:val="-2"/>
                <w:sz w:val="16"/>
              </w:rPr>
              <w:t xml:space="preserve"> </w:t>
            </w:r>
            <w:r w:rsidRPr="00D06F87">
              <w:rPr>
                <w:rFonts w:ascii="Calibri Light" w:hAnsi="Calibri Light" w:cs="Calibri Light"/>
                <w:sz w:val="16"/>
              </w:rPr>
              <w:t>Director,</w:t>
            </w:r>
            <w:r w:rsidRPr="00D06F87">
              <w:rPr>
                <w:rFonts w:ascii="Calibri Light" w:hAnsi="Calibri Light" w:cs="Calibri Light"/>
                <w:spacing w:val="-3"/>
                <w:sz w:val="16"/>
              </w:rPr>
              <w:t xml:space="preserve"> </w:t>
            </w:r>
            <w:r w:rsidRPr="00D06F87">
              <w:rPr>
                <w:rFonts w:ascii="Calibri Light" w:hAnsi="Calibri Light" w:cs="Calibri Light"/>
                <w:sz w:val="16"/>
              </w:rPr>
              <w:t>Bank</w:t>
            </w:r>
            <w:r w:rsidRPr="00D06F87">
              <w:rPr>
                <w:rFonts w:ascii="Calibri Light" w:hAnsi="Calibri Light" w:cs="Calibri Light"/>
                <w:spacing w:val="-2"/>
                <w:sz w:val="16"/>
              </w:rPr>
              <w:t xml:space="preserve"> </w:t>
            </w:r>
            <w:r w:rsidRPr="00D06F87">
              <w:rPr>
                <w:rFonts w:ascii="Calibri Light" w:hAnsi="Calibri Light" w:cs="Calibri Light"/>
                <w:sz w:val="16"/>
              </w:rPr>
              <w:t>of</w:t>
            </w:r>
            <w:r w:rsidRPr="00D06F87">
              <w:rPr>
                <w:rFonts w:ascii="Calibri Light" w:hAnsi="Calibri Light" w:cs="Calibri Light"/>
                <w:spacing w:val="-2"/>
                <w:sz w:val="16"/>
              </w:rPr>
              <w:t xml:space="preserve"> Canada</w:t>
            </w:r>
          </w:p>
        </w:tc>
      </w:tr>
      <w:tr w:rsidR="004D06E9" w14:paraId="25E434B8" w14:textId="77777777" w:rsidTr="00D06F87">
        <w:trPr>
          <w:trHeight w:val="335"/>
        </w:trPr>
        <w:tc>
          <w:tcPr>
            <w:tcW w:w="1757" w:type="pct"/>
            <w:tcBorders>
              <w:left w:val="nil"/>
              <w:right w:val="single" w:sz="4" w:space="0" w:color="auto"/>
            </w:tcBorders>
          </w:tcPr>
          <w:p w14:paraId="25E77EA2"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Peter</w:t>
            </w:r>
            <w:r w:rsidRPr="00D06F87">
              <w:rPr>
                <w:rFonts w:ascii="Calibri Light" w:hAnsi="Calibri Light" w:cs="Calibri Light"/>
                <w:spacing w:val="-7"/>
                <w:sz w:val="16"/>
              </w:rPr>
              <w:t xml:space="preserve"> </w:t>
            </w:r>
            <w:r w:rsidRPr="00D06F87">
              <w:rPr>
                <w:rFonts w:ascii="Calibri Light" w:hAnsi="Calibri Light" w:cs="Calibri Light"/>
                <w:spacing w:val="-2"/>
                <w:sz w:val="16"/>
              </w:rPr>
              <w:t>Downes</w:t>
            </w:r>
          </w:p>
        </w:tc>
        <w:tc>
          <w:tcPr>
            <w:tcW w:w="3243" w:type="pct"/>
            <w:tcBorders>
              <w:left w:val="single" w:sz="4" w:space="0" w:color="auto"/>
              <w:right w:val="nil"/>
            </w:tcBorders>
          </w:tcPr>
          <w:p w14:paraId="3CF1DE26"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Director,</w:t>
            </w:r>
            <w:r w:rsidRPr="00D06F87">
              <w:rPr>
                <w:rFonts w:ascii="Calibri Light" w:hAnsi="Calibri Light" w:cs="Calibri Light"/>
                <w:spacing w:val="-4"/>
                <w:sz w:val="16"/>
              </w:rPr>
              <w:t xml:space="preserve"> </w:t>
            </w:r>
            <w:r w:rsidRPr="00D06F87">
              <w:rPr>
                <w:rFonts w:ascii="Calibri Light" w:hAnsi="Calibri Light" w:cs="Calibri Light"/>
                <w:sz w:val="16"/>
              </w:rPr>
              <w:t>Outlook</w:t>
            </w:r>
            <w:r w:rsidRPr="00D06F87">
              <w:rPr>
                <w:rFonts w:ascii="Calibri Light" w:hAnsi="Calibri Light" w:cs="Calibri Light"/>
                <w:spacing w:val="-4"/>
                <w:sz w:val="16"/>
              </w:rPr>
              <w:t xml:space="preserve"> </w:t>
            </w:r>
            <w:r w:rsidRPr="00D06F87">
              <w:rPr>
                <w:rFonts w:ascii="Calibri Light" w:hAnsi="Calibri Light" w:cs="Calibri Light"/>
                <w:spacing w:val="-2"/>
                <w:sz w:val="16"/>
              </w:rPr>
              <w:t>Economics</w:t>
            </w:r>
          </w:p>
        </w:tc>
      </w:tr>
      <w:tr w:rsidR="004D06E9" w14:paraId="08A2F424" w14:textId="77777777" w:rsidTr="00D06F87">
        <w:trPr>
          <w:trHeight w:val="335"/>
        </w:trPr>
        <w:tc>
          <w:tcPr>
            <w:tcW w:w="1757" w:type="pct"/>
            <w:tcBorders>
              <w:left w:val="nil"/>
              <w:right w:val="single" w:sz="4" w:space="0" w:color="auto"/>
            </w:tcBorders>
          </w:tcPr>
          <w:p w14:paraId="3EC73350"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6"/>
                <w:sz w:val="16"/>
              </w:rPr>
              <w:t xml:space="preserve"> </w:t>
            </w:r>
            <w:r w:rsidRPr="00D06F87">
              <w:rPr>
                <w:rFonts w:ascii="Calibri Light" w:hAnsi="Calibri Light" w:cs="Calibri Light"/>
                <w:sz w:val="16"/>
              </w:rPr>
              <w:t>Malcolm</w:t>
            </w:r>
            <w:r w:rsidRPr="00D06F87">
              <w:rPr>
                <w:rFonts w:ascii="Calibri Light" w:hAnsi="Calibri Light" w:cs="Calibri Light"/>
                <w:spacing w:val="-3"/>
                <w:sz w:val="16"/>
              </w:rPr>
              <w:t xml:space="preserve"> </w:t>
            </w:r>
            <w:r w:rsidRPr="00D06F87">
              <w:rPr>
                <w:rFonts w:ascii="Calibri Light" w:hAnsi="Calibri Light" w:cs="Calibri Light"/>
                <w:spacing w:val="-4"/>
                <w:sz w:val="16"/>
              </w:rPr>
              <w:t>Edey</w:t>
            </w:r>
          </w:p>
        </w:tc>
        <w:tc>
          <w:tcPr>
            <w:tcW w:w="3243" w:type="pct"/>
            <w:tcBorders>
              <w:left w:val="single" w:sz="4" w:space="0" w:color="auto"/>
              <w:right w:val="nil"/>
            </w:tcBorders>
          </w:tcPr>
          <w:p w14:paraId="7B084DF0"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Former Assistant Governor,</w:t>
            </w:r>
            <w:r w:rsidRPr="00D06F87">
              <w:rPr>
                <w:rFonts w:ascii="Calibri Light" w:hAnsi="Calibri Light" w:cs="Calibri Light"/>
                <w:spacing w:val="1"/>
                <w:sz w:val="16"/>
              </w:rPr>
              <w:t xml:space="preserve"> </w:t>
            </w:r>
            <w:r w:rsidRPr="00D06F87">
              <w:rPr>
                <w:rFonts w:ascii="Calibri Light" w:hAnsi="Calibri Light" w:cs="Calibri Light"/>
                <w:sz w:val="16"/>
              </w:rPr>
              <w:t>RBA (2009 -</w:t>
            </w:r>
            <w:r w:rsidRPr="00D06F87">
              <w:rPr>
                <w:rFonts w:ascii="Calibri Light" w:hAnsi="Calibri Light" w:cs="Calibri Light"/>
                <w:spacing w:val="1"/>
                <w:sz w:val="16"/>
              </w:rPr>
              <w:t xml:space="preserve"> </w:t>
            </w:r>
            <w:r w:rsidRPr="00D06F87">
              <w:rPr>
                <w:rFonts w:ascii="Calibri Light" w:hAnsi="Calibri Light" w:cs="Calibri Light"/>
                <w:spacing w:val="-4"/>
                <w:sz w:val="16"/>
              </w:rPr>
              <w:t>2016)</w:t>
            </w:r>
          </w:p>
        </w:tc>
      </w:tr>
      <w:tr w:rsidR="004D06E9" w14:paraId="32C42195" w14:textId="77777777" w:rsidTr="00D06F87">
        <w:trPr>
          <w:trHeight w:val="335"/>
        </w:trPr>
        <w:tc>
          <w:tcPr>
            <w:tcW w:w="1757" w:type="pct"/>
            <w:tcBorders>
              <w:left w:val="nil"/>
              <w:right w:val="single" w:sz="4" w:space="0" w:color="auto"/>
            </w:tcBorders>
          </w:tcPr>
          <w:p w14:paraId="6E7CB79B"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Saul</w:t>
            </w:r>
            <w:r w:rsidRPr="00D06F87">
              <w:rPr>
                <w:rFonts w:ascii="Calibri Light" w:hAnsi="Calibri Light" w:cs="Calibri Light"/>
                <w:spacing w:val="-1"/>
                <w:sz w:val="16"/>
              </w:rPr>
              <w:t xml:space="preserve"> </w:t>
            </w:r>
            <w:r w:rsidRPr="00D06F87">
              <w:rPr>
                <w:rFonts w:ascii="Calibri Light" w:hAnsi="Calibri Light" w:cs="Calibri Light"/>
                <w:spacing w:val="-2"/>
                <w:sz w:val="16"/>
              </w:rPr>
              <w:t>Eslake</w:t>
            </w:r>
          </w:p>
        </w:tc>
        <w:tc>
          <w:tcPr>
            <w:tcW w:w="3243" w:type="pct"/>
            <w:tcBorders>
              <w:left w:val="single" w:sz="4" w:space="0" w:color="auto"/>
              <w:right w:val="nil"/>
            </w:tcBorders>
          </w:tcPr>
          <w:p w14:paraId="419CADCB"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1"/>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Tasmania</w:t>
            </w:r>
          </w:p>
        </w:tc>
      </w:tr>
      <w:tr w:rsidR="004D06E9" w14:paraId="4D758CA4" w14:textId="77777777" w:rsidTr="00D06F87">
        <w:trPr>
          <w:trHeight w:val="335"/>
        </w:trPr>
        <w:tc>
          <w:tcPr>
            <w:tcW w:w="1757" w:type="pct"/>
            <w:tcBorders>
              <w:left w:val="nil"/>
              <w:bottom w:val="single" w:sz="2" w:space="0" w:color="7F859B"/>
              <w:right w:val="single" w:sz="4" w:space="0" w:color="auto"/>
            </w:tcBorders>
          </w:tcPr>
          <w:p w14:paraId="29492CFE"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Bill</w:t>
            </w:r>
            <w:r w:rsidRPr="00D06F87">
              <w:rPr>
                <w:rFonts w:ascii="Calibri Light" w:hAnsi="Calibri Light" w:cs="Calibri Light"/>
                <w:spacing w:val="-3"/>
                <w:sz w:val="16"/>
              </w:rPr>
              <w:t xml:space="preserve"> </w:t>
            </w:r>
            <w:r w:rsidRPr="00D06F87">
              <w:rPr>
                <w:rFonts w:ascii="Calibri Light" w:hAnsi="Calibri Light" w:cs="Calibri Light"/>
                <w:spacing w:val="-2"/>
                <w:sz w:val="16"/>
              </w:rPr>
              <w:t>Evans</w:t>
            </w:r>
          </w:p>
        </w:tc>
        <w:tc>
          <w:tcPr>
            <w:tcW w:w="3243" w:type="pct"/>
            <w:tcBorders>
              <w:left w:val="single" w:sz="4" w:space="0" w:color="auto"/>
              <w:bottom w:val="single" w:sz="2" w:space="0" w:color="7F859B"/>
              <w:right w:val="nil"/>
            </w:tcBorders>
          </w:tcPr>
          <w:p w14:paraId="774FDA45"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Chief Economist, </w:t>
            </w:r>
            <w:r w:rsidRPr="00D06F87">
              <w:rPr>
                <w:rFonts w:ascii="Calibri Light" w:hAnsi="Calibri Light" w:cs="Calibri Light"/>
                <w:spacing w:val="-2"/>
                <w:sz w:val="16"/>
              </w:rPr>
              <w:t>Westpac</w:t>
            </w:r>
          </w:p>
        </w:tc>
      </w:tr>
      <w:tr w:rsidR="004D06E9" w14:paraId="20FFEB13" w14:textId="77777777" w:rsidTr="00D06F87">
        <w:trPr>
          <w:trHeight w:val="335"/>
        </w:trPr>
        <w:tc>
          <w:tcPr>
            <w:tcW w:w="1757" w:type="pct"/>
            <w:tcBorders>
              <w:top w:val="single" w:sz="2" w:space="0" w:color="7F859B"/>
              <w:left w:val="nil"/>
              <w:right w:val="single" w:sz="4" w:space="0" w:color="auto"/>
            </w:tcBorders>
          </w:tcPr>
          <w:p w14:paraId="31A147EB"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Faysal </w:t>
            </w:r>
            <w:r w:rsidRPr="00D06F87">
              <w:rPr>
                <w:rFonts w:ascii="Calibri Light" w:hAnsi="Calibri Light" w:cs="Calibri Light"/>
                <w:spacing w:val="-2"/>
                <w:sz w:val="16"/>
              </w:rPr>
              <w:t>Fassi</w:t>
            </w:r>
          </w:p>
        </w:tc>
        <w:tc>
          <w:tcPr>
            <w:tcW w:w="3243" w:type="pct"/>
            <w:tcBorders>
              <w:top w:val="single" w:sz="2" w:space="0" w:color="7F859B"/>
              <w:left w:val="single" w:sz="4" w:space="0" w:color="auto"/>
              <w:right w:val="nil"/>
            </w:tcBorders>
          </w:tcPr>
          <w:p w14:paraId="1350E222"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Executive</w:t>
            </w:r>
            <w:r w:rsidRPr="00D06F87">
              <w:rPr>
                <w:rFonts w:ascii="Calibri Light" w:hAnsi="Calibri Light" w:cs="Calibri Light"/>
                <w:spacing w:val="-2"/>
                <w:sz w:val="16"/>
              </w:rPr>
              <w:t xml:space="preserve"> </w:t>
            </w:r>
            <w:r w:rsidRPr="00D06F87">
              <w:rPr>
                <w:rFonts w:ascii="Calibri Light" w:hAnsi="Calibri Light" w:cs="Calibri Light"/>
                <w:sz w:val="16"/>
              </w:rPr>
              <w:t>Director,</w:t>
            </w:r>
            <w:r w:rsidRPr="00D06F87">
              <w:rPr>
                <w:rFonts w:ascii="Calibri Light" w:hAnsi="Calibri Light" w:cs="Calibri Light"/>
                <w:spacing w:val="-1"/>
                <w:sz w:val="16"/>
              </w:rPr>
              <w:t xml:space="preserve"> </w:t>
            </w:r>
            <w:r w:rsidRPr="00D06F87">
              <w:rPr>
                <w:rFonts w:ascii="Calibri Light" w:hAnsi="Calibri Light" w:cs="Calibri Light"/>
                <w:sz w:val="16"/>
              </w:rPr>
              <w:t>Indigenous</w:t>
            </w:r>
            <w:r w:rsidRPr="00D06F87">
              <w:rPr>
                <w:rFonts w:ascii="Calibri Light" w:hAnsi="Calibri Light" w:cs="Calibri Light"/>
                <w:spacing w:val="-1"/>
                <w:sz w:val="16"/>
              </w:rPr>
              <w:t xml:space="preserve"> </w:t>
            </w:r>
            <w:r w:rsidRPr="00D06F87">
              <w:rPr>
                <w:rFonts w:ascii="Calibri Light" w:hAnsi="Calibri Light" w:cs="Calibri Light"/>
                <w:sz w:val="16"/>
              </w:rPr>
              <w:t>Business</w:t>
            </w:r>
            <w:r w:rsidRPr="00D06F87">
              <w:rPr>
                <w:rFonts w:ascii="Calibri Light" w:hAnsi="Calibri Light" w:cs="Calibri Light"/>
                <w:spacing w:val="-1"/>
                <w:sz w:val="16"/>
              </w:rPr>
              <w:t xml:space="preserve"> </w:t>
            </w:r>
            <w:r w:rsidRPr="00D06F87">
              <w:rPr>
                <w:rFonts w:ascii="Calibri Light" w:hAnsi="Calibri Light" w:cs="Calibri Light"/>
                <w:spacing w:val="-2"/>
                <w:sz w:val="16"/>
              </w:rPr>
              <w:t>Australia</w:t>
            </w:r>
          </w:p>
        </w:tc>
      </w:tr>
      <w:tr w:rsidR="004D06E9" w14:paraId="2B5446F0" w14:textId="77777777" w:rsidTr="00D06F87">
        <w:trPr>
          <w:trHeight w:val="335"/>
        </w:trPr>
        <w:tc>
          <w:tcPr>
            <w:tcW w:w="1757" w:type="pct"/>
            <w:tcBorders>
              <w:left w:val="nil"/>
              <w:right w:val="single" w:sz="4" w:space="0" w:color="auto"/>
            </w:tcBorders>
          </w:tcPr>
          <w:p w14:paraId="14E9FEA3"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Harald</w:t>
            </w:r>
            <w:r w:rsidRPr="00D06F87">
              <w:rPr>
                <w:rFonts w:ascii="Calibri Light" w:hAnsi="Calibri Light" w:cs="Calibri Light"/>
                <w:spacing w:val="-3"/>
                <w:sz w:val="16"/>
              </w:rPr>
              <w:t xml:space="preserve"> </w:t>
            </w:r>
            <w:r w:rsidRPr="00D06F87">
              <w:rPr>
                <w:rFonts w:ascii="Calibri Light" w:hAnsi="Calibri Light" w:cs="Calibri Light"/>
                <w:spacing w:val="-2"/>
                <w:sz w:val="16"/>
              </w:rPr>
              <w:t>Finger</w:t>
            </w:r>
          </w:p>
        </w:tc>
        <w:tc>
          <w:tcPr>
            <w:tcW w:w="3243" w:type="pct"/>
            <w:tcBorders>
              <w:left w:val="single" w:sz="4" w:space="0" w:color="auto"/>
              <w:right w:val="nil"/>
            </w:tcBorders>
          </w:tcPr>
          <w:p w14:paraId="6FDA78AC"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IMF</w:t>
            </w:r>
            <w:r w:rsidRPr="00D06F87">
              <w:rPr>
                <w:rFonts w:ascii="Calibri Light" w:hAnsi="Calibri Light" w:cs="Calibri Light"/>
                <w:spacing w:val="-5"/>
                <w:sz w:val="16"/>
              </w:rPr>
              <w:t xml:space="preserve"> </w:t>
            </w:r>
            <w:r w:rsidRPr="00D06F87">
              <w:rPr>
                <w:rFonts w:ascii="Calibri Light" w:hAnsi="Calibri Light" w:cs="Calibri Light"/>
                <w:sz w:val="16"/>
              </w:rPr>
              <w:t>Mission</w:t>
            </w:r>
            <w:r w:rsidRPr="00D06F87">
              <w:rPr>
                <w:rFonts w:ascii="Calibri Light" w:hAnsi="Calibri Light" w:cs="Calibri Light"/>
                <w:spacing w:val="-2"/>
                <w:sz w:val="16"/>
              </w:rPr>
              <w:t xml:space="preserve"> </w:t>
            </w:r>
            <w:r w:rsidRPr="00D06F87">
              <w:rPr>
                <w:rFonts w:ascii="Calibri Light" w:hAnsi="Calibri Light" w:cs="Calibri Light"/>
                <w:spacing w:val="-4"/>
                <w:sz w:val="16"/>
              </w:rPr>
              <w:t>Team</w:t>
            </w:r>
          </w:p>
        </w:tc>
      </w:tr>
      <w:tr w:rsidR="004D06E9" w14:paraId="2AEA188B" w14:textId="77777777" w:rsidTr="00D06F87">
        <w:trPr>
          <w:trHeight w:val="335"/>
        </w:trPr>
        <w:tc>
          <w:tcPr>
            <w:tcW w:w="1757" w:type="pct"/>
            <w:tcBorders>
              <w:left w:val="nil"/>
              <w:right w:val="single" w:sz="4" w:space="0" w:color="auto"/>
            </w:tcBorders>
          </w:tcPr>
          <w:p w14:paraId="5B3220C1"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2"/>
                <w:sz w:val="16"/>
              </w:rPr>
              <w:t xml:space="preserve"> </w:t>
            </w:r>
            <w:r w:rsidRPr="00D06F87">
              <w:rPr>
                <w:rFonts w:ascii="Calibri Light" w:hAnsi="Calibri Light" w:cs="Calibri Light"/>
                <w:sz w:val="16"/>
              </w:rPr>
              <w:t>Ippei</w:t>
            </w:r>
            <w:r w:rsidRPr="00D06F87">
              <w:rPr>
                <w:rFonts w:ascii="Calibri Light" w:hAnsi="Calibri Light" w:cs="Calibri Light"/>
                <w:spacing w:val="-2"/>
                <w:sz w:val="16"/>
              </w:rPr>
              <w:t xml:space="preserve"> Fujiwara</w:t>
            </w:r>
          </w:p>
        </w:tc>
        <w:tc>
          <w:tcPr>
            <w:tcW w:w="3243" w:type="pct"/>
            <w:tcBorders>
              <w:left w:val="single" w:sz="4" w:space="0" w:color="auto"/>
              <w:right w:val="nil"/>
            </w:tcBorders>
          </w:tcPr>
          <w:p w14:paraId="2D1F7577"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Australian National </w:t>
            </w:r>
            <w:r w:rsidRPr="00D06F87">
              <w:rPr>
                <w:rFonts w:ascii="Calibri Light" w:hAnsi="Calibri Light" w:cs="Calibri Light"/>
                <w:spacing w:val="-2"/>
                <w:sz w:val="16"/>
              </w:rPr>
              <w:t>University</w:t>
            </w:r>
          </w:p>
        </w:tc>
      </w:tr>
      <w:tr w:rsidR="004D06E9" w14:paraId="0D89DC5D" w14:textId="77777777" w:rsidTr="00D06F87">
        <w:trPr>
          <w:trHeight w:val="335"/>
        </w:trPr>
        <w:tc>
          <w:tcPr>
            <w:tcW w:w="1757" w:type="pct"/>
            <w:tcBorders>
              <w:left w:val="nil"/>
              <w:right w:val="single" w:sz="4" w:space="0" w:color="auto"/>
            </w:tcBorders>
          </w:tcPr>
          <w:p w14:paraId="71BC5CD1"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4"/>
                <w:sz w:val="16"/>
              </w:rPr>
              <w:t xml:space="preserve"> </w:t>
            </w:r>
            <w:r w:rsidRPr="00D06F87">
              <w:rPr>
                <w:rFonts w:ascii="Calibri Light" w:hAnsi="Calibri Light" w:cs="Calibri Light"/>
                <w:sz w:val="16"/>
              </w:rPr>
              <w:t>Prasanna</w:t>
            </w:r>
            <w:r w:rsidRPr="00D06F87">
              <w:rPr>
                <w:rFonts w:ascii="Calibri Light" w:hAnsi="Calibri Light" w:cs="Calibri Light"/>
                <w:spacing w:val="-1"/>
                <w:sz w:val="16"/>
              </w:rPr>
              <w:t xml:space="preserve"> </w:t>
            </w:r>
            <w:r w:rsidRPr="00D06F87">
              <w:rPr>
                <w:rFonts w:ascii="Calibri Light" w:hAnsi="Calibri Light" w:cs="Calibri Light"/>
                <w:spacing w:val="-5"/>
                <w:sz w:val="16"/>
              </w:rPr>
              <w:t>Gai</w:t>
            </w:r>
          </w:p>
        </w:tc>
        <w:tc>
          <w:tcPr>
            <w:tcW w:w="3243" w:type="pct"/>
            <w:tcBorders>
              <w:left w:val="single" w:sz="4" w:space="0" w:color="auto"/>
              <w:right w:val="nil"/>
            </w:tcBorders>
          </w:tcPr>
          <w:p w14:paraId="6241B356"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1"/>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Auckland</w:t>
            </w:r>
          </w:p>
        </w:tc>
      </w:tr>
      <w:tr w:rsidR="004D06E9" w14:paraId="00F2F9C9" w14:textId="77777777" w:rsidTr="00D06F87">
        <w:trPr>
          <w:trHeight w:val="335"/>
        </w:trPr>
        <w:tc>
          <w:tcPr>
            <w:tcW w:w="1757" w:type="pct"/>
            <w:tcBorders>
              <w:left w:val="nil"/>
              <w:right w:val="single" w:sz="4" w:space="0" w:color="auto"/>
            </w:tcBorders>
          </w:tcPr>
          <w:p w14:paraId="7CD78165"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2"/>
                <w:sz w:val="16"/>
              </w:rPr>
              <w:t xml:space="preserve"> </w:t>
            </w:r>
            <w:r w:rsidRPr="00D06F87">
              <w:rPr>
                <w:rFonts w:ascii="Calibri Light" w:hAnsi="Calibri Light" w:cs="Calibri Light"/>
                <w:sz w:val="16"/>
              </w:rPr>
              <w:t>Christian</w:t>
            </w:r>
            <w:r w:rsidRPr="00D06F87">
              <w:rPr>
                <w:rFonts w:ascii="Calibri Light" w:hAnsi="Calibri Light" w:cs="Calibri Light"/>
                <w:spacing w:val="1"/>
                <w:sz w:val="16"/>
              </w:rPr>
              <w:t xml:space="preserve"> </w:t>
            </w:r>
            <w:r w:rsidRPr="00D06F87">
              <w:rPr>
                <w:rFonts w:ascii="Calibri Light" w:hAnsi="Calibri Light" w:cs="Calibri Light"/>
                <w:spacing w:val="-2"/>
                <w:sz w:val="16"/>
              </w:rPr>
              <w:t>Gillitzer</w:t>
            </w:r>
          </w:p>
        </w:tc>
        <w:tc>
          <w:tcPr>
            <w:tcW w:w="3243" w:type="pct"/>
            <w:tcBorders>
              <w:left w:val="single" w:sz="4" w:space="0" w:color="auto"/>
              <w:right w:val="nil"/>
            </w:tcBorders>
          </w:tcPr>
          <w:p w14:paraId="728C06EF"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Sydney</w:t>
            </w:r>
          </w:p>
        </w:tc>
      </w:tr>
      <w:tr w:rsidR="004D06E9" w14:paraId="405735EE" w14:textId="77777777" w:rsidTr="00D06F87">
        <w:trPr>
          <w:trHeight w:val="335"/>
        </w:trPr>
        <w:tc>
          <w:tcPr>
            <w:tcW w:w="1757" w:type="pct"/>
            <w:tcBorders>
              <w:left w:val="nil"/>
              <w:right w:val="single" w:sz="4" w:space="0" w:color="auto"/>
            </w:tcBorders>
          </w:tcPr>
          <w:p w14:paraId="04654A59"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2"/>
                <w:sz w:val="16"/>
              </w:rPr>
              <w:t xml:space="preserve"> </w:t>
            </w:r>
            <w:r w:rsidRPr="00D06F87">
              <w:rPr>
                <w:rFonts w:ascii="Calibri Light" w:hAnsi="Calibri Light" w:cs="Calibri Light"/>
                <w:sz w:val="16"/>
              </w:rPr>
              <w:t>Isaac</w:t>
            </w:r>
            <w:r w:rsidRPr="00D06F87">
              <w:rPr>
                <w:rFonts w:ascii="Calibri Light" w:hAnsi="Calibri Light" w:cs="Calibri Light"/>
                <w:spacing w:val="-1"/>
                <w:sz w:val="16"/>
              </w:rPr>
              <w:t xml:space="preserve"> </w:t>
            </w:r>
            <w:r w:rsidRPr="00D06F87">
              <w:rPr>
                <w:rFonts w:ascii="Calibri Light" w:hAnsi="Calibri Light" w:cs="Calibri Light"/>
                <w:spacing w:val="-2"/>
                <w:sz w:val="16"/>
              </w:rPr>
              <w:t>Gross</w:t>
            </w:r>
          </w:p>
        </w:tc>
        <w:tc>
          <w:tcPr>
            <w:tcW w:w="3243" w:type="pct"/>
            <w:tcBorders>
              <w:left w:val="single" w:sz="4" w:space="0" w:color="auto"/>
              <w:right w:val="nil"/>
            </w:tcBorders>
          </w:tcPr>
          <w:p w14:paraId="3CE1DFE5"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Melbourne</w:t>
            </w:r>
          </w:p>
        </w:tc>
      </w:tr>
      <w:tr w:rsidR="004D06E9" w14:paraId="5AA3AB4D" w14:textId="77777777" w:rsidTr="00D06F87">
        <w:trPr>
          <w:trHeight w:val="335"/>
        </w:trPr>
        <w:tc>
          <w:tcPr>
            <w:tcW w:w="1757" w:type="pct"/>
            <w:tcBorders>
              <w:left w:val="nil"/>
              <w:right w:val="single" w:sz="4" w:space="0" w:color="auto"/>
            </w:tcBorders>
          </w:tcPr>
          <w:p w14:paraId="6CBCCEF7"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Stephen</w:t>
            </w:r>
            <w:r w:rsidRPr="00D06F87">
              <w:rPr>
                <w:rFonts w:ascii="Calibri Light" w:hAnsi="Calibri Light" w:cs="Calibri Light"/>
                <w:spacing w:val="-3"/>
                <w:sz w:val="16"/>
              </w:rPr>
              <w:t xml:space="preserve"> </w:t>
            </w:r>
            <w:r w:rsidRPr="00D06F87">
              <w:rPr>
                <w:rFonts w:ascii="Calibri Light" w:hAnsi="Calibri Light" w:cs="Calibri Light"/>
                <w:spacing w:val="-2"/>
                <w:sz w:val="16"/>
              </w:rPr>
              <w:t>Halmarick</w:t>
            </w:r>
          </w:p>
        </w:tc>
        <w:tc>
          <w:tcPr>
            <w:tcW w:w="3243" w:type="pct"/>
            <w:tcBorders>
              <w:left w:val="single" w:sz="4" w:space="0" w:color="auto"/>
              <w:right w:val="nil"/>
            </w:tcBorders>
          </w:tcPr>
          <w:p w14:paraId="225CBBF7"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Chief</w:t>
            </w:r>
            <w:r w:rsidRPr="00D06F87">
              <w:rPr>
                <w:rFonts w:ascii="Calibri Light" w:hAnsi="Calibri Light" w:cs="Calibri Light"/>
                <w:spacing w:val="-2"/>
                <w:sz w:val="16"/>
              </w:rPr>
              <w:t xml:space="preserve"> </w:t>
            </w:r>
            <w:r w:rsidRPr="00D06F87">
              <w:rPr>
                <w:rFonts w:ascii="Calibri Light" w:hAnsi="Calibri Light" w:cs="Calibri Light"/>
                <w:sz w:val="16"/>
              </w:rPr>
              <w:t>Economist,</w:t>
            </w:r>
            <w:r w:rsidRPr="00D06F87">
              <w:rPr>
                <w:rFonts w:ascii="Calibri Light" w:hAnsi="Calibri Light" w:cs="Calibri Light"/>
                <w:spacing w:val="-2"/>
                <w:sz w:val="16"/>
              </w:rPr>
              <w:t xml:space="preserve"> </w:t>
            </w:r>
            <w:r w:rsidRPr="00D06F87">
              <w:rPr>
                <w:rFonts w:ascii="Calibri Light" w:hAnsi="Calibri Light" w:cs="Calibri Light"/>
                <w:sz w:val="16"/>
              </w:rPr>
              <w:t>Commonwealth</w:t>
            </w:r>
            <w:r w:rsidRPr="00D06F87">
              <w:rPr>
                <w:rFonts w:ascii="Calibri Light" w:hAnsi="Calibri Light" w:cs="Calibri Light"/>
                <w:spacing w:val="-2"/>
                <w:sz w:val="16"/>
              </w:rPr>
              <w:t xml:space="preserve"> </w:t>
            </w:r>
            <w:r w:rsidRPr="00D06F87">
              <w:rPr>
                <w:rFonts w:ascii="Calibri Light" w:hAnsi="Calibri Light" w:cs="Calibri Light"/>
                <w:sz w:val="16"/>
              </w:rPr>
              <w:t>Bank</w:t>
            </w:r>
            <w:r w:rsidRPr="00D06F87">
              <w:rPr>
                <w:rFonts w:ascii="Calibri Light" w:hAnsi="Calibri Light" w:cs="Calibri Light"/>
                <w:spacing w:val="-2"/>
                <w:sz w:val="16"/>
              </w:rPr>
              <w:t xml:space="preserve"> </w:t>
            </w:r>
            <w:r w:rsidRPr="00D06F87">
              <w:rPr>
                <w:rFonts w:ascii="Calibri Light" w:hAnsi="Calibri Light" w:cs="Calibri Light"/>
                <w:sz w:val="16"/>
              </w:rPr>
              <w:t>of</w:t>
            </w:r>
            <w:r w:rsidRPr="00D06F87">
              <w:rPr>
                <w:rFonts w:ascii="Calibri Light" w:hAnsi="Calibri Light" w:cs="Calibri Light"/>
                <w:spacing w:val="-1"/>
                <w:sz w:val="16"/>
              </w:rPr>
              <w:t xml:space="preserve"> </w:t>
            </w:r>
            <w:r w:rsidRPr="00D06F87">
              <w:rPr>
                <w:rFonts w:ascii="Calibri Light" w:hAnsi="Calibri Light" w:cs="Calibri Light"/>
                <w:spacing w:val="-2"/>
                <w:sz w:val="16"/>
              </w:rPr>
              <w:t>Australia</w:t>
            </w:r>
          </w:p>
        </w:tc>
      </w:tr>
      <w:tr w:rsidR="004D06E9" w14:paraId="4F2D306C" w14:textId="77777777" w:rsidTr="00D06F87">
        <w:trPr>
          <w:trHeight w:val="335"/>
        </w:trPr>
        <w:tc>
          <w:tcPr>
            <w:tcW w:w="1757" w:type="pct"/>
            <w:tcBorders>
              <w:left w:val="nil"/>
              <w:right w:val="single" w:sz="4" w:space="0" w:color="auto"/>
            </w:tcBorders>
          </w:tcPr>
          <w:p w14:paraId="53EF8821"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Assistant</w:t>
            </w:r>
            <w:r w:rsidRPr="00D06F87">
              <w:rPr>
                <w:rFonts w:ascii="Calibri Light" w:hAnsi="Calibri Light" w:cs="Calibri Light"/>
                <w:spacing w:val="2"/>
                <w:sz w:val="16"/>
              </w:rPr>
              <w:t xml:space="preserve"> </w:t>
            </w:r>
            <w:r w:rsidRPr="00D06F87">
              <w:rPr>
                <w:rFonts w:ascii="Calibri Light" w:hAnsi="Calibri Light" w:cs="Calibri Light"/>
                <w:sz w:val="16"/>
              </w:rPr>
              <w:t>Professor</w:t>
            </w:r>
            <w:r w:rsidRPr="00D06F87">
              <w:rPr>
                <w:rFonts w:ascii="Calibri Light" w:hAnsi="Calibri Light" w:cs="Calibri Light"/>
                <w:spacing w:val="3"/>
                <w:sz w:val="16"/>
              </w:rPr>
              <w:t xml:space="preserve"> </w:t>
            </w:r>
            <w:r w:rsidRPr="00D06F87">
              <w:rPr>
                <w:rFonts w:ascii="Calibri Light" w:hAnsi="Calibri Light" w:cs="Calibri Light"/>
                <w:sz w:val="16"/>
              </w:rPr>
              <w:t>Steven</w:t>
            </w:r>
            <w:r w:rsidRPr="00D06F87">
              <w:rPr>
                <w:rFonts w:ascii="Calibri Light" w:hAnsi="Calibri Light" w:cs="Calibri Light"/>
                <w:spacing w:val="3"/>
                <w:sz w:val="16"/>
              </w:rPr>
              <w:t xml:space="preserve"> </w:t>
            </w:r>
            <w:r w:rsidRPr="00D06F87">
              <w:rPr>
                <w:rFonts w:ascii="Calibri Light" w:hAnsi="Calibri Light" w:cs="Calibri Light"/>
                <w:spacing w:val="-2"/>
                <w:sz w:val="16"/>
              </w:rPr>
              <w:t>Hamilton</w:t>
            </w:r>
          </w:p>
        </w:tc>
        <w:tc>
          <w:tcPr>
            <w:tcW w:w="3243" w:type="pct"/>
            <w:tcBorders>
              <w:left w:val="single" w:sz="4" w:space="0" w:color="auto"/>
              <w:right w:val="nil"/>
            </w:tcBorders>
          </w:tcPr>
          <w:p w14:paraId="27464E0E"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George</w:t>
            </w:r>
            <w:r w:rsidRPr="00D06F87">
              <w:rPr>
                <w:rFonts w:ascii="Calibri Light" w:hAnsi="Calibri Light" w:cs="Calibri Light"/>
                <w:spacing w:val="-2"/>
                <w:sz w:val="16"/>
              </w:rPr>
              <w:t xml:space="preserve"> </w:t>
            </w:r>
            <w:r w:rsidRPr="00D06F87">
              <w:rPr>
                <w:rFonts w:ascii="Calibri Light" w:hAnsi="Calibri Light" w:cs="Calibri Light"/>
                <w:sz w:val="16"/>
              </w:rPr>
              <w:t>Washington</w:t>
            </w:r>
            <w:r w:rsidRPr="00D06F87">
              <w:rPr>
                <w:rFonts w:ascii="Calibri Light" w:hAnsi="Calibri Light" w:cs="Calibri Light"/>
                <w:spacing w:val="-1"/>
                <w:sz w:val="16"/>
              </w:rPr>
              <w:t xml:space="preserve"> </w:t>
            </w:r>
            <w:r w:rsidRPr="00D06F87">
              <w:rPr>
                <w:rFonts w:ascii="Calibri Light" w:hAnsi="Calibri Light" w:cs="Calibri Light"/>
                <w:spacing w:val="-2"/>
                <w:sz w:val="16"/>
              </w:rPr>
              <w:t>University</w:t>
            </w:r>
          </w:p>
        </w:tc>
      </w:tr>
      <w:tr w:rsidR="004D06E9" w14:paraId="43E55DED" w14:textId="77777777" w:rsidTr="00D06F87">
        <w:trPr>
          <w:trHeight w:val="335"/>
        </w:trPr>
        <w:tc>
          <w:tcPr>
            <w:tcW w:w="1757" w:type="pct"/>
            <w:tcBorders>
              <w:left w:val="nil"/>
              <w:right w:val="single" w:sz="4" w:space="0" w:color="auto"/>
            </w:tcBorders>
          </w:tcPr>
          <w:p w14:paraId="13A78810"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3"/>
                <w:sz w:val="16"/>
              </w:rPr>
              <w:t xml:space="preserve"> </w:t>
            </w:r>
            <w:r w:rsidRPr="00D06F87">
              <w:rPr>
                <w:rFonts w:ascii="Calibri Light" w:hAnsi="Calibri Light" w:cs="Calibri Light"/>
                <w:sz w:val="16"/>
              </w:rPr>
              <w:t>James</w:t>
            </w:r>
            <w:r w:rsidRPr="00D06F87">
              <w:rPr>
                <w:rFonts w:ascii="Calibri Light" w:hAnsi="Calibri Light" w:cs="Calibri Light"/>
                <w:spacing w:val="-2"/>
                <w:sz w:val="16"/>
              </w:rPr>
              <w:t xml:space="preserve"> Hansen</w:t>
            </w:r>
          </w:p>
        </w:tc>
        <w:tc>
          <w:tcPr>
            <w:tcW w:w="3243" w:type="pct"/>
            <w:tcBorders>
              <w:left w:val="single" w:sz="4" w:space="0" w:color="auto"/>
              <w:right w:val="nil"/>
            </w:tcBorders>
          </w:tcPr>
          <w:p w14:paraId="1D1B85B6"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Melbourne</w:t>
            </w:r>
          </w:p>
        </w:tc>
      </w:tr>
      <w:tr w:rsidR="004D06E9" w14:paraId="3A1F44E2" w14:textId="77777777" w:rsidTr="00D06F87">
        <w:trPr>
          <w:trHeight w:val="335"/>
        </w:trPr>
        <w:tc>
          <w:tcPr>
            <w:tcW w:w="1757" w:type="pct"/>
            <w:tcBorders>
              <w:left w:val="nil"/>
              <w:right w:val="single" w:sz="4" w:space="0" w:color="auto"/>
            </w:tcBorders>
          </w:tcPr>
          <w:p w14:paraId="51511986"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3"/>
                <w:sz w:val="16"/>
              </w:rPr>
              <w:t xml:space="preserve"> </w:t>
            </w:r>
            <w:r w:rsidRPr="00D06F87">
              <w:rPr>
                <w:rFonts w:ascii="Calibri Light" w:hAnsi="Calibri Light" w:cs="Calibri Light"/>
                <w:sz w:val="16"/>
              </w:rPr>
              <w:t>Qazi</w:t>
            </w:r>
            <w:r w:rsidRPr="00D06F87">
              <w:rPr>
                <w:rFonts w:ascii="Calibri Light" w:hAnsi="Calibri Light" w:cs="Calibri Light"/>
                <w:spacing w:val="-3"/>
                <w:sz w:val="16"/>
              </w:rPr>
              <w:t xml:space="preserve"> </w:t>
            </w:r>
            <w:r w:rsidRPr="00D06F87">
              <w:rPr>
                <w:rFonts w:ascii="Calibri Light" w:hAnsi="Calibri Light" w:cs="Calibri Light"/>
                <w:spacing w:val="-2"/>
                <w:sz w:val="16"/>
              </w:rPr>
              <w:t>Haque</w:t>
            </w:r>
          </w:p>
        </w:tc>
        <w:tc>
          <w:tcPr>
            <w:tcW w:w="3243" w:type="pct"/>
            <w:tcBorders>
              <w:left w:val="single" w:sz="4" w:space="0" w:color="auto"/>
              <w:right w:val="nil"/>
            </w:tcBorders>
          </w:tcPr>
          <w:p w14:paraId="2F4D0E03"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1"/>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Adelaide</w:t>
            </w:r>
          </w:p>
        </w:tc>
      </w:tr>
      <w:tr w:rsidR="004D06E9" w14:paraId="05B478F1" w14:textId="77777777" w:rsidTr="00D06F87">
        <w:trPr>
          <w:trHeight w:val="335"/>
        </w:trPr>
        <w:tc>
          <w:tcPr>
            <w:tcW w:w="1757" w:type="pct"/>
            <w:tcBorders>
              <w:left w:val="nil"/>
              <w:right w:val="single" w:sz="4" w:space="0" w:color="auto"/>
            </w:tcBorders>
          </w:tcPr>
          <w:p w14:paraId="5CA269FE"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1"/>
                <w:sz w:val="16"/>
              </w:rPr>
              <w:t xml:space="preserve"> </w:t>
            </w:r>
            <w:r w:rsidRPr="00D06F87">
              <w:rPr>
                <w:rFonts w:ascii="Calibri Light" w:hAnsi="Calibri Light" w:cs="Calibri Light"/>
                <w:sz w:val="16"/>
              </w:rPr>
              <w:t>Timo</w:t>
            </w:r>
            <w:r w:rsidRPr="00D06F87">
              <w:rPr>
                <w:rFonts w:ascii="Calibri Light" w:hAnsi="Calibri Light" w:cs="Calibri Light"/>
                <w:spacing w:val="-1"/>
                <w:sz w:val="16"/>
              </w:rPr>
              <w:t xml:space="preserve"> </w:t>
            </w:r>
            <w:r w:rsidRPr="00D06F87">
              <w:rPr>
                <w:rFonts w:ascii="Calibri Light" w:hAnsi="Calibri Light" w:cs="Calibri Light"/>
                <w:spacing w:val="-2"/>
                <w:sz w:val="16"/>
              </w:rPr>
              <w:t>Henckel</w:t>
            </w:r>
          </w:p>
        </w:tc>
        <w:tc>
          <w:tcPr>
            <w:tcW w:w="3243" w:type="pct"/>
            <w:tcBorders>
              <w:left w:val="single" w:sz="4" w:space="0" w:color="auto"/>
              <w:right w:val="nil"/>
            </w:tcBorders>
          </w:tcPr>
          <w:p w14:paraId="5DC91195"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Australian National </w:t>
            </w:r>
            <w:r w:rsidRPr="00D06F87">
              <w:rPr>
                <w:rFonts w:ascii="Calibri Light" w:hAnsi="Calibri Light" w:cs="Calibri Light"/>
                <w:spacing w:val="-2"/>
                <w:sz w:val="16"/>
              </w:rPr>
              <w:t>University</w:t>
            </w:r>
          </w:p>
        </w:tc>
      </w:tr>
      <w:tr w:rsidR="004D06E9" w14:paraId="1B6A13A1" w14:textId="77777777" w:rsidTr="00D06F87">
        <w:trPr>
          <w:trHeight w:val="335"/>
        </w:trPr>
        <w:tc>
          <w:tcPr>
            <w:tcW w:w="1757" w:type="pct"/>
            <w:tcBorders>
              <w:left w:val="nil"/>
              <w:right w:val="single" w:sz="4" w:space="0" w:color="auto"/>
            </w:tcBorders>
          </w:tcPr>
          <w:p w14:paraId="77907A08"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2"/>
                <w:sz w:val="16"/>
              </w:rPr>
              <w:t xml:space="preserve"> </w:t>
            </w:r>
            <w:r w:rsidRPr="00D06F87">
              <w:rPr>
                <w:rFonts w:ascii="Calibri Light" w:hAnsi="Calibri Light" w:cs="Calibri Light"/>
                <w:sz w:val="16"/>
              </w:rPr>
              <w:t>Richard</w:t>
            </w:r>
            <w:r w:rsidRPr="00D06F87">
              <w:rPr>
                <w:rFonts w:ascii="Calibri Light" w:hAnsi="Calibri Light" w:cs="Calibri Light"/>
                <w:spacing w:val="-2"/>
                <w:sz w:val="16"/>
              </w:rPr>
              <w:t xml:space="preserve"> Holden</w:t>
            </w:r>
          </w:p>
        </w:tc>
        <w:tc>
          <w:tcPr>
            <w:tcW w:w="3243" w:type="pct"/>
            <w:tcBorders>
              <w:left w:val="single" w:sz="4" w:space="0" w:color="auto"/>
              <w:right w:val="nil"/>
            </w:tcBorders>
          </w:tcPr>
          <w:p w14:paraId="7CA685DB"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1"/>
                <w:sz w:val="16"/>
              </w:rPr>
              <w:t xml:space="preserve"> </w:t>
            </w:r>
            <w:r w:rsidRPr="00D06F87">
              <w:rPr>
                <w:rFonts w:ascii="Calibri Light" w:hAnsi="Calibri Light" w:cs="Calibri Light"/>
                <w:sz w:val="16"/>
              </w:rPr>
              <w:t>of</w:t>
            </w:r>
            <w:r w:rsidRPr="00D06F87">
              <w:rPr>
                <w:rFonts w:ascii="Calibri Light" w:hAnsi="Calibri Light" w:cs="Calibri Light"/>
                <w:spacing w:val="2"/>
                <w:sz w:val="16"/>
              </w:rPr>
              <w:t xml:space="preserve"> </w:t>
            </w:r>
            <w:r w:rsidRPr="00D06F87">
              <w:rPr>
                <w:rFonts w:ascii="Calibri Light" w:hAnsi="Calibri Light" w:cs="Calibri Light"/>
                <w:sz w:val="16"/>
              </w:rPr>
              <w:t>New</w:t>
            </w:r>
            <w:r w:rsidRPr="00D06F87">
              <w:rPr>
                <w:rFonts w:ascii="Calibri Light" w:hAnsi="Calibri Light" w:cs="Calibri Light"/>
                <w:spacing w:val="2"/>
                <w:sz w:val="16"/>
              </w:rPr>
              <w:t xml:space="preserve"> </w:t>
            </w:r>
            <w:r w:rsidRPr="00D06F87">
              <w:rPr>
                <w:rFonts w:ascii="Calibri Light" w:hAnsi="Calibri Light" w:cs="Calibri Light"/>
                <w:sz w:val="16"/>
              </w:rPr>
              <w:t>South</w:t>
            </w:r>
            <w:r w:rsidRPr="00D06F87">
              <w:rPr>
                <w:rFonts w:ascii="Calibri Light" w:hAnsi="Calibri Light" w:cs="Calibri Light"/>
                <w:spacing w:val="2"/>
                <w:sz w:val="16"/>
              </w:rPr>
              <w:t xml:space="preserve"> </w:t>
            </w:r>
            <w:r w:rsidRPr="00D06F87">
              <w:rPr>
                <w:rFonts w:ascii="Calibri Light" w:hAnsi="Calibri Light" w:cs="Calibri Light"/>
                <w:spacing w:val="-4"/>
                <w:sz w:val="16"/>
              </w:rPr>
              <w:t>Wales</w:t>
            </w:r>
          </w:p>
        </w:tc>
      </w:tr>
      <w:tr w:rsidR="004D06E9" w14:paraId="69306257" w14:textId="77777777" w:rsidTr="00D06F87">
        <w:trPr>
          <w:trHeight w:val="335"/>
        </w:trPr>
        <w:tc>
          <w:tcPr>
            <w:tcW w:w="1757" w:type="pct"/>
            <w:tcBorders>
              <w:left w:val="nil"/>
              <w:right w:val="single" w:sz="4" w:space="0" w:color="auto"/>
            </w:tcBorders>
          </w:tcPr>
          <w:p w14:paraId="4F7FBEB6"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Andrew</w:t>
            </w:r>
            <w:r w:rsidRPr="00D06F87">
              <w:rPr>
                <w:rFonts w:ascii="Calibri Light" w:hAnsi="Calibri Light" w:cs="Calibri Light"/>
                <w:spacing w:val="-2"/>
                <w:sz w:val="16"/>
              </w:rPr>
              <w:t xml:space="preserve"> Hudson</w:t>
            </w:r>
          </w:p>
        </w:tc>
        <w:tc>
          <w:tcPr>
            <w:tcW w:w="3243" w:type="pct"/>
            <w:tcBorders>
              <w:left w:val="single" w:sz="4" w:space="0" w:color="auto"/>
              <w:right w:val="nil"/>
            </w:tcBorders>
          </w:tcPr>
          <w:p w14:paraId="72C420EF"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CEO,</w:t>
            </w:r>
            <w:r w:rsidRPr="00D06F87">
              <w:rPr>
                <w:rFonts w:ascii="Calibri Light" w:hAnsi="Calibri Light" w:cs="Calibri Light"/>
                <w:spacing w:val="-4"/>
                <w:sz w:val="16"/>
              </w:rPr>
              <w:t xml:space="preserve"> </w:t>
            </w:r>
            <w:r w:rsidRPr="00D06F87">
              <w:rPr>
                <w:rFonts w:ascii="Calibri Light" w:hAnsi="Calibri Light" w:cs="Calibri Light"/>
                <w:sz w:val="16"/>
              </w:rPr>
              <w:t>Centre</w:t>
            </w:r>
            <w:r w:rsidRPr="00D06F87">
              <w:rPr>
                <w:rFonts w:ascii="Calibri Light" w:hAnsi="Calibri Light" w:cs="Calibri Light"/>
                <w:spacing w:val="-3"/>
                <w:sz w:val="16"/>
              </w:rPr>
              <w:t xml:space="preserve"> </w:t>
            </w:r>
            <w:r w:rsidRPr="00D06F87">
              <w:rPr>
                <w:rFonts w:ascii="Calibri Light" w:hAnsi="Calibri Light" w:cs="Calibri Light"/>
                <w:sz w:val="16"/>
              </w:rPr>
              <w:t>for</w:t>
            </w:r>
            <w:r w:rsidRPr="00D06F87">
              <w:rPr>
                <w:rFonts w:ascii="Calibri Light" w:hAnsi="Calibri Light" w:cs="Calibri Light"/>
                <w:spacing w:val="-3"/>
                <w:sz w:val="16"/>
              </w:rPr>
              <w:t xml:space="preserve"> </w:t>
            </w:r>
            <w:r w:rsidRPr="00D06F87">
              <w:rPr>
                <w:rFonts w:ascii="Calibri Light" w:hAnsi="Calibri Light" w:cs="Calibri Light"/>
                <w:sz w:val="16"/>
              </w:rPr>
              <w:t>Policy</w:t>
            </w:r>
            <w:r w:rsidRPr="00D06F87">
              <w:rPr>
                <w:rFonts w:ascii="Calibri Light" w:hAnsi="Calibri Light" w:cs="Calibri Light"/>
                <w:spacing w:val="-3"/>
                <w:sz w:val="16"/>
              </w:rPr>
              <w:t xml:space="preserve"> </w:t>
            </w:r>
            <w:r w:rsidRPr="00D06F87">
              <w:rPr>
                <w:rFonts w:ascii="Calibri Light" w:hAnsi="Calibri Light" w:cs="Calibri Light"/>
                <w:spacing w:val="-2"/>
                <w:sz w:val="16"/>
              </w:rPr>
              <w:t>Development</w:t>
            </w:r>
          </w:p>
        </w:tc>
      </w:tr>
      <w:tr w:rsidR="004D06E9" w14:paraId="210AEAE4" w14:textId="77777777" w:rsidTr="00D06F87">
        <w:trPr>
          <w:trHeight w:val="335"/>
        </w:trPr>
        <w:tc>
          <w:tcPr>
            <w:tcW w:w="1757" w:type="pct"/>
            <w:tcBorders>
              <w:left w:val="nil"/>
              <w:right w:val="single" w:sz="4" w:space="0" w:color="auto"/>
            </w:tcBorders>
          </w:tcPr>
          <w:p w14:paraId="003984A4"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Rodney</w:t>
            </w:r>
            <w:r w:rsidRPr="00D06F87">
              <w:rPr>
                <w:rFonts w:ascii="Calibri Light" w:hAnsi="Calibri Light" w:cs="Calibri Light"/>
                <w:spacing w:val="-4"/>
                <w:sz w:val="16"/>
              </w:rPr>
              <w:t xml:space="preserve"> </w:t>
            </w:r>
            <w:r w:rsidRPr="00D06F87">
              <w:rPr>
                <w:rFonts w:ascii="Calibri Light" w:hAnsi="Calibri Light" w:cs="Calibri Light"/>
                <w:spacing w:val="-2"/>
                <w:sz w:val="16"/>
              </w:rPr>
              <w:t>Jones</w:t>
            </w:r>
          </w:p>
        </w:tc>
        <w:tc>
          <w:tcPr>
            <w:tcW w:w="3243" w:type="pct"/>
            <w:tcBorders>
              <w:left w:val="single" w:sz="4" w:space="0" w:color="auto"/>
              <w:right w:val="nil"/>
            </w:tcBorders>
          </w:tcPr>
          <w:p w14:paraId="39A243AC"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Principal,</w:t>
            </w:r>
            <w:r w:rsidRPr="00D06F87">
              <w:rPr>
                <w:rFonts w:ascii="Calibri Light" w:hAnsi="Calibri Light" w:cs="Calibri Light"/>
                <w:spacing w:val="1"/>
                <w:sz w:val="16"/>
              </w:rPr>
              <w:t xml:space="preserve"> </w:t>
            </w:r>
            <w:r w:rsidRPr="00D06F87">
              <w:rPr>
                <w:rFonts w:ascii="Calibri Light" w:hAnsi="Calibri Light" w:cs="Calibri Light"/>
                <w:sz w:val="16"/>
              </w:rPr>
              <w:t>Wigram</w:t>
            </w:r>
            <w:r w:rsidRPr="00D06F87">
              <w:rPr>
                <w:rFonts w:ascii="Calibri Light" w:hAnsi="Calibri Light" w:cs="Calibri Light"/>
                <w:spacing w:val="1"/>
                <w:sz w:val="16"/>
              </w:rPr>
              <w:t xml:space="preserve"> </w:t>
            </w:r>
            <w:r w:rsidRPr="00D06F87">
              <w:rPr>
                <w:rFonts w:ascii="Calibri Light" w:hAnsi="Calibri Light" w:cs="Calibri Light"/>
                <w:sz w:val="16"/>
              </w:rPr>
              <w:t>Capital</w:t>
            </w:r>
            <w:r w:rsidRPr="00D06F87">
              <w:rPr>
                <w:rFonts w:ascii="Calibri Light" w:hAnsi="Calibri Light" w:cs="Calibri Light"/>
                <w:spacing w:val="2"/>
                <w:sz w:val="16"/>
              </w:rPr>
              <w:t xml:space="preserve"> </w:t>
            </w:r>
            <w:r w:rsidRPr="00D06F87">
              <w:rPr>
                <w:rFonts w:ascii="Calibri Light" w:hAnsi="Calibri Light" w:cs="Calibri Light"/>
                <w:spacing w:val="-2"/>
                <w:sz w:val="16"/>
              </w:rPr>
              <w:t>Advisors</w:t>
            </w:r>
          </w:p>
        </w:tc>
      </w:tr>
      <w:tr w:rsidR="004D06E9" w14:paraId="5B595191" w14:textId="77777777" w:rsidTr="00D06F87">
        <w:trPr>
          <w:trHeight w:val="335"/>
        </w:trPr>
        <w:tc>
          <w:tcPr>
            <w:tcW w:w="1757" w:type="pct"/>
            <w:tcBorders>
              <w:left w:val="nil"/>
              <w:right w:val="single" w:sz="4" w:space="0" w:color="auto"/>
            </w:tcBorders>
          </w:tcPr>
          <w:p w14:paraId="3AE1E0AE"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4"/>
                <w:sz w:val="16"/>
              </w:rPr>
              <w:t xml:space="preserve"> </w:t>
            </w:r>
            <w:r w:rsidRPr="00D06F87">
              <w:rPr>
                <w:rFonts w:ascii="Calibri Light" w:hAnsi="Calibri Light" w:cs="Calibri Light"/>
                <w:sz w:val="16"/>
              </w:rPr>
              <w:t>Kenichiro</w:t>
            </w:r>
            <w:r w:rsidRPr="00D06F87">
              <w:rPr>
                <w:rFonts w:ascii="Calibri Light" w:hAnsi="Calibri Light" w:cs="Calibri Light"/>
                <w:spacing w:val="-4"/>
                <w:sz w:val="16"/>
              </w:rPr>
              <w:t xml:space="preserve"> </w:t>
            </w:r>
            <w:r w:rsidRPr="00D06F87">
              <w:rPr>
                <w:rFonts w:ascii="Calibri Light" w:hAnsi="Calibri Light" w:cs="Calibri Light"/>
                <w:spacing w:val="-2"/>
                <w:sz w:val="16"/>
              </w:rPr>
              <w:t>Kashiwase</w:t>
            </w:r>
          </w:p>
        </w:tc>
        <w:tc>
          <w:tcPr>
            <w:tcW w:w="3243" w:type="pct"/>
            <w:tcBorders>
              <w:left w:val="single" w:sz="4" w:space="0" w:color="auto"/>
              <w:right w:val="nil"/>
            </w:tcBorders>
          </w:tcPr>
          <w:p w14:paraId="0675415D"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IMF</w:t>
            </w:r>
            <w:r w:rsidRPr="00D06F87">
              <w:rPr>
                <w:rFonts w:ascii="Calibri Light" w:hAnsi="Calibri Light" w:cs="Calibri Light"/>
                <w:spacing w:val="-5"/>
                <w:sz w:val="16"/>
              </w:rPr>
              <w:t xml:space="preserve"> </w:t>
            </w:r>
            <w:r w:rsidRPr="00D06F87">
              <w:rPr>
                <w:rFonts w:ascii="Calibri Light" w:hAnsi="Calibri Light" w:cs="Calibri Light"/>
                <w:sz w:val="16"/>
              </w:rPr>
              <w:t>Mission</w:t>
            </w:r>
            <w:r w:rsidRPr="00D06F87">
              <w:rPr>
                <w:rFonts w:ascii="Calibri Light" w:hAnsi="Calibri Light" w:cs="Calibri Light"/>
                <w:spacing w:val="-2"/>
                <w:sz w:val="16"/>
              </w:rPr>
              <w:t xml:space="preserve"> </w:t>
            </w:r>
            <w:r w:rsidRPr="00D06F87">
              <w:rPr>
                <w:rFonts w:ascii="Calibri Light" w:hAnsi="Calibri Light" w:cs="Calibri Light"/>
                <w:spacing w:val="-4"/>
                <w:sz w:val="16"/>
              </w:rPr>
              <w:t>Team</w:t>
            </w:r>
          </w:p>
        </w:tc>
      </w:tr>
      <w:tr w:rsidR="004D06E9" w14:paraId="6E3533BF" w14:textId="77777777" w:rsidTr="00D06F87">
        <w:trPr>
          <w:trHeight w:val="335"/>
        </w:trPr>
        <w:tc>
          <w:tcPr>
            <w:tcW w:w="1757" w:type="pct"/>
            <w:tcBorders>
              <w:left w:val="nil"/>
              <w:right w:val="single" w:sz="4" w:space="0" w:color="auto"/>
            </w:tcBorders>
          </w:tcPr>
          <w:p w14:paraId="0C9B1E24"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1"/>
                <w:sz w:val="16"/>
              </w:rPr>
              <w:t xml:space="preserve"> </w:t>
            </w:r>
            <w:r w:rsidRPr="00D06F87">
              <w:rPr>
                <w:rFonts w:ascii="Calibri Light" w:hAnsi="Calibri Light" w:cs="Calibri Light"/>
                <w:sz w:val="16"/>
              </w:rPr>
              <w:t>Anil</w:t>
            </w:r>
            <w:r w:rsidRPr="00D06F87">
              <w:rPr>
                <w:rFonts w:ascii="Calibri Light" w:hAnsi="Calibri Light" w:cs="Calibri Light"/>
                <w:spacing w:val="-1"/>
                <w:sz w:val="16"/>
              </w:rPr>
              <w:t xml:space="preserve"> </w:t>
            </w:r>
            <w:r w:rsidRPr="00D06F87">
              <w:rPr>
                <w:rFonts w:ascii="Calibri Light" w:hAnsi="Calibri Light" w:cs="Calibri Light"/>
                <w:spacing w:val="-2"/>
                <w:sz w:val="16"/>
              </w:rPr>
              <w:t>Kashyap</w:t>
            </w:r>
          </w:p>
        </w:tc>
        <w:tc>
          <w:tcPr>
            <w:tcW w:w="3243" w:type="pct"/>
            <w:tcBorders>
              <w:left w:val="single" w:sz="4" w:space="0" w:color="auto"/>
              <w:right w:val="nil"/>
            </w:tcBorders>
          </w:tcPr>
          <w:p w14:paraId="35E00539"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Chicago</w:t>
            </w:r>
          </w:p>
        </w:tc>
      </w:tr>
      <w:tr w:rsidR="004D06E9" w14:paraId="724EE235" w14:textId="77777777" w:rsidTr="00D06F87">
        <w:trPr>
          <w:trHeight w:val="335"/>
        </w:trPr>
        <w:tc>
          <w:tcPr>
            <w:tcW w:w="1757" w:type="pct"/>
            <w:tcBorders>
              <w:left w:val="nil"/>
              <w:right w:val="single" w:sz="4" w:space="0" w:color="auto"/>
            </w:tcBorders>
          </w:tcPr>
          <w:p w14:paraId="0A0F10A3"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Lord</w:t>
            </w:r>
            <w:r w:rsidRPr="00D06F87">
              <w:rPr>
                <w:rFonts w:ascii="Calibri Light" w:hAnsi="Calibri Light" w:cs="Calibri Light"/>
                <w:spacing w:val="4"/>
                <w:sz w:val="16"/>
              </w:rPr>
              <w:t xml:space="preserve"> </w:t>
            </w:r>
            <w:r w:rsidRPr="00D06F87">
              <w:rPr>
                <w:rFonts w:ascii="Calibri Light" w:hAnsi="Calibri Light" w:cs="Calibri Light"/>
                <w:sz w:val="16"/>
              </w:rPr>
              <w:t>Mervyn</w:t>
            </w:r>
            <w:r w:rsidRPr="00D06F87">
              <w:rPr>
                <w:rFonts w:ascii="Calibri Light" w:hAnsi="Calibri Light" w:cs="Calibri Light"/>
                <w:spacing w:val="6"/>
                <w:sz w:val="16"/>
              </w:rPr>
              <w:t xml:space="preserve"> </w:t>
            </w:r>
            <w:r w:rsidRPr="00D06F87">
              <w:rPr>
                <w:rFonts w:ascii="Calibri Light" w:hAnsi="Calibri Light" w:cs="Calibri Light"/>
                <w:spacing w:val="-4"/>
                <w:sz w:val="16"/>
              </w:rPr>
              <w:t>King</w:t>
            </w:r>
          </w:p>
        </w:tc>
        <w:tc>
          <w:tcPr>
            <w:tcW w:w="3243" w:type="pct"/>
            <w:tcBorders>
              <w:left w:val="single" w:sz="4" w:space="0" w:color="auto"/>
              <w:right w:val="nil"/>
            </w:tcBorders>
          </w:tcPr>
          <w:p w14:paraId="7EFE0691"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Former</w:t>
            </w:r>
            <w:r w:rsidRPr="00D06F87">
              <w:rPr>
                <w:rFonts w:ascii="Calibri Light" w:hAnsi="Calibri Light" w:cs="Calibri Light"/>
                <w:spacing w:val="-4"/>
                <w:sz w:val="16"/>
              </w:rPr>
              <w:t xml:space="preserve"> </w:t>
            </w:r>
            <w:r w:rsidRPr="00D06F87">
              <w:rPr>
                <w:rFonts w:ascii="Calibri Light" w:hAnsi="Calibri Light" w:cs="Calibri Light"/>
                <w:sz w:val="16"/>
              </w:rPr>
              <w:t>Bank</w:t>
            </w:r>
            <w:r w:rsidRPr="00D06F87">
              <w:rPr>
                <w:rFonts w:ascii="Calibri Light" w:hAnsi="Calibri Light" w:cs="Calibri Light"/>
                <w:spacing w:val="-1"/>
                <w:sz w:val="16"/>
              </w:rPr>
              <w:t xml:space="preserve"> </w:t>
            </w:r>
            <w:r w:rsidRPr="00D06F87">
              <w:rPr>
                <w:rFonts w:ascii="Calibri Light" w:hAnsi="Calibri Light" w:cs="Calibri Light"/>
                <w:sz w:val="16"/>
              </w:rPr>
              <w:t>of</w:t>
            </w:r>
            <w:r w:rsidRPr="00D06F87">
              <w:rPr>
                <w:rFonts w:ascii="Calibri Light" w:hAnsi="Calibri Light" w:cs="Calibri Light"/>
                <w:spacing w:val="-1"/>
                <w:sz w:val="16"/>
              </w:rPr>
              <w:t xml:space="preserve"> </w:t>
            </w:r>
            <w:r w:rsidRPr="00D06F87">
              <w:rPr>
                <w:rFonts w:ascii="Calibri Light" w:hAnsi="Calibri Light" w:cs="Calibri Light"/>
                <w:sz w:val="16"/>
              </w:rPr>
              <w:t>England</w:t>
            </w:r>
            <w:r w:rsidRPr="00D06F87">
              <w:rPr>
                <w:rFonts w:ascii="Calibri Light" w:hAnsi="Calibri Light" w:cs="Calibri Light"/>
                <w:spacing w:val="-1"/>
                <w:sz w:val="16"/>
              </w:rPr>
              <w:t xml:space="preserve"> </w:t>
            </w:r>
            <w:r w:rsidRPr="00D06F87">
              <w:rPr>
                <w:rFonts w:ascii="Calibri Light" w:hAnsi="Calibri Light" w:cs="Calibri Light"/>
                <w:spacing w:val="-2"/>
                <w:sz w:val="16"/>
              </w:rPr>
              <w:t>Governor</w:t>
            </w:r>
          </w:p>
        </w:tc>
      </w:tr>
      <w:tr w:rsidR="004D06E9" w14:paraId="6C226199" w14:textId="77777777" w:rsidTr="00D06F87">
        <w:trPr>
          <w:trHeight w:val="335"/>
        </w:trPr>
        <w:tc>
          <w:tcPr>
            <w:tcW w:w="1757" w:type="pct"/>
            <w:tcBorders>
              <w:left w:val="nil"/>
              <w:right w:val="single" w:sz="4" w:space="0" w:color="auto"/>
            </w:tcBorders>
          </w:tcPr>
          <w:p w14:paraId="5748FD12"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5"/>
                <w:sz w:val="16"/>
              </w:rPr>
              <w:t xml:space="preserve"> </w:t>
            </w:r>
            <w:r w:rsidRPr="00D06F87">
              <w:rPr>
                <w:rFonts w:ascii="Calibri Light" w:hAnsi="Calibri Light" w:cs="Calibri Light"/>
                <w:sz w:val="16"/>
              </w:rPr>
              <w:t>Stephen</w:t>
            </w:r>
            <w:r w:rsidRPr="00D06F87">
              <w:rPr>
                <w:rFonts w:ascii="Calibri Light" w:hAnsi="Calibri Light" w:cs="Calibri Light"/>
                <w:spacing w:val="-3"/>
                <w:sz w:val="16"/>
              </w:rPr>
              <w:t xml:space="preserve"> </w:t>
            </w:r>
            <w:r w:rsidRPr="00D06F87">
              <w:rPr>
                <w:rFonts w:ascii="Calibri Light" w:hAnsi="Calibri Light" w:cs="Calibri Light"/>
                <w:spacing w:val="-2"/>
                <w:sz w:val="16"/>
              </w:rPr>
              <w:t>Kirchner</w:t>
            </w:r>
          </w:p>
        </w:tc>
        <w:tc>
          <w:tcPr>
            <w:tcW w:w="3243" w:type="pct"/>
            <w:tcBorders>
              <w:left w:val="single" w:sz="4" w:space="0" w:color="auto"/>
              <w:right w:val="nil"/>
            </w:tcBorders>
          </w:tcPr>
          <w:p w14:paraId="26217215"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Sydney</w:t>
            </w:r>
          </w:p>
        </w:tc>
      </w:tr>
      <w:tr w:rsidR="004D06E9" w14:paraId="08DD059A" w14:textId="77777777" w:rsidTr="00D06F87">
        <w:trPr>
          <w:trHeight w:val="335"/>
        </w:trPr>
        <w:tc>
          <w:tcPr>
            <w:tcW w:w="1757" w:type="pct"/>
            <w:tcBorders>
              <w:left w:val="nil"/>
              <w:right w:val="single" w:sz="4" w:space="0" w:color="auto"/>
            </w:tcBorders>
          </w:tcPr>
          <w:p w14:paraId="7E071FD7"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Alan</w:t>
            </w:r>
            <w:r w:rsidRPr="00D06F87">
              <w:rPr>
                <w:rFonts w:ascii="Calibri Light" w:hAnsi="Calibri Light" w:cs="Calibri Light"/>
                <w:spacing w:val="-2"/>
                <w:sz w:val="16"/>
              </w:rPr>
              <w:t xml:space="preserve"> Kirkland</w:t>
            </w:r>
          </w:p>
        </w:tc>
        <w:tc>
          <w:tcPr>
            <w:tcW w:w="3243" w:type="pct"/>
            <w:tcBorders>
              <w:left w:val="single" w:sz="4" w:space="0" w:color="auto"/>
              <w:right w:val="nil"/>
            </w:tcBorders>
          </w:tcPr>
          <w:p w14:paraId="725D85A5"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CEO,</w:t>
            </w:r>
            <w:r w:rsidRPr="00D06F87">
              <w:rPr>
                <w:rFonts w:ascii="Calibri Light" w:hAnsi="Calibri Light" w:cs="Calibri Light"/>
                <w:spacing w:val="-5"/>
                <w:sz w:val="16"/>
              </w:rPr>
              <w:t xml:space="preserve"> </w:t>
            </w:r>
            <w:r w:rsidRPr="00D06F87">
              <w:rPr>
                <w:rFonts w:ascii="Calibri Light" w:hAnsi="Calibri Light" w:cs="Calibri Light"/>
                <w:spacing w:val="-2"/>
                <w:sz w:val="16"/>
              </w:rPr>
              <w:t>CHOICE</w:t>
            </w:r>
          </w:p>
        </w:tc>
      </w:tr>
      <w:tr w:rsidR="004D06E9" w14:paraId="18E99636" w14:textId="77777777" w:rsidTr="00D06F87">
        <w:trPr>
          <w:trHeight w:val="335"/>
        </w:trPr>
        <w:tc>
          <w:tcPr>
            <w:tcW w:w="1757" w:type="pct"/>
            <w:tcBorders>
              <w:left w:val="nil"/>
              <w:right w:val="single" w:sz="4" w:space="0" w:color="auto"/>
            </w:tcBorders>
          </w:tcPr>
          <w:p w14:paraId="222CA5C3"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5"/>
                <w:sz w:val="16"/>
              </w:rPr>
              <w:t xml:space="preserve"> </w:t>
            </w:r>
            <w:r w:rsidRPr="00D06F87">
              <w:rPr>
                <w:rFonts w:ascii="Calibri Light" w:hAnsi="Calibri Light" w:cs="Calibri Light"/>
                <w:sz w:val="16"/>
              </w:rPr>
              <w:t>Donald</w:t>
            </w:r>
            <w:r w:rsidRPr="00D06F87">
              <w:rPr>
                <w:rFonts w:ascii="Calibri Light" w:hAnsi="Calibri Light" w:cs="Calibri Light"/>
                <w:spacing w:val="-2"/>
                <w:sz w:val="16"/>
              </w:rPr>
              <w:t xml:space="preserve"> </w:t>
            </w:r>
            <w:r w:rsidRPr="00D06F87">
              <w:rPr>
                <w:rFonts w:ascii="Calibri Light" w:hAnsi="Calibri Light" w:cs="Calibri Light"/>
                <w:spacing w:val="-4"/>
                <w:sz w:val="16"/>
              </w:rPr>
              <w:t>Kohn</w:t>
            </w:r>
          </w:p>
        </w:tc>
        <w:tc>
          <w:tcPr>
            <w:tcW w:w="3243" w:type="pct"/>
            <w:tcBorders>
              <w:left w:val="single" w:sz="4" w:space="0" w:color="auto"/>
              <w:right w:val="nil"/>
            </w:tcBorders>
          </w:tcPr>
          <w:p w14:paraId="25DFE1E3"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Former Vice Chair Federal </w:t>
            </w:r>
            <w:r w:rsidRPr="00D06F87">
              <w:rPr>
                <w:rFonts w:ascii="Calibri Light" w:hAnsi="Calibri Light" w:cs="Calibri Light"/>
                <w:spacing w:val="-2"/>
                <w:sz w:val="16"/>
              </w:rPr>
              <w:t>Reserve</w:t>
            </w:r>
          </w:p>
        </w:tc>
      </w:tr>
      <w:tr w:rsidR="004D06E9" w14:paraId="1D16E657" w14:textId="77777777" w:rsidTr="00D06F87">
        <w:trPr>
          <w:trHeight w:val="335"/>
        </w:trPr>
        <w:tc>
          <w:tcPr>
            <w:tcW w:w="1757" w:type="pct"/>
            <w:tcBorders>
              <w:left w:val="nil"/>
              <w:right w:val="single" w:sz="4" w:space="0" w:color="auto"/>
            </w:tcBorders>
          </w:tcPr>
          <w:p w14:paraId="543459CD"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1"/>
                <w:sz w:val="16"/>
              </w:rPr>
              <w:t xml:space="preserve"> </w:t>
            </w:r>
            <w:r w:rsidRPr="00D06F87">
              <w:rPr>
                <w:rFonts w:ascii="Calibri Light" w:hAnsi="Calibri Light" w:cs="Calibri Light"/>
                <w:sz w:val="16"/>
              </w:rPr>
              <w:t>Siddarth</w:t>
            </w:r>
            <w:r w:rsidRPr="00D06F87">
              <w:rPr>
                <w:rFonts w:ascii="Calibri Light" w:hAnsi="Calibri Light" w:cs="Calibri Light"/>
                <w:spacing w:val="1"/>
                <w:sz w:val="16"/>
              </w:rPr>
              <w:t xml:space="preserve"> </w:t>
            </w:r>
            <w:r w:rsidRPr="00D06F87">
              <w:rPr>
                <w:rFonts w:ascii="Calibri Light" w:hAnsi="Calibri Light" w:cs="Calibri Light"/>
                <w:spacing w:val="-2"/>
                <w:sz w:val="16"/>
              </w:rPr>
              <w:t>Kothari</w:t>
            </w:r>
          </w:p>
        </w:tc>
        <w:tc>
          <w:tcPr>
            <w:tcW w:w="3243" w:type="pct"/>
            <w:tcBorders>
              <w:left w:val="single" w:sz="4" w:space="0" w:color="auto"/>
              <w:right w:val="nil"/>
            </w:tcBorders>
          </w:tcPr>
          <w:p w14:paraId="7765F28C"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IMF</w:t>
            </w:r>
            <w:r w:rsidRPr="00D06F87">
              <w:rPr>
                <w:rFonts w:ascii="Calibri Light" w:hAnsi="Calibri Light" w:cs="Calibri Light"/>
                <w:spacing w:val="-5"/>
                <w:sz w:val="16"/>
              </w:rPr>
              <w:t xml:space="preserve"> </w:t>
            </w:r>
            <w:r w:rsidRPr="00D06F87">
              <w:rPr>
                <w:rFonts w:ascii="Calibri Light" w:hAnsi="Calibri Light" w:cs="Calibri Light"/>
                <w:sz w:val="16"/>
              </w:rPr>
              <w:t>Mission</w:t>
            </w:r>
            <w:r w:rsidRPr="00D06F87">
              <w:rPr>
                <w:rFonts w:ascii="Calibri Light" w:hAnsi="Calibri Light" w:cs="Calibri Light"/>
                <w:spacing w:val="-2"/>
                <w:sz w:val="16"/>
              </w:rPr>
              <w:t xml:space="preserve"> </w:t>
            </w:r>
            <w:r w:rsidRPr="00D06F87">
              <w:rPr>
                <w:rFonts w:ascii="Calibri Light" w:hAnsi="Calibri Light" w:cs="Calibri Light"/>
                <w:spacing w:val="-4"/>
                <w:sz w:val="16"/>
              </w:rPr>
              <w:t>Team</w:t>
            </w:r>
          </w:p>
        </w:tc>
      </w:tr>
      <w:tr w:rsidR="004D06E9" w14:paraId="0ED5885D" w14:textId="77777777" w:rsidTr="00D06F87">
        <w:trPr>
          <w:trHeight w:val="335"/>
        </w:trPr>
        <w:tc>
          <w:tcPr>
            <w:tcW w:w="1757" w:type="pct"/>
            <w:tcBorders>
              <w:left w:val="nil"/>
              <w:right w:val="single" w:sz="4" w:space="0" w:color="auto"/>
            </w:tcBorders>
          </w:tcPr>
          <w:p w14:paraId="128F464A"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4"/>
                <w:sz w:val="16"/>
              </w:rPr>
              <w:t xml:space="preserve"> </w:t>
            </w:r>
            <w:r w:rsidRPr="00D06F87">
              <w:rPr>
                <w:rFonts w:ascii="Calibri Light" w:hAnsi="Calibri Light" w:cs="Calibri Light"/>
                <w:sz w:val="16"/>
              </w:rPr>
              <w:t>Mariano</w:t>
            </w:r>
            <w:r w:rsidRPr="00D06F87">
              <w:rPr>
                <w:rFonts w:ascii="Calibri Light" w:hAnsi="Calibri Light" w:cs="Calibri Light"/>
                <w:spacing w:val="-2"/>
                <w:sz w:val="16"/>
              </w:rPr>
              <w:t xml:space="preserve"> Kulish</w:t>
            </w:r>
          </w:p>
        </w:tc>
        <w:tc>
          <w:tcPr>
            <w:tcW w:w="3243" w:type="pct"/>
            <w:tcBorders>
              <w:left w:val="single" w:sz="4" w:space="0" w:color="auto"/>
              <w:right w:val="nil"/>
            </w:tcBorders>
          </w:tcPr>
          <w:p w14:paraId="1D883E94"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Sydney</w:t>
            </w:r>
          </w:p>
        </w:tc>
      </w:tr>
      <w:tr w:rsidR="004D06E9" w14:paraId="0ADD2970" w14:textId="77777777" w:rsidTr="00D06F87">
        <w:trPr>
          <w:trHeight w:val="335"/>
        </w:trPr>
        <w:tc>
          <w:tcPr>
            <w:tcW w:w="1757" w:type="pct"/>
            <w:tcBorders>
              <w:left w:val="nil"/>
              <w:right w:val="single" w:sz="4" w:space="0" w:color="auto"/>
            </w:tcBorders>
          </w:tcPr>
          <w:p w14:paraId="30DD0E09"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5"/>
                <w:sz w:val="16"/>
              </w:rPr>
              <w:t xml:space="preserve"> </w:t>
            </w:r>
            <w:r w:rsidRPr="00D06F87">
              <w:rPr>
                <w:rFonts w:ascii="Calibri Light" w:hAnsi="Calibri Light" w:cs="Calibri Light"/>
                <w:sz w:val="16"/>
              </w:rPr>
              <w:t>Eric</w:t>
            </w:r>
            <w:r w:rsidRPr="00D06F87">
              <w:rPr>
                <w:rFonts w:ascii="Calibri Light" w:hAnsi="Calibri Light" w:cs="Calibri Light"/>
                <w:spacing w:val="-2"/>
                <w:sz w:val="16"/>
              </w:rPr>
              <w:t xml:space="preserve"> Leeper</w:t>
            </w:r>
          </w:p>
        </w:tc>
        <w:tc>
          <w:tcPr>
            <w:tcW w:w="3243" w:type="pct"/>
            <w:tcBorders>
              <w:left w:val="single" w:sz="4" w:space="0" w:color="auto"/>
              <w:right w:val="nil"/>
            </w:tcBorders>
          </w:tcPr>
          <w:p w14:paraId="2B70363A"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1"/>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Virginia</w:t>
            </w:r>
          </w:p>
        </w:tc>
      </w:tr>
      <w:tr w:rsidR="004D06E9" w14:paraId="0F964193" w14:textId="77777777" w:rsidTr="00D06F87">
        <w:trPr>
          <w:trHeight w:val="335"/>
        </w:trPr>
        <w:tc>
          <w:tcPr>
            <w:tcW w:w="1757" w:type="pct"/>
            <w:tcBorders>
              <w:left w:val="nil"/>
              <w:bottom w:val="single" w:sz="2" w:space="0" w:color="7F859B"/>
              <w:right w:val="single" w:sz="4" w:space="0" w:color="auto"/>
            </w:tcBorders>
          </w:tcPr>
          <w:p w14:paraId="618B6369"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3"/>
                <w:sz w:val="16"/>
              </w:rPr>
              <w:t xml:space="preserve"> </w:t>
            </w:r>
            <w:r w:rsidRPr="00D06F87">
              <w:rPr>
                <w:rFonts w:ascii="Calibri Light" w:hAnsi="Calibri Light" w:cs="Calibri Light"/>
                <w:sz w:val="16"/>
              </w:rPr>
              <w:t>Andrew</w:t>
            </w:r>
            <w:r w:rsidRPr="00D06F87">
              <w:rPr>
                <w:rFonts w:ascii="Calibri Light" w:hAnsi="Calibri Light" w:cs="Calibri Light"/>
                <w:spacing w:val="-1"/>
                <w:sz w:val="16"/>
              </w:rPr>
              <w:t xml:space="preserve"> </w:t>
            </w:r>
            <w:r w:rsidRPr="00D06F87">
              <w:rPr>
                <w:rFonts w:ascii="Calibri Light" w:hAnsi="Calibri Light" w:cs="Calibri Light"/>
                <w:spacing w:val="-4"/>
                <w:sz w:val="16"/>
              </w:rPr>
              <w:t>Levin</w:t>
            </w:r>
          </w:p>
        </w:tc>
        <w:tc>
          <w:tcPr>
            <w:tcW w:w="3243" w:type="pct"/>
            <w:tcBorders>
              <w:left w:val="single" w:sz="4" w:space="0" w:color="auto"/>
              <w:bottom w:val="single" w:sz="2" w:space="0" w:color="7F859B"/>
              <w:right w:val="nil"/>
            </w:tcBorders>
          </w:tcPr>
          <w:p w14:paraId="3B71960D"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Dartmouth</w:t>
            </w:r>
            <w:r w:rsidRPr="00D06F87">
              <w:rPr>
                <w:rFonts w:ascii="Calibri Light" w:hAnsi="Calibri Light" w:cs="Calibri Light"/>
                <w:spacing w:val="9"/>
                <w:sz w:val="16"/>
              </w:rPr>
              <w:t xml:space="preserve"> </w:t>
            </w:r>
            <w:r w:rsidRPr="00D06F87">
              <w:rPr>
                <w:rFonts w:ascii="Calibri Light" w:hAnsi="Calibri Light" w:cs="Calibri Light"/>
                <w:spacing w:val="-2"/>
                <w:sz w:val="16"/>
              </w:rPr>
              <w:t>College</w:t>
            </w:r>
          </w:p>
        </w:tc>
      </w:tr>
      <w:tr w:rsidR="004D06E9" w14:paraId="37479815" w14:textId="77777777" w:rsidTr="00D06F87">
        <w:trPr>
          <w:trHeight w:val="335"/>
        </w:trPr>
        <w:tc>
          <w:tcPr>
            <w:tcW w:w="1757" w:type="pct"/>
            <w:tcBorders>
              <w:top w:val="single" w:sz="2" w:space="0" w:color="7F859B"/>
              <w:left w:val="nil"/>
              <w:right w:val="single" w:sz="4" w:space="0" w:color="auto"/>
            </w:tcBorders>
          </w:tcPr>
          <w:p w14:paraId="125E5782"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4"/>
                <w:sz w:val="16"/>
              </w:rPr>
              <w:t xml:space="preserve"> </w:t>
            </w:r>
            <w:r w:rsidRPr="00D06F87">
              <w:rPr>
                <w:rFonts w:ascii="Calibri Light" w:hAnsi="Calibri Light" w:cs="Calibri Light"/>
                <w:sz w:val="16"/>
              </w:rPr>
              <w:t>Guay</w:t>
            </w:r>
            <w:r w:rsidRPr="00D06F87">
              <w:rPr>
                <w:rFonts w:ascii="Calibri Light" w:hAnsi="Calibri Light" w:cs="Calibri Light"/>
                <w:spacing w:val="-2"/>
                <w:sz w:val="16"/>
              </w:rPr>
              <w:t xml:space="preserve"> </w:t>
            </w:r>
            <w:r w:rsidRPr="00D06F87">
              <w:rPr>
                <w:rFonts w:ascii="Calibri Light" w:hAnsi="Calibri Light" w:cs="Calibri Light"/>
                <w:spacing w:val="-5"/>
                <w:sz w:val="16"/>
              </w:rPr>
              <w:t>Lim</w:t>
            </w:r>
          </w:p>
        </w:tc>
        <w:tc>
          <w:tcPr>
            <w:tcW w:w="3243" w:type="pct"/>
            <w:tcBorders>
              <w:top w:val="single" w:sz="2" w:space="0" w:color="7F859B"/>
              <w:left w:val="single" w:sz="4" w:space="0" w:color="auto"/>
              <w:right w:val="nil"/>
            </w:tcBorders>
          </w:tcPr>
          <w:p w14:paraId="484FC50E"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Melbourne </w:t>
            </w:r>
            <w:r w:rsidRPr="00D06F87">
              <w:rPr>
                <w:rFonts w:ascii="Calibri Light" w:hAnsi="Calibri Light" w:cs="Calibri Light"/>
                <w:spacing w:val="-2"/>
                <w:sz w:val="16"/>
              </w:rPr>
              <w:t>Institute</w:t>
            </w:r>
          </w:p>
        </w:tc>
      </w:tr>
      <w:tr w:rsidR="004D06E9" w14:paraId="192B3DC7" w14:textId="77777777" w:rsidTr="00D06F87">
        <w:trPr>
          <w:trHeight w:val="335"/>
        </w:trPr>
        <w:tc>
          <w:tcPr>
            <w:tcW w:w="1757" w:type="pct"/>
            <w:tcBorders>
              <w:left w:val="nil"/>
              <w:right w:val="single" w:sz="4" w:space="0" w:color="auto"/>
            </w:tcBorders>
          </w:tcPr>
          <w:p w14:paraId="50A229FB"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lastRenderedPageBreak/>
              <w:t>Joseph</w:t>
            </w:r>
            <w:r w:rsidRPr="00D06F87">
              <w:rPr>
                <w:rFonts w:ascii="Calibri Light" w:hAnsi="Calibri Light" w:cs="Calibri Light"/>
                <w:spacing w:val="-1"/>
                <w:sz w:val="16"/>
              </w:rPr>
              <w:t xml:space="preserve"> </w:t>
            </w:r>
            <w:r w:rsidRPr="00D06F87">
              <w:rPr>
                <w:rFonts w:ascii="Calibri Light" w:hAnsi="Calibri Light" w:cs="Calibri Light"/>
                <w:spacing w:val="-2"/>
                <w:sz w:val="16"/>
              </w:rPr>
              <w:t>Longo</w:t>
            </w:r>
          </w:p>
        </w:tc>
        <w:tc>
          <w:tcPr>
            <w:tcW w:w="3243" w:type="pct"/>
            <w:tcBorders>
              <w:left w:val="single" w:sz="4" w:space="0" w:color="auto"/>
              <w:right w:val="nil"/>
            </w:tcBorders>
          </w:tcPr>
          <w:p w14:paraId="78315F8B"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Chair,</w:t>
            </w:r>
            <w:r w:rsidRPr="00D06F87">
              <w:rPr>
                <w:rFonts w:ascii="Calibri Light" w:hAnsi="Calibri Light" w:cs="Calibri Light"/>
                <w:spacing w:val="-2"/>
                <w:sz w:val="16"/>
              </w:rPr>
              <w:t xml:space="preserve"> </w:t>
            </w:r>
            <w:r w:rsidRPr="00D06F87">
              <w:rPr>
                <w:rFonts w:ascii="Calibri Light" w:hAnsi="Calibri Light" w:cs="Calibri Light"/>
                <w:sz w:val="16"/>
              </w:rPr>
              <w:t>Australian Securities and Investments</w:t>
            </w:r>
            <w:r w:rsidRPr="00D06F87">
              <w:rPr>
                <w:rFonts w:ascii="Calibri Light" w:hAnsi="Calibri Light" w:cs="Calibri Light"/>
                <w:spacing w:val="1"/>
                <w:sz w:val="16"/>
              </w:rPr>
              <w:t xml:space="preserve"> </w:t>
            </w:r>
            <w:r w:rsidRPr="00D06F87">
              <w:rPr>
                <w:rFonts w:ascii="Calibri Light" w:hAnsi="Calibri Light" w:cs="Calibri Light"/>
                <w:spacing w:val="-2"/>
                <w:sz w:val="16"/>
              </w:rPr>
              <w:t>Commission</w:t>
            </w:r>
          </w:p>
        </w:tc>
      </w:tr>
      <w:tr w:rsidR="004D06E9" w14:paraId="5634CDD4" w14:textId="77777777" w:rsidTr="00D06F87">
        <w:trPr>
          <w:trHeight w:val="335"/>
        </w:trPr>
        <w:tc>
          <w:tcPr>
            <w:tcW w:w="1757" w:type="pct"/>
            <w:tcBorders>
              <w:left w:val="nil"/>
              <w:right w:val="single" w:sz="4" w:space="0" w:color="auto"/>
            </w:tcBorders>
          </w:tcPr>
          <w:p w14:paraId="2AEDAC86"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John</w:t>
            </w:r>
            <w:r w:rsidRPr="00D06F87">
              <w:rPr>
                <w:rFonts w:ascii="Calibri Light" w:hAnsi="Calibri Light" w:cs="Calibri Light"/>
                <w:spacing w:val="-3"/>
                <w:sz w:val="16"/>
              </w:rPr>
              <w:t xml:space="preserve"> </w:t>
            </w:r>
            <w:r w:rsidRPr="00D06F87">
              <w:rPr>
                <w:rFonts w:ascii="Calibri Light" w:hAnsi="Calibri Light" w:cs="Calibri Light"/>
                <w:spacing w:val="-2"/>
                <w:sz w:val="16"/>
              </w:rPr>
              <w:t>Lonsdale</w:t>
            </w:r>
          </w:p>
        </w:tc>
        <w:tc>
          <w:tcPr>
            <w:tcW w:w="3243" w:type="pct"/>
            <w:tcBorders>
              <w:left w:val="single" w:sz="4" w:space="0" w:color="auto"/>
              <w:right w:val="nil"/>
            </w:tcBorders>
          </w:tcPr>
          <w:p w14:paraId="7B00511D" w14:textId="77777777" w:rsidR="004D06E9" w:rsidRPr="00D06F87" w:rsidRDefault="004D06E9"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Chair,</w:t>
            </w:r>
            <w:r w:rsidRPr="00D06F87">
              <w:rPr>
                <w:rFonts w:ascii="Calibri Light" w:hAnsi="Calibri Light" w:cs="Calibri Light"/>
                <w:spacing w:val="-3"/>
                <w:sz w:val="16"/>
              </w:rPr>
              <w:t xml:space="preserve"> </w:t>
            </w:r>
            <w:r w:rsidRPr="00D06F87">
              <w:rPr>
                <w:rFonts w:ascii="Calibri Light" w:hAnsi="Calibri Light" w:cs="Calibri Light"/>
                <w:sz w:val="16"/>
              </w:rPr>
              <w:t>Australian</w:t>
            </w:r>
            <w:r w:rsidRPr="00D06F87">
              <w:rPr>
                <w:rFonts w:ascii="Calibri Light" w:hAnsi="Calibri Light" w:cs="Calibri Light"/>
                <w:spacing w:val="-2"/>
                <w:sz w:val="16"/>
              </w:rPr>
              <w:t xml:space="preserve"> </w:t>
            </w:r>
            <w:r w:rsidRPr="00D06F87">
              <w:rPr>
                <w:rFonts w:ascii="Calibri Light" w:hAnsi="Calibri Light" w:cs="Calibri Light"/>
                <w:sz w:val="16"/>
              </w:rPr>
              <w:t>Prudential</w:t>
            </w:r>
            <w:r w:rsidRPr="00D06F87">
              <w:rPr>
                <w:rFonts w:ascii="Calibri Light" w:hAnsi="Calibri Light" w:cs="Calibri Light"/>
                <w:spacing w:val="-3"/>
                <w:sz w:val="16"/>
              </w:rPr>
              <w:t xml:space="preserve"> </w:t>
            </w:r>
            <w:r w:rsidRPr="00D06F87">
              <w:rPr>
                <w:rFonts w:ascii="Calibri Light" w:hAnsi="Calibri Light" w:cs="Calibri Light"/>
                <w:sz w:val="16"/>
              </w:rPr>
              <w:t>Regulation</w:t>
            </w:r>
            <w:r w:rsidRPr="00D06F87">
              <w:rPr>
                <w:rFonts w:ascii="Calibri Light" w:hAnsi="Calibri Light" w:cs="Calibri Light"/>
                <w:spacing w:val="-2"/>
                <w:sz w:val="16"/>
              </w:rPr>
              <w:t xml:space="preserve"> Authority</w:t>
            </w:r>
          </w:p>
        </w:tc>
      </w:tr>
      <w:tr w:rsidR="00D06F87" w14:paraId="5F9B5CBA" w14:textId="77777777" w:rsidTr="00D06F87">
        <w:trPr>
          <w:trHeight w:val="335"/>
        </w:trPr>
        <w:tc>
          <w:tcPr>
            <w:tcW w:w="1757" w:type="pct"/>
            <w:tcBorders>
              <w:top w:val="nil"/>
              <w:left w:val="nil"/>
              <w:right w:val="single" w:sz="4" w:space="0" w:color="auto"/>
            </w:tcBorders>
          </w:tcPr>
          <w:p w14:paraId="072A2536"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3"/>
                <w:sz w:val="16"/>
              </w:rPr>
              <w:t xml:space="preserve"> </w:t>
            </w:r>
            <w:r w:rsidRPr="00D06F87">
              <w:rPr>
                <w:rFonts w:ascii="Calibri Light" w:hAnsi="Calibri Light" w:cs="Calibri Light"/>
                <w:sz w:val="16"/>
              </w:rPr>
              <w:t>Tiff</w:t>
            </w:r>
            <w:r w:rsidRPr="00D06F87">
              <w:rPr>
                <w:rFonts w:ascii="Calibri Light" w:hAnsi="Calibri Light" w:cs="Calibri Light"/>
                <w:spacing w:val="4"/>
                <w:sz w:val="16"/>
              </w:rPr>
              <w:t xml:space="preserve"> </w:t>
            </w:r>
            <w:r w:rsidRPr="00D06F87">
              <w:rPr>
                <w:rFonts w:ascii="Calibri Light" w:hAnsi="Calibri Light" w:cs="Calibri Light"/>
                <w:spacing w:val="-2"/>
                <w:sz w:val="16"/>
              </w:rPr>
              <w:t>Macklem</w:t>
            </w:r>
          </w:p>
        </w:tc>
        <w:tc>
          <w:tcPr>
            <w:tcW w:w="3243" w:type="pct"/>
            <w:tcBorders>
              <w:top w:val="nil"/>
              <w:left w:val="single" w:sz="4" w:space="0" w:color="auto"/>
              <w:right w:val="nil"/>
            </w:tcBorders>
          </w:tcPr>
          <w:p w14:paraId="76E2386B"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Governor,</w:t>
            </w:r>
            <w:r w:rsidRPr="00D06F87">
              <w:rPr>
                <w:rFonts w:ascii="Calibri Light" w:hAnsi="Calibri Light" w:cs="Calibri Light"/>
                <w:spacing w:val="-6"/>
                <w:sz w:val="16"/>
              </w:rPr>
              <w:t xml:space="preserve"> </w:t>
            </w:r>
            <w:r w:rsidRPr="00D06F87">
              <w:rPr>
                <w:rFonts w:ascii="Calibri Light" w:hAnsi="Calibri Light" w:cs="Calibri Light"/>
                <w:sz w:val="16"/>
              </w:rPr>
              <w:t>Bank</w:t>
            </w:r>
            <w:r w:rsidRPr="00D06F87">
              <w:rPr>
                <w:rFonts w:ascii="Calibri Light" w:hAnsi="Calibri Light" w:cs="Calibri Light"/>
                <w:spacing w:val="-5"/>
                <w:sz w:val="16"/>
              </w:rPr>
              <w:t xml:space="preserve"> </w:t>
            </w:r>
            <w:r w:rsidRPr="00D06F87">
              <w:rPr>
                <w:rFonts w:ascii="Calibri Light" w:hAnsi="Calibri Light" w:cs="Calibri Light"/>
                <w:sz w:val="16"/>
              </w:rPr>
              <w:t>of</w:t>
            </w:r>
            <w:r w:rsidRPr="00D06F87">
              <w:rPr>
                <w:rFonts w:ascii="Calibri Light" w:hAnsi="Calibri Light" w:cs="Calibri Light"/>
                <w:spacing w:val="-5"/>
                <w:sz w:val="16"/>
              </w:rPr>
              <w:t xml:space="preserve"> </w:t>
            </w:r>
            <w:r w:rsidRPr="00D06F87">
              <w:rPr>
                <w:rFonts w:ascii="Calibri Light" w:hAnsi="Calibri Light" w:cs="Calibri Light"/>
                <w:spacing w:val="-2"/>
                <w:sz w:val="16"/>
              </w:rPr>
              <w:t>Canada</w:t>
            </w:r>
          </w:p>
        </w:tc>
      </w:tr>
      <w:tr w:rsidR="00D06F87" w14:paraId="2DB2371A" w14:textId="77777777" w:rsidTr="00D06F87">
        <w:trPr>
          <w:trHeight w:val="335"/>
        </w:trPr>
        <w:tc>
          <w:tcPr>
            <w:tcW w:w="1757" w:type="pct"/>
            <w:tcBorders>
              <w:left w:val="nil"/>
              <w:right w:val="single" w:sz="4" w:space="0" w:color="auto"/>
            </w:tcBorders>
          </w:tcPr>
          <w:p w14:paraId="66412F26"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3"/>
                <w:sz w:val="16"/>
              </w:rPr>
              <w:t xml:space="preserve"> </w:t>
            </w:r>
            <w:r w:rsidRPr="00D06F87">
              <w:rPr>
                <w:rFonts w:ascii="Calibri Light" w:hAnsi="Calibri Light" w:cs="Calibri Light"/>
                <w:sz w:val="16"/>
              </w:rPr>
              <w:t>John</w:t>
            </w:r>
            <w:r w:rsidRPr="00D06F87">
              <w:rPr>
                <w:rFonts w:ascii="Calibri Light" w:hAnsi="Calibri Light" w:cs="Calibri Light"/>
                <w:spacing w:val="-3"/>
                <w:sz w:val="16"/>
              </w:rPr>
              <w:t xml:space="preserve"> </w:t>
            </w:r>
            <w:r w:rsidRPr="00D06F87">
              <w:rPr>
                <w:rFonts w:ascii="Calibri Light" w:hAnsi="Calibri Light" w:cs="Calibri Light"/>
                <w:spacing w:val="-2"/>
                <w:sz w:val="16"/>
              </w:rPr>
              <w:t>McDermott</w:t>
            </w:r>
          </w:p>
        </w:tc>
        <w:tc>
          <w:tcPr>
            <w:tcW w:w="3243" w:type="pct"/>
            <w:tcBorders>
              <w:left w:val="single" w:sz="4" w:space="0" w:color="auto"/>
              <w:right w:val="nil"/>
            </w:tcBorders>
          </w:tcPr>
          <w:p w14:paraId="6DBAAE00"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Former Assistant</w:t>
            </w:r>
            <w:r w:rsidRPr="00D06F87">
              <w:rPr>
                <w:rFonts w:ascii="Calibri Light" w:hAnsi="Calibri Light" w:cs="Calibri Light"/>
                <w:spacing w:val="1"/>
                <w:sz w:val="16"/>
              </w:rPr>
              <w:t xml:space="preserve"> </w:t>
            </w:r>
            <w:r w:rsidRPr="00D06F87">
              <w:rPr>
                <w:rFonts w:ascii="Calibri Light" w:hAnsi="Calibri Light" w:cs="Calibri Light"/>
                <w:sz w:val="16"/>
              </w:rPr>
              <w:t>Governor,</w:t>
            </w:r>
            <w:r w:rsidRPr="00D06F87">
              <w:rPr>
                <w:rFonts w:ascii="Calibri Light" w:hAnsi="Calibri Light" w:cs="Calibri Light"/>
                <w:spacing w:val="1"/>
                <w:sz w:val="16"/>
              </w:rPr>
              <w:t xml:space="preserve"> </w:t>
            </w:r>
            <w:r w:rsidRPr="00D06F87">
              <w:rPr>
                <w:rFonts w:ascii="Calibri Light" w:hAnsi="Calibri Light" w:cs="Calibri Light"/>
                <w:sz w:val="16"/>
              </w:rPr>
              <w:t>Reserve Bank</w:t>
            </w:r>
            <w:r w:rsidRPr="00D06F87">
              <w:rPr>
                <w:rFonts w:ascii="Calibri Light" w:hAnsi="Calibri Light" w:cs="Calibri Light"/>
                <w:spacing w:val="1"/>
                <w:sz w:val="16"/>
              </w:rPr>
              <w:t xml:space="preserve"> </w:t>
            </w:r>
            <w:r w:rsidRPr="00D06F87">
              <w:rPr>
                <w:rFonts w:ascii="Calibri Light" w:hAnsi="Calibri Light" w:cs="Calibri Light"/>
                <w:sz w:val="16"/>
              </w:rPr>
              <w:t>of</w:t>
            </w:r>
            <w:r w:rsidRPr="00D06F87">
              <w:rPr>
                <w:rFonts w:ascii="Calibri Light" w:hAnsi="Calibri Light" w:cs="Calibri Light"/>
                <w:spacing w:val="1"/>
                <w:sz w:val="16"/>
              </w:rPr>
              <w:t xml:space="preserve"> </w:t>
            </w:r>
            <w:r w:rsidRPr="00D06F87">
              <w:rPr>
                <w:rFonts w:ascii="Calibri Light" w:hAnsi="Calibri Light" w:cs="Calibri Light"/>
                <w:sz w:val="16"/>
              </w:rPr>
              <w:t>New</w:t>
            </w:r>
            <w:r w:rsidRPr="00D06F87">
              <w:rPr>
                <w:rFonts w:ascii="Calibri Light" w:hAnsi="Calibri Light" w:cs="Calibri Light"/>
                <w:spacing w:val="1"/>
                <w:sz w:val="16"/>
              </w:rPr>
              <w:t xml:space="preserve"> </w:t>
            </w:r>
            <w:r w:rsidRPr="00D06F87">
              <w:rPr>
                <w:rFonts w:ascii="Calibri Light" w:hAnsi="Calibri Light" w:cs="Calibri Light"/>
                <w:spacing w:val="-2"/>
                <w:sz w:val="16"/>
              </w:rPr>
              <w:t>Zealand</w:t>
            </w:r>
          </w:p>
        </w:tc>
      </w:tr>
      <w:tr w:rsidR="00D06F87" w14:paraId="27B716F1" w14:textId="77777777" w:rsidTr="00D06F87">
        <w:trPr>
          <w:trHeight w:val="335"/>
        </w:trPr>
        <w:tc>
          <w:tcPr>
            <w:tcW w:w="1757" w:type="pct"/>
            <w:tcBorders>
              <w:left w:val="nil"/>
              <w:right w:val="single" w:sz="4" w:space="0" w:color="auto"/>
            </w:tcBorders>
          </w:tcPr>
          <w:p w14:paraId="28F8B916"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3"/>
                <w:sz w:val="16"/>
              </w:rPr>
              <w:t xml:space="preserve"> </w:t>
            </w:r>
            <w:r w:rsidRPr="00D06F87">
              <w:rPr>
                <w:rFonts w:ascii="Calibri Light" w:hAnsi="Calibri Light" w:cs="Calibri Light"/>
                <w:sz w:val="16"/>
              </w:rPr>
              <w:t>Huw</w:t>
            </w:r>
            <w:r w:rsidRPr="00D06F87">
              <w:rPr>
                <w:rFonts w:ascii="Calibri Light" w:hAnsi="Calibri Light" w:cs="Calibri Light"/>
                <w:spacing w:val="-2"/>
                <w:sz w:val="16"/>
              </w:rPr>
              <w:t xml:space="preserve"> McKay</w:t>
            </w:r>
          </w:p>
        </w:tc>
        <w:tc>
          <w:tcPr>
            <w:tcW w:w="3243" w:type="pct"/>
            <w:tcBorders>
              <w:left w:val="single" w:sz="4" w:space="0" w:color="auto"/>
              <w:right w:val="nil"/>
            </w:tcBorders>
          </w:tcPr>
          <w:p w14:paraId="68E15642"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Vice</w:t>
            </w:r>
            <w:r w:rsidRPr="00D06F87">
              <w:rPr>
                <w:rFonts w:ascii="Calibri Light" w:hAnsi="Calibri Light" w:cs="Calibri Light"/>
                <w:spacing w:val="-3"/>
                <w:sz w:val="16"/>
              </w:rPr>
              <w:t xml:space="preserve"> </w:t>
            </w:r>
            <w:r w:rsidRPr="00D06F87">
              <w:rPr>
                <w:rFonts w:ascii="Calibri Light" w:hAnsi="Calibri Light" w:cs="Calibri Light"/>
                <w:sz w:val="16"/>
              </w:rPr>
              <w:t>President</w:t>
            </w:r>
            <w:r w:rsidRPr="00D06F87">
              <w:rPr>
                <w:rFonts w:ascii="Calibri Light" w:hAnsi="Calibri Light" w:cs="Calibri Light"/>
                <w:spacing w:val="-3"/>
                <w:sz w:val="16"/>
              </w:rPr>
              <w:t xml:space="preserve"> </w:t>
            </w:r>
            <w:r w:rsidRPr="00D06F87">
              <w:rPr>
                <w:rFonts w:ascii="Calibri Light" w:hAnsi="Calibri Light" w:cs="Calibri Light"/>
                <w:sz w:val="16"/>
              </w:rPr>
              <w:t>(Chief</w:t>
            </w:r>
            <w:r w:rsidRPr="00D06F87">
              <w:rPr>
                <w:rFonts w:ascii="Calibri Light" w:hAnsi="Calibri Light" w:cs="Calibri Light"/>
                <w:spacing w:val="-3"/>
                <w:sz w:val="16"/>
              </w:rPr>
              <w:t xml:space="preserve"> </w:t>
            </w:r>
            <w:r w:rsidRPr="00D06F87">
              <w:rPr>
                <w:rFonts w:ascii="Calibri Light" w:hAnsi="Calibri Light" w:cs="Calibri Light"/>
                <w:sz w:val="16"/>
              </w:rPr>
              <w:t>Economist),</w:t>
            </w:r>
            <w:r w:rsidRPr="00D06F87">
              <w:rPr>
                <w:rFonts w:ascii="Calibri Light" w:hAnsi="Calibri Light" w:cs="Calibri Light"/>
                <w:spacing w:val="-3"/>
                <w:sz w:val="16"/>
              </w:rPr>
              <w:t xml:space="preserve"> </w:t>
            </w:r>
            <w:r w:rsidRPr="00D06F87">
              <w:rPr>
                <w:rFonts w:ascii="Calibri Light" w:hAnsi="Calibri Light" w:cs="Calibri Light"/>
                <w:spacing w:val="-5"/>
                <w:sz w:val="16"/>
              </w:rPr>
              <w:t>BHP</w:t>
            </w:r>
          </w:p>
        </w:tc>
      </w:tr>
      <w:tr w:rsidR="00D06F87" w14:paraId="14A7D816" w14:textId="77777777" w:rsidTr="00D06F87">
        <w:trPr>
          <w:trHeight w:val="335"/>
        </w:trPr>
        <w:tc>
          <w:tcPr>
            <w:tcW w:w="1757" w:type="pct"/>
            <w:tcBorders>
              <w:left w:val="nil"/>
              <w:right w:val="single" w:sz="4" w:space="0" w:color="auto"/>
            </w:tcBorders>
          </w:tcPr>
          <w:p w14:paraId="35F7E3C8"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Andrew </w:t>
            </w:r>
            <w:r w:rsidRPr="00D06F87">
              <w:rPr>
                <w:rFonts w:ascii="Calibri Light" w:hAnsi="Calibri Light" w:cs="Calibri Light"/>
                <w:spacing w:val="-2"/>
                <w:sz w:val="16"/>
              </w:rPr>
              <w:t>McKeller</w:t>
            </w:r>
          </w:p>
        </w:tc>
        <w:tc>
          <w:tcPr>
            <w:tcW w:w="3243" w:type="pct"/>
            <w:tcBorders>
              <w:left w:val="single" w:sz="4" w:space="0" w:color="auto"/>
              <w:right w:val="nil"/>
            </w:tcBorders>
          </w:tcPr>
          <w:p w14:paraId="01EA4D65"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CEO,</w:t>
            </w:r>
            <w:r w:rsidRPr="00D06F87">
              <w:rPr>
                <w:rFonts w:ascii="Calibri Light" w:hAnsi="Calibri Light" w:cs="Calibri Light"/>
                <w:spacing w:val="-4"/>
                <w:sz w:val="16"/>
              </w:rPr>
              <w:t xml:space="preserve"> </w:t>
            </w:r>
            <w:r w:rsidRPr="00D06F87">
              <w:rPr>
                <w:rFonts w:ascii="Calibri Light" w:hAnsi="Calibri Light" w:cs="Calibri Light"/>
                <w:sz w:val="16"/>
              </w:rPr>
              <w:t>Australian</w:t>
            </w:r>
            <w:r w:rsidRPr="00D06F87">
              <w:rPr>
                <w:rFonts w:ascii="Calibri Light" w:hAnsi="Calibri Light" w:cs="Calibri Light"/>
                <w:spacing w:val="-3"/>
                <w:sz w:val="16"/>
              </w:rPr>
              <w:t xml:space="preserve"> </w:t>
            </w:r>
            <w:r w:rsidRPr="00D06F87">
              <w:rPr>
                <w:rFonts w:ascii="Calibri Light" w:hAnsi="Calibri Light" w:cs="Calibri Light"/>
                <w:sz w:val="16"/>
              </w:rPr>
              <w:t>Chamber</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z w:val="16"/>
              </w:rPr>
              <w:t>Commerce</w:t>
            </w:r>
            <w:r w:rsidRPr="00D06F87">
              <w:rPr>
                <w:rFonts w:ascii="Calibri Light" w:hAnsi="Calibri Light" w:cs="Calibri Light"/>
                <w:spacing w:val="-3"/>
                <w:sz w:val="16"/>
              </w:rPr>
              <w:t xml:space="preserve"> </w:t>
            </w:r>
            <w:r w:rsidRPr="00D06F87">
              <w:rPr>
                <w:rFonts w:ascii="Calibri Light" w:hAnsi="Calibri Light" w:cs="Calibri Light"/>
                <w:sz w:val="16"/>
              </w:rPr>
              <w:t>and</w:t>
            </w:r>
            <w:r w:rsidRPr="00D06F87">
              <w:rPr>
                <w:rFonts w:ascii="Calibri Light" w:hAnsi="Calibri Light" w:cs="Calibri Light"/>
                <w:spacing w:val="-3"/>
                <w:sz w:val="16"/>
              </w:rPr>
              <w:t xml:space="preserve"> </w:t>
            </w:r>
            <w:r w:rsidRPr="00D06F87">
              <w:rPr>
                <w:rFonts w:ascii="Calibri Light" w:hAnsi="Calibri Light" w:cs="Calibri Light"/>
                <w:spacing w:val="-2"/>
                <w:sz w:val="16"/>
              </w:rPr>
              <w:t>Industry</w:t>
            </w:r>
          </w:p>
        </w:tc>
      </w:tr>
      <w:tr w:rsidR="00D06F87" w14:paraId="27AA9FDE" w14:textId="77777777" w:rsidTr="00D06F87">
        <w:trPr>
          <w:trHeight w:val="335"/>
        </w:trPr>
        <w:tc>
          <w:tcPr>
            <w:tcW w:w="1757" w:type="pct"/>
            <w:tcBorders>
              <w:left w:val="nil"/>
              <w:right w:val="single" w:sz="4" w:space="0" w:color="auto"/>
            </w:tcBorders>
          </w:tcPr>
          <w:p w14:paraId="061986E9"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Sally </w:t>
            </w:r>
            <w:r w:rsidRPr="00D06F87">
              <w:rPr>
                <w:rFonts w:ascii="Calibri Light" w:hAnsi="Calibri Light" w:cs="Calibri Light"/>
                <w:spacing w:val="-2"/>
                <w:sz w:val="16"/>
              </w:rPr>
              <w:t>McManus</w:t>
            </w:r>
          </w:p>
        </w:tc>
        <w:tc>
          <w:tcPr>
            <w:tcW w:w="3243" w:type="pct"/>
            <w:tcBorders>
              <w:left w:val="single" w:sz="4" w:space="0" w:color="auto"/>
              <w:right w:val="nil"/>
            </w:tcBorders>
          </w:tcPr>
          <w:p w14:paraId="1C5944A1"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Secretary,</w:t>
            </w:r>
            <w:r w:rsidRPr="00D06F87">
              <w:rPr>
                <w:rFonts w:ascii="Calibri Light" w:hAnsi="Calibri Light" w:cs="Calibri Light"/>
                <w:spacing w:val="-3"/>
                <w:sz w:val="16"/>
              </w:rPr>
              <w:t xml:space="preserve"> </w:t>
            </w:r>
            <w:r w:rsidRPr="00D06F87">
              <w:rPr>
                <w:rFonts w:ascii="Calibri Light" w:hAnsi="Calibri Light" w:cs="Calibri Light"/>
                <w:sz w:val="16"/>
              </w:rPr>
              <w:t>Australian</w:t>
            </w:r>
            <w:r w:rsidRPr="00D06F87">
              <w:rPr>
                <w:rFonts w:ascii="Calibri Light" w:hAnsi="Calibri Light" w:cs="Calibri Light"/>
                <w:spacing w:val="-3"/>
                <w:sz w:val="16"/>
              </w:rPr>
              <w:t xml:space="preserve"> </w:t>
            </w:r>
            <w:r w:rsidRPr="00D06F87">
              <w:rPr>
                <w:rFonts w:ascii="Calibri Light" w:hAnsi="Calibri Light" w:cs="Calibri Light"/>
                <w:sz w:val="16"/>
              </w:rPr>
              <w:t>Council</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3"/>
                <w:sz w:val="16"/>
              </w:rPr>
              <w:t xml:space="preserve"> </w:t>
            </w:r>
            <w:r w:rsidRPr="00D06F87">
              <w:rPr>
                <w:rFonts w:ascii="Calibri Light" w:hAnsi="Calibri Light" w:cs="Calibri Light"/>
                <w:sz w:val="16"/>
              </w:rPr>
              <w:t>Trade</w:t>
            </w:r>
            <w:r w:rsidRPr="00D06F87">
              <w:rPr>
                <w:rFonts w:ascii="Calibri Light" w:hAnsi="Calibri Light" w:cs="Calibri Light"/>
                <w:spacing w:val="-2"/>
                <w:sz w:val="16"/>
              </w:rPr>
              <w:t xml:space="preserve"> Unions</w:t>
            </w:r>
          </w:p>
        </w:tc>
      </w:tr>
      <w:tr w:rsidR="00D06F87" w14:paraId="1767CC1C" w14:textId="77777777" w:rsidTr="00D06F87">
        <w:trPr>
          <w:trHeight w:val="335"/>
        </w:trPr>
        <w:tc>
          <w:tcPr>
            <w:tcW w:w="1757" w:type="pct"/>
            <w:tcBorders>
              <w:left w:val="nil"/>
              <w:right w:val="single" w:sz="4" w:space="0" w:color="auto"/>
            </w:tcBorders>
          </w:tcPr>
          <w:p w14:paraId="57C3D725"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Kirsty</w:t>
            </w:r>
            <w:r w:rsidRPr="00D06F87">
              <w:rPr>
                <w:rFonts w:ascii="Calibri Light" w:hAnsi="Calibri Light" w:cs="Calibri Light"/>
                <w:spacing w:val="12"/>
                <w:sz w:val="16"/>
              </w:rPr>
              <w:t xml:space="preserve"> </w:t>
            </w:r>
            <w:r w:rsidRPr="00D06F87">
              <w:rPr>
                <w:rFonts w:ascii="Calibri Light" w:hAnsi="Calibri Light" w:cs="Calibri Light"/>
                <w:spacing w:val="-2"/>
                <w:sz w:val="16"/>
              </w:rPr>
              <w:t>Moore</w:t>
            </w:r>
          </w:p>
        </w:tc>
        <w:tc>
          <w:tcPr>
            <w:tcW w:w="3243" w:type="pct"/>
            <w:tcBorders>
              <w:left w:val="single" w:sz="4" w:space="0" w:color="auto"/>
              <w:right w:val="nil"/>
            </w:tcBorders>
          </w:tcPr>
          <w:p w14:paraId="0F219BEF"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CEO,</w:t>
            </w:r>
            <w:r w:rsidRPr="00D06F87">
              <w:rPr>
                <w:rFonts w:ascii="Calibri Light" w:hAnsi="Calibri Light" w:cs="Calibri Light"/>
                <w:spacing w:val="-2"/>
                <w:sz w:val="16"/>
              </w:rPr>
              <w:t xml:space="preserve"> </w:t>
            </w:r>
            <w:r w:rsidRPr="00D06F87">
              <w:rPr>
                <w:rFonts w:ascii="Calibri Light" w:hAnsi="Calibri Light" w:cs="Calibri Light"/>
                <w:sz w:val="16"/>
              </w:rPr>
              <w:t>Indigenous</w:t>
            </w:r>
            <w:r w:rsidRPr="00D06F87">
              <w:rPr>
                <w:rFonts w:ascii="Calibri Light" w:hAnsi="Calibri Light" w:cs="Calibri Light"/>
                <w:spacing w:val="-1"/>
                <w:sz w:val="16"/>
              </w:rPr>
              <w:t xml:space="preserve"> </w:t>
            </w:r>
            <w:r w:rsidRPr="00D06F87">
              <w:rPr>
                <w:rFonts w:ascii="Calibri Light" w:hAnsi="Calibri Light" w:cs="Calibri Light"/>
                <w:sz w:val="16"/>
              </w:rPr>
              <w:t>Business</w:t>
            </w:r>
            <w:r w:rsidRPr="00D06F87">
              <w:rPr>
                <w:rFonts w:ascii="Calibri Light" w:hAnsi="Calibri Light" w:cs="Calibri Light"/>
                <w:spacing w:val="-1"/>
                <w:sz w:val="16"/>
              </w:rPr>
              <w:t xml:space="preserve"> </w:t>
            </w:r>
            <w:r w:rsidRPr="00D06F87">
              <w:rPr>
                <w:rFonts w:ascii="Calibri Light" w:hAnsi="Calibri Light" w:cs="Calibri Light"/>
                <w:spacing w:val="-2"/>
                <w:sz w:val="16"/>
              </w:rPr>
              <w:t>Australia</w:t>
            </w:r>
          </w:p>
        </w:tc>
      </w:tr>
      <w:tr w:rsidR="00D06F87" w14:paraId="702170A3" w14:textId="77777777" w:rsidTr="00D06F87">
        <w:trPr>
          <w:trHeight w:val="335"/>
        </w:trPr>
        <w:tc>
          <w:tcPr>
            <w:tcW w:w="1757" w:type="pct"/>
            <w:tcBorders>
              <w:left w:val="nil"/>
              <w:right w:val="single" w:sz="4" w:space="0" w:color="auto"/>
            </w:tcBorders>
          </w:tcPr>
          <w:p w14:paraId="040E0F10"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2"/>
                <w:sz w:val="16"/>
              </w:rPr>
              <w:t xml:space="preserve"> </w:t>
            </w:r>
            <w:r w:rsidRPr="00D06F87">
              <w:rPr>
                <w:rFonts w:ascii="Calibri Light" w:hAnsi="Calibri Light" w:cs="Calibri Light"/>
                <w:sz w:val="16"/>
              </w:rPr>
              <w:t>James</w:t>
            </w:r>
            <w:r w:rsidRPr="00D06F87">
              <w:rPr>
                <w:rFonts w:ascii="Calibri Light" w:hAnsi="Calibri Light" w:cs="Calibri Light"/>
                <w:spacing w:val="-2"/>
                <w:sz w:val="16"/>
              </w:rPr>
              <w:t xml:space="preserve"> Morley</w:t>
            </w:r>
          </w:p>
        </w:tc>
        <w:tc>
          <w:tcPr>
            <w:tcW w:w="3243" w:type="pct"/>
            <w:tcBorders>
              <w:left w:val="single" w:sz="4" w:space="0" w:color="auto"/>
              <w:right w:val="nil"/>
            </w:tcBorders>
          </w:tcPr>
          <w:p w14:paraId="2A6497D4"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Sydney</w:t>
            </w:r>
          </w:p>
        </w:tc>
      </w:tr>
      <w:tr w:rsidR="00D06F87" w14:paraId="4BE10BCF" w14:textId="77777777" w:rsidTr="00D06F87">
        <w:trPr>
          <w:trHeight w:val="335"/>
        </w:trPr>
        <w:tc>
          <w:tcPr>
            <w:tcW w:w="1757" w:type="pct"/>
            <w:tcBorders>
              <w:left w:val="nil"/>
              <w:right w:val="single" w:sz="4" w:space="0" w:color="auto"/>
            </w:tcBorders>
          </w:tcPr>
          <w:p w14:paraId="4DEB0823"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5"/>
                <w:sz w:val="16"/>
              </w:rPr>
              <w:t xml:space="preserve"> </w:t>
            </w:r>
            <w:r w:rsidRPr="00D06F87">
              <w:rPr>
                <w:rFonts w:ascii="Calibri Light" w:hAnsi="Calibri Light" w:cs="Calibri Light"/>
                <w:sz w:val="16"/>
              </w:rPr>
              <w:t>Adele</w:t>
            </w:r>
            <w:r w:rsidRPr="00D06F87">
              <w:rPr>
                <w:rFonts w:ascii="Calibri Light" w:hAnsi="Calibri Light" w:cs="Calibri Light"/>
                <w:spacing w:val="-2"/>
                <w:sz w:val="16"/>
              </w:rPr>
              <w:t xml:space="preserve"> Morris</w:t>
            </w:r>
          </w:p>
        </w:tc>
        <w:tc>
          <w:tcPr>
            <w:tcW w:w="3243" w:type="pct"/>
            <w:tcBorders>
              <w:left w:val="single" w:sz="4" w:space="0" w:color="auto"/>
              <w:right w:val="nil"/>
            </w:tcBorders>
          </w:tcPr>
          <w:p w14:paraId="4CA40859"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Senior</w:t>
            </w:r>
            <w:r w:rsidRPr="00D06F87">
              <w:rPr>
                <w:rFonts w:ascii="Calibri Light" w:hAnsi="Calibri Light" w:cs="Calibri Light"/>
                <w:spacing w:val="-7"/>
                <w:sz w:val="16"/>
              </w:rPr>
              <w:t xml:space="preserve"> </w:t>
            </w:r>
            <w:r w:rsidRPr="00D06F87">
              <w:rPr>
                <w:rFonts w:ascii="Calibri Light" w:hAnsi="Calibri Light" w:cs="Calibri Light"/>
                <w:sz w:val="16"/>
              </w:rPr>
              <w:t>fellow</w:t>
            </w:r>
            <w:r w:rsidRPr="00D06F87">
              <w:rPr>
                <w:rFonts w:ascii="Calibri Light" w:hAnsi="Calibri Light" w:cs="Calibri Light"/>
                <w:spacing w:val="-6"/>
                <w:sz w:val="16"/>
              </w:rPr>
              <w:t xml:space="preserve"> </w:t>
            </w:r>
            <w:r w:rsidRPr="00D06F87">
              <w:rPr>
                <w:rFonts w:ascii="Calibri Light" w:hAnsi="Calibri Light" w:cs="Calibri Light"/>
                <w:sz w:val="16"/>
              </w:rPr>
              <w:t>and</w:t>
            </w:r>
            <w:r w:rsidRPr="00D06F87">
              <w:rPr>
                <w:rFonts w:ascii="Calibri Light" w:hAnsi="Calibri Light" w:cs="Calibri Light"/>
                <w:spacing w:val="-6"/>
                <w:sz w:val="16"/>
              </w:rPr>
              <w:t xml:space="preserve"> </w:t>
            </w:r>
            <w:r w:rsidRPr="00D06F87">
              <w:rPr>
                <w:rFonts w:ascii="Calibri Light" w:hAnsi="Calibri Light" w:cs="Calibri Light"/>
                <w:sz w:val="16"/>
              </w:rPr>
              <w:t>policy</w:t>
            </w:r>
            <w:r w:rsidRPr="00D06F87">
              <w:rPr>
                <w:rFonts w:ascii="Calibri Light" w:hAnsi="Calibri Light" w:cs="Calibri Light"/>
                <w:spacing w:val="-6"/>
                <w:sz w:val="16"/>
              </w:rPr>
              <w:t xml:space="preserve"> </w:t>
            </w:r>
            <w:r w:rsidRPr="00D06F87">
              <w:rPr>
                <w:rFonts w:ascii="Calibri Light" w:hAnsi="Calibri Light" w:cs="Calibri Light"/>
                <w:sz w:val="16"/>
              </w:rPr>
              <w:t>director,</w:t>
            </w:r>
            <w:r w:rsidRPr="00D06F87">
              <w:rPr>
                <w:rFonts w:ascii="Calibri Light" w:hAnsi="Calibri Light" w:cs="Calibri Light"/>
                <w:spacing w:val="-6"/>
                <w:sz w:val="16"/>
              </w:rPr>
              <w:t xml:space="preserve"> </w:t>
            </w:r>
            <w:r w:rsidRPr="00D06F87">
              <w:rPr>
                <w:rFonts w:ascii="Calibri Light" w:hAnsi="Calibri Light" w:cs="Calibri Light"/>
                <w:sz w:val="16"/>
              </w:rPr>
              <w:t>Federal</w:t>
            </w:r>
            <w:r w:rsidRPr="00D06F87">
              <w:rPr>
                <w:rFonts w:ascii="Calibri Light" w:hAnsi="Calibri Light" w:cs="Calibri Light"/>
                <w:spacing w:val="-6"/>
                <w:sz w:val="16"/>
              </w:rPr>
              <w:t xml:space="preserve"> </w:t>
            </w:r>
            <w:r w:rsidRPr="00D06F87">
              <w:rPr>
                <w:rFonts w:ascii="Calibri Light" w:hAnsi="Calibri Light" w:cs="Calibri Light"/>
                <w:sz w:val="16"/>
              </w:rPr>
              <w:t>Reserve</w:t>
            </w:r>
            <w:r w:rsidRPr="00D06F87">
              <w:rPr>
                <w:rFonts w:ascii="Calibri Light" w:hAnsi="Calibri Light" w:cs="Calibri Light"/>
                <w:spacing w:val="-6"/>
                <w:sz w:val="16"/>
              </w:rPr>
              <w:t xml:space="preserve"> </w:t>
            </w:r>
            <w:r w:rsidRPr="00D06F87">
              <w:rPr>
                <w:rFonts w:ascii="Calibri Light" w:hAnsi="Calibri Light" w:cs="Calibri Light"/>
                <w:sz w:val="16"/>
              </w:rPr>
              <w:t>Board</w:t>
            </w:r>
            <w:r w:rsidRPr="00D06F87">
              <w:rPr>
                <w:rFonts w:ascii="Calibri Light" w:hAnsi="Calibri Light" w:cs="Calibri Light"/>
                <w:spacing w:val="-6"/>
                <w:sz w:val="16"/>
              </w:rPr>
              <w:t xml:space="preserve"> </w:t>
            </w:r>
            <w:r w:rsidRPr="00D06F87">
              <w:rPr>
                <w:rFonts w:ascii="Calibri Light" w:hAnsi="Calibri Light" w:cs="Calibri Light"/>
                <w:sz w:val="16"/>
              </w:rPr>
              <w:t>of</w:t>
            </w:r>
            <w:r w:rsidRPr="00D06F87">
              <w:rPr>
                <w:rFonts w:ascii="Calibri Light" w:hAnsi="Calibri Light" w:cs="Calibri Light"/>
                <w:spacing w:val="-6"/>
                <w:sz w:val="16"/>
              </w:rPr>
              <w:t xml:space="preserve"> </w:t>
            </w:r>
            <w:r w:rsidRPr="00D06F87">
              <w:rPr>
                <w:rFonts w:ascii="Calibri Light" w:hAnsi="Calibri Light" w:cs="Calibri Light"/>
                <w:spacing w:val="-2"/>
                <w:sz w:val="16"/>
              </w:rPr>
              <w:t>Governors</w:t>
            </w:r>
          </w:p>
        </w:tc>
      </w:tr>
      <w:tr w:rsidR="00D06F87" w14:paraId="08896302" w14:textId="77777777" w:rsidTr="00D06F87">
        <w:trPr>
          <w:trHeight w:val="335"/>
        </w:trPr>
        <w:tc>
          <w:tcPr>
            <w:tcW w:w="1757" w:type="pct"/>
            <w:tcBorders>
              <w:left w:val="nil"/>
              <w:right w:val="single" w:sz="4" w:space="0" w:color="auto"/>
            </w:tcBorders>
          </w:tcPr>
          <w:p w14:paraId="138ED6FF"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Ben</w:t>
            </w:r>
            <w:r w:rsidRPr="00D06F87">
              <w:rPr>
                <w:rFonts w:ascii="Calibri Light" w:hAnsi="Calibri Light" w:cs="Calibri Light"/>
                <w:spacing w:val="-2"/>
                <w:sz w:val="16"/>
              </w:rPr>
              <w:t xml:space="preserve"> Moxham</w:t>
            </w:r>
          </w:p>
        </w:tc>
        <w:tc>
          <w:tcPr>
            <w:tcW w:w="3243" w:type="pct"/>
            <w:tcBorders>
              <w:left w:val="single" w:sz="4" w:space="0" w:color="auto"/>
              <w:right w:val="nil"/>
            </w:tcBorders>
          </w:tcPr>
          <w:p w14:paraId="69DAC376"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Legal</w:t>
            </w:r>
            <w:r w:rsidRPr="00D06F87">
              <w:rPr>
                <w:rFonts w:ascii="Calibri Light" w:hAnsi="Calibri Light" w:cs="Calibri Light"/>
                <w:spacing w:val="-4"/>
                <w:sz w:val="16"/>
              </w:rPr>
              <w:t xml:space="preserve"> </w:t>
            </w:r>
            <w:r w:rsidRPr="00D06F87">
              <w:rPr>
                <w:rFonts w:ascii="Calibri Light" w:hAnsi="Calibri Light" w:cs="Calibri Light"/>
                <w:sz w:val="16"/>
              </w:rPr>
              <w:t>and</w:t>
            </w:r>
            <w:r w:rsidRPr="00D06F87">
              <w:rPr>
                <w:rFonts w:ascii="Calibri Light" w:hAnsi="Calibri Light" w:cs="Calibri Light"/>
                <w:spacing w:val="-4"/>
                <w:sz w:val="16"/>
              </w:rPr>
              <w:t xml:space="preserve"> </w:t>
            </w:r>
            <w:r w:rsidRPr="00D06F87">
              <w:rPr>
                <w:rFonts w:ascii="Calibri Light" w:hAnsi="Calibri Light" w:cs="Calibri Light"/>
                <w:sz w:val="16"/>
              </w:rPr>
              <w:t>Policy</w:t>
            </w:r>
            <w:r w:rsidRPr="00D06F87">
              <w:rPr>
                <w:rFonts w:ascii="Calibri Light" w:hAnsi="Calibri Light" w:cs="Calibri Light"/>
                <w:spacing w:val="-4"/>
                <w:sz w:val="16"/>
              </w:rPr>
              <w:t xml:space="preserve"> </w:t>
            </w:r>
            <w:r w:rsidRPr="00D06F87">
              <w:rPr>
                <w:rFonts w:ascii="Calibri Light" w:hAnsi="Calibri Light" w:cs="Calibri Light"/>
                <w:sz w:val="16"/>
              </w:rPr>
              <w:t>Director,</w:t>
            </w:r>
            <w:r w:rsidRPr="00D06F87">
              <w:rPr>
                <w:rFonts w:ascii="Calibri Light" w:hAnsi="Calibri Light" w:cs="Calibri Light"/>
                <w:spacing w:val="-4"/>
                <w:sz w:val="16"/>
              </w:rPr>
              <w:t xml:space="preserve"> </w:t>
            </w:r>
            <w:r w:rsidRPr="00D06F87">
              <w:rPr>
                <w:rFonts w:ascii="Calibri Light" w:hAnsi="Calibri Light" w:cs="Calibri Light"/>
                <w:sz w:val="16"/>
              </w:rPr>
              <w:t>Australian</w:t>
            </w:r>
            <w:r w:rsidRPr="00D06F87">
              <w:rPr>
                <w:rFonts w:ascii="Calibri Light" w:hAnsi="Calibri Light" w:cs="Calibri Light"/>
                <w:spacing w:val="-4"/>
                <w:sz w:val="16"/>
              </w:rPr>
              <w:t xml:space="preserve"> </w:t>
            </w:r>
            <w:r w:rsidRPr="00D06F87">
              <w:rPr>
                <w:rFonts w:ascii="Calibri Light" w:hAnsi="Calibri Light" w:cs="Calibri Light"/>
                <w:sz w:val="16"/>
              </w:rPr>
              <w:t>Council</w:t>
            </w:r>
            <w:r w:rsidRPr="00D06F87">
              <w:rPr>
                <w:rFonts w:ascii="Calibri Light" w:hAnsi="Calibri Light" w:cs="Calibri Light"/>
                <w:spacing w:val="-4"/>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z w:val="16"/>
              </w:rPr>
              <w:t>Trade</w:t>
            </w:r>
            <w:r w:rsidRPr="00D06F87">
              <w:rPr>
                <w:rFonts w:ascii="Calibri Light" w:hAnsi="Calibri Light" w:cs="Calibri Light"/>
                <w:spacing w:val="-4"/>
                <w:sz w:val="16"/>
              </w:rPr>
              <w:t xml:space="preserve"> </w:t>
            </w:r>
            <w:r w:rsidRPr="00D06F87">
              <w:rPr>
                <w:rFonts w:ascii="Calibri Light" w:hAnsi="Calibri Light" w:cs="Calibri Light"/>
                <w:spacing w:val="-2"/>
                <w:sz w:val="16"/>
              </w:rPr>
              <w:t>Unions</w:t>
            </w:r>
          </w:p>
        </w:tc>
      </w:tr>
      <w:tr w:rsidR="00D06F87" w14:paraId="42EE4B0F" w14:textId="77777777" w:rsidTr="00D06F87">
        <w:trPr>
          <w:trHeight w:val="335"/>
        </w:trPr>
        <w:tc>
          <w:tcPr>
            <w:tcW w:w="1757" w:type="pct"/>
            <w:tcBorders>
              <w:left w:val="nil"/>
              <w:right w:val="single" w:sz="4" w:space="0" w:color="auto"/>
            </w:tcBorders>
          </w:tcPr>
          <w:p w14:paraId="19A7EEBD"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3"/>
                <w:sz w:val="16"/>
              </w:rPr>
              <w:t xml:space="preserve"> </w:t>
            </w:r>
            <w:r w:rsidRPr="00D06F87">
              <w:rPr>
                <w:rFonts w:ascii="Calibri Light" w:hAnsi="Calibri Light" w:cs="Calibri Light"/>
                <w:sz w:val="16"/>
              </w:rPr>
              <w:t>John</w:t>
            </w:r>
            <w:r w:rsidRPr="00D06F87">
              <w:rPr>
                <w:rFonts w:ascii="Calibri Light" w:hAnsi="Calibri Light" w:cs="Calibri Light"/>
                <w:spacing w:val="-2"/>
                <w:sz w:val="16"/>
              </w:rPr>
              <w:t xml:space="preserve"> Muellbauer</w:t>
            </w:r>
          </w:p>
        </w:tc>
        <w:tc>
          <w:tcPr>
            <w:tcW w:w="3243" w:type="pct"/>
            <w:tcBorders>
              <w:left w:val="single" w:sz="4" w:space="0" w:color="auto"/>
              <w:right w:val="nil"/>
            </w:tcBorders>
          </w:tcPr>
          <w:p w14:paraId="5A7E862D"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Oxford</w:t>
            </w:r>
            <w:r w:rsidRPr="00D06F87">
              <w:rPr>
                <w:rFonts w:ascii="Calibri Light" w:hAnsi="Calibri Light" w:cs="Calibri Light"/>
                <w:spacing w:val="2"/>
                <w:sz w:val="16"/>
              </w:rPr>
              <w:t xml:space="preserve"> </w:t>
            </w:r>
            <w:r w:rsidRPr="00D06F87">
              <w:rPr>
                <w:rFonts w:ascii="Calibri Light" w:hAnsi="Calibri Light" w:cs="Calibri Light"/>
                <w:spacing w:val="-2"/>
                <w:sz w:val="16"/>
              </w:rPr>
              <w:t>University</w:t>
            </w:r>
          </w:p>
        </w:tc>
      </w:tr>
      <w:tr w:rsidR="00D06F87" w14:paraId="3B9A77B8" w14:textId="77777777" w:rsidTr="00D06F87">
        <w:trPr>
          <w:trHeight w:val="335"/>
        </w:trPr>
        <w:tc>
          <w:tcPr>
            <w:tcW w:w="1757" w:type="pct"/>
            <w:tcBorders>
              <w:left w:val="nil"/>
              <w:right w:val="single" w:sz="4" w:space="0" w:color="auto"/>
            </w:tcBorders>
          </w:tcPr>
          <w:p w14:paraId="4AC248B4"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Cherelle</w:t>
            </w:r>
            <w:r w:rsidRPr="00D06F87">
              <w:rPr>
                <w:rFonts w:ascii="Calibri Light" w:hAnsi="Calibri Light" w:cs="Calibri Light"/>
                <w:spacing w:val="-3"/>
                <w:sz w:val="16"/>
              </w:rPr>
              <w:t xml:space="preserve"> </w:t>
            </w:r>
            <w:r w:rsidRPr="00D06F87">
              <w:rPr>
                <w:rFonts w:ascii="Calibri Light" w:hAnsi="Calibri Light" w:cs="Calibri Light"/>
                <w:spacing w:val="-2"/>
                <w:sz w:val="16"/>
              </w:rPr>
              <w:t>Murphy</w:t>
            </w:r>
          </w:p>
        </w:tc>
        <w:tc>
          <w:tcPr>
            <w:tcW w:w="3243" w:type="pct"/>
            <w:tcBorders>
              <w:left w:val="single" w:sz="4" w:space="0" w:color="auto"/>
              <w:right w:val="nil"/>
            </w:tcBorders>
          </w:tcPr>
          <w:p w14:paraId="1A6BFB75"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Chief</w:t>
            </w:r>
            <w:r w:rsidRPr="00D06F87">
              <w:rPr>
                <w:rFonts w:ascii="Calibri Light" w:hAnsi="Calibri Light" w:cs="Calibri Light"/>
                <w:spacing w:val="-3"/>
                <w:sz w:val="16"/>
              </w:rPr>
              <w:t xml:space="preserve"> </w:t>
            </w:r>
            <w:r w:rsidRPr="00D06F87">
              <w:rPr>
                <w:rFonts w:ascii="Calibri Light" w:hAnsi="Calibri Light" w:cs="Calibri Light"/>
                <w:sz w:val="16"/>
              </w:rPr>
              <w:t>Economist, Ernst</w:t>
            </w:r>
            <w:r w:rsidRPr="00D06F87">
              <w:rPr>
                <w:rFonts w:ascii="Calibri Light" w:hAnsi="Calibri Light" w:cs="Calibri Light"/>
                <w:spacing w:val="-1"/>
                <w:sz w:val="16"/>
              </w:rPr>
              <w:t xml:space="preserve"> </w:t>
            </w:r>
            <w:r w:rsidRPr="00D06F87">
              <w:rPr>
                <w:rFonts w:ascii="Calibri Light" w:hAnsi="Calibri Light" w:cs="Calibri Light"/>
                <w:sz w:val="16"/>
              </w:rPr>
              <w:t xml:space="preserve">and </w:t>
            </w:r>
            <w:r w:rsidRPr="00D06F87">
              <w:rPr>
                <w:rFonts w:ascii="Calibri Light" w:hAnsi="Calibri Light" w:cs="Calibri Light"/>
                <w:spacing w:val="-4"/>
                <w:sz w:val="16"/>
              </w:rPr>
              <w:t>Young</w:t>
            </w:r>
          </w:p>
        </w:tc>
      </w:tr>
      <w:tr w:rsidR="00D06F87" w14:paraId="4553ACF9" w14:textId="77777777" w:rsidTr="00D06F87">
        <w:trPr>
          <w:trHeight w:val="335"/>
        </w:trPr>
        <w:tc>
          <w:tcPr>
            <w:tcW w:w="1757" w:type="pct"/>
            <w:tcBorders>
              <w:left w:val="nil"/>
              <w:right w:val="single" w:sz="4" w:space="0" w:color="auto"/>
            </w:tcBorders>
          </w:tcPr>
          <w:p w14:paraId="2FEF9ADF"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Su-Lin</w:t>
            </w:r>
            <w:r w:rsidRPr="00D06F87">
              <w:rPr>
                <w:rFonts w:ascii="Calibri Light" w:hAnsi="Calibri Light" w:cs="Calibri Light"/>
                <w:spacing w:val="3"/>
                <w:sz w:val="16"/>
              </w:rPr>
              <w:t xml:space="preserve"> </w:t>
            </w:r>
            <w:r w:rsidRPr="00D06F87">
              <w:rPr>
                <w:rFonts w:ascii="Calibri Light" w:hAnsi="Calibri Light" w:cs="Calibri Light"/>
                <w:spacing w:val="-5"/>
                <w:sz w:val="16"/>
              </w:rPr>
              <w:t>Ong</w:t>
            </w:r>
          </w:p>
        </w:tc>
        <w:tc>
          <w:tcPr>
            <w:tcW w:w="3243" w:type="pct"/>
            <w:tcBorders>
              <w:left w:val="single" w:sz="4" w:space="0" w:color="auto"/>
              <w:right w:val="nil"/>
            </w:tcBorders>
          </w:tcPr>
          <w:p w14:paraId="16152C5D"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Chief Economist, RBC Capital </w:t>
            </w:r>
            <w:r w:rsidRPr="00D06F87">
              <w:rPr>
                <w:rFonts w:ascii="Calibri Light" w:hAnsi="Calibri Light" w:cs="Calibri Light"/>
                <w:spacing w:val="-2"/>
                <w:sz w:val="16"/>
              </w:rPr>
              <w:t>Markets</w:t>
            </w:r>
          </w:p>
        </w:tc>
      </w:tr>
      <w:tr w:rsidR="00D06F87" w14:paraId="49020504" w14:textId="77777777" w:rsidTr="00D06F87">
        <w:trPr>
          <w:trHeight w:val="335"/>
        </w:trPr>
        <w:tc>
          <w:tcPr>
            <w:tcW w:w="1757" w:type="pct"/>
            <w:tcBorders>
              <w:left w:val="nil"/>
              <w:right w:val="single" w:sz="4" w:space="0" w:color="auto"/>
            </w:tcBorders>
          </w:tcPr>
          <w:p w14:paraId="361FA759"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2"/>
                <w:sz w:val="16"/>
              </w:rPr>
              <w:t xml:space="preserve"> </w:t>
            </w:r>
            <w:r w:rsidRPr="00D06F87">
              <w:rPr>
                <w:rFonts w:ascii="Calibri Light" w:hAnsi="Calibri Light" w:cs="Calibri Light"/>
                <w:sz w:val="16"/>
              </w:rPr>
              <w:t>Athanasios</w:t>
            </w:r>
            <w:r w:rsidRPr="00D06F87">
              <w:rPr>
                <w:rFonts w:ascii="Calibri Light" w:hAnsi="Calibri Light" w:cs="Calibri Light"/>
                <w:spacing w:val="-2"/>
                <w:sz w:val="16"/>
              </w:rPr>
              <w:t xml:space="preserve"> Orphanides</w:t>
            </w:r>
          </w:p>
        </w:tc>
        <w:tc>
          <w:tcPr>
            <w:tcW w:w="3243" w:type="pct"/>
            <w:tcBorders>
              <w:left w:val="single" w:sz="4" w:space="0" w:color="auto"/>
              <w:right w:val="nil"/>
            </w:tcBorders>
          </w:tcPr>
          <w:p w14:paraId="7763C178"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MIT</w:t>
            </w:r>
            <w:r w:rsidRPr="00D06F87">
              <w:rPr>
                <w:rFonts w:ascii="Calibri Light" w:hAnsi="Calibri Light" w:cs="Calibri Light"/>
                <w:spacing w:val="-2"/>
                <w:sz w:val="16"/>
              </w:rPr>
              <w:t xml:space="preserve"> </w:t>
            </w:r>
            <w:r w:rsidRPr="00D06F87">
              <w:rPr>
                <w:rFonts w:ascii="Calibri Light" w:hAnsi="Calibri Light" w:cs="Calibri Light"/>
                <w:sz w:val="16"/>
              </w:rPr>
              <w:t>Sloan,</w:t>
            </w:r>
            <w:r w:rsidRPr="00D06F87">
              <w:rPr>
                <w:rFonts w:ascii="Calibri Light" w:hAnsi="Calibri Light" w:cs="Calibri Light"/>
                <w:spacing w:val="-2"/>
                <w:sz w:val="16"/>
              </w:rPr>
              <w:t xml:space="preserve"> </w:t>
            </w:r>
            <w:r w:rsidRPr="00D06F87">
              <w:rPr>
                <w:rFonts w:ascii="Calibri Light" w:hAnsi="Calibri Light" w:cs="Calibri Light"/>
                <w:sz w:val="16"/>
              </w:rPr>
              <w:t>Former</w:t>
            </w:r>
            <w:r w:rsidRPr="00D06F87">
              <w:rPr>
                <w:rFonts w:ascii="Calibri Light" w:hAnsi="Calibri Light" w:cs="Calibri Light"/>
                <w:spacing w:val="-1"/>
                <w:sz w:val="16"/>
              </w:rPr>
              <w:t xml:space="preserve"> </w:t>
            </w:r>
            <w:r w:rsidRPr="00D06F87">
              <w:rPr>
                <w:rFonts w:ascii="Calibri Light" w:hAnsi="Calibri Light" w:cs="Calibri Light"/>
                <w:sz w:val="16"/>
              </w:rPr>
              <w:t>Governor</w:t>
            </w:r>
            <w:r w:rsidRPr="00D06F87">
              <w:rPr>
                <w:rFonts w:ascii="Calibri Light" w:hAnsi="Calibri Light" w:cs="Calibri Light"/>
                <w:spacing w:val="-2"/>
                <w:sz w:val="16"/>
              </w:rPr>
              <w:t xml:space="preserve"> </w:t>
            </w:r>
            <w:r w:rsidRPr="00D06F87">
              <w:rPr>
                <w:rFonts w:ascii="Calibri Light" w:hAnsi="Calibri Light" w:cs="Calibri Light"/>
                <w:sz w:val="16"/>
              </w:rPr>
              <w:t>of</w:t>
            </w:r>
            <w:r w:rsidRPr="00D06F87">
              <w:rPr>
                <w:rFonts w:ascii="Calibri Light" w:hAnsi="Calibri Light" w:cs="Calibri Light"/>
                <w:spacing w:val="-1"/>
                <w:sz w:val="16"/>
              </w:rPr>
              <w:t xml:space="preserve"> </w:t>
            </w:r>
            <w:r w:rsidRPr="00D06F87">
              <w:rPr>
                <w:rFonts w:ascii="Calibri Light" w:hAnsi="Calibri Light" w:cs="Calibri Light"/>
                <w:sz w:val="16"/>
              </w:rPr>
              <w:t>the</w:t>
            </w:r>
            <w:r w:rsidRPr="00D06F87">
              <w:rPr>
                <w:rFonts w:ascii="Calibri Light" w:hAnsi="Calibri Light" w:cs="Calibri Light"/>
                <w:spacing w:val="-2"/>
                <w:sz w:val="16"/>
              </w:rPr>
              <w:t xml:space="preserve"> </w:t>
            </w:r>
            <w:r w:rsidRPr="00D06F87">
              <w:rPr>
                <w:rFonts w:ascii="Calibri Light" w:hAnsi="Calibri Light" w:cs="Calibri Light"/>
                <w:sz w:val="16"/>
              </w:rPr>
              <w:t>Central</w:t>
            </w:r>
            <w:r w:rsidRPr="00D06F87">
              <w:rPr>
                <w:rFonts w:ascii="Calibri Light" w:hAnsi="Calibri Light" w:cs="Calibri Light"/>
                <w:spacing w:val="-1"/>
                <w:sz w:val="16"/>
              </w:rPr>
              <w:t xml:space="preserve"> </w:t>
            </w:r>
            <w:r w:rsidRPr="00D06F87">
              <w:rPr>
                <w:rFonts w:ascii="Calibri Light" w:hAnsi="Calibri Light" w:cs="Calibri Light"/>
                <w:sz w:val="16"/>
              </w:rPr>
              <w:t>Bank</w:t>
            </w:r>
            <w:r w:rsidRPr="00D06F87">
              <w:rPr>
                <w:rFonts w:ascii="Calibri Light" w:hAnsi="Calibri Light" w:cs="Calibri Light"/>
                <w:spacing w:val="-2"/>
                <w:sz w:val="16"/>
              </w:rPr>
              <w:t xml:space="preserve"> </w:t>
            </w:r>
            <w:r w:rsidRPr="00D06F87">
              <w:rPr>
                <w:rFonts w:ascii="Calibri Light" w:hAnsi="Calibri Light" w:cs="Calibri Light"/>
                <w:sz w:val="16"/>
              </w:rPr>
              <w:t>of</w:t>
            </w:r>
            <w:r w:rsidRPr="00D06F87">
              <w:rPr>
                <w:rFonts w:ascii="Calibri Light" w:hAnsi="Calibri Light" w:cs="Calibri Light"/>
                <w:spacing w:val="-1"/>
                <w:sz w:val="16"/>
              </w:rPr>
              <w:t xml:space="preserve"> </w:t>
            </w:r>
            <w:r w:rsidRPr="00D06F87">
              <w:rPr>
                <w:rFonts w:ascii="Calibri Light" w:hAnsi="Calibri Light" w:cs="Calibri Light"/>
                <w:spacing w:val="-2"/>
                <w:sz w:val="16"/>
              </w:rPr>
              <w:t>Cyprus</w:t>
            </w:r>
          </w:p>
        </w:tc>
      </w:tr>
      <w:tr w:rsidR="00D06F87" w14:paraId="6E4ECC18" w14:textId="77777777" w:rsidTr="00D06F87">
        <w:trPr>
          <w:trHeight w:val="335"/>
        </w:trPr>
        <w:tc>
          <w:tcPr>
            <w:tcW w:w="1757" w:type="pct"/>
            <w:tcBorders>
              <w:left w:val="nil"/>
              <w:right w:val="single" w:sz="4" w:space="0" w:color="auto"/>
            </w:tcBorders>
          </w:tcPr>
          <w:p w14:paraId="6D873DFF"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1"/>
                <w:sz w:val="16"/>
              </w:rPr>
              <w:t xml:space="preserve"> </w:t>
            </w:r>
            <w:r w:rsidRPr="00D06F87">
              <w:rPr>
                <w:rFonts w:ascii="Calibri Light" w:hAnsi="Calibri Light" w:cs="Calibri Light"/>
                <w:sz w:val="16"/>
              </w:rPr>
              <w:t>David</w:t>
            </w:r>
            <w:r w:rsidRPr="00D06F87">
              <w:rPr>
                <w:rFonts w:ascii="Calibri Light" w:hAnsi="Calibri Light" w:cs="Calibri Light"/>
                <w:spacing w:val="-1"/>
                <w:sz w:val="16"/>
              </w:rPr>
              <w:t xml:space="preserve"> </w:t>
            </w:r>
            <w:r w:rsidRPr="00D06F87">
              <w:rPr>
                <w:rFonts w:ascii="Calibri Light" w:hAnsi="Calibri Light" w:cs="Calibri Light"/>
                <w:spacing w:val="-2"/>
                <w:sz w:val="16"/>
              </w:rPr>
              <w:t>Orsmond</w:t>
            </w:r>
          </w:p>
        </w:tc>
        <w:tc>
          <w:tcPr>
            <w:tcW w:w="3243" w:type="pct"/>
            <w:tcBorders>
              <w:left w:val="single" w:sz="4" w:space="0" w:color="auto"/>
              <w:right w:val="nil"/>
            </w:tcBorders>
          </w:tcPr>
          <w:p w14:paraId="78624DC7"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Macquarie</w:t>
            </w:r>
            <w:r w:rsidRPr="00D06F87">
              <w:rPr>
                <w:rFonts w:ascii="Calibri Light" w:hAnsi="Calibri Light" w:cs="Calibri Light"/>
                <w:spacing w:val="-3"/>
                <w:sz w:val="16"/>
              </w:rPr>
              <w:t xml:space="preserve"> </w:t>
            </w:r>
            <w:r w:rsidRPr="00D06F87">
              <w:rPr>
                <w:rFonts w:ascii="Calibri Light" w:hAnsi="Calibri Light" w:cs="Calibri Light"/>
                <w:spacing w:val="-2"/>
                <w:sz w:val="16"/>
              </w:rPr>
              <w:t>University</w:t>
            </w:r>
          </w:p>
        </w:tc>
      </w:tr>
      <w:tr w:rsidR="00D06F87" w14:paraId="430B3877" w14:textId="77777777" w:rsidTr="00D06F87">
        <w:trPr>
          <w:trHeight w:val="335"/>
        </w:trPr>
        <w:tc>
          <w:tcPr>
            <w:tcW w:w="1757" w:type="pct"/>
            <w:tcBorders>
              <w:left w:val="nil"/>
              <w:right w:val="single" w:sz="4" w:space="0" w:color="auto"/>
            </w:tcBorders>
          </w:tcPr>
          <w:p w14:paraId="5FF897D9"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Alan </w:t>
            </w:r>
            <w:r w:rsidRPr="00D06F87">
              <w:rPr>
                <w:rFonts w:ascii="Calibri Light" w:hAnsi="Calibri Light" w:cs="Calibri Light"/>
                <w:spacing w:val="-2"/>
                <w:sz w:val="16"/>
              </w:rPr>
              <w:t>Oster</w:t>
            </w:r>
          </w:p>
        </w:tc>
        <w:tc>
          <w:tcPr>
            <w:tcW w:w="3243" w:type="pct"/>
            <w:tcBorders>
              <w:left w:val="single" w:sz="4" w:space="0" w:color="auto"/>
              <w:right w:val="nil"/>
            </w:tcBorders>
          </w:tcPr>
          <w:p w14:paraId="5EE645A8"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Chief Economist, National Australia </w:t>
            </w:r>
            <w:r w:rsidRPr="00D06F87">
              <w:rPr>
                <w:rFonts w:ascii="Calibri Light" w:hAnsi="Calibri Light" w:cs="Calibri Light"/>
                <w:spacing w:val="-4"/>
                <w:sz w:val="16"/>
              </w:rPr>
              <w:t>Bank</w:t>
            </w:r>
          </w:p>
        </w:tc>
      </w:tr>
      <w:tr w:rsidR="00D06F87" w14:paraId="0B84332A" w14:textId="77777777" w:rsidTr="00D06F87">
        <w:trPr>
          <w:trHeight w:val="335"/>
        </w:trPr>
        <w:tc>
          <w:tcPr>
            <w:tcW w:w="1757" w:type="pct"/>
            <w:tcBorders>
              <w:left w:val="nil"/>
              <w:right w:val="single" w:sz="4" w:space="0" w:color="auto"/>
            </w:tcBorders>
          </w:tcPr>
          <w:p w14:paraId="2081FF6E"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2"/>
                <w:sz w:val="16"/>
              </w:rPr>
              <w:t xml:space="preserve"> </w:t>
            </w:r>
            <w:r w:rsidRPr="00D06F87">
              <w:rPr>
                <w:rFonts w:ascii="Calibri Light" w:hAnsi="Calibri Light" w:cs="Calibri Light"/>
                <w:sz w:val="16"/>
              </w:rPr>
              <w:t>Evan</w:t>
            </w:r>
            <w:r w:rsidRPr="00D06F87">
              <w:rPr>
                <w:rFonts w:ascii="Calibri Light" w:hAnsi="Calibri Light" w:cs="Calibri Light"/>
                <w:spacing w:val="-2"/>
                <w:sz w:val="16"/>
              </w:rPr>
              <w:t xml:space="preserve"> Papageorgiou</w:t>
            </w:r>
          </w:p>
        </w:tc>
        <w:tc>
          <w:tcPr>
            <w:tcW w:w="3243" w:type="pct"/>
            <w:tcBorders>
              <w:left w:val="single" w:sz="4" w:space="0" w:color="auto"/>
              <w:right w:val="nil"/>
            </w:tcBorders>
          </w:tcPr>
          <w:p w14:paraId="3630DC67"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IMF</w:t>
            </w:r>
            <w:r w:rsidRPr="00D06F87">
              <w:rPr>
                <w:rFonts w:ascii="Calibri Light" w:hAnsi="Calibri Light" w:cs="Calibri Light"/>
                <w:spacing w:val="-5"/>
                <w:sz w:val="16"/>
              </w:rPr>
              <w:t xml:space="preserve"> </w:t>
            </w:r>
            <w:r w:rsidRPr="00D06F87">
              <w:rPr>
                <w:rFonts w:ascii="Calibri Light" w:hAnsi="Calibri Light" w:cs="Calibri Light"/>
                <w:sz w:val="16"/>
              </w:rPr>
              <w:t>Mission</w:t>
            </w:r>
            <w:r w:rsidRPr="00D06F87">
              <w:rPr>
                <w:rFonts w:ascii="Calibri Light" w:hAnsi="Calibri Light" w:cs="Calibri Light"/>
                <w:spacing w:val="-2"/>
                <w:sz w:val="16"/>
              </w:rPr>
              <w:t xml:space="preserve"> </w:t>
            </w:r>
            <w:r w:rsidRPr="00D06F87">
              <w:rPr>
                <w:rFonts w:ascii="Calibri Light" w:hAnsi="Calibri Light" w:cs="Calibri Light"/>
                <w:spacing w:val="-4"/>
                <w:sz w:val="16"/>
              </w:rPr>
              <w:t>Team</w:t>
            </w:r>
          </w:p>
        </w:tc>
      </w:tr>
      <w:tr w:rsidR="00D06F87" w14:paraId="7A6B1035" w14:textId="77777777" w:rsidTr="00D06F87">
        <w:trPr>
          <w:trHeight w:val="335"/>
        </w:trPr>
        <w:tc>
          <w:tcPr>
            <w:tcW w:w="1757" w:type="pct"/>
            <w:tcBorders>
              <w:left w:val="nil"/>
              <w:right w:val="single" w:sz="4" w:space="0" w:color="auto"/>
            </w:tcBorders>
          </w:tcPr>
          <w:p w14:paraId="69AB7A44"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2"/>
                <w:sz w:val="16"/>
              </w:rPr>
              <w:t xml:space="preserve"> </w:t>
            </w:r>
            <w:r w:rsidRPr="00D06F87">
              <w:rPr>
                <w:rFonts w:ascii="Calibri Light" w:hAnsi="Calibri Light" w:cs="Calibri Light"/>
                <w:sz w:val="16"/>
              </w:rPr>
              <w:t>Bruce</w:t>
            </w:r>
            <w:r w:rsidRPr="00D06F87">
              <w:rPr>
                <w:rFonts w:ascii="Calibri Light" w:hAnsi="Calibri Light" w:cs="Calibri Light"/>
                <w:spacing w:val="-1"/>
                <w:sz w:val="16"/>
              </w:rPr>
              <w:t xml:space="preserve"> </w:t>
            </w:r>
            <w:r w:rsidRPr="00D06F87">
              <w:rPr>
                <w:rFonts w:ascii="Calibri Light" w:hAnsi="Calibri Light" w:cs="Calibri Light"/>
                <w:spacing w:val="-2"/>
                <w:sz w:val="16"/>
              </w:rPr>
              <w:t>Preston</w:t>
            </w:r>
          </w:p>
        </w:tc>
        <w:tc>
          <w:tcPr>
            <w:tcW w:w="3243" w:type="pct"/>
            <w:tcBorders>
              <w:left w:val="single" w:sz="4" w:space="0" w:color="auto"/>
              <w:right w:val="nil"/>
            </w:tcBorders>
          </w:tcPr>
          <w:p w14:paraId="727E82C1"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Melbourne</w:t>
            </w:r>
          </w:p>
        </w:tc>
      </w:tr>
      <w:tr w:rsidR="00D06F87" w14:paraId="0409B751" w14:textId="77777777" w:rsidTr="00D06F87">
        <w:trPr>
          <w:trHeight w:val="335"/>
        </w:trPr>
        <w:tc>
          <w:tcPr>
            <w:tcW w:w="1757" w:type="pct"/>
            <w:tcBorders>
              <w:left w:val="nil"/>
              <w:right w:val="single" w:sz="4" w:space="0" w:color="auto"/>
            </w:tcBorders>
          </w:tcPr>
          <w:p w14:paraId="7859C93F"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3"/>
                <w:sz w:val="16"/>
              </w:rPr>
              <w:t xml:space="preserve"> </w:t>
            </w:r>
            <w:r w:rsidRPr="00D06F87">
              <w:rPr>
                <w:rFonts w:ascii="Calibri Light" w:hAnsi="Calibri Light" w:cs="Calibri Light"/>
                <w:sz w:val="16"/>
              </w:rPr>
              <w:t>John</w:t>
            </w:r>
            <w:r w:rsidRPr="00D06F87">
              <w:rPr>
                <w:rFonts w:ascii="Calibri Light" w:hAnsi="Calibri Light" w:cs="Calibri Light"/>
                <w:spacing w:val="-2"/>
                <w:sz w:val="16"/>
              </w:rPr>
              <w:t xml:space="preserve"> Quiggin</w:t>
            </w:r>
          </w:p>
        </w:tc>
        <w:tc>
          <w:tcPr>
            <w:tcW w:w="3243" w:type="pct"/>
            <w:tcBorders>
              <w:left w:val="single" w:sz="4" w:space="0" w:color="auto"/>
              <w:right w:val="nil"/>
            </w:tcBorders>
          </w:tcPr>
          <w:p w14:paraId="278A69CD"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Queensland</w:t>
            </w:r>
          </w:p>
        </w:tc>
      </w:tr>
      <w:tr w:rsidR="00D06F87" w14:paraId="58845029" w14:textId="77777777" w:rsidTr="00D06F87">
        <w:trPr>
          <w:trHeight w:val="335"/>
        </w:trPr>
        <w:tc>
          <w:tcPr>
            <w:tcW w:w="1757" w:type="pct"/>
            <w:tcBorders>
              <w:left w:val="nil"/>
              <w:right w:val="single" w:sz="4" w:space="0" w:color="auto"/>
            </w:tcBorders>
          </w:tcPr>
          <w:p w14:paraId="03CA49BD"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6"/>
                <w:sz w:val="16"/>
              </w:rPr>
              <w:t xml:space="preserve"> </w:t>
            </w:r>
            <w:r w:rsidRPr="00D06F87">
              <w:rPr>
                <w:rFonts w:ascii="Calibri Light" w:hAnsi="Calibri Light" w:cs="Calibri Light"/>
                <w:sz w:val="16"/>
              </w:rPr>
              <w:t>Mala</w:t>
            </w:r>
            <w:r w:rsidRPr="00D06F87">
              <w:rPr>
                <w:rFonts w:ascii="Calibri Light" w:hAnsi="Calibri Light" w:cs="Calibri Light"/>
                <w:spacing w:val="-4"/>
                <w:sz w:val="16"/>
              </w:rPr>
              <w:t xml:space="preserve"> </w:t>
            </w:r>
            <w:r w:rsidRPr="00D06F87">
              <w:rPr>
                <w:rFonts w:ascii="Calibri Light" w:hAnsi="Calibri Light" w:cs="Calibri Light"/>
                <w:spacing w:val="-2"/>
                <w:sz w:val="16"/>
              </w:rPr>
              <w:t>Raghavan</w:t>
            </w:r>
          </w:p>
        </w:tc>
        <w:tc>
          <w:tcPr>
            <w:tcW w:w="3243" w:type="pct"/>
            <w:tcBorders>
              <w:left w:val="single" w:sz="4" w:space="0" w:color="auto"/>
              <w:right w:val="nil"/>
            </w:tcBorders>
          </w:tcPr>
          <w:p w14:paraId="027B8AB1"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1"/>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Tasmania</w:t>
            </w:r>
          </w:p>
        </w:tc>
      </w:tr>
      <w:tr w:rsidR="00D06F87" w14:paraId="75B9675A" w14:textId="77777777" w:rsidTr="00D06F87">
        <w:trPr>
          <w:trHeight w:val="335"/>
        </w:trPr>
        <w:tc>
          <w:tcPr>
            <w:tcW w:w="1757" w:type="pct"/>
            <w:tcBorders>
              <w:left w:val="nil"/>
              <w:right w:val="single" w:sz="4" w:space="0" w:color="auto"/>
            </w:tcBorders>
          </w:tcPr>
          <w:p w14:paraId="67042703"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Chris</w:t>
            </w:r>
            <w:r w:rsidRPr="00D06F87">
              <w:rPr>
                <w:rFonts w:ascii="Calibri Light" w:hAnsi="Calibri Light" w:cs="Calibri Light"/>
                <w:spacing w:val="-1"/>
                <w:sz w:val="16"/>
              </w:rPr>
              <w:t xml:space="preserve"> </w:t>
            </w:r>
            <w:r w:rsidRPr="00D06F87">
              <w:rPr>
                <w:rFonts w:ascii="Calibri Light" w:hAnsi="Calibri Light" w:cs="Calibri Light"/>
                <w:spacing w:val="-2"/>
                <w:sz w:val="16"/>
              </w:rPr>
              <w:t>Richardson</w:t>
            </w:r>
          </w:p>
        </w:tc>
        <w:tc>
          <w:tcPr>
            <w:tcW w:w="3243" w:type="pct"/>
            <w:tcBorders>
              <w:left w:val="single" w:sz="4" w:space="0" w:color="auto"/>
              <w:right w:val="nil"/>
            </w:tcBorders>
          </w:tcPr>
          <w:p w14:paraId="25598112"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Economist,</w:t>
            </w:r>
            <w:r w:rsidRPr="00D06F87">
              <w:rPr>
                <w:rFonts w:ascii="Calibri Light" w:hAnsi="Calibri Light" w:cs="Calibri Light"/>
                <w:spacing w:val="2"/>
                <w:sz w:val="16"/>
              </w:rPr>
              <w:t xml:space="preserve"> </w:t>
            </w:r>
            <w:r w:rsidRPr="00D06F87">
              <w:rPr>
                <w:rFonts w:ascii="Calibri Light" w:hAnsi="Calibri Light" w:cs="Calibri Light"/>
                <w:spacing w:val="-2"/>
                <w:sz w:val="16"/>
              </w:rPr>
              <w:t>freelance</w:t>
            </w:r>
          </w:p>
        </w:tc>
      </w:tr>
      <w:tr w:rsidR="00D06F87" w14:paraId="0B097CE5" w14:textId="77777777" w:rsidTr="00D06F87">
        <w:trPr>
          <w:trHeight w:val="335"/>
        </w:trPr>
        <w:tc>
          <w:tcPr>
            <w:tcW w:w="1757" w:type="pct"/>
            <w:tcBorders>
              <w:left w:val="nil"/>
              <w:right w:val="single" w:sz="4" w:space="0" w:color="auto"/>
            </w:tcBorders>
          </w:tcPr>
          <w:p w14:paraId="64BEE366"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2"/>
                <w:sz w:val="16"/>
              </w:rPr>
              <w:t xml:space="preserve"> </w:t>
            </w:r>
            <w:r w:rsidRPr="00D06F87">
              <w:rPr>
                <w:rFonts w:ascii="Calibri Light" w:hAnsi="Calibri Light" w:cs="Calibri Light"/>
                <w:sz w:val="16"/>
              </w:rPr>
              <w:t>Tim</w:t>
            </w:r>
            <w:r w:rsidRPr="00D06F87">
              <w:rPr>
                <w:rFonts w:ascii="Calibri Light" w:hAnsi="Calibri Light" w:cs="Calibri Light"/>
                <w:spacing w:val="-1"/>
                <w:sz w:val="16"/>
              </w:rPr>
              <w:t xml:space="preserve"> </w:t>
            </w:r>
            <w:r w:rsidRPr="00D06F87">
              <w:rPr>
                <w:rFonts w:ascii="Calibri Light" w:hAnsi="Calibri Light" w:cs="Calibri Light"/>
                <w:spacing w:val="-2"/>
                <w:sz w:val="16"/>
              </w:rPr>
              <w:t>Robinson</w:t>
            </w:r>
          </w:p>
        </w:tc>
        <w:tc>
          <w:tcPr>
            <w:tcW w:w="3243" w:type="pct"/>
            <w:tcBorders>
              <w:left w:val="single" w:sz="4" w:space="0" w:color="auto"/>
              <w:right w:val="nil"/>
            </w:tcBorders>
          </w:tcPr>
          <w:p w14:paraId="0A26BC11"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Melbourne </w:t>
            </w:r>
            <w:r w:rsidRPr="00D06F87">
              <w:rPr>
                <w:rFonts w:ascii="Calibri Light" w:hAnsi="Calibri Light" w:cs="Calibri Light"/>
                <w:spacing w:val="-2"/>
                <w:sz w:val="16"/>
              </w:rPr>
              <w:t>Institute</w:t>
            </w:r>
          </w:p>
        </w:tc>
      </w:tr>
      <w:tr w:rsidR="00D06F87" w14:paraId="6762B5EA" w14:textId="77777777" w:rsidTr="00D06F87">
        <w:trPr>
          <w:trHeight w:val="335"/>
        </w:trPr>
        <w:tc>
          <w:tcPr>
            <w:tcW w:w="1757" w:type="pct"/>
            <w:tcBorders>
              <w:left w:val="nil"/>
              <w:right w:val="single" w:sz="4" w:space="0" w:color="auto"/>
            </w:tcBorders>
          </w:tcPr>
          <w:p w14:paraId="060910D2"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5"/>
                <w:sz w:val="16"/>
              </w:rPr>
              <w:t xml:space="preserve"> </w:t>
            </w:r>
            <w:r w:rsidRPr="00D06F87">
              <w:rPr>
                <w:rFonts w:ascii="Calibri Light" w:hAnsi="Calibri Light" w:cs="Calibri Light"/>
                <w:sz w:val="16"/>
              </w:rPr>
              <w:t>Claudia</w:t>
            </w:r>
            <w:r w:rsidRPr="00D06F87">
              <w:rPr>
                <w:rFonts w:ascii="Calibri Light" w:hAnsi="Calibri Light" w:cs="Calibri Light"/>
                <w:spacing w:val="-2"/>
                <w:sz w:val="16"/>
              </w:rPr>
              <w:t xml:space="preserve"> </w:t>
            </w:r>
            <w:r w:rsidRPr="00D06F87">
              <w:rPr>
                <w:rFonts w:ascii="Calibri Light" w:hAnsi="Calibri Light" w:cs="Calibri Light"/>
                <w:spacing w:val="-4"/>
                <w:sz w:val="16"/>
              </w:rPr>
              <w:t>Sahm</w:t>
            </w:r>
          </w:p>
        </w:tc>
        <w:tc>
          <w:tcPr>
            <w:tcW w:w="3243" w:type="pct"/>
            <w:tcBorders>
              <w:left w:val="single" w:sz="4" w:space="0" w:color="auto"/>
              <w:right w:val="nil"/>
            </w:tcBorders>
          </w:tcPr>
          <w:p w14:paraId="24D70189"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Economist, Sahm</w:t>
            </w:r>
            <w:r w:rsidRPr="00D06F87">
              <w:rPr>
                <w:rFonts w:ascii="Calibri Light" w:hAnsi="Calibri Light" w:cs="Calibri Light"/>
                <w:spacing w:val="1"/>
                <w:sz w:val="16"/>
              </w:rPr>
              <w:t xml:space="preserve"> </w:t>
            </w:r>
            <w:r w:rsidRPr="00D06F87">
              <w:rPr>
                <w:rFonts w:ascii="Calibri Light" w:hAnsi="Calibri Light" w:cs="Calibri Light"/>
                <w:spacing w:val="-2"/>
                <w:sz w:val="16"/>
              </w:rPr>
              <w:t>Consulting</w:t>
            </w:r>
          </w:p>
        </w:tc>
      </w:tr>
      <w:tr w:rsidR="00D06F87" w14:paraId="6C047D20" w14:textId="77777777" w:rsidTr="00D06F87">
        <w:trPr>
          <w:trHeight w:val="335"/>
        </w:trPr>
        <w:tc>
          <w:tcPr>
            <w:tcW w:w="1757" w:type="pct"/>
            <w:tcBorders>
              <w:left w:val="nil"/>
              <w:right w:val="single" w:sz="4" w:space="0" w:color="auto"/>
            </w:tcBorders>
          </w:tcPr>
          <w:p w14:paraId="50E9C758"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Masaaki</w:t>
            </w:r>
            <w:r w:rsidRPr="00D06F87">
              <w:rPr>
                <w:rFonts w:ascii="Calibri Light" w:hAnsi="Calibri Light" w:cs="Calibri Light"/>
                <w:spacing w:val="1"/>
                <w:sz w:val="16"/>
              </w:rPr>
              <w:t xml:space="preserve"> </w:t>
            </w:r>
            <w:r w:rsidRPr="00D06F87">
              <w:rPr>
                <w:rFonts w:ascii="Calibri Light" w:hAnsi="Calibri Light" w:cs="Calibri Light"/>
                <w:spacing w:val="-2"/>
                <w:sz w:val="16"/>
              </w:rPr>
              <w:t>Shirakawa</w:t>
            </w:r>
          </w:p>
        </w:tc>
        <w:tc>
          <w:tcPr>
            <w:tcW w:w="3243" w:type="pct"/>
            <w:tcBorders>
              <w:left w:val="single" w:sz="4" w:space="0" w:color="auto"/>
              <w:right w:val="nil"/>
            </w:tcBorders>
          </w:tcPr>
          <w:p w14:paraId="3391660B"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Former</w:t>
            </w:r>
            <w:r w:rsidRPr="00D06F87">
              <w:rPr>
                <w:rFonts w:ascii="Calibri Light" w:hAnsi="Calibri Light" w:cs="Calibri Light"/>
                <w:spacing w:val="-4"/>
                <w:sz w:val="16"/>
              </w:rPr>
              <w:t xml:space="preserve"> </w:t>
            </w:r>
            <w:r w:rsidRPr="00D06F87">
              <w:rPr>
                <w:rFonts w:ascii="Calibri Light" w:hAnsi="Calibri Light" w:cs="Calibri Light"/>
                <w:sz w:val="16"/>
              </w:rPr>
              <w:t>Governor</w:t>
            </w:r>
            <w:r w:rsidRPr="00D06F87">
              <w:rPr>
                <w:rFonts w:ascii="Calibri Light" w:hAnsi="Calibri Light" w:cs="Calibri Light"/>
                <w:spacing w:val="-3"/>
                <w:sz w:val="16"/>
              </w:rPr>
              <w:t xml:space="preserve"> </w:t>
            </w:r>
            <w:r w:rsidRPr="00D06F87">
              <w:rPr>
                <w:rFonts w:ascii="Calibri Light" w:hAnsi="Calibri Light" w:cs="Calibri Light"/>
                <w:sz w:val="16"/>
              </w:rPr>
              <w:t>(2008</w:t>
            </w:r>
            <w:r w:rsidRPr="00D06F87">
              <w:rPr>
                <w:rFonts w:ascii="Calibri Light" w:hAnsi="Calibri Light" w:cs="Calibri Light"/>
                <w:spacing w:val="-3"/>
                <w:sz w:val="16"/>
              </w:rPr>
              <w:t xml:space="preserve"> </w:t>
            </w:r>
            <w:r w:rsidRPr="00D06F87">
              <w:rPr>
                <w:rFonts w:ascii="Calibri Light" w:hAnsi="Calibri Light" w:cs="Calibri Light"/>
                <w:sz w:val="16"/>
              </w:rPr>
              <w:t>-</w:t>
            </w:r>
            <w:r w:rsidRPr="00D06F87">
              <w:rPr>
                <w:rFonts w:ascii="Calibri Light" w:hAnsi="Calibri Light" w:cs="Calibri Light"/>
                <w:spacing w:val="-3"/>
                <w:sz w:val="16"/>
              </w:rPr>
              <w:t xml:space="preserve"> </w:t>
            </w:r>
            <w:r w:rsidRPr="00D06F87">
              <w:rPr>
                <w:rFonts w:ascii="Calibri Light" w:hAnsi="Calibri Light" w:cs="Calibri Light"/>
                <w:sz w:val="16"/>
              </w:rPr>
              <w:t>13),</w:t>
            </w:r>
            <w:r w:rsidRPr="00D06F87">
              <w:rPr>
                <w:rFonts w:ascii="Calibri Light" w:hAnsi="Calibri Light" w:cs="Calibri Light"/>
                <w:spacing w:val="-3"/>
                <w:sz w:val="16"/>
              </w:rPr>
              <w:t xml:space="preserve"> </w:t>
            </w:r>
            <w:r w:rsidRPr="00D06F87">
              <w:rPr>
                <w:rFonts w:ascii="Calibri Light" w:hAnsi="Calibri Light" w:cs="Calibri Light"/>
                <w:sz w:val="16"/>
              </w:rPr>
              <w:t>Bank</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3"/>
                <w:sz w:val="16"/>
              </w:rPr>
              <w:t xml:space="preserve"> </w:t>
            </w:r>
            <w:r w:rsidRPr="00D06F87">
              <w:rPr>
                <w:rFonts w:ascii="Calibri Light" w:hAnsi="Calibri Light" w:cs="Calibri Light"/>
                <w:spacing w:val="-4"/>
                <w:sz w:val="16"/>
              </w:rPr>
              <w:t>Japan</w:t>
            </w:r>
          </w:p>
        </w:tc>
      </w:tr>
      <w:tr w:rsidR="00D06F87" w14:paraId="10FE3370" w14:textId="77777777" w:rsidTr="00D06F87">
        <w:trPr>
          <w:trHeight w:val="335"/>
        </w:trPr>
        <w:tc>
          <w:tcPr>
            <w:tcW w:w="1757" w:type="pct"/>
            <w:tcBorders>
              <w:left w:val="nil"/>
              <w:right w:val="single" w:sz="4" w:space="0" w:color="auto"/>
            </w:tcBorders>
          </w:tcPr>
          <w:p w14:paraId="03411942"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Associate</w:t>
            </w:r>
            <w:r w:rsidRPr="00D06F87">
              <w:rPr>
                <w:rFonts w:ascii="Calibri Light" w:hAnsi="Calibri Light" w:cs="Calibri Light"/>
                <w:spacing w:val="3"/>
                <w:sz w:val="16"/>
              </w:rPr>
              <w:t xml:space="preserve"> </w:t>
            </w:r>
            <w:r w:rsidRPr="00D06F87">
              <w:rPr>
                <w:rFonts w:ascii="Calibri Light" w:hAnsi="Calibri Light" w:cs="Calibri Light"/>
                <w:sz w:val="16"/>
              </w:rPr>
              <w:t>Professor</w:t>
            </w:r>
            <w:r w:rsidRPr="00D06F87">
              <w:rPr>
                <w:rFonts w:ascii="Calibri Light" w:hAnsi="Calibri Light" w:cs="Calibri Light"/>
                <w:spacing w:val="5"/>
                <w:sz w:val="16"/>
              </w:rPr>
              <w:t xml:space="preserve"> </w:t>
            </w:r>
            <w:r w:rsidRPr="00D06F87">
              <w:rPr>
                <w:rFonts w:ascii="Calibri Light" w:hAnsi="Calibri Light" w:cs="Calibri Light"/>
                <w:sz w:val="16"/>
              </w:rPr>
              <w:t>Aarti</w:t>
            </w:r>
            <w:r w:rsidRPr="00D06F87">
              <w:rPr>
                <w:rFonts w:ascii="Calibri Light" w:hAnsi="Calibri Light" w:cs="Calibri Light"/>
                <w:spacing w:val="5"/>
                <w:sz w:val="16"/>
              </w:rPr>
              <w:t xml:space="preserve"> </w:t>
            </w:r>
            <w:r w:rsidRPr="00D06F87">
              <w:rPr>
                <w:rFonts w:ascii="Calibri Light" w:hAnsi="Calibri Light" w:cs="Calibri Light"/>
                <w:spacing w:val="-4"/>
                <w:sz w:val="16"/>
              </w:rPr>
              <w:t>Singh</w:t>
            </w:r>
          </w:p>
        </w:tc>
        <w:tc>
          <w:tcPr>
            <w:tcW w:w="3243" w:type="pct"/>
            <w:tcBorders>
              <w:left w:val="single" w:sz="4" w:space="0" w:color="auto"/>
              <w:right w:val="nil"/>
            </w:tcBorders>
          </w:tcPr>
          <w:p w14:paraId="7372AA5A"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University</w:t>
            </w:r>
            <w:r w:rsidRPr="00D06F87">
              <w:rPr>
                <w:rFonts w:ascii="Calibri Light" w:hAnsi="Calibri Light" w:cs="Calibri Light"/>
                <w:spacing w:val="3"/>
                <w:sz w:val="16"/>
              </w:rPr>
              <w:t xml:space="preserve"> </w:t>
            </w:r>
            <w:r w:rsidRPr="00D06F87">
              <w:rPr>
                <w:rFonts w:ascii="Calibri Light" w:hAnsi="Calibri Light" w:cs="Calibri Light"/>
                <w:sz w:val="16"/>
              </w:rPr>
              <w:t>of</w:t>
            </w:r>
            <w:r w:rsidRPr="00D06F87">
              <w:rPr>
                <w:rFonts w:ascii="Calibri Light" w:hAnsi="Calibri Light" w:cs="Calibri Light"/>
                <w:spacing w:val="4"/>
                <w:sz w:val="16"/>
              </w:rPr>
              <w:t xml:space="preserve"> </w:t>
            </w:r>
            <w:r w:rsidRPr="00D06F87">
              <w:rPr>
                <w:rFonts w:ascii="Calibri Light" w:hAnsi="Calibri Light" w:cs="Calibri Light"/>
                <w:spacing w:val="-2"/>
                <w:sz w:val="16"/>
              </w:rPr>
              <w:t>Sydney</w:t>
            </w:r>
          </w:p>
        </w:tc>
      </w:tr>
      <w:tr w:rsidR="00D06F87" w14:paraId="1FF59D66" w14:textId="77777777" w:rsidTr="00D06F87">
        <w:trPr>
          <w:trHeight w:val="335"/>
        </w:trPr>
        <w:tc>
          <w:tcPr>
            <w:tcW w:w="1757" w:type="pct"/>
            <w:tcBorders>
              <w:left w:val="nil"/>
              <w:right w:val="single" w:sz="4" w:space="0" w:color="auto"/>
            </w:tcBorders>
          </w:tcPr>
          <w:p w14:paraId="03081A18"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3"/>
                <w:sz w:val="16"/>
              </w:rPr>
              <w:t xml:space="preserve"> </w:t>
            </w:r>
            <w:r w:rsidRPr="00D06F87">
              <w:rPr>
                <w:rFonts w:ascii="Calibri Light" w:hAnsi="Calibri Light" w:cs="Calibri Light"/>
                <w:sz w:val="16"/>
              </w:rPr>
              <w:t>John</w:t>
            </w:r>
            <w:r w:rsidRPr="00D06F87">
              <w:rPr>
                <w:rFonts w:ascii="Calibri Light" w:hAnsi="Calibri Light" w:cs="Calibri Light"/>
                <w:spacing w:val="-2"/>
                <w:sz w:val="16"/>
              </w:rPr>
              <w:t xml:space="preserve"> Stachurski</w:t>
            </w:r>
          </w:p>
        </w:tc>
        <w:tc>
          <w:tcPr>
            <w:tcW w:w="3243" w:type="pct"/>
            <w:tcBorders>
              <w:left w:val="single" w:sz="4" w:space="0" w:color="auto"/>
              <w:right w:val="nil"/>
            </w:tcBorders>
          </w:tcPr>
          <w:p w14:paraId="68DDCC5B"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 xml:space="preserve">Australian National </w:t>
            </w:r>
            <w:r w:rsidRPr="00D06F87">
              <w:rPr>
                <w:rFonts w:ascii="Calibri Light" w:hAnsi="Calibri Light" w:cs="Calibri Light"/>
                <w:spacing w:val="-2"/>
                <w:sz w:val="16"/>
              </w:rPr>
              <w:t>University</w:t>
            </w:r>
          </w:p>
        </w:tc>
      </w:tr>
      <w:tr w:rsidR="00D06F87" w14:paraId="2752B0B2" w14:textId="77777777" w:rsidTr="00D06F87">
        <w:trPr>
          <w:trHeight w:val="335"/>
        </w:trPr>
        <w:tc>
          <w:tcPr>
            <w:tcW w:w="1757" w:type="pct"/>
            <w:tcBorders>
              <w:left w:val="nil"/>
              <w:right w:val="single" w:sz="4" w:space="0" w:color="auto"/>
            </w:tcBorders>
          </w:tcPr>
          <w:p w14:paraId="2CA41079"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5"/>
                <w:sz w:val="16"/>
              </w:rPr>
              <w:t xml:space="preserve"> </w:t>
            </w:r>
            <w:r w:rsidRPr="00D06F87">
              <w:rPr>
                <w:rFonts w:ascii="Calibri Light" w:hAnsi="Calibri Light" w:cs="Calibri Light"/>
                <w:sz w:val="16"/>
              </w:rPr>
              <w:t>Nour</w:t>
            </w:r>
            <w:r w:rsidRPr="00D06F87">
              <w:rPr>
                <w:rFonts w:ascii="Calibri Light" w:hAnsi="Calibri Light" w:cs="Calibri Light"/>
                <w:spacing w:val="-2"/>
                <w:sz w:val="16"/>
              </w:rPr>
              <w:t xml:space="preserve"> </w:t>
            </w:r>
            <w:r w:rsidRPr="00D06F87">
              <w:rPr>
                <w:rFonts w:ascii="Calibri Light" w:hAnsi="Calibri Light" w:cs="Calibri Light"/>
                <w:spacing w:val="-4"/>
                <w:sz w:val="16"/>
              </w:rPr>
              <w:t>Tawk</w:t>
            </w:r>
          </w:p>
        </w:tc>
        <w:tc>
          <w:tcPr>
            <w:tcW w:w="3243" w:type="pct"/>
            <w:tcBorders>
              <w:left w:val="single" w:sz="4" w:space="0" w:color="auto"/>
              <w:right w:val="nil"/>
            </w:tcBorders>
          </w:tcPr>
          <w:p w14:paraId="2D18B133"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IMF</w:t>
            </w:r>
            <w:r w:rsidRPr="00D06F87">
              <w:rPr>
                <w:rFonts w:ascii="Calibri Light" w:hAnsi="Calibri Light" w:cs="Calibri Light"/>
                <w:spacing w:val="-5"/>
                <w:sz w:val="16"/>
              </w:rPr>
              <w:t xml:space="preserve"> </w:t>
            </w:r>
            <w:r w:rsidRPr="00D06F87">
              <w:rPr>
                <w:rFonts w:ascii="Calibri Light" w:hAnsi="Calibri Light" w:cs="Calibri Light"/>
                <w:sz w:val="16"/>
              </w:rPr>
              <w:t>Mission</w:t>
            </w:r>
            <w:r w:rsidRPr="00D06F87">
              <w:rPr>
                <w:rFonts w:ascii="Calibri Light" w:hAnsi="Calibri Light" w:cs="Calibri Light"/>
                <w:spacing w:val="-2"/>
                <w:sz w:val="16"/>
              </w:rPr>
              <w:t xml:space="preserve"> </w:t>
            </w:r>
            <w:r w:rsidRPr="00D06F87">
              <w:rPr>
                <w:rFonts w:ascii="Calibri Light" w:hAnsi="Calibri Light" w:cs="Calibri Light"/>
                <w:spacing w:val="-4"/>
                <w:sz w:val="16"/>
              </w:rPr>
              <w:t>Team</w:t>
            </w:r>
          </w:p>
        </w:tc>
      </w:tr>
      <w:tr w:rsidR="00D06F87" w14:paraId="3A071C40" w14:textId="77777777" w:rsidTr="00D06F87">
        <w:trPr>
          <w:trHeight w:val="335"/>
        </w:trPr>
        <w:tc>
          <w:tcPr>
            <w:tcW w:w="1757" w:type="pct"/>
            <w:tcBorders>
              <w:left w:val="nil"/>
              <w:right w:val="single" w:sz="4" w:space="0" w:color="auto"/>
            </w:tcBorders>
          </w:tcPr>
          <w:p w14:paraId="2A5154DD"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4"/>
                <w:sz w:val="16"/>
              </w:rPr>
              <w:t xml:space="preserve"> </w:t>
            </w:r>
            <w:r w:rsidRPr="00D06F87">
              <w:rPr>
                <w:rFonts w:ascii="Calibri Light" w:hAnsi="Calibri Light" w:cs="Calibri Light"/>
                <w:sz w:val="16"/>
              </w:rPr>
              <w:t>Peter</w:t>
            </w:r>
            <w:r w:rsidRPr="00D06F87">
              <w:rPr>
                <w:rFonts w:ascii="Calibri Light" w:hAnsi="Calibri Light" w:cs="Calibri Light"/>
                <w:spacing w:val="-4"/>
                <w:sz w:val="16"/>
              </w:rPr>
              <w:t xml:space="preserve"> </w:t>
            </w:r>
            <w:r w:rsidRPr="00D06F87">
              <w:rPr>
                <w:rFonts w:ascii="Calibri Light" w:hAnsi="Calibri Light" w:cs="Calibri Light"/>
                <w:spacing w:val="-2"/>
                <w:sz w:val="16"/>
              </w:rPr>
              <w:t>Tulip</w:t>
            </w:r>
          </w:p>
        </w:tc>
        <w:tc>
          <w:tcPr>
            <w:tcW w:w="3243" w:type="pct"/>
            <w:tcBorders>
              <w:left w:val="single" w:sz="4" w:space="0" w:color="auto"/>
              <w:right w:val="nil"/>
            </w:tcBorders>
          </w:tcPr>
          <w:p w14:paraId="0D315E9B"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Chief</w:t>
            </w:r>
            <w:r w:rsidRPr="00D06F87">
              <w:rPr>
                <w:rFonts w:ascii="Calibri Light" w:hAnsi="Calibri Light" w:cs="Calibri Light"/>
                <w:spacing w:val="-3"/>
                <w:sz w:val="16"/>
              </w:rPr>
              <w:t xml:space="preserve"> </w:t>
            </w:r>
            <w:r w:rsidRPr="00D06F87">
              <w:rPr>
                <w:rFonts w:ascii="Calibri Light" w:hAnsi="Calibri Light" w:cs="Calibri Light"/>
                <w:sz w:val="16"/>
              </w:rPr>
              <w:t>Economist,</w:t>
            </w:r>
            <w:r w:rsidRPr="00D06F87">
              <w:rPr>
                <w:rFonts w:ascii="Calibri Light" w:hAnsi="Calibri Light" w:cs="Calibri Light"/>
                <w:spacing w:val="-2"/>
                <w:sz w:val="16"/>
              </w:rPr>
              <w:t xml:space="preserve"> </w:t>
            </w:r>
            <w:r w:rsidRPr="00D06F87">
              <w:rPr>
                <w:rFonts w:ascii="Calibri Light" w:hAnsi="Calibri Light" w:cs="Calibri Light"/>
                <w:sz w:val="16"/>
              </w:rPr>
              <w:t>Centre</w:t>
            </w:r>
            <w:r w:rsidRPr="00D06F87">
              <w:rPr>
                <w:rFonts w:ascii="Calibri Light" w:hAnsi="Calibri Light" w:cs="Calibri Light"/>
                <w:spacing w:val="-2"/>
                <w:sz w:val="16"/>
              </w:rPr>
              <w:t xml:space="preserve"> </w:t>
            </w:r>
            <w:r w:rsidRPr="00D06F87">
              <w:rPr>
                <w:rFonts w:ascii="Calibri Light" w:hAnsi="Calibri Light" w:cs="Calibri Light"/>
                <w:sz w:val="16"/>
              </w:rPr>
              <w:t>for</w:t>
            </w:r>
            <w:r w:rsidRPr="00D06F87">
              <w:rPr>
                <w:rFonts w:ascii="Calibri Light" w:hAnsi="Calibri Light" w:cs="Calibri Light"/>
                <w:spacing w:val="-2"/>
                <w:sz w:val="16"/>
              </w:rPr>
              <w:t xml:space="preserve"> </w:t>
            </w:r>
            <w:r w:rsidRPr="00D06F87">
              <w:rPr>
                <w:rFonts w:ascii="Calibri Light" w:hAnsi="Calibri Light" w:cs="Calibri Light"/>
                <w:sz w:val="16"/>
              </w:rPr>
              <w:t>Independent</w:t>
            </w:r>
            <w:r w:rsidRPr="00D06F87">
              <w:rPr>
                <w:rFonts w:ascii="Calibri Light" w:hAnsi="Calibri Light" w:cs="Calibri Light"/>
                <w:spacing w:val="-2"/>
                <w:sz w:val="16"/>
              </w:rPr>
              <w:t xml:space="preserve"> Studies</w:t>
            </w:r>
          </w:p>
        </w:tc>
      </w:tr>
      <w:tr w:rsidR="00D06F87" w14:paraId="2F200D71" w14:textId="77777777" w:rsidTr="00D06F87">
        <w:trPr>
          <w:trHeight w:val="335"/>
        </w:trPr>
        <w:tc>
          <w:tcPr>
            <w:tcW w:w="1757" w:type="pct"/>
            <w:tcBorders>
              <w:left w:val="nil"/>
              <w:right w:val="single" w:sz="4" w:space="0" w:color="auto"/>
            </w:tcBorders>
          </w:tcPr>
          <w:p w14:paraId="3DD3A914"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Patrick</w:t>
            </w:r>
            <w:r w:rsidRPr="00D06F87">
              <w:rPr>
                <w:rFonts w:ascii="Calibri Light" w:hAnsi="Calibri Light" w:cs="Calibri Light"/>
                <w:spacing w:val="-2"/>
                <w:sz w:val="16"/>
              </w:rPr>
              <w:t xml:space="preserve"> Veyret</w:t>
            </w:r>
          </w:p>
        </w:tc>
        <w:tc>
          <w:tcPr>
            <w:tcW w:w="3243" w:type="pct"/>
            <w:tcBorders>
              <w:left w:val="single" w:sz="4" w:space="0" w:color="auto"/>
              <w:right w:val="nil"/>
            </w:tcBorders>
          </w:tcPr>
          <w:p w14:paraId="7C0A3855"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Head</w:t>
            </w:r>
            <w:r w:rsidRPr="00D06F87">
              <w:rPr>
                <w:rFonts w:ascii="Calibri Light" w:hAnsi="Calibri Light" w:cs="Calibri Light"/>
                <w:spacing w:val="-3"/>
                <w:sz w:val="16"/>
              </w:rPr>
              <w:t xml:space="preserve"> </w:t>
            </w:r>
            <w:r w:rsidRPr="00D06F87">
              <w:rPr>
                <w:rFonts w:ascii="Calibri Light" w:hAnsi="Calibri Light" w:cs="Calibri Light"/>
                <w:sz w:val="16"/>
              </w:rPr>
              <w:t>of Policy</w:t>
            </w:r>
            <w:r w:rsidRPr="00D06F87">
              <w:rPr>
                <w:rFonts w:ascii="Calibri Light" w:hAnsi="Calibri Light" w:cs="Calibri Light"/>
                <w:spacing w:val="-1"/>
                <w:sz w:val="16"/>
              </w:rPr>
              <w:t xml:space="preserve"> </w:t>
            </w:r>
            <w:r w:rsidRPr="00D06F87">
              <w:rPr>
                <w:rFonts w:ascii="Calibri Light" w:hAnsi="Calibri Light" w:cs="Calibri Light"/>
                <w:sz w:val="16"/>
              </w:rPr>
              <w:t>and Government</w:t>
            </w:r>
            <w:r w:rsidRPr="00D06F87">
              <w:rPr>
                <w:rFonts w:ascii="Calibri Light" w:hAnsi="Calibri Light" w:cs="Calibri Light"/>
                <w:spacing w:val="-1"/>
                <w:sz w:val="16"/>
              </w:rPr>
              <w:t xml:space="preserve"> </w:t>
            </w:r>
            <w:r w:rsidRPr="00D06F87">
              <w:rPr>
                <w:rFonts w:ascii="Calibri Light" w:hAnsi="Calibri Light" w:cs="Calibri Light"/>
                <w:sz w:val="16"/>
              </w:rPr>
              <w:t xml:space="preserve">Relations, </w:t>
            </w:r>
            <w:r w:rsidRPr="00D06F87">
              <w:rPr>
                <w:rFonts w:ascii="Calibri Light" w:hAnsi="Calibri Light" w:cs="Calibri Light"/>
                <w:spacing w:val="-2"/>
                <w:sz w:val="16"/>
              </w:rPr>
              <w:t>CHOICE</w:t>
            </w:r>
          </w:p>
        </w:tc>
      </w:tr>
      <w:tr w:rsidR="00D06F87" w14:paraId="4C738238" w14:textId="77777777" w:rsidTr="00D06F87">
        <w:trPr>
          <w:trHeight w:val="335"/>
        </w:trPr>
        <w:tc>
          <w:tcPr>
            <w:tcW w:w="1757" w:type="pct"/>
            <w:tcBorders>
              <w:left w:val="nil"/>
              <w:right w:val="single" w:sz="4" w:space="0" w:color="auto"/>
            </w:tcBorders>
          </w:tcPr>
          <w:p w14:paraId="7BB06590"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Professor</w:t>
            </w:r>
            <w:r w:rsidRPr="00D06F87">
              <w:rPr>
                <w:rFonts w:ascii="Calibri Light" w:hAnsi="Calibri Light" w:cs="Calibri Light"/>
                <w:spacing w:val="-3"/>
                <w:sz w:val="16"/>
              </w:rPr>
              <w:t xml:space="preserve"> </w:t>
            </w:r>
            <w:r w:rsidRPr="00D06F87">
              <w:rPr>
                <w:rFonts w:ascii="Calibri Light" w:hAnsi="Calibri Light" w:cs="Calibri Light"/>
                <w:sz w:val="16"/>
              </w:rPr>
              <w:t>David</w:t>
            </w:r>
            <w:r w:rsidRPr="00D06F87">
              <w:rPr>
                <w:rFonts w:ascii="Calibri Light" w:hAnsi="Calibri Light" w:cs="Calibri Light"/>
                <w:spacing w:val="-1"/>
                <w:sz w:val="16"/>
              </w:rPr>
              <w:t xml:space="preserve"> </w:t>
            </w:r>
            <w:r w:rsidRPr="00D06F87">
              <w:rPr>
                <w:rFonts w:ascii="Calibri Light" w:hAnsi="Calibri Light" w:cs="Calibri Light"/>
                <w:spacing w:val="-2"/>
                <w:sz w:val="16"/>
              </w:rPr>
              <w:t>Vines</w:t>
            </w:r>
          </w:p>
        </w:tc>
        <w:tc>
          <w:tcPr>
            <w:tcW w:w="3243" w:type="pct"/>
            <w:tcBorders>
              <w:left w:val="single" w:sz="4" w:space="0" w:color="auto"/>
              <w:right w:val="nil"/>
            </w:tcBorders>
          </w:tcPr>
          <w:p w14:paraId="39354A63"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Oxford</w:t>
            </w:r>
            <w:r w:rsidRPr="00D06F87">
              <w:rPr>
                <w:rFonts w:ascii="Calibri Light" w:hAnsi="Calibri Light" w:cs="Calibri Light"/>
                <w:spacing w:val="2"/>
                <w:sz w:val="16"/>
              </w:rPr>
              <w:t xml:space="preserve"> </w:t>
            </w:r>
            <w:r w:rsidRPr="00D06F87">
              <w:rPr>
                <w:rFonts w:ascii="Calibri Light" w:hAnsi="Calibri Light" w:cs="Calibri Light"/>
                <w:spacing w:val="-2"/>
                <w:sz w:val="16"/>
              </w:rPr>
              <w:t>University</w:t>
            </w:r>
          </w:p>
        </w:tc>
      </w:tr>
      <w:tr w:rsidR="00D06F87" w14:paraId="4520DA73" w14:textId="77777777" w:rsidTr="00D06F87">
        <w:trPr>
          <w:trHeight w:val="335"/>
        </w:trPr>
        <w:tc>
          <w:tcPr>
            <w:tcW w:w="1757" w:type="pct"/>
            <w:tcBorders>
              <w:left w:val="nil"/>
              <w:right w:val="single" w:sz="4" w:space="0" w:color="auto"/>
            </w:tcBorders>
          </w:tcPr>
          <w:p w14:paraId="06577869"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Stephen</w:t>
            </w:r>
            <w:r w:rsidRPr="00D06F87">
              <w:rPr>
                <w:rFonts w:ascii="Calibri Light" w:hAnsi="Calibri Light" w:cs="Calibri Light"/>
                <w:spacing w:val="-5"/>
                <w:sz w:val="16"/>
              </w:rPr>
              <w:t xml:space="preserve"> </w:t>
            </w:r>
            <w:r w:rsidRPr="00D06F87">
              <w:rPr>
                <w:rFonts w:ascii="Calibri Light" w:hAnsi="Calibri Light" w:cs="Calibri Light"/>
                <w:spacing w:val="-2"/>
                <w:sz w:val="16"/>
              </w:rPr>
              <w:t>Walters</w:t>
            </w:r>
          </w:p>
        </w:tc>
        <w:tc>
          <w:tcPr>
            <w:tcW w:w="3243" w:type="pct"/>
            <w:tcBorders>
              <w:left w:val="single" w:sz="4" w:space="0" w:color="auto"/>
              <w:right w:val="nil"/>
            </w:tcBorders>
          </w:tcPr>
          <w:p w14:paraId="64B3145B"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Chief</w:t>
            </w:r>
            <w:r w:rsidRPr="00D06F87">
              <w:rPr>
                <w:rFonts w:ascii="Calibri Light" w:hAnsi="Calibri Light" w:cs="Calibri Light"/>
                <w:spacing w:val="-2"/>
                <w:sz w:val="16"/>
              </w:rPr>
              <w:t xml:space="preserve"> </w:t>
            </w:r>
            <w:r w:rsidRPr="00D06F87">
              <w:rPr>
                <w:rFonts w:ascii="Calibri Light" w:hAnsi="Calibri Light" w:cs="Calibri Light"/>
                <w:sz w:val="16"/>
              </w:rPr>
              <w:t>Economist,</w:t>
            </w:r>
            <w:r w:rsidRPr="00D06F87">
              <w:rPr>
                <w:rFonts w:ascii="Calibri Light" w:hAnsi="Calibri Light" w:cs="Calibri Light"/>
                <w:spacing w:val="-1"/>
                <w:sz w:val="16"/>
              </w:rPr>
              <w:t xml:space="preserve"> </w:t>
            </w:r>
            <w:r w:rsidRPr="00D06F87">
              <w:rPr>
                <w:rFonts w:ascii="Calibri Light" w:hAnsi="Calibri Light" w:cs="Calibri Light"/>
                <w:sz w:val="16"/>
              </w:rPr>
              <w:t>Business</w:t>
            </w:r>
            <w:r w:rsidRPr="00D06F87">
              <w:rPr>
                <w:rFonts w:ascii="Calibri Light" w:hAnsi="Calibri Light" w:cs="Calibri Light"/>
                <w:spacing w:val="-1"/>
                <w:sz w:val="16"/>
              </w:rPr>
              <w:t xml:space="preserve"> </w:t>
            </w:r>
            <w:r w:rsidRPr="00D06F87">
              <w:rPr>
                <w:rFonts w:ascii="Calibri Light" w:hAnsi="Calibri Light" w:cs="Calibri Light"/>
                <w:sz w:val="16"/>
              </w:rPr>
              <w:t>Council</w:t>
            </w:r>
            <w:r w:rsidRPr="00D06F87">
              <w:rPr>
                <w:rFonts w:ascii="Calibri Light" w:hAnsi="Calibri Light" w:cs="Calibri Light"/>
                <w:spacing w:val="-1"/>
                <w:sz w:val="16"/>
              </w:rPr>
              <w:t xml:space="preserve"> </w:t>
            </w:r>
            <w:r w:rsidRPr="00D06F87">
              <w:rPr>
                <w:rFonts w:ascii="Calibri Light" w:hAnsi="Calibri Light" w:cs="Calibri Light"/>
                <w:sz w:val="16"/>
              </w:rPr>
              <w:t>of</w:t>
            </w:r>
            <w:r w:rsidRPr="00D06F87">
              <w:rPr>
                <w:rFonts w:ascii="Calibri Light" w:hAnsi="Calibri Light" w:cs="Calibri Light"/>
                <w:spacing w:val="-1"/>
                <w:sz w:val="16"/>
              </w:rPr>
              <w:t xml:space="preserve"> </w:t>
            </w:r>
            <w:r w:rsidRPr="00D06F87">
              <w:rPr>
                <w:rFonts w:ascii="Calibri Light" w:hAnsi="Calibri Light" w:cs="Calibri Light"/>
                <w:spacing w:val="-2"/>
                <w:sz w:val="16"/>
              </w:rPr>
              <w:t>Australia</w:t>
            </w:r>
          </w:p>
        </w:tc>
      </w:tr>
      <w:tr w:rsidR="00D06F87" w14:paraId="70BD853C" w14:textId="77777777" w:rsidTr="00D06F87">
        <w:trPr>
          <w:trHeight w:val="335"/>
        </w:trPr>
        <w:tc>
          <w:tcPr>
            <w:tcW w:w="1757" w:type="pct"/>
            <w:tcBorders>
              <w:left w:val="nil"/>
              <w:right w:val="single" w:sz="4" w:space="0" w:color="auto"/>
            </w:tcBorders>
          </w:tcPr>
          <w:p w14:paraId="18693D21"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Dr</w:t>
            </w:r>
            <w:r w:rsidRPr="00D06F87">
              <w:rPr>
                <w:rFonts w:ascii="Calibri Light" w:hAnsi="Calibri Light" w:cs="Calibri Light"/>
                <w:spacing w:val="-4"/>
                <w:sz w:val="16"/>
              </w:rPr>
              <w:t xml:space="preserve"> </w:t>
            </w:r>
            <w:r w:rsidRPr="00D06F87">
              <w:rPr>
                <w:rFonts w:ascii="Calibri Light" w:hAnsi="Calibri Light" w:cs="Calibri Light"/>
                <w:sz w:val="16"/>
              </w:rPr>
              <w:t>David</w:t>
            </w:r>
            <w:r w:rsidRPr="00D06F87">
              <w:rPr>
                <w:rFonts w:ascii="Calibri Light" w:hAnsi="Calibri Light" w:cs="Calibri Light"/>
                <w:spacing w:val="-1"/>
                <w:sz w:val="16"/>
              </w:rPr>
              <w:t xml:space="preserve"> </w:t>
            </w:r>
            <w:r w:rsidRPr="00D06F87">
              <w:rPr>
                <w:rFonts w:ascii="Calibri Light" w:hAnsi="Calibri Light" w:cs="Calibri Light"/>
                <w:spacing w:val="-2"/>
                <w:sz w:val="16"/>
              </w:rPr>
              <w:t>Wilcox</w:t>
            </w:r>
          </w:p>
        </w:tc>
        <w:tc>
          <w:tcPr>
            <w:tcW w:w="3243" w:type="pct"/>
            <w:tcBorders>
              <w:left w:val="single" w:sz="4" w:space="0" w:color="auto"/>
              <w:right w:val="nil"/>
            </w:tcBorders>
          </w:tcPr>
          <w:p w14:paraId="185ADC2E"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Former</w:t>
            </w:r>
            <w:r w:rsidRPr="00D06F87">
              <w:rPr>
                <w:rFonts w:ascii="Calibri Light" w:hAnsi="Calibri Light" w:cs="Calibri Light"/>
                <w:spacing w:val="-1"/>
                <w:sz w:val="16"/>
              </w:rPr>
              <w:t xml:space="preserve"> </w:t>
            </w:r>
            <w:r w:rsidRPr="00D06F87">
              <w:rPr>
                <w:rFonts w:ascii="Calibri Light" w:hAnsi="Calibri Light" w:cs="Calibri Light"/>
                <w:sz w:val="16"/>
              </w:rPr>
              <w:t>Director,</w:t>
            </w:r>
            <w:r w:rsidRPr="00D06F87">
              <w:rPr>
                <w:rFonts w:ascii="Calibri Light" w:hAnsi="Calibri Light" w:cs="Calibri Light"/>
                <w:spacing w:val="-1"/>
                <w:sz w:val="16"/>
              </w:rPr>
              <w:t xml:space="preserve"> </w:t>
            </w:r>
            <w:r w:rsidRPr="00D06F87">
              <w:rPr>
                <w:rFonts w:ascii="Calibri Light" w:hAnsi="Calibri Light" w:cs="Calibri Light"/>
                <w:sz w:val="16"/>
              </w:rPr>
              <w:t>Federal</w:t>
            </w:r>
            <w:r w:rsidRPr="00D06F87">
              <w:rPr>
                <w:rFonts w:ascii="Calibri Light" w:hAnsi="Calibri Light" w:cs="Calibri Light"/>
                <w:spacing w:val="-1"/>
                <w:sz w:val="16"/>
              </w:rPr>
              <w:t xml:space="preserve"> </w:t>
            </w:r>
            <w:r w:rsidRPr="00D06F87">
              <w:rPr>
                <w:rFonts w:ascii="Calibri Light" w:hAnsi="Calibri Light" w:cs="Calibri Light"/>
                <w:sz w:val="16"/>
              </w:rPr>
              <w:t>Reserve</w:t>
            </w:r>
            <w:r w:rsidRPr="00D06F87">
              <w:rPr>
                <w:rFonts w:ascii="Calibri Light" w:hAnsi="Calibri Light" w:cs="Calibri Light"/>
                <w:spacing w:val="-1"/>
                <w:sz w:val="16"/>
              </w:rPr>
              <w:t xml:space="preserve"> </w:t>
            </w:r>
            <w:r w:rsidRPr="00D06F87">
              <w:rPr>
                <w:rFonts w:ascii="Calibri Light" w:hAnsi="Calibri Light" w:cs="Calibri Light"/>
                <w:sz w:val="16"/>
              </w:rPr>
              <w:t>Board</w:t>
            </w:r>
            <w:r w:rsidRPr="00D06F87">
              <w:rPr>
                <w:rFonts w:ascii="Calibri Light" w:hAnsi="Calibri Light" w:cs="Calibri Light"/>
                <w:spacing w:val="-1"/>
                <w:sz w:val="16"/>
              </w:rPr>
              <w:t xml:space="preserve"> </w:t>
            </w:r>
            <w:r w:rsidRPr="00D06F87">
              <w:rPr>
                <w:rFonts w:ascii="Calibri Light" w:hAnsi="Calibri Light" w:cs="Calibri Light"/>
                <w:sz w:val="16"/>
              </w:rPr>
              <w:t>of</w:t>
            </w:r>
            <w:r w:rsidRPr="00D06F87">
              <w:rPr>
                <w:rFonts w:ascii="Calibri Light" w:hAnsi="Calibri Light" w:cs="Calibri Light"/>
                <w:spacing w:val="-1"/>
                <w:sz w:val="16"/>
              </w:rPr>
              <w:t xml:space="preserve"> </w:t>
            </w:r>
            <w:r w:rsidRPr="00D06F87">
              <w:rPr>
                <w:rFonts w:ascii="Calibri Light" w:hAnsi="Calibri Light" w:cs="Calibri Light"/>
                <w:spacing w:val="-2"/>
                <w:sz w:val="16"/>
              </w:rPr>
              <w:t>Governors</w:t>
            </w:r>
          </w:p>
        </w:tc>
      </w:tr>
      <w:tr w:rsidR="00D06F87" w14:paraId="7AE2B360" w14:textId="77777777" w:rsidTr="00D06F87">
        <w:trPr>
          <w:trHeight w:val="337"/>
        </w:trPr>
        <w:tc>
          <w:tcPr>
            <w:tcW w:w="1757" w:type="pct"/>
            <w:tcBorders>
              <w:left w:val="nil"/>
              <w:bottom w:val="nil"/>
              <w:right w:val="single" w:sz="4" w:space="0" w:color="auto"/>
            </w:tcBorders>
          </w:tcPr>
          <w:p w14:paraId="31AD354D"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Luke</w:t>
            </w:r>
            <w:r w:rsidRPr="00D06F87">
              <w:rPr>
                <w:rFonts w:ascii="Calibri Light" w:hAnsi="Calibri Light" w:cs="Calibri Light"/>
                <w:spacing w:val="-6"/>
                <w:sz w:val="16"/>
              </w:rPr>
              <w:t xml:space="preserve"> </w:t>
            </w:r>
            <w:r w:rsidRPr="00D06F87">
              <w:rPr>
                <w:rFonts w:ascii="Calibri Light" w:hAnsi="Calibri Light" w:cs="Calibri Light"/>
                <w:spacing w:val="-2"/>
                <w:sz w:val="16"/>
              </w:rPr>
              <w:t>Yeaman</w:t>
            </w:r>
          </w:p>
        </w:tc>
        <w:tc>
          <w:tcPr>
            <w:tcW w:w="3243" w:type="pct"/>
            <w:tcBorders>
              <w:left w:val="single" w:sz="4" w:space="0" w:color="auto"/>
              <w:bottom w:val="nil"/>
              <w:right w:val="nil"/>
            </w:tcBorders>
          </w:tcPr>
          <w:p w14:paraId="5CE29107" w14:textId="77777777" w:rsidR="00D06F87" w:rsidRPr="00D06F87" w:rsidRDefault="00D06F87" w:rsidP="00F22AE5">
            <w:pPr>
              <w:pStyle w:val="TableParagraph"/>
              <w:spacing w:before="57"/>
              <w:ind w:left="110"/>
              <w:rPr>
                <w:rFonts w:ascii="Calibri Light" w:hAnsi="Calibri Light" w:cs="Calibri Light"/>
                <w:sz w:val="16"/>
              </w:rPr>
            </w:pPr>
            <w:r w:rsidRPr="00D06F87">
              <w:rPr>
                <w:rFonts w:ascii="Calibri Light" w:hAnsi="Calibri Light" w:cs="Calibri Light"/>
                <w:sz w:val="16"/>
              </w:rPr>
              <w:t>Deputy</w:t>
            </w:r>
            <w:r w:rsidRPr="00D06F87">
              <w:rPr>
                <w:rFonts w:ascii="Calibri Light" w:hAnsi="Calibri Light" w:cs="Calibri Light"/>
                <w:spacing w:val="5"/>
                <w:sz w:val="16"/>
              </w:rPr>
              <w:t xml:space="preserve"> </w:t>
            </w:r>
            <w:r w:rsidRPr="00D06F87">
              <w:rPr>
                <w:rFonts w:ascii="Calibri Light" w:hAnsi="Calibri Light" w:cs="Calibri Light"/>
                <w:sz w:val="16"/>
              </w:rPr>
              <w:t>Secretary,</w:t>
            </w:r>
            <w:r w:rsidRPr="00D06F87">
              <w:rPr>
                <w:rFonts w:ascii="Calibri Light" w:hAnsi="Calibri Light" w:cs="Calibri Light"/>
                <w:spacing w:val="6"/>
                <w:sz w:val="16"/>
              </w:rPr>
              <w:t xml:space="preserve"> </w:t>
            </w:r>
            <w:r w:rsidRPr="00D06F87">
              <w:rPr>
                <w:rFonts w:ascii="Calibri Light" w:hAnsi="Calibri Light" w:cs="Calibri Light"/>
                <w:spacing w:val="-2"/>
                <w:sz w:val="16"/>
              </w:rPr>
              <w:t>Treasury</w:t>
            </w:r>
          </w:p>
        </w:tc>
      </w:tr>
    </w:tbl>
    <w:p w14:paraId="735D31E3" w14:textId="15CA839B" w:rsidR="009822D9" w:rsidRDefault="009822D9" w:rsidP="00B44F3C">
      <w:pPr>
        <w:pStyle w:val="Note"/>
      </w:pPr>
    </w:p>
    <w:p w14:paraId="15278CCE" w14:textId="77777777" w:rsidR="009822D9" w:rsidRDefault="009822D9">
      <w:pPr>
        <w:spacing w:before="0" w:after="160" w:line="259" w:lineRule="auto"/>
        <w:rPr>
          <w:sz w:val="16"/>
          <w:szCs w:val="14"/>
        </w:rPr>
      </w:pPr>
      <w:r>
        <w:br w:type="page"/>
      </w:r>
    </w:p>
    <w:p w14:paraId="4BD71842" w14:textId="3D3C05E9" w:rsidR="00D06F87" w:rsidRDefault="009822D9" w:rsidP="009822D9">
      <w:pPr>
        <w:pStyle w:val="Heading1"/>
      </w:pPr>
      <w:bookmarkStart w:id="76" w:name="_Toc134221046"/>
      <w:r w:rsidRPr="009822D9">
        <w:lastRenderedPageBreak/>
        <w:t>Appendix</w:t>
      </w:r>
      <w:r>
        <w:rPr>
          <w:spacing w:val="-26"/>
        </w:rPr>
        <w:t xml:space="preserve"> </w:t>
      </w:r>
      <w:r>
        <w:t>5:</w:t>
      </w:r>
      <w:r>
        <w:rPr>
          <w:spacing w:val="-25"/>
        </w:rPr>
        <w:t xml:space="preserve"> </w:t>
      </w:r>
      <w:r>
        <w:t>Glossary</w:t>
      </w:r>
      <w:bookmarkEnd w:id="76"/>
    </w:p>
    <w:tbl>
      <w:tblPr>
        <w:tblW w:w="9072" w:type="dxa"/>
        <w:tblLook w:val="06A0" w:firstRow="1" w:lastRow="0" w:firstColumn="1" w:lastColumn="0" w:noHBand="1" w:noVBand="1"/>
      </w:tblPr>
      <w:tblGrid>
        <w:gridCol w:w="2228"/>
        <w:gridCol w:w="6844"/>
      </w:tblGrid>
      <w:tr w:rsidR="00F73D94" w:rsidRPr="00F615F9" w14:paraId="0BADFC5D" w14:textId="77777777" w:rsidTr="00F22AE5">
        <w:tc>
          <w:tcPr>
            <w:tcW w:w="2228" w:type="dxa"/>
          </w:tcPr>
          <w:p w14:paraId="41796DC1" w14:textId="77777777" w:rsidR="00F73D94" w:rsidRPr="00F73D94" w:rsidRDefault="00F73D94" w:rsidP="00F73D94">
            <w:pPr>
              <w:rPr>
                <w:b/>
                <w:bCs/>
              </w:rPr>
            </w:pPr>
            <w:r w:rsidRPr="00F73D94">
              <w:rPr>
                <w:b/>
                <w:bCs/>
              </w:rPr>
              <w:t>Additional monetary policy tools</w:t>
            </w:r>
          </w:p>
        </w:tc>
        <w:tc>
          <w:tcPr>
            <w:tcW w:w="6844" w:type="dxa"/>
          </w:tcPr>
          <w:p w14:paraId="6A745356" w14:textId="77777777" w:rsidR="00F73D94" w:rsidRPr="00A93283" w:rsidRDefault="00F73D94" w:rsidP="00F73D94">
            <w:r w:rsidRPr="00A93283">
              <w:t>Monetary policy tools beyond the use of the cash rate. In Australia, they have included purchases of government bonds, a term funding facility, a yield target and forward guidance.</w:t>
            </w:r>
          </w:p>
        </w:tc>
      </w:tr>
      <w:tr w:rsidR="00F73D94" w:rsidRPr="00F615F9" w14:paraId="10A799B6" w14:textId="77777777" w:rsidTr="00F22AE5">
        <w:tc>
          <w:tcPr>
            <w:tcW w:w="2228" w:type="dxa"/>
          </w:tcPr>
          <w:p w14:paraId="2CB72167" w14:textId="77777777" w:rsidR="00F73D94" w:rsidRPr="00F73D94" w:rsidRDefault="00F73D94" w:rsidP="00F73D94">
            <w:pPr>
              <w:rPr>
                <w:b/>
                <w:bCs/>
              </w:rPr>
            </w:pPr>
            <w:r w:rsidRPr="00F73D94">
              <w:rPr>
                <w:b/>
                <w:bCs/>
              </w:rPr>
              <w:t>Aggregate supply/demand</w:t>
            </w:r>
          </w:p>
        </w:tc>
        <w:tc>
          <w:tcPr>
            <w:tcW w:w="6844" w:type="dxa"/>
          </w:tcPr>
          <w:p w14:paraId="088926F1" w14:textId="77777777" w:rsidR="00F73D94" w:rsidRPr="00A93283" w:rsidRDefault="00F73D94" w:rsidP="00F73D94">
            <w:r w:rsidRPr="00A93283">
              <w:t>The total supply or demand of goods and services in an economy. The interaction between aggregate supply and demand affects the price of goods within the economy.</w:t>
            </w:r>
          </w:p>
        </w:tc>
      </w:tr>
      <w:tr w:rsidR="00F73D94" w:rsidRPr="00F615F9" w14:paraId="1A4B9058" w14:textId="77777777" w:rsidTr="00F22AE5">
        <w:tc>
          <w:tcPr>
            <w:tcW w:w="2228" w:type="dxa"/>
          </w:tcPr>
          <w:p w14:paraId="08C08A67" w14:textId="77777777" w:rsidR="00F73D94" w:rsidRPr="00F73D94" w:rsidRDefault="00F73D94" w:rsidP="00F73D94">
            <w:pPr>
              <w:rPr>
                <w:b/>
                <w:bCs/>
              </w:rPr>
            </w:pPr>
            <w:r w:rsidRPr="00F73D94">
              <w:rPr>
                <w:b/>
                <w:bCs/>
              </w:rPr>
              <w:t>APS </w:t>
            </w:r>
          </w:p>
        </w:tc>
        <w:tc>
          <w:tcPr>
            <w:tcW w:w="6844" w:type="dxa"/>
          </w:tcPr>
          <w:p w14:paraId="5D8A3622" w14:textId="77777777" w:rsidR="00F73D94" w:rsidRPr="00A93283" w:rsidRDefault="00F73D94" w:rsidP="00F73D94">
            <w:r w:rsidRPr="00A93283">
              <w:t>Australian Public Service </w:t>
            </w:r>
          </w:p>
        </w:tc>
      </w:tr>
      <w:tr w:rsidR="00F73D94" w:rsidRPr="00F615F9" w14:paraId="0D48F4F7" w14:textId="77777777" w:rsidTr="00F22AE5">
        <w:tc>
          <w:tcPr>
            <w:tcW w:w="2228" w:type="dxa"/>
          </w:tcPr>
          <w:p w14:paraId="5FED3936" w14:textId="77777777" w:rsidR="00F73D94" w:rsidRPr="00F73D94" w:rsidRDefault="00F73D94" w:rsidP="00F73D94">
            <w:pPr>
              <w:rPr>
                <w:b/>
                <w:bCs/>
              </w:rPr>
            </w:pPr>
            <w:r w:rsidRPr="00F73D94">
              <w:rPr>
                <w:b/>
                <w:bCs/>
              </w:rPr>
              <w:t>Asian Financial Crisis</w:t>
            </w:r>
          </w:p>
        </w:tc>
        <w:tc>
          <w:tcPr>
            <w:tcW w:w="6844" w:type="dxa"/>
          </w:tcPr>
          <w:p w14:paraId="2AB8C421" w14:textId="77777777" w:rsidR="00F73D94" w:rsidRPr="00A93283" w:rsidRDefault="00F73D94" w:rsidP="00F73D94">
            <w:r w:rsidRPr="00A93283">
              <w:t>A period of financial stress directly impacting multiple countries in East Asia between mid-1997 and end-1998.</w:t>
            </w:r>
          </w:p>
        </w:tc>
      </w:tr>
      <w:tr w:rsidR="00F73D94" w:rsidRPr="00F615F9" w14:paraId="0DFA6D58" w14:textId="77777777" w:rsidTr="00F22AE5">
        <w:tc>
          <w:tcPr>
            <w:tcW w:w="2228" w:type="dxa"/>
          </w:tcPr>
          <w:p w14:paraId="42EA6C71" w14:textId="77777777" w:rsidR="00F73D94" w:rsidRPr="00F73D94" w:rsidRDefault="00F73D94" w:rsidP="00F73D94">
            <w:pPr>
              <w:rPr>
                <w:b/>
                <w:bCs/>
              </w:rPr>
            </w:pPr>
            <w:r w:rsidRPr="00F73D94">
              <w:rPr>
                <w:b/>
                <w:bCs/>
              </w:rPr>
              <w:t>Asset purchase program</w:t>
            </w:r>
          </w:p>
        </w:tc>
        <w:tc>
          <w:tcPr>
            <w:tcW w:w="6844" w:type="dxa"/>
          </w:tcPr>
          <w:p w14:paraId="364EF42F" w14:textId="77777777" w:rsidR="00F73D94" w:rsidRPr="00A93283" w:rsidRDefault="00F73D94" w:rsidP="00F73D94">
            <w:r w:rsidRPr="00A93283">
              <w:t>A central bank program to purchase financial assets such as bonds, with the aim of easing financial conditions.</w:t>
            </w:r>
          </w:p>
        </w:tc>
      </w:tr>
      <w:tr w:rsidR="00F73D94" w:rsidRPr="00F615F9" w14:paraId="6A336D8D" w14:textId="77777777" w:rsidTr="00F22AE5">
        <w:tc>
          <w:tcPr>
            <w:tcW w:w="2228" w:type="dxa"/>
          </w:tcPr>
          <w:p w14:paraId="5B417A45" w14:textId="77777777" w:rsidR="00F73D94" w:rsidRPr="00F73D94" w:rsidRDefault="00F73D94" w:rsidP="00F73D94">
            <w:pPr>
              <w:rPr>
                <w:b/>
                <w:bCs/>
              </w:rPr>
            </w:pPr>
            <w:r w:rsidRPr="00F73D94">
              <w:rPr>
                <w:b/>
                <w:bCs/>
              </w:rPr>
              <w:t>Australian Prudential Regulation Authority (APRA)</w:t>
            </w:r>
          </w:p>
        </w:tc>
        <w:tc>
          <w:tcPr>
            <w:tcW w:w="6844" w:type="dxa"/>
          </w:tcPr>
          <w:p w14:paraId="79FC96D5" w14:textId="77777777" w:rsidR="00F73D94" w:rsidRPr="00A93283" w:rsidRDefault="00F73D94" w:rsidP="00F73D94">
            <w:r w:rsidRPr="00A93283">
              <w:t xml:space="preserve">The Australian prudential regulator, supervising financial institutions across banking, insurance, and superannuation. APRA is responsible for macroprudential policy. </w:t>
            </w:r>
          </w:p>
        </w:tc>
      </w:tr>
      <w:tr w:rsidR="00F73D94" w14:paraId="44464E42" w14:textId="77777777" w:rsidTr="00F22AE5">
        <w:tc>
          <w:tcPr>
            <w:tcW w:w="2228" w:type="dxa"/>
          </w:tcPr>
          <w:p w14:paraId="51FEA3F2" w14:textId="77777777" w:rsidR="00F73D94" w:rsidRPr="00F73D94" w:rsidRDefault="00F73D94" w:rsidP="00F73D94">
            <w:pPr>
              <w:rPr>
                <w:b/>
                <w:bCs/>
              </w:rPr>
            </w:pPr>
            <w:r w:rsidRPr="00F73D94">
              <w:rPr>
                <w:b/>
                <w:bCs/>
              </w:rPr>
              <w:t>Australian Securities and Investments Commission (ASIC)</w:t>
            </w:r>
          </w:p>
        </w:tc>
        <w:tc>
          <w:tcPr>
            <w:tcW w:w="6844" w:type="dxa"/>
          </w:tcPr>
          <w:p w14:paraId="30E46012" w14:textId="77777777" w:rsidR="00F73D94" w:rsidRPr="00A93283" w:rsidRDefault="00F73D94" w:rsidP="00F73D94">
            <w:r w:rsidRPr="00A93283">
              <w:t xml:space="preserve">The Australian regulator for corporate, market and financial services and consumer credit. </w:t>
            </w:r>
          </w:p>
        </w:tc>
      </w:tr>
      <w:tr w:rsidR="00F73D94" w:rsidRPr="00F615F9" w14:paraId="62562FFB" w14:textId="77777777" w:rsidTr="00F22AE5">
        <w:tc>
          <w:tcPr>
            <w:tcW w:w="2228" w:type="dxa"/>
          </w:tcPr>
          <w:p w14:paraId="58350AE6" w14:textId="77777777" w:rsidR="00F73D94" w:rsidRPr="00F73D94" w:rsidRDefault="00F73D94" w:rsidP="00F73D94">
            <w:pPr>
              <w:rPr>
                <w:b/>
                <w:bCs/>
              </w:rPr>
            </w:pPr>
            <w:r w:rsidRPr="00F73D94">
              <w:rPr>
                <w:b/>
                <w:bCs/>
              </w:rPr>
              <w:t>Automatic fiscal stabilisers</w:t>
            </w:r>
          </w:p>
        </w:tc>
        <w:tc>
          <w:tcPr>
            <w:tcW w:w="6844" w:type="dxa"/>
          </w:tcPr>
          <w:p w14:paraId="05EFF9FE" w14:textId="77777777" w:rsidR="00F73D94" w:rsidRPr="00A93283" w:rsidRDefault="00F73D94" w:rsidP="00F73D94">
            <w:r w:rsidRPr="00A93283">
              <w:t xml:space="preserve">Legislated government policies that affects total spending and/or taxation in the economy in a way that varies according to economic conditions. Such policies can automatically dampen changes in aggregate demand. For example, in an economic upturn, the government collects more additional taxation revenue, thereby reducing aggregate demand. Similarly, social insurance payments or services typically increase in a downturn, which can increase aggregate demand. </w:t>
            </w:r>
          </w:p>
        </w:tc>
      </w:tr>
      <w:tr w:rsidR="00F73D94" w:rsidRPr="00F615F9" w14:paraId="6291AFA0" w14:textId="77777777" w:rsidTr="00F22AE5">
        <w:tc>
          <w:tcPr>
            <w:tcW w:w="2228" w:type="dxa"/>
          </w:tcPr>
          <w:p w14:paraId="1F7B9E8E" w14:textId="77777777" w:rsidR="00F73D94" w:rsidRPr="00F73D94" w:rsidRDefault="00F73D94" w:rsidP="00F73D94">
            <w:pPr>
              <w:rPr>
                <w:b/>
                <w:bCs/>
              </w:rPr>
            </w:pPr>
            <w:r w:rsidRPr="00F73D94">
              <w:rPr>
                <w:b/>
                <w:bCs/>
              </w:rPr>
              <w:t xml:space="preserve">Banking Act </w:t>
            </w:r>
          </w:p>
        </w:tc>
        <w:tc>
          <w:tcPr>
            <w:tcW w:w="6844" w:type="dxa"/>
          </w:tcPr>
          <w:p w14:paraId="647E766A" w14:textId="77777777" w:rsidR="00F73D94" w:rsidRPr="00A93283" w:rsidRDefault="00F73D94" w:rsidP="00F73D94">
            <w:r>
              <w:t>Banking Act 1959</w:t>
            </w:r>
          </w:p>
        </w:tc>
      </w:tr>
      <w:tr w:rsidR="00F73D94" w:rsidRPr="00F615F9" w14:paraId="0F9EC0ED" w14:textId="77777777" w:rsidTr="00F22AE5">
        <w:tc>
          <w:tcPr>
            <w:tcW w:w="2228" w:type="dxa"/>
          </w:tcPr>
          <w:p w14:paraId="0A0B7547" w14:textId="77777777" w:rsidR="00F73D94" w:rsidRPr="00F73D94" w:rsidRDefault="00F73D94" w:rsidP="00F73D94">
            <w:pPr>
              <w:rPr>
                <w:b/>
                <w:bCs/>
              </w:rPr>
            </w:pPr>
            <w:r w:rsidRPr="00F73D94">
              <w:rPr>
                <w:b/>
                <w:bCs/>
              </w:rPr>
              <w:t>Bond</w:t>
            </w:r>
          </w:p>
        </w:tc>
        <w:tc>
          <w:tcPr>
            <w:tcW w:w="6844" w:type="dxa"/>
          </w:tcPr>
          <w:p w14:paraId="749EEAB3" w14:textId="77777777" w:rsidR="00F73D94" w:rsidRPr="00A93283" w:rsidRDefault="00F73D94" w:rsidP="00F73D94">
            <w:r w:rsidRPr="00A93283">
              <w:t xml:space="preserve">A loan made by an investor to a borrower for a set </w:t>
            </w:r>
            <w:bookmarkStart w:id="77" w:name="_Int_9OtUMkGJ"/>
            <w:r w:rsidRPr="00A93283">
              <w:t>period of time</w:t>
            </w:r>
            <w:bookmarkEnd w:id="77"/>
            <w:r w:rsidRPr="00A93283">
              <w:t xml:space="preserve"> in return for regular interest payments; rights to the loan and interest payments are often bought and sold among investors in financial markets.</w:t>
            </w:r>
          </w:p>
        </w:tc>
      </w:tr>
      <w:tr w:rsidR="00F73D94" w:rsidRPr="00F615F9" w14:paraId="40B596CE" w14:textId="77777777" w:rsidTr="00F22AE5">
        <w:tc>
          <w:tcPr>
            <w:tcW w:w="2228" w:type="dxa"/>
          </w:tcPr>
          <w:p w14:paraId="585C0D27" w14:textId="77777777" w:rsidR="00F73D94" w:rsidRPr="00F73D94" w:rsidRDefault="00F73D94" w:rsidP="00F73D94">
            <w:pPr>
              <w:rPr>
                <w:b/>
                <w:bCs/>
              </w:rPr>
            </w:pPr>
            <w:r w:rsidRPr="00F73D94">
              <w:rPr>
                <w:b/>
                <w:bCs/>
              </w:rPr>
              <w:t>Bond Purchase Program</w:t>
            </w:r>
          </w:p>
        </w:tc>
        <w:tc>
          <w:tcPr>
            <w:tcW w:w="6844" w:type="dxa"/>
          </w:tcPr>
          <w:p w14:paraId="5E716ED4" w14:textId="77777777" w:rsidR="00F73D94" w:rsidRPr="00A93283" w:rsidRDefault="00F73D94" w:rsidP="00F73D94">
            <w:r w:rsidRPr="00A93283">
              <w:t xml:space="preserve">An RBA commitment to purchase specific quantities of government bonds announced in November 2020, with the aim of easing financial conditions. </w:t>
            </w:r>
          </w:p>
        </w:tc>
      </w:tr>
      <w:tr w:rsidR="00F73D94" w:rsidRPr="00F615F9" w14:paraId="40456126" w14:textId="77777777" w:rsidTr="00F22AE5">
        <w:tc>
          <w:tcPr>
            <w:tcW w:w="2228" w:type="dxa"/>
          </w:tcPr>
          <w:p w14:paraId="116723DF" w14:textId="77777777" w:rsidR="00F73D94" w:rsidRPr="00F73D94" w:rsidRDefault="00F73D94" w:rsidP="00F73D94">
            <w:pPr>
              <w:rPr>
                <w:b/>
                <w:bCs/>
              </w:rPr>
            </w:pPr>
            <w:r w:rsidRPr="00F73D94">
              <w:rPr>
                <w:b/>
                <w:bCs/>
              </w:rPr>
              <w:t>Calendar-based forward guidance</w:t>
            </w:r>
          </w:p>
        </w:tc>
        <w:tc>
          <w:tcPr>
            <w:tcW w:w="6844" w:type="dxa"/>
          </w:tcPr>
          <w:p w14:paraId="3CD7DCFB" w14:textId="77777777" w:rsidR="00F73D94" w:rsidRPr="00A93283" w:rsidRDefault="00F73D94" w:rsidP="00F73D94">
            <w:r w:rsidRPr="00A93283">
              <w:t>A commitment to a cash rate path until a future date.</w:t>
            </w:r>
          </w:p>
        </w:tc>
      </w:tr>
      <w:tr w:rsidR="00F73D94" w:rsidRPr="00F615F9" w14:paraId="606305A6" w14:textId="77777777" w:rsidTr="00F22AE5">
        <w:tc>
          <w:tcPr>
            <w:tcW w:w="2228" w:type="dxa"/>
          </w:tcPr>
          <w:p w14:paraId="40ACD216" w14:textId="77777777" w:rsidR="00F73D94" w:rsidRPr="00F73D94" w:rsidRDefault="00F73D94" w:rsidP="00F73D94">
            <w:pPr>
              <w:rPr>
                <w:b/>
                <w:bCs/>
              </w:rPr>
            </w:pPr>
            <w:r w:rsidRPr="00F73D94">
              <w:rPr>
                <w:b/>
                <w:bCs/>
              </w:rPr>
              <w:t>Cash rate</w:t>
            </w:r>
          </w:p>
        </w:tc>
        <w:tc>
          <w:tcPr>
            <w:tcW w:w="6844" w:type="dxa"/>
          </w:tcPr>
          <w:p w14:paraId="41046352" w14:textId="77777777" w:rsidR="00F73D94" w:rsidRPr="00A93283" w:rsidRDefault="00F73D94" w:rsidP="00F73D94">
            <w:r w:rsidRPr="00A93283">
              <w:t>The interest rate charged on overnight loans between banks; the primary way the RBA implements monetary policy is by influencing the cash rate.</w:t>
            </w:r>
          </w:p>
        </w:tc>
      </w:tr>
      <w:tr w:rsidR="00F73D94" w:rsidRPr="00F615F9" w14:paraId="0825CFF9" w14:textId="77777777" w:rsidTr="00F22AE5">
        <w:tc>
          <w:tcPr>
            <w:tcW w:w="2228" w:type="dxa"/>
          </w:tcPr>
          <w:p w14:paraId="51DC885F" w14:textId="77777777" w:rsidR="00F73D94" w:rsidRPr="00F73D94" w:rsidRDefault="00F73D94" w:rsidP="00F73D94">
            <w:pPr>
              <w:rPr>
                <w:b/>
                <w:bCs/>
              </w:rPr>
            </w:pPr>
            <w:r w:rsidRPr="00F73D94">
              <w:rPr>
                <w:b/>
                <w:bCs/>
              </w:rPr>
              <w:t>Consumer price index (CPI) inflation</w:t>
            </w:r>
          </w:p>
        </w:tc>
        <w:tc>
          <w:tcPr>
            <w:tcW w:w="6844" w:type="dxa"/>
          </w:tcPr>
          <w:p w14:paraId="146880E7" w14:textId="77777777" w:rsidR="00F73D94" w:rsidRPr="00A93283" w:rsidRDefault="00F73D94" w:rsidP="00F73D94">
            <w:r w:rsidRPr="00A93283">
              <w:t>The change in the price of goods and services that households buy. It is often reported as the change in prices over a year.</w:t>
            </w:r>
          </w:p>
        </w:tc>
      </w:tr>
      <w:tr w:rsidR="00F73D94" w:rsidRPr="00F615F9" w14:paraId="1E1646B9" w14:textId="77777777" w:rsidTr="00F22AE5">
        <w:tc>
          <w:tcPr>
            <w:tcW w:w="2228" w:type="dxa"/>
            <w:shd w:val="clear" w:color="auto" w:fill="auto"/>
          </w:tcPr>
          <w:p w14:paraId="2DA843D2" w14:textId="77777777" w:rsidR="00F73D94" w:rsidRPr="00F73D94" w:rsidRDefault="00F73D94" w:rsidP="00F73D94">
            <w:pPr>
              <w:rPr>
                <w:b/>
                <w:bCs/>
              </w:rPr>
            </w:pPr>
            <w:r w:rsidRPr="00F73D94">
              <w:rPr>
                <w:b/>
                <w:bCs/>
              </w:rPr>
              <w:lastRenderedPageBreak/>
              <w:t xml:space="preserve">Corporate Governance </w:t>
            </w:r>
          </w:p>
        </w:tc>
        <w:tc>
          <w:tcPr>
            <w:tcW w:w="6844" w:type="dxa"/>
            <w:shd w:val="clear" w:color="auto" w:fill="auto"/>
          </w:tcPr>
          <w:p w14:paraId="2B3EAA41" w14:textId="77777777" w:rsidR="00F73D94" w:rsidRPr="00A93283" w:rsidRDefault="00F73D94" w:rsidP="00F73D94">
            <w:r w:rsidRPr="00A93283">
              <w:t>Describes the system of rules, practi</w:t>
            </w:r>
            <w:r>
              <w:t>c</w:t>
            </w:r>
            <w:r w:rsidRPr="00A93283">
              <w:t xml:space="preserve">es and processes that enable a person or group of people to run an entity. </w:t>
            </w:r>
          </w:p>
        </w:tc>
      </w:tr>
      <w:tr w:rsidR="00F73D94" w14:paraId="5495482C" w14:textId="77777777" w:rsidTr="00F22AE5">
        <w:tc>
          <w:tcPr>
            <w:tcW w:w="2228" w:type="dxa"/>
          </w:tcPr>
          <w:p w14:paraId="57A3E925" w14:textId="77777777" w:rsidR="00F73D94" w:rsidRPr="00F73D94" w:rsidRDefault="00F73D94" w:rsidP="00F73D94">
            <w:pPr>
              <w:rPr>
                <w:b/>
                <w:bCs/>
              </w:rPr>
            </w:pPr>
            <w:r w:rsidRPr="00F73D94">
              <w:rPr>
                <w:b/>
                <w:bCs/>
              </w:rPr>
              <w:t>Cost benefit analysis</w:t>
            </w:r>
          </w:p>
        </w:tc>
        <w:tc>
          <w:tcPr>
            <w:tcW w:w="6844" w:type="dxa"/>
          </w:tcPr>
          <w:p w14:paraId="46340449" w14:textId="77777777" w:rsidR="00F73D94" w:rsidRPr="00A93283" w:rsidRDefault="00F73D94" w:rsidP="00F73D94">
            <w:r w:rsidRPr="00A93283">
              <w:t>A process of comparing the estimated costs and benefits associated with a decision to evaluate its overall value.</w:t>
            </w:r>
          </w:p>
        </w:tc>
      </w:tr>
      <w:tr w:rsidR="00F73D94" w:rsidRPr="00F615F9" w14:paraId="7BB05DF5" w14:textId="77777777" w:rsidTr="00F22AE5">
        <w:tc>
          <w:tcPr>
            <w:tcW w:w="2228" w:type="dxa"/>
          </w:tcPr>
          <w:p w14:paraId="7DFEB026" w14:textId="77777777" w:rsidR="00F73D94" w:rsidRPr="00F73D94" w:rsidRDefault="00F73D94" w:rsidP="00F73D94">
            <w:pPr>
              <w:rPr>
                <w:b/>
                <w:bCs/>
              </w:rPr>
            </w:pPr>
            <w:r w:rsidRPr="00F73D94">
              <w:rPr>
                <w:b/>
                <w:bCs/>
              </w:rPr>
              <w:t>Council of Financial Regulators</w:t>
            </w:r>
          </w:p>
        </w:tc>
        <w:tc>
          <w:tcPr>
            <w:tcW w:w="6844" w:type="dxa"/>
          </w:tcPr>
          <w:p w14:paraId="2EB89EC9" w14:textId="77777777" w:rsidR="00F73D94" w:rsidRPr="00A93283" w:rsidRDefault="00F73D94" w:rsidP="00F73D94">
            <w:r w:rsidRPr="00A93283">
              <w:t xml:space="preserve">The coordinating body for Australia’s main financial regulatory agencies. This includes the RBA (its chair), Treasury, APRA and ASIC. </w:t>
            </w:r>
          </w:p>
        </w:tc>
      </w:tr>
      <w:tr w:rsidR="00F73D94" w:rsidRPr="00F615F9" w14:paraId="6280F334" w14:textId="77777777" w:rsidTr="00F22AE5">
        <w:tc>
          <w:tcPr>
            <w:tcW w:w="2228" w:type="dxa"/>
          </w:tcPr>
          <w:p w14:paraId="38117125" w14:textId="77777777" w:rsidR="00F73D94" w:rsidRPr="00F73D94" w:rsidRDefault="00F73D94" w:rsidP="00F73D94">
            <w:pPr>
              <w:rPr>
                <w:b/>
                <w:bCs/>
              </w:rPr>
            </w:pPr>
            <w:r w:rsidRPr="00F73D94">
              <w:rPr>
                <w:b/>
                <w:bCs/>
              </w:rPr>
              <w:t>COVID-19 pandemic</w:t>
            </w:r>
          </w:p>
        </w:tc>
        <w:tc>
          <w:tcPr>
            <w:tcW w:w="6844" w:type="dxa"/>
          </w:tcPr>
          <w:p w14:paraId="102E7D13" w14:textId="77777777" w:rsidR="00F73D94" w:rsidRPr="00A93283" w:rsidRDefault="00F73D94" w:rsidP="00F73D94">
            <w:r w:rsidRPr="00A93283">
              <w:t>A worldwide pandemic declared by the World Health Organisation on 11 March 2020.</w:t>
            </w:r>
          </w:p>
        </w:tc>
      </w:tr>
      <w:tr w:rsidR="00F73D94" w:rsidRPr="00F615F9" w14:paraId="6DB3B89D" w14:textId="77777777" w:rsidTr="00F22AE5">
        <w:tc>
          <w:tcPr>
            <w:tcW w:w="2228" w:type="dxa"/>
            <w:shd w:val="clear" w:color="auto" w:fill="auto"/>
          </w:tcPr>
          <w:p w14:paraId="07FEFFAA" w14:textId="77777777" w:rsidR="00F73D94" w:rsidRPr="00F73D94" w:rsidRDefault="00F73D94" w:rsidP="00F73D94">
            <w:pPr>
              <w:rPr>
                <w:b/>
                <w:bCs/>
              </w:rPr>
            </w:pPr>
            <w:r w:rsidRPr="00F73D94">
              <w:rPr>
                <w:b/>
                <w:bCs/>
              </w:rPr>
              <w:t>Diversity targets/quotas </w:t>
            </w:r>
          </w:p>
        </w:tc>
        <w:tc>
          <w:tcPr>
            <w:tcW w:w="6844" w:type="dxa"/>
            <w:shd w:val="clear" w:color="auto" w:fill="auto"/>
          </w:tcPr>
          <w:p w14:paraId="5CA2D434" w14:textId="77777777" w:rsidR="00F73D94" w:rsidRPr="00A93283" w:rsidRDefault="00F73D94" w:rsidP="00F73D94">
            <w:r w:rsidRPr="00A93283">
              <w:t>Numerical requirements for hiring and promoting members of a particular group who are typically underrepresented in specific positions. </w:t>
            </w:r>
          </w:p>
        </w:tc>
      </w:tr>
      <w:tr w:rsidR="00F73D94" w:rsidRPr="00F615F9" w14:paraId="67DAC9FA" w14:textId="77777777" w:rsidTr="00F22AE5">
        <w:tc>
          <w:tcPr>
            <w:tcW w:w="2228" w:type="dxa"/>
          </w:tcPr>
          <w:p w14:paraId="22BE4431" w14:textId="77777777" w:rsidR="00F73D94" w:rsidRPr="00F73D94" w:rsidRDefault="00F73D94" w:rsidP="00F73D94">
            <w:pPr>
              <w:rPr>
                <w:b/>
                <w:bCs/>
              </w:rPr>
            </w:pPr>
            <w:r w:rsidRPr="00F73D94">
              <w:rPr>
                <w:b/>
                <w:bCs/>
              </w:rPr>
              <w:t>Effective lower bound</w:t>
            </w:r>
          </w:p>
        </w:tc>
        <w:tc>
          <w:tcPr>
            <w:tcW w:w="6844" w:type="dxa"/>
          </w:tcPr>
          <w:p w14:paraId="784AC7AA" w14:textId="77777777" w:rsidR="00F73D94" w:rsidRPr="00A93283" w:rsidRDefault="00F73D94" w:rsidP="00F73D94">
            <w:r w:rsidRPr="00A93283">
              <w:t>The lowest level the cash rate can practically reach.</w:t>
            </w:r>
          </w:p>
        </w:tc>
      </w:tr>
      <w:tr w:rsidR="00F73D94" w:rsidRPr="007A76F1" w14:paraId="5F9B15C5" w14:textId="77777777" w:rsidTr="00F22AE5">
        <w:tc>
          <w:tcPr>
            <w:tcW w:w="2228" w:type="dxa"/>
            <w:shd w:val="clear" w:color="auto" w:fill="auto"/>
          </w:tcPr>
          <w:p w14:paraId="4F837A86" w14:textId="77777777" w:rsidR="00F73D94" w:rsidRPr="00F73D94" w:rsidRDefault="00F73D94" w:rsidP="00F73D94">
            <w:pPr>
              <w:rPr>
                <w:b/>
                <w:bCs/>
              </w:rPr>
            </w:pPr>
            <w:r w:rsidRPr="00F73D94">
              <w:rPr>
                <w:b/>
                <w:bCs/>
              </w:rPr>
              <w:t>Ex ante </w:t>
            </w:r>
          </w:p>
        </w:tc>
        <w:tc>
          <w:tcPr>
            <w:tcW w:w="6844" w:type="dxa"/>
            <w:shd w:val="clear" w:color="auto" w:fill="auto"/>
          </w:tcPr>
          <w:p w14:paraId="02004671" w14:textId="77777777" w:rsidR="00F73D94" w:rsidRPr="00A93283" w:rsidRDefault="00F73D94" w:rsidP="00F73D94">
            <w:r w:rsidRPr="00A93283">
              <w:t>Ex</w:t>
            </w:r>
            <w:r>
              <w:t xml:space="preserve"> </w:t>
            </w:r>
            <w:r w:rsidRPr="00A93283">
              <w:t>ante refers to future events, so is based on forecasts rather than actual results. </w:t>
            </w:r>
          </w:p>
        </w:tc>
      </w:tr>
      <w:tr w:rsidR="00F73D94" w:rsidRPr="00F615F9" w14:paraId="36B36CBA" w14:textId="77777777" w:rsidTr="00F22AE5">
        <w:tc>
          <w:tcPr>
            <w:tcW w:w="2228" w:type="dxa"/>
          </w:tcPr>
          <w:p w14:paraId="5B9F13AA" w14:textId="77777777" w:rsidR="00F73D94" w:rsidRPr="00F73D94" w:rsidRDefault="00F73D94" w:rsidP="00F73D94">
            <w:pPr>
              <w:rPr>
                <w:b/>
                <w:bCs/>
              </w:rPr>
            </w:pPr>
            <w:r w:rsidRPr="00F73D94">
              <w:rPr>
                <w:b/>
                <w:bCs/>
              </w:rPr>
              <w:t>Exchange settlement account</w:t>
            </w:r>
          </w:p>
        </w:tc>
        <w:tc>
          <w:tcPr>
            <w:tcW w:w="6844" w:type="dxa"/>
          </w:tcPr>
          <w:p w14:paraId="00C23D39" w14:textId="77777777" w:rsidR="00F73D94" w:rsidRPr="00A93283" w:rsidRDefault="00F73D94" w:rsidP="00F73D94">
            <w:r w:rsidRPr="00A93283">
              <w:rPr>
                <w:rFonts w:eastAsiaTheme="minorEastAsia"/>
              </w:rPr>
              <w:t>Accounts held with the RBA by banks and other eligible financial institutions for the settlement of payment obligations with each other.</w:t>
            </w:r>
          </w:p>
        </w:tc>
      </w:tr>
      <w:tr w:rsidR="00F73D94" w:rsidRPr="00F615F9" w14:paraId="45CEF2BC" w14:textId="77777777" w:rsidTr="00F22AE5">
        <w:tc>
          <w:tcPr>
            <w:tcW w:w="2228" w:type="dxa"/>
            <w:shd w:val="clear" w:color="auto" w:fill="auto"/>
          </w:tcPr>
          <w:p w14:paraId="1C5EFE2E" w14:textId="77777777" w:rsidR="00F73D94" w:rsidRPr="00F73D94" w:rsidRDefault="00F73D94" w:rsidP="00F73D94">
            <w:pPr>
              <w:rPr>
                <w:b/>
                <w:bCs/>
              </w:rPr>
            </w:pPr>
            <w:r w:rsidRPr="00F73D94">
              <w:rPr>
                <w:b/>
                <w:bCs/>
              </w:rPr>
              <w:t>Executives </w:t>
            </w:r>
          </w:p>
        </w:tc>
        <w:tc>
          <w:tcPr>
            <w:tcW w:w="6844" w:type="dxa"/>
            <w:shd w:val="clear" w:color="auto" w:fill="auto"/>
          </w:tcPr>
          <w:p w14:paraId="0349EB27" w14:textId="77777777" w:rsidR="00F73D94" w:rsidRPr="00A93283" w:rsidRDefault="00F73D94" w:rsidP="00F73D94">
            <w:r w:rsidRPr="00A93283">
              <w:t>Refers to the RBA’s Assistant Governors and above. </w:t>
            </w:r>
          </w:p>
        </w:tc>
      </w:tr>
      <w:tr w:rsidR="00F73D94" w:rsidRPr="00F615F9" w14:paraId="642C0704" w14:textId="77777777" w:rsidTr="00F22AE5">
        <w:tc>
          <w:tcPr>
            <w:tcW w:w="2228" w:type="dxa"/>
          </w:tcPr>
          <w:p w14:paraId="2F42FFA6" w14:textId="77777777" w:rsidR="00F73D94" w:rsidRPr="00F73D94" w:rsidRDefault="00F73D94" w:rsidP="00F73D94">
            <w:pPr>
              <w:rPr>
                <w:b/>
                <w:bCs/>
              </w:rPr>
            </w:pPr>
            <w:r w:rsidRPr="00F73D94">
              <w:rPr>
                <w:b/>
                <w:bCs/>
              </w:rPr>
              <w:t>External RBA Board members</w:t>
            </w:r>
          </w:p>
        </w:tc>
        <w:tc>
          <w:tcPr>
            <w:tcW w:w="6844" w:type="dxa"/>
          </w:tcPr>
          <w:p w14:paraId="38565C9F" w14:textId="77777777" w:rsidR="00F73D94" w:rsidRPr="00A93283" w:rsidRDefault="00F73D94" w:rsidP="00F73D94">
            <w:r w:rsidRPr="00A93283">
              <w:t xml:space="preserve">The 'other members' of the RBA Board referred to in s 14(1)(d) of the RBA Act, comprising all members of the RBA Board </w:t>
            </w:r>
            <w:r w:rsidRPr="00A93283">
              <w:rPr>
                <w:i/>
                <w:iCs/>
              </w:rPr>
              <w:t>except</w:t>
            </w:r>
            <w:r w:rsidRPr="00A93283">
              <w:t xml:space="preserve"> for the RBA Governor, RBA Deputy Governor and Treasury Secretary.</w:t>
            </w:r>
          </w:p>
        </w:tc>
      </w:tr>
      <w:tr w:rsidR="00F73D94" w:rsidRPr="00F615F9" w14:paraId="5F0A5952" w14:textId="77777777" w:rsidTr="00F22AE5">
        <w:tc>
          <w:tcPr>
            <w:tcW w:w="2228" w:type="dxa"/>
          </w:tcPr>
          <w:p w14:paraId="08161AB2" w14:textId="77777777" w:rsidR="00F73D94" w:rsidRPr="00F73D94" w:rsidRDefault="00F73D94" w:rsidP="00F73D94">
            <w:pPr>
              <w:rPr>
                <w:b/>
                <w:bCs/>
              </w:rPr>
            </w:pPr>
            <w:r w:rsidRPr="00F73D94">
              <w:rPr>
                <w:b/>
                <w:bCs/>
              </w:rPr>
              <w:t>360-degree feedback</w:t>
            </w:r>
          </w:p>
        </w:tc>
        <w:tc>
          <w:tcPr>
            <w:tcW w:w="6844" w:type="dxa"/>
          </w:tcPr>
          <w:p w14:paraId="530AC3E7" w14:textId="77777777" w:rsidR="00F73D94" w:rsidRPr="00A93283" w:rsidRDefault="00F73D94" w:rsidP="00F73D94">
            <w:r w:rsidRPr="00A93283">
              <w:t xml:space="preserve">A method of performance review where employees receive feedback from their supervisors, peers and reporting staff members. </w:t>
            </w:r>
          </w:p>
        </w:tc>
      </w:tr>
      <w:tr w:rsidR="00F73D94" w:rsidRPr="007A76F1" w14:paraId="11D681FB" w14:textId="77777777" w:rsidTr="00F22AE5">
        <w:tc>
          <w:tcPr>
            <w:tcW w:w="2228" w:type="dxa"/>
          </w:tcPr>
          <w:p w14:paraId="2B1187EA" w14:textId="77777777" w:rsidR="00F73D94" w:rsidRPr="00F73D94" w:rsidRDefault="00F73D94" w:rsidP="00F73D94">
            <w:pPr>
              <w:rPr>
                <w:b/>
                <w:bCs/>
              </w:rPr>
            </w:pPr>
            <w:r w:rsidRPr="00F73D94">
              <w:rPr>
                <w:b/>
                <w:bCs/>
              </w:rPr>
              <w:t>Financial conditions</w:t>
            </w:r>
          </w:p>
        </w:tc>
        <w:tc>
          <w:tcPr>
            <w:tcW w:w="6844" w:type="dxa"/>
          </w:tcPr>
          <w:p w14:paraId="5A97EFC7" w14:textId="77777777" w:rsidR="00F73D94" w:rsidRPr="00A93283" w:rsidRDefault="00F73D94" w:rsidP="00F73D94">
            <w:r w:rsidRPr="00A93283">
              <w:t>The ease with which finance can be accessed by households and businesses.</w:t>
            </w:r>
          </w:p>
        </w:tc>
      </w:tr>
      <w:tr w:rsidR="00F73D94" w:rsidRPr="00F615F9" w14:paraId="210A2F0C" w14:textId="77777777" w:rsidTr="00F22AE5">
        <w:tc>
          <w:tcPr>
            <w:tcW w:w="2228" w:type="dxa"/>
          </w:tcPr>
          <w:p w14:paraId="6D45481B" w14:textId="77777777" w:rsidR="00F73D94" w:rsidRPr="00F73D94" w:rsidRDefault="00F73D94" w:rsidP="00F73D94">
            <w:pPr>
              <w:rPr>
                <w:b/>
                <w:bCs/>
              </w:rPr>
            </w:pPr>
            <w:r w:rsidRPr="00F73D94">
              <w:rPr>
                <w:b/>
                <w:bCs/>
              </w:rPr>
              <w:t>Fiscal consolidation</w:t>
            </w:r>
          </w:p>
        </w:tc>
        <w:tc>
          <w:tcPr>
            <w:tcW w:w="6844" w:type="dxa"/>
          </w:tcPr>
          <w:p w14:paraId="15EC306B" w14:textId="77777777" w:rsidR="00F73D94" w:rsidRPr="00A93283" w:rsidRDefault="00F73D94" w:rsidP="00F73D94">
            <w:r w:rsidRPr="00A93283">
              <w:t>Government policies that intend to reduce deficits and the accumulation of debt.</w:t>
            </w:r>
          </w:p>
        </w:tc>
      </w:tr>
      <w:tr w:rsidR="00F73D94" w:rsidRPr="007A76F1" w14:paraId="1E1BE8A4" w14:textId="77777777" w:rsidTr="00F22AE5">
        <w:tc>
          <w:tcPr>
            <w:tcW w:w="2228" w:type="dxa"/>
          </w:tcPr>
          <w:p w14:paraId="1EBB9F5A" w14:textId="77777777" w:rsidR="00F73D94" w:rsidRPr="00F73D94" w:rsidRDefault="00F73D94" w:rsidP="00F73D94">
            <w:pPr>
              <w:rPr>
                <w:b/>
                <w:bCs/>
              </w:rPr>
            </w:pPr>
            <w:r w:rsidRPr="00F73D94">
              <w:rPr>
                <w:b/>
                <w:bCs/>
              </w:rPr>
              <w:t>Fiscal policy</w:t>
            </w:r>
          </w:p>
        </w:tc>
        <w:tc>
          <w:tcPr>
            <w:tcW w:w="6844" w:type="dxa"/>
          </w:tcPr>
          <w:p w14:paraId="1EDCF7D2" w14:textId="77777777" w:rsidR="00F73D94" w:rsidRPr="00A93283" w:rsidRDefault="00F73D94" w:rsidP="00F73D94">
            <w:r w:rsidRPr="00A93283">
              <w:t>Decisions about how much governments spend and how much they raise in revenue.</w:t>
            </w:r>
          </w:p>
        </w:tc>
      </w:tr>
      <w:tr w:rsidR="00F73D94" w:rsidRPr="00F615F9" w14:paraId="6F01B27F" w14:textId="77777777" w:rsidTr="00F22AE5">
        <w:tc>
          <w:tcPr>
            <w:tcW w:w="2228" w:type="dxa"/>
            <w:shd w:val="clear" w:color="auto" w:fill="auto"/>
          </w:tcPr>
          <w:p w14:paraId="2FB89BA5" w14:textId="77777777" w:rsidR="00F73D94" w:rsidRPr="00F73D94" w:rsidRDefault="00F73D94" w:rsidP="00F73D94">
            <w:pPr>
              <w:rPr>
                <w:b/>
                <w:bCs/>
              </w:rPr>
            </w:pPr>
            <w:r w:rsidRPr="00F73D94">
              <w:rPr>
                <w:b/>
                <w:bCs/>
              </w:rPr>
              <w:t>Focus group </w:t>
            </w:r>
          </w:p>
        </w:tc>
        <w:tc>
          <w:tcPr>
            <w:tcW w:w="6844" w:type="dxa"/>
            <w:shd w:val="clear" w:color="auto" w:fill="auto"/>
          </w:tcPr>
          <w:p w14:paraId="5837C808" w14:textId="77777777" w:rsidR="00F73D94" w:rsidRPr="00A93283" w:rsidRDefault="00F73D94" w:rsidP="00F73D94">
            <w:pPr>
              <w:rPr>
                <w:rFonts w:eastAsiaTheme="minorEastAsia"/>
              </w:rPr>
            </w:pPr>
            <w:r w:rsidRPr="00A93283">
              <w:t>A facilitated group discussion on a particular topic involving a small number of demographically similar people or participants who have other common traits/experiences. </w:t>
            </w:r>
          </w:p>
        </w:tc>
      </w:tr>
      <w:tr w:rsidR="00F73D94" w:rsidRPr="007A76F1" w14:paraId="60E6953F" w14:textId="77777777" w:rsidTr="00F22AE5">
        <w:tc>
          <w:tcPr>
            <w:tcW w:w="2228" w:type="dxa"/>
          </w:tcPr>
          <w:p w14:paraId="2F2998F1" w14:textId="77777777" w:rsidR="00F73D94" w:rsidRPr="00F73D94" w:rsidRDefault="00F73D94" w:rsidP="00F73D94">
            <w:pPr>
              <w:rPr>
                <w:b/>
                <w:bCs/>
              </w:rPr>
            </w:pPr>
            <w:r w:rsidRPr="00F73D94">
              <w:rPr>
                <w:b/>
                <w:bCs/>
              </w:rPr>
              <w:t>Forward guidance</w:t>
            </w:r>
          </w:p>
        </w:tc>
        <w:tc>
          <w:tcPr>
            <w:tcW w:w="6844" w:type="dxa"/>
          </w:tcPr>
          <w:p w14:paraId="69DD111E" w14:textId="77777777" w:rsidR="00F73D94" w:rsidRPr="00A93283" w:rsidRDefault="00F73D94" w:rsidP="00F73D94">
            <w:r w:rsidRPr="00A93283">
              <w:t>The RBA’s communication about its intentions for future monetary policy.</w:t>
            </w:r>
          </w:p>
        </w:tc>
      </w:tr>
      <w:tr w:rsidR="00F73D94" w:rsidRPr="00F615F9" w14:paraId="14A55A44" w14:textId="77777777" w:rsidTr="00F22AE5">
        <w:tc>
          <w:tcPr>
            <w:tcW w:w="2228" w:type="dxa"/>
            <w:shd w:val="clear" w:color="auto" w:fill="auto"/>
          </w:tcPr>
          <w:p w14:paraId="08F87A91" w14:textId="77777777" w:rsidR="00F73D94" w:rsidRPr="00F73D94" w:rsidRDefault="00F73D94" w:rsidP="00F73D94">
            <w:pPr>
              <w:rPr>
                <w:b/>
                <w:bCs/>
              </w:rPr>
            </w:pPr>
            <w:r w:rsidRPr="00F73D94">
              <w:rPr>
                <w:b/>
                <w:bCs/>
              </w:rPr>
              <w:t>Freedom of Information </w:t>
            </w:r>
          </w:p>
        </w:tc>
        <w:tc>
          <w:tcPr>
            <w:tcW w:w="6844" w:type="dxa"/>
            <w:shd w:val="clear" w:color="auto" w:fill="auto"/>
          </w:tcPr>
          <w:p w14:paraId="3F82B6A3" w14:textId="77777777" w:rsidR="00F73D94" w:rsidRPr="00A93283" w:rsidRDefault="00F73D94" w:rsidP="00F73D94">
            <w:r w:rsidRPr="00A93283">
              <w:t xml:space="preserve">The concept that information held by governments should be accessible to the public under certain circumstances. In Australia, the </w:t>
            </w:r>
            <w:r w:rsidRPr="00A93283">
              <w:rPr>
                <w:i/>
                <w:iCs/>
              </w:rPr>
              <w:t>Freedom of Information Act 1982</w:t>
            </w:r>
            <w:r w:rsidRPr="00A93283">
              <w:t xml:space="preserve"> gives the right to request access to government</w:t>
            </w:r>
            <w:r w:rsidRPr="00A93283">
              <w:noBreakHyphen/>
              <w:t>held information. </w:t>
            </w:r>
          </w:p>
        </w:tc>
      </w:tr>
      <w:tr w:rsidR="00F73D94" w:rsidRPr="00F615F9" w14:paraId="0BF807AE" w14:textId="77777777" w:rsidTr="00F22AE5">
        <w:tc>
          <w:tcPr>
            <w:tcW w:w="2228" w:type="dxa"/>
          </w:tcPr>
          <w:p w14:paraId="2684AE62" w14:textId="77777777" w:rsidR="00F73D94" w:rsidRPr="00F73D94" w:rsidRDefault="00F73D94" w:rsidP="00F73D94">
            <w:pPr>
              <w:rPr>
                <w:b/>
                <w:bCs/>
              </w:rPr>
            </w:pPr>
            <w:r w:rsidRPr="00F73D94">
              <w:rPr>
                <w:b/>
                <w:bCs/>
              </w:rPr>
              <w:lastRenderedPageBreak/>
              <w:t>Global Financial Crisis</w:t>
            </w:r>
          </w:p>
        </w:tc>
        <w:tc>
          <w:tcPr>
            <w:tcW w:w="6844" w:type="dxa"/>
          </w:tcPr>
          <w:p w14:paraId="4B22AA9C" w14:textId="77777777" w:rsidR="00F73D94" w:rsidRPr="00A93283" w:rsidRDefault="00F73D94" w:rsidP="00F73D94">
            <w:r w:rsidRPr="00A93283">
              <w:t>A period of extreme stress in global financial markets and banking systems between mid-2007 and early 2009.</w:t>
            </w:r>
          </w:p>
        </w:tc>
      </w:tr>
      <w:tr w:rsidR="00F73D94" w:rsidRPr="00F615F9" w14:paraId="7EAF305E" w14:textId="77777777" w:rsidTr="00F22AE5">
        <w:tc>
          <w:tcPr>
            <w:tcW w:w="2228" w:type="dxa"/>
          </w:tcPr>
          <w:p w14:paraId="454B4BFE" w14:textId="77777777" w:rsidR="00F73D94" w:rsidRPr="00F73D94" w:rsidRDefault="00F73D94" w:rsidP="00F73D94">
            <w:pPr>
              <w:rPr>
                <w:b/>
                <w:bCs/>
              </w:rPr>
            </w:pPr>
            <w:r w:rsidRPr="00F73D94">
              <w:rPr>
                <w:b/>
                <w:bCs/>
              </w:rPr>
              <w:t>Government indemnity</w:t>
            </w:r>
          </w:p>
        </w:tc>
        <w:tc>
          <w:tcPr>
            <w:tcW w:w="6844" w:type="dxa"/>
          </w:tcPr>
          <w:p w14:paraId="74AF286F" w14:textId="77777777" w:rsidR="00F73D94" w:rsidRPr="00A93283" w:rsidRDefault="00F73D94" w:rsidP="00F73D94">
            <w:r w:rsidRPr="00A93283">
              <w:t>An agreement to transfer central bank gains or losses to the government budget.</w:t>
            </w:r>
          </w:p>
        </w:tc>
      </w:tr>
      <w:tr w:rsidR="00F73D94" w14:paraId="79A141D0" w14:textId="77777777" w:rsidTr="00F22AE5">
        <w:tc>
          <w:tcPr>
            <w:tcW w:w="2228" w:type="dxa"/>
          </w:tcPr>
          <w:p w14:paraId="21DF84B4" w14:textId="77777777" w:rsidR="00F73D94" w:rsidRPr="00F73D94" w:rsidRDefault="00F73D94" w:rsidP="00F73D94">
            <w:pPr>
              <w:rPr>
                <w:b/>
                <w:bCs/>
              </w:rPr>
            </w:pPr>
            <w:r w:rsidRPr="00F73D94">
              <w:rPr>
                <w:b/>
                <w:bCs/>
              </w:rPr>
              <w:t>Gross domestic product</w:t>
            </w:r>
          </w:p>
        </w:tc>
        <w:tc>
          <w:tcPr>
            <w:tcW w:w="6844" w:type="dxa"/>
          </w:tcPr>
          <w:p w14:paraId="16F2BF4A" w14:textId="77777777" w:rsidR="00F73D94" w:rsidRPr="00A93283" w:rsidRDefault="00F73D94" w:rsidP="00F73D94">
            <w:r w:rsidRPr="00A93283">
              <w:t>A measure of the amount of economic activity that occurs within a given time period and often reported in terms of the growth of economic activity over a year.</w:t>
            </w:r>
          </w:p>
        </w:tc>
      </w:tr>
      <w:tr w:rsidR="00F73D94" w:rsidRPr="007A76F1" w14:paraId="58FB659F" w14:textId="77777777" w:rsidTr="00F22AE5">
        <w:tc>
          <w:tcPr>
            <w:tcW w:w="2228" w:type="dxa"/>
          </w:tcPr>
          <w:p w14:paraId="3A66B0CA" w14:textId="77777777" w:rsidR="00F73D94" w:rsidRPr="00F73D94" w:rsidRDefault="00F73D94" w:rsidP="00F73D94">
            <w:pPr>
              <w:rPr>
                <w:b/>
                <w:bCs/>
              </w:rPr>
            </w:pPr>
            <w:r w:rsidRPr="00F73D94">
              <w:rPr>
                <w:b/>
                <w:bCs/>
              </w:rPr>
              <w:t>Gross national expenditure</w:t>
            </w:r>
          </w:p>
        </w:tc>
        <w:tc>
          <w:tcPr>
            <w:tcW w:w="6844" w:type="dxa"/>
          </w:tcPr>
          <w:p w14:paraId="10990256" w14:textId="77777777" w:rsidR="00F73D94" w:rsidRPr="00A93283" w:rsidRDefault="00F73D94" w:rsidP="00F73D94">
            <w:r w:rsidRPr="00A93283">
              <w:t>A measure of the consumption and investment expenditure of domestic households, governments and businesses within a given time period and often reported in terms of the growth since the year before.</w:t>
            </w:r>
          </w:p>
        </w:tc>
      </w:tr>
      <w:tr w:rsidR="00F73D94" w:rsidRPr="00F615F9" w14:paraId="29F8F7C4" w14:textId="77777777" w:rsidTr="00F22AE5">
        <w:trPr>
          <w:trHeight w:val="600"/>
        </w:trPr>
        <w:tc>
          <w:tcPr>
            <w:tcW w:w="2228" w:type="dxa"/>
            <w:shd w:val="clear" w:color="auto" w:fill="auto"/>
          </w:tcPr>
          <w:p w14:paraId="3F76706F" w14:textId="77777777" w:rsidR="00F73D94" w:rsidRPr="00F73D94" w:rsidRDefault="00F73D94" w:rsidP="00F73D94">
            <w:pPr>
              <w:rPr>
                <w:b/>
                <w:bCs/>
              </w:rPr>
            </w:pPr>
            <w:r w:rsidRPr="00F73D94">
              <w:rPr>
                <w:b/>
                <w:bCs/>
              </w:rPr>
              <w:t>Groupthink </w:t>
            </w:r>
          </w:p>
        </w:tc>
        <w:tc>
          <w:tcPr>
            <w:tcW w:w="6844" w:type="dxa"/>
            <w:shd w:val="clear" w:color="auto" w:fill="auto"/>
          </w:tcPr>
          <w:p w14:paraId="3DC42CD7" w14:textId="77777777" w:rsidR="00F73D94" w:rsidRPr="00A93283" w:rsidRDefault="00F73D94" w:rsidP="00F73D94">
            <w:r w:rsidRPr="00A93283">
              <w:t>A phenomenon in which a group of individuals tries to minimise conflict and reach a consensus decision without critical evaluation of alternative viewpoints, by actively suppressing dissenting viewpoints and isolating themselves from outside influences. Loyalty to the group requires individuals to avoid raising controversial issues or alternative solutions (Janis 1971).</w:t>
            </w:r>
          </w:p>
        </w:tc>
      </w:tr>
      <w:tr w:rsidR="00F73D94" w:rsidRPr="007A76F1" w14:paraId="4128D54F" w14:textId="77777777" w:rsidTr="00F22AE5">
        <w:tc>
          <w:tcPr>
            <w:tcW w:w="2228" w:type="dxa"/>
          </w:tcPr>
          <w:p w14:paraId="4F45F4DE" w14:textId="77777777" w:rsidR="00F73D94" w:rsidRPr="00F73D94" w:rsidRDefault="00F73D94" w:rsidP="00F73D94">
            <w:pPr>
              <w:rPr>
                <w:b/>
                <w:bCs/>
              </w:rPr>
            </w:pPr>
            <w:r w:rsidRPr="00F73D94">
              <w:rPr>
                <w:b/>
                <w:bCs/>
              </w:rPr>
              <w:t>Headline inflation</w:t>
            </w:r>
          </w:p>
        </w:tc>
        <w:tc>
          <w:tcPr>
            <w:tcW w:w="6844" w:type="dxa"/>
          </w:tcPr>
          <w:p w14:paraId="49CFBA3F" w14:textId="77777777" w:rsidR="00F73D94" w:rsidRPr="00A93283" w:rsidRDefault="00F73D94" w:rsidP="00F73D94">
            <w:r w:rsidRPr="00A93283">
              <w:rPr>
                <w:rFonts w:eastAsia="Calibri"/>
              </w:rPr>
              <w:t>A measure of consumer price inflation that includes prices for all goods and services collected by the Australian Bureau of Statistics.</w:t>
            </w:r>
          </w:p>
        </w:tc>
      </w:tr>
      <w:tr w:rsidR="00F73D94" w:rsidRPr="00F615F9" w14:paraId="73290576" w14:textId="77777777" w:rsidTr="00F22AE5">
        <w:tc>
          <w:tcPr>
            <w:tcW w:w="2228" w:type="dxa"/>
          </w:tcPr>
          <w:p w14:paraId="568C0A0B" w14:textId="77777777" w:rsidR="00F73D94" w:rsidRPr="00F73D94" w:rsidRDefault="00F73D94" w:rsidP="00F73D94">
            <w:pPr>
              <w:rPr>
                <w:b/>
                <w:bCs/>
              </w:rPr>
            </w:pPr>
            <w:r w:rsidRPr="00F73D94">
              <w:rPr>
                <w:b/>
                <w:bCs/>
              </w:rPr>
              <w:t>Macroprudential policy</w:t>
            </w:r>
          </w:p>
          <w:p w14:paraId="556A39BC" w14:textId="77777777" w:rsidR="00F73D94" w:rsidRPr="00F73D94" w:rsidRDefault="00F73D94" w:rsidP="00F73D94">
            <w:pPr>
              <w:rPr>
                <w:b/>
                <w:bCs/>
              </w:rPr>
            </w:pPr>
            <w:r w:rsidRPr="00F73D94">
              <w:rPr>
                <w:b/>
                <w:bCs/>
              </w:rPr>
              <w:t>Management</w:t>
            </w:r>
          </w:p>
        </w:tc>
        <w:tc>
          <w:tcPr>
            <w:tcW w:w="6844" w:type="dxa"/>
          </w:tcPr>
          <w:p w14:paraId="6735D728" w14:textId="77777777" w:rsidR="00F73D94" w:rsidRPr="00A93283" w:rsidRDefault="00F73D94" w:rsidP="00F73D94">
            <w:r w:rsidRPr="00A93283">
              <w:t>The use of regulations to mitigate risks to financial stability at a system level.</w:t>
            </w:r>
          </w:p>
          <w:p w14:paraId="178C0F06" w14:textId="77777777" w:rsidR="00F73D94" w:rsidRPr="00A93283" w:rsidRDefault="00F73D94" w:rsidP="00F73D94">
            <w:r w:rsidRPr="00A93283">
              <w:rPr>
                <w:rFonts w:eastAsia="Calibri"/>
              </w:rPr>
              <w:t>Refers to the RBA’s management level staff (Level 5) and above</w:t>
            </w:r>
          </w:p>
        </w:tc>
      </w:tr>
      <w:tr w:rsidR="00F73D94" w:rsidRPr="00F615F9" w14:paraId="39BD6728" w14:textId="77777777" w:rsidTr="00F22AE5">
        <w:tc>
          <w:tcPr>
            <w:tcW w:w="2228" w:type="dxa"/>
          </w:tcPr>
          <w:p w14:paraId="07C3671F" w14:textId="77777777" w:rsidR="00F73D94" w:rsidRPr="00F73D94" w:rsidRDefault="00F73D94" w:rsidP="00F73D94">
            <w:pPr>
              <w:rPr>
                <w:b/>
                <w:bCs/>
              </w:rPr>
            </w:pPr>
            <w:r w:rsidRPr="00F73D94">
              <w:rPr>
                <w:b/>
                <w:bCs/>
              </w:rPr>
              <w:t>MARTIN</w:t>
            </w:r>
          </w:p>
        </w:tc>
        <w:tc>
          <w:tcPr>
            <w:tcW w:w="6844" w:type="dxa"/>
          </w:tcPr>
          <w:p w14:paraId="6E57CF6C" w14:textId="77777777" w:rsidR="00F73D94" w:rsidRPr="00A93283" w:rsidRDefault="00F73D94" w:rsidP="00F73D94">
            <w:r w:rsidRPr="00A93283">
              <w:t xml:space="preserve">The RBA’s large-scale macroeconometric model of the Australian economy. </w:t>
            </w:r>
          </w:p>
        </w:tc>
      </w:tr>
      <w:tr w:rsidR="00F73D94" w14:paraId="7A6C3857" w14:textId="77777777" w:rsidTr="00F22AE5">
        <w:tc>
          <w:tcPr>
            <w:tcW w:w="2228" w:type="dxa"/>
          </w:tcPr>
          <w:p w14:paraId="322B4C5D" w14:textId="77777777" w:rsidR="00F73D94" w:rsidRPr="00F73D94" w:rsidRDefault="00F73D94" w:rsidP="00F73D94">
            <w:pPr>
              <w:rPr>
                <w:b/>
                <w:bCs/>
              </w:rPr>
            </w:pPr>
            <w:r w:rsidRPr="00F73D94">
              <w:rPr>
                <w:b/>
                <w:bCs/>
              </w:rPr>
              <w:t>Memorandum of understanding</w:t>
            </w:r>
          </w:p>
        </w:tc>
        <w:tc>
          <w:tcPr>
            <w:tcW w:w="6844" w:type="dxa"/>
          </w:tcPr>
          <w:p w14:paraId="421D55AA" w14:textId="77777777" w:rsidR="00F73D94" w:rsidRPr="00A93283" w:rsidRDefault="00F73D94" w:rsidP="00F73D94">
            <w:r w:rsidRPr="00A93283">
              <w:t>A written agreement between parties, that does not imply an enforceable legal commitment.</w:t>
            </w:r>
          </w:p>
        </w:tc>
      </w:tr>
      <w:tr w:rsidR="00F73D94" w14:paraId="6E6474B9" w14:textId="77777777" w:rsidTr="00F22AE5">
        <w:tc>
          <w:tcPr>
            <w:tcW w:w="2228" w:type="dxa"/>
          </w:tcPr>
          <w:p w14:paraId="24BA5CCA" w14:textId="77777777" w:rsidR="00F73D94" w:rsidRPr="00F73D94" w:rsidRDefault="00F73D94" w:rsidP="00F73D94">
            <w:pPr>
              <w:rPr>
                <w:b/>
                <w:bCs/>
              </w:rPr>
            </w:pPr>
            <w:r w:rsidRPr="00F73D94">
              <w:rPr>
                <w:b/>
                <w:bCs/>
              </w:rPr>
              <w:t>Monetary policy</w:t>
            </w:r>
          </w:p>
        </w:tc>
        <w:tc>
          <w:tcPr>
            <w:tcW w:w="6844" w:type="dxa"/>
          </w:tcPr>
          <w:p w14:paraId="1C867C8A" w14:textId="77777777" w:rsidR="00F73D94" w:rsidRPr="00A93283" w:rsidRDefault="00F73D94" w:rsidP="00F73D94">
            <w:r w:rsidRPr="00A93283">
              <w:t>Decisions about influencing interest rates in the economy to affect overall demand, employment and inflation.</w:t>
            </w:r>
          </w:p>
        </w:tc>
      </w:tr>
      <w:tr w:rsidR="00F73D94" w:rsidRPr="007A76F1" w14:paraId="54ADE2C8" w14:textId="77777777" w:rsidTr="00F22AE5">
        <w:tc>
          <w:tcPr>
            <w:tcW w:w="2228" w:type="dxa"/>
          </w:tcPr>
          <w:p w14:paraId="1EDEDF0F" w14:textId="77777777" w:rsidR="00F73D94" w:rsidRPr="00F73D94" w:rsidRDefault="00F73D94" w:rsidP="00F73D94">
            <w:pPr>
              <w:rPr>
                <w:b/>
                <w:bCs/>
              </w:rPr>
            </w:pPr>
            <w:r w:rsidRPr="00F73D94">
              <w:rPr>
                <w:b/>
                <w:bCs/>
              </w:rPr>
              <w:t>NAIRU</w:t>
            </w:r>
          </w:p>
        </w:tc>
        <w:tc>
          <w:tcPr>
            <w:tcW w:w="6844" w:type="dxa"/>
          </w:tcPr>
          <w:p w14:paraId="6720140B" w14:textId="77777777" w:rsidR="00F73D94" w:rsidRPr="00A93283" w:rsidRDefault="00F73D94" w:rsidP="00F73D94">
            <w:r w:rsidRPr="00A93283">
              <w:rPr>
                <w:rFonts w:eastAsiaTheme="minorEastAsia"/>
              </w:rPr>
              <w:t>The non-accelerating inflation rate of unemployment – the lowest level of unemployment that can be sustained without causing excessive inflation.</w:t>
            </w:r>
          </w:p>
        </w:tc>
      </w:tr>
      <w:tr w:rsidR="00F73D94" w14:paraId="0210A287" w14:textId="77777777" w:rsidTr="00F22AE5">
        <w:tc>
          <w:tcPr>
            <w:tcW w:w="2228" w:type="dxa"/>
          </w:tcPr>
          <w:p w14:paraId="2DE1E501" w14:textId="77777777" w:rsidR="00F73D94" w:rsidRPr="00F73D94" w:rsidRDefault="00F73D94" w:rsidP="00F73D94">
            <w:pPr>
              <w:rPr>
                <w:b/>
                <w:bCs/>
              </w:rPr>
            </w:pPr>
            <w:r w:rsidRPr="00F73D94">
              <w:rPr>
                <w:rFonts w:eastAsia="Calibri"/>
                <w:b/>
                <w:bCs/>
              </w:rPr>
              <w:t>Neutral real interest rate</w:t>
            </w:r>
          </w:p>
        </w:tc>
        <w:tc>
          <w:tcPr>
            <w:tcW w:w="6844" w:type="dxa"/>
          </w:tcPr>
          <w:p w14:paraId="4E1B22BE" w14:textId="77777777" w:rsidR="00F73D94" w:rsidRPr="00A93283" w:rsidRDefault="00F73D94" w:rsidP="00F73D94">
            <w:r w:rsidRPr="00A93283">
              <w:rPr>
                <w:rFonts w:eastAsiaTheme="minorEastAsia"/>
              </w:rPr>
              <w:t>The real policy rate required to bring about full employment and stable inflation over the medium term.</w:t>
            </w:r>
          </w:p>
        </w:tc>
      </w:tr>
      <w:tr w:rsidR="00F73D94" w:rsidRPr="6BA193D6" w14:paraId="76911EEF" w14:textId="77777777" w:rsidTr="00F22AE5">
        <w:tc>
          <w:tcPr>
            <w:tcW w:w="2228" w:type="dxa"/>
            <w:shd w:val="clear" w:color="auto" w:fill="auto"/>
          </w:tcPr>
          <w:p w14:paraId="5337BDCE" w14:textId="77777777" w:rsidR="00F73D94" w:rsidRPr="00F73D94" w:rsidRDefault="00F73D94" w:rsidP="00F73D94">
            <w:pPr>
              <w:rPr>
                <w:b/>
                <w:bCs/>
              </w:rPr>
            </w:pPr>
            <w:r w:rsidRPr="00F73D94">
              <w:rPr>
                <w:b/>
                <w:bCs/>
              </w:rPr>
              <w:t>Non-policy areas/groups </w:t>
            </w:r>
          </w:p>
        </w:tc>
        <w:tc>
          <w:tcPr>
            <w:tcW w:w="6844" w:type="dxa"/>
            <w:shd w:val="clear" w:color="auto" w:fill="auto"/>
          </w:tcPr>
          <w:p w14:paraId="1C795A7D" w14:textId="77777777" w:rsidR="00F73D94" w:rsidRPr="00A93283" w:rsidRDefault="00F73D94" w:rsidP="00F73D94">
            <w:r w:rsidRPr="00A93283">
              <w:t>Refers to the RBA’s Corporate Services, Business Services and Executive Support groups.  </w:t>
            </w:r>
          </w:p>
        </w:tc>
      </w:tr>
      <w:tr w:rsidR="00F73D94" w:rsidRPr="00F615F9" w14:paraId="720D12C2" w14:textId="77777777" w:rsidTr="00F22AE5">
        <w:tc>
          <w:tcPr>
            <w:tcW w:w="2228" w:type="dxa"/>
          </w:tcPr>
          <w:p w14:paraId="385CB980" w14:textId="77777777" w:rsidR="00F73D94" w:rsidRPr="00F73D94" w:rsidRDefault="00F73D94" w:rsidP="00F73D94">
            <w:pPr>
              <w:rPr>
                <w:b/>
                <w:bCs/>
              </w:rPr>
            </w:pPr>
            <w:r w:rsidRPr="00F73D94">
              <w:rPr>
                <w:b/>
                <w:bCs/>
              </w:rPr>
              <w:t>Overnight index swaps</w:t>
            </w:r>
          </w:p>
        </w:tc>
        <w:tc>
          <w:tcPr>
            <w:tcW w:w="6844" w:type="dxa"/>
          </w:tcPr>
          <w:p w14:paraId="584534F2" w14:textId="77777777" w:rsidR="00F73D94" w:rsidRPr="00A93283" w:rsidRDefault="00F73D94" w:rsidP="00F73D94">
            <w:r w:rsidRPr="00A93283">
              <w:t>A derivative where one party pays a fixed interest rate on a notional amount in exchange for receiving the average cash rate on that amount; used to provide information on market expectations of monetary policy.</w:t>
            </w:r>
          </w:p>
        </w:tc>
      </w:tr>
      <w:tr w:rsidR="00F73D94" w:rsidRPr="00F615F9" w14:paraId="248E0A58" w14:textId="77777777" w:rsidTr="00F22AE5">
        <w:tc>
          <w:tcPr>
            <w:tcW w:w="2228" w:type="dxa"/>
            <w:shd w:val="clear" w:color="auto" w:fill="auto"/>
          </w:tcPr>
          <w:p w14:paraId="7A959D6D" w14:textId="77777777" w:rsidR="00F73D94" w:rsidRPr="00F73D94" w:rsidRDefault="00F73D94" w:rsidP="00F73D94">
            <w:pPr>
              <w:rPr>
                <w:b/>
                <w:bCs/>
              </w:rPr>
            </w:pPr>
            <w:r w:rsidRPr="00F73D94">
              <w:rPr>
                <w:b/>
                <w:bCs/>
              </w:rPr>
              <w:t>Policy areas/groups </w:t>
            </w:r>
          </w:p>
        </w:tc>
        <w:tc>
          <w:tcPr>
            <w:tcW w:w="6844" w:type="dxa"/>
            <w:shd w:val="clear" w:color="auto" w:fill="auto"/>
          </w:tcPr>
          <w:p w14:paraId="58C54FAA" w14:textId="77777777" w:rsidR="00F73D94" w:rsidRPr="00A93283" w:rsidRDefault="00F73D94" w:rsidP="00F73D94">
            <w:r w:rsidRPr="00A93283">
              <w:t>Refers to the RBA’s Economics, Financial Markets and Financial System groups.  </w:t>
            </w:r>
          </w:p>
        </w:tc>
      </w:tr>
      <w:tr w:rsidR="00F73D94" w:rsidRPr="6BA193D6" w14:paraId="431D8ECD" w14:textId="77777777" w:rsidTr="00F22AE5">
        <w:tc>
          <w:tcPr>
            <w:tcW w:w="2228" w:type="dxa"/>
            <w:shd w:val="clear" w:color="auto" w:fill="auto"/>
          </w:tcPr>
          <w:p w14:paraId="782FA6C9" w14:textId="77777777" w:rsidR="00F73D94" w:rsidRPr="00F73D94" w:rsidRDefault="00F73D94" w:rsidP="00F73D94">
            <w:pPr>
              <w:rPr>
                <w:b/>
                <w:bCs/>
              </w:rPr>
            </w:pPr>
            <w:r w:rsidRPr="00F73D94">
              <w:rPr>
                <w:b/>
                <w:bCs/>
              </w:rPr>
              <w:lastRenderedPageBreak/>
              <w:t>Psychological safety </w:t>
            </w:r>
          </w:p>
        </w:tc>
        <w:tc>
          <w:tcPr>
            <w:tcW w:w="6844" w:type="dxa"/>
            <w:shd w:val="clear" w:color="auto" w:fill="auto"/>
          </w:tcPr>
          <w:p w14:paraId="571E5E89" w14:textId="77777777" w:rsidR="00F73D94" w:rsidRPr="00A93283" w:rsidRDefault="00F73D94" w:rsidP="00F73D94">
            <w:r w:rsidRPr="00A93283">
              <w:t>The belief that one will not be punished or humiliated for speaking up with ideas, questions, concerns, or mistakes. </w:t>
            </w:r>
          </w:p>
        </w:tc>
      </w:tr>
      <w:tr w:rsidR="00F73D94" w:rsidRPr="6BA193D6" w14:paraId="09E4D51E" w14:textId="77777777" w:rsidTr="00F22AE5">
        <w:tc>
          <w:tcPr>
            <w:tcW w:w="2228" w:type="dxa"/>
            <w:shd w:val="clear" w:color="auto" w:fill="auto"/>
          </w:tcPr>
          <w:p w14:paraId="5FFC30ED" w14:textId="77777777" w:rsidR="00F73D94" w:rsidRPr="00F73D94" w:rsidRDefault="00F73D94" w:rsidP="00F73D94">
            <w:pPr>
              <w:rPr>
                <w:b/>
                <w:bCs/>
              </w:rPr>
            </w:pPr>
            <w:r w:rsidRPr="00F73D94">
              <w:rPr>
                <w:b/>
                <w:bCs/>
              </w:rPr>
              <w:t>PGPA Act</w:t>
            </w:r>
          </w:p>
        </w:tc>
        <w:tc>
          <w:tcPr>
            <w:tcW w:w="6844" w:type="dxa"/>
            <w:shd w:val="clear" w:color="auto" w:fill="auto"/>
          </w:tcPr>
          <w:p w14:paraId="68EDE7DC" w14:textId="77777777" w:rsidR="00F73D94" w:rsidRPr="00A93283" w:rsidRDefault="00F73D94" w:rsidP="00F73D94">
            <w:r>
              <w:t>Public Governance, Performance and Accountability Act 2013</w:t>
            </w:r>
          </w:p>
        </w:tc>
      </w:tr>
      <w:tr w:rsidR="00F73D94" w:rsidRPr="6BA193D6" w14:paraId="23B8154F" w14:textId="77777777" w:rsidTr="00F22AE5">
        <w:tc>
          <w:tcPr>
            <w:tcW w:w="2228" w:type="dxa"/>
            <w:shd w:val="clear" w:color="auto" w:fill="auto"/>
          </w:tcPr>
          <w:p w14:paraId="2AD08C7B" w14:textId="77777777" w:rsidR="00F73D94" w:rsidRPr="00F73D94" w:rsidRDefault="00F73D94" w:rsidP="00F73D94">
            <w:pPr>
              <w:rPr>
                <w:b/>
                <w:bCs/>
              </w:rPr>
            </w:pPr>
            <w:r w:rsidRPr="00F73D94">
              <w:rPr>
                <w:b/>
                <w:bCs/>
              </w:rPr>
              <w:t xml:space="preserve">Public Service Act </w:t>
            </w:r>
          </w:p>
        </w:tc>
        <w:tc>
          <w:tcPr>
            <w:tcW w:w="6844" w:type="dxa"/>
            <w:shd w:val="clear" w:color="auto" w:fill="auto"/>
          </w:tcPr>
          <w:p w14:paraId="1DAA2772" w14:textId="77777777" w:rsidR="00F73D94" w:rsidRDefault="00F73D94" w:rsidP="00F73D94">
            <w:r>
              <w:t>Public Service Act 1999</w:t>
            </w:r>
          </w:p>
        </w:tc>
      </w:tr>
      <w:tr w:rsidR="00F73D94" w:rsidRPr="6BA193D6" w14:paraId="332ED97D" w14:textId="77777777" w:rsidTr="00F22AE5">
        <w:tc>
          <w:tcPr>
            <w:tcW w:w="2228" w:type="dxa"/>
            <w:shd w:val="clear" w:color="auto" w:fill="auto"/>
          </w:tcPr>
          <w:p w14:paraId="681649D2" w14:textId="77777777" w:rsidR="00F73D94" w:rsidRPr="00F73D94" w:rsidRDefault="00F73D94" w:rsidP="00F73D94">
            <w:pPr>
              <w:rPr>
                <w:b/>
                <w:bCs/>
              </w:rPr>
            </w:pPr>
            <w:r w:rsidRPr="00F73D94">
              <w:rPr>
                <w:b/>
                <w:bCs/>
              </w:rPr>
              <w:t>RBA Act</w:t>
            </w:r>
          </w:p>
        </w:tc>
        <w:tc>
          <w:tcPr>
            <w:tcW w:w="6844" w:type="dxa"/>
            <w:shd w:val="clear" w:color="auto" w:fill="auto"/>
          </w:tcPr>
          <w:p w14:paraId="3A1ADA20" w14:textId="77777777" w:rsidR="00F73D94" w:rsidRPr="00A93283" w:rsidRDefault="00F73D94" w:rsidP="00F73D94">
            <w:r>
              <w:t>Reserve Bank Act 1959</w:t>
            </w:r>
          </w:p>
        </w:tc>
      </w:tr>
      <w:tr w:rsidR="00F73D94" w14:paraId="728DDE65" w14:textId="77777777" w:rsidTr="00F22AE5">
        <w:trPr>
          <w:trHeight w:val="645"/>
        </w:trPr>
        <w:tc>
          <w:tcPr>
            <w:tcW w:w="2228" w:type="dxa"/>
            <w:shd w:val="clear" w:color="auto" w:fill="auto"/>
          </w:tcPr>
          <w:p w14:paraId="275A5E6A" w14:textId="77777777" w:rsidR="00F73D94" w:rsidRPr="00F73D94" w:rsidRDefault="00F73D94" w:rsidP="00F73D94">
            <w:pPr>
              <w:rPr>
                <w:rFonts w:eastAsia="Calibri"/>
                <w:b/>
                <w:bCs/>
              </w:rPr>
            </w:pPr>
            <w:r w:rsidRPr="00F73D94">
              <w:rPr>
                <w:b/>
                <w:bCs/>
              </w:rPr>
              <w:t>RBA Review staff survey </w:t>
            </w:r>
          </w:p>
        </w:tc>
        <w:tc>
          <w:tcPr>
            <w:tcW w:w="6844" w:type="dxa"/>
            <w:shd w:val="clear" w:color="auto" w:fill="auto"/>
          </w:tcPr>
          <w:p w14:paraId="50E4BF5B" w14:textId="77777777" w:rsidR="00F73D94" w:rsidRPr="00A93283" w:rsidRDefault="00F73D94" w:rsidP="00F73D94">
            <w:pPr>
              <w:rPr>
                <w:rFonts w:eastAsiaTheme="minorEastAsia"/>
              </w:rPr>
            </w:pPr>
            <w:r w:rsidRPr="00A93283">
              <w:t>The survey of RBA staff conducted between 17 October – 5 November 2022 by the Review of the RBA to gauge their perceptions of the RBA’s culture. </w:t>
            </w:r>
          </w:p>
        </w:tc>
      </w:tr>
      <w:tr w:rsidR="00F73D94" w:rsidRPr="007A76F1" w14:paraId="7A7FC6C6" w14:textId="77777777" w:rsidTr="00F22AE5">
        <w:tc>
          <w:tcPr>
            <w:tcW w:w="2228" w:type="dxa"/>
          </w:tcPr>
          <w:p w14:paraId="4799CED0" w14:textId="77777777" w:rsidR="00F73D94" w:rsidRPr="00F73D94" w:rsidRDefault="00F73D94" w:rsidP="00F73D94">
            <w:pPr>
              <w:rPr>
                <w:b/>
                <w:bCs/>
              </w:rPr>
            </w:pPr>
            <w:r w:rsidRPr="00F73D94">
              <w:rPr>
                <w:rFonts w:eastAsia="Calibri"/>
                <w:b/>
                <w:bCs/>
              </w:rPr>
              <w:t>Reaction function</w:t>
            </w:r>
          </w:p>
        </w:tc>
        <w:tc>
          <w:tcPr>
            <w:tcW w:w="6844" w:type="dxa"/>
          </w:tcPr>
          <w:p w14:paraId="729FE0CB" w14:textId="77777777" w:rsidR="00F73D94" w:rsidRPr="00A93283" w:rsidRDefault="00F73D94" w:rsidP="00F73D94">
            <w:r w:rsidRPr="00A93283">
              <w:rPr>
                <w:rFonts w:eastAsiaTheme="minorEastAsia"/>
              </w:rPr>
              <w:t>The way that the RBA changes monetary policy settings in response to new data and changes in the economic outlook.</w:t>
            </w:r>
          </w:p>
        </w:tc>
      </w:tr>
      <w:tr w:rsidR="00F73D94" w:rsidRPr="00F615F9" w14:paraId="08492503" w14:textId="77777777" w:rsidTr="00F22AE5">
        <w:tc>
          <w:tcPr>
            <w:tcW w:w="2228" w:type="dxa"/>
            <w:shd w:val="clear" w:color="auto" w:fill="auto"/>
          </w:tcPr>
          <w:p w14:paraId="12F9A407" w14:textId="77777777" w:rsidR="00F73D94" w:rsidRPr="00F73D94" w:rsidRDefault="00F73D94" w:rsidP="00F73D94">
            <w:pPr>
              <w:rPr>
                <w:b/>
                <w:bCs/>
              </w:rPr>
            </w:pPr>
            <w:r w:rsidRPr="00F73D94">
              <w:rPr>
                <w:b/>
                <w:bCs/>
              </w:rPr>
              <w:t>Research Discussion Papers </w:t>
            </w:r>
          </w:p>
        </w:tc>
        <w:tc>
          <w:tcPr>
            <w:tcW w:w="6844" w:type="dxa"/>
            <w:shd w:val="clear" w:color="auto" w:fill="auto"/>
          </w:tcPr>
          <w:p w14:paraId="0E164B08" w14:textId="77777777" w:rsidR="00F73D94" w:rsidRPr="00A93283" w:rsidRDefault="00F73D94" w:rsidP="00F73D94">
            <w:r w:rsidRPr="00A93283">
              <w:t>Papers published by the RBA with the results of longer-term research conducted by RBA staff. </w:t>
            </w:r>
          </w:p>
        </w:tc>
      </w:tr>
      <w:tr w:rsidR="00F73D94" w:rsidRPr="007A76F1" w14:paraId="7C17F57F" w14:textId="77777777" w:rsidTr="00F22AE5">
        <w:tc>
          <w:tcPr>
            <w:tcW w:w="2228" w:type="dxa"/>
            <w:shd w:val="clear" w:color="auto" w:fill="auto"/>
          </w:tcPr>
          <w:p w14:paraId="791D92EB" w14:textId="77777777" w:rsidR="00F73D94" w:rsidRPr="00F73D94" w:rsidRDefault="00F73D94" w:rsidP="00F73D94">
            <w:pPr>
              <w:rPr>
                <w:b/>
                <w:bCs/>
              </w:rPr>
            </w:pPr>
            <w:r w:rsidRPr="00F73D94">
              <w:rPr>
                <w:b/>
                <w:bCs/>
              </w:rPr>
              <w:t>Risk culture </w:t>
            </w:r>
          </w:p>
        </w:tc>
        <w:tc>
          <w:tcPr>
            <w:tcW w:w="6844" w:type="dxa"/>
            <w:shd w:val="clear" w:color="auto" w:fill="auto"/>
          </w:tcPr>
          <w:p w14:paraId="7E9A2F5D" w14:textId="77777777" w:rsidR="00F73D94" w:rsidRPr="00A93283" w:rsidRDefault="00F73D94" w:rsidP="00F73D94">
            <w:r w:rsidRPr="00A93283">
              <w:t>The norms and traditions of behaviour of individuals and of groups within an organisation that determine the way in which they identify, understand, discuss, and act on the risks the organisation confronts and the risks it takes (APRA 2016). </w:t>
            </w:r>
          </w:p>
        </w:tc>
      </w:tr>
      <w:tr w:rsidR="00F73D94" w:rsidRPr="007A76F1" w14:paraId="7422D7CD" w14:textId="77777777" w:rsidTr="00F22AE5">
        <w:tc>
          <w:tcPr>
            <w:tcW w:w="2228" w:type="dxa"/>
            <w:shd w:val="clear" w:color="auto" w:fill="auto"/>
          </w:tcPr>
          <w:p w14:paraId="3E320CF0" w14:textId="77777777" w:rsidR="00F73D94" w:rsidRPr="00F73D94" w:rsidRDefault="00F73D94" w:rsidP="00F73D94">
            <w:pPr>
              <w:rPr>
                <w:b/>
                <w:bCs/>
              </w:rPr>
            </w:pPr>
            <w:r w:rsidRPr="00F73D94">
              <w:rPr>
                <w:b/>
                <w:bCs/>
              </w:rPr>
              <w:t>Risk management </w:t>
            </w:r>
          </w:p>
        </w:tc>
        <w:tc>
          <w:tcPr>
            <w:tcW w:w="6844" w:type="dxa"/>
            <w:shd w:val="clear" w:color="auto" w:fill="auto"/>
          </w:tcPr>
          <w:p w14:paraId="21271A26" w14:textId="77777777" w:rsidR="00F73D94" w:rsidRPr="00A93283" w:rsidRDefault="00F73D94" w:rsidP="00F73D94">
            <w:r w:rsidRPr="00A93283">
              <w:t>The process by which organisations identify, assess and treat or control risks that could potentially affect their operations. </w:t>
            </w:r>
          </w:p>
        </w:tc>
      </w:tr>
      <w:tr w:rsidR="00F73D94" w:rsidRPr="007A76F1" w14:paraId="3A7CC15F" w14:textId="77777777" w:rsidTr="00F22AE5">
        <w:tc>
          <w:tcPr>
            <w:tcW w:w="2228" w:type="dxa"/>
          </w:tcPr>
          <w:p w14:paraId="77BDD5EB" w14:textId="77777777" w:rsidR="00F73D94" w:rsidRPr="00F73D94" w:rsidRDefault="00F73D94" w:rsidP="00F73D94">
            <w:pPr>
              <w:rPr>
                <w:b/>
                <w:bCs/>
              </w:rPr>
            </w:pPr>
            <w:r w:rsidRPr="00F73D94">
              <w:rPr>
                <w:b/>
                <w:bCs/>
              </w:rPr>
              <w:t>Secondary bond market</w:t>
            </w:r>
          </w:p>
        </w:tc>
        <w:tc>
          <w:tcPr>
            <w:tcW w:w="6844" w:type="dxa"/>
          </w:tcPr>
          <w:p w14:paraId="48C4A1B7" w14:textId="77777777" w:rsidR="00F73D94" w:rsidRPr="00A93283" w:rsidRDefault="00F73D94" w:rsidP="00F73D94">
            <w:r w:rsidRPr="00A93283">
              <w:t>The market where bonds are traded between investors, after they have been issued.</w:t>
            </w:r>
          </w:p>
        </w:tc>
      </w:tr>
      <w:tr w:rsidR="00F73D94" w:rsidRPr="007A76F1" w14:paraId="720AF6ED" w14:textId="77777777" w:rsidTr="00F22AE5">
        <w:tc>
          <w:tcPr>
            <w:tcW w:w="2228" w:type="dxa"/>
            <w:shd w:val="clear" w:color="auto" w:fill="auto"/>
          </w:tcPr>
          <w:p w14:paraId="5F1335D2" w14:textId="77777777" w:rsidR="00F73D94" w:rsidRPr="00F73D94" w:rsidRDefault="00F73D94" w:rsidP="00F73D94">
            <w:pPr>
              <w:rPr>
                <w:b/>
                <w:bCs/>
              </w:rPr>
            </w:pPr>
            <w:r w:rsidRPr="00F73D94">
              <w:rPr>
                <w:b/>
                <w:bCs/>
              </w:rPr>
              <w:t>Secondment </w:t>
            </w:r>
          </w:p>
        </w:tc>
        <w:tc>
          <w:tcPr>
            <w:tcW w:w="6844" w:type="dxa"/>
            <w:shd w:val="clear" w:color="auto" w:fill="auto"/>
          </w:tcPr>
          <w:p w14:paraId="7F04B119" w14:textId="77777777" w:rsidR="00F73D94" w:rsidRPr="00A93283" w:rsidRDefault="00F73D94" w:rsidP="00F73D94">
            <w:r w:rsidRPr="00A93283">
              <w:t>The temporary transfer of an employee to another position within or outside the organisation. </w:t>
            </w:r>
          </w:p>
        </w:tc>
      </w:tr>
      <w:tr w:rsidR="00F73D94" w14:paraId="6EC2EAE3" w14:textId="77777777" w:rsidTr="00F22AE5">
        <w:trPr>
          <w:trHeight w:val="600"/>
        </w:trPr>
        <w:tc>
          <w:tcPr>
            <w:tcW w:w="2228" w:type="dxa"/>
            <w:shd w:val="clear" w:color="auto" w:fill="auto"/>
          </w:tcPr>
          <w:p w14:paraId="29AFE333" w14:textId="77777777" w:rsidR="00F73D94" w:rsidRPr="00F73D94" w:rsidRDefault="00F73D94" w:rsidP="00F73D94">
            <w:pPr>
              <w:rPr>
                <w:rFonts w:eastAsia="Calibri"/>
                <w:b/>
                <w:bCs/>
              </w:rPr>
            </w:pPr>
            <w:r w:rsidRPr="00F73D94">
              <w:rPr>
                <w:b/>
                <w:bCs/>
              </w:rPr>
              <w:t>Senior leaders </w:t>
            </w:r>
          </w:p>
        </w:tc>
        <w:tc>
          <w:tcPr>
            <w:tcW w:w="6844" w:type="dxa"/>
            <w:shd w:val="clear" w:color="auto" w:fill="auto"/>
          </w:tcPr>
          <w:p w14:paraId="5BABF42B" w14:textId="77777777" w:rsidR="00F73D94" w:rsidRPr="00A93283" w:rsidRDefault="00F73D94" w:rsidP="00F73D94">
            <w:pPr>
              <w:rPr>
                <w:rFonts w:eastAsiaTheme="minorEastAsia"/>
              </w:rPr>
            </w:pPr>
            <w:r w:rsidRPr="00A93283">
              <w:t>Refers to the RBA’s management level staff (Level 5) and above.  </w:t>
            </w:r>
          </w:p>
        </w:tc>
      </w:tr>
      <w:tr w:rsidR="00F73D94" w:rsidRPr="007A76F1" w14:paraId="6825DC68" w14:textId="77777777" w:rsidTr="00F22AE5">
        <w:tc>
          <w:tcPr>
            <w:tcW w:w="2228" w:type="dxa"/>
            <w:shd w:val="clear" w:color="auto" w:fill="auto"/>
          </w:tcPr>
          <w:p w14:paraId="46B9FB6E" w14:textId="77777777" w:rsidR="00F73D94" w:rsidRPr="00F73D94" w:rsidRDefault="00F73D94" w:rsidP="00F73D94">
            <w:pPr>
              <w:rPr>
                <w:b/>
                <w:bCs/>
              </w:rPr>
            </w:pPr>
            <w:r w:rsidRPr="00F73D94">
              <w:rPr>
                <w:b/>
                <w:bCs/>
              </w:rPr>
              <w:t>Span of control </w:t>
            </w:r>
          </w:p>
        </w:tc>
        <w:tc>
          <w:tcPr>
            <w:tcW w:w="6844" w:type="dxa"/>
            <w:shd w:val="clear" w:color="auto" w:fill="auto"/>
          </w:tcPr>
          <w:p w14:paraId="67EF7344" w14:textId="77777777" w:rsidR="00F73D94" w:rsidRPr="00A93283" w:rsidRDefault="00F73D94" w:rsidP="00F73D94">
            <w:r w:rsidRPr="00A93283">
              <w:t>The number of staff or direct reports a supervisor is responsible for. </w:t>
            </w:r>
          </w:p>
        </w:tc>
      </w:tr>
      <w:tr w:rsidR="00F73D94" w:rsidRPr="007A76F1" w14:paraId="026958B8" w14:textId="77777777" w:rsidTr="00F22AE5">
        <w:tc>
          <w:tcPr>
            <w:tcW w:w="2228" w:type="dxa"/>
          </w:tcPr>
          <w:p w14:paraId="0F85606B" w14:textId="77777777" w:rsidR="00F73D94" w:rsidRPr="00F73D94" w:rsidRDefault="00F73D94" w:rsidP="00F73D94">
            <w:pPr>
              <w:rPr>
                <w:b/>
                <w:bCs/>
              </w:rPr>
            </w:pPr>
            <w:r w:rsidRPr="00F73D94">
              <w:rPr>
                <w:b/>
                <w:bCs/>
              </w:rPr>
              <w:t>Spare capacity</w:t>
            </w:r>
          </w:p>
        </w:tc>
        <w:tc>
          <w:tcPr>
            <w:tcW w:w="6844" w:type="dxa"/>
          </w:tcPr>
          <w:p w14:paraId="0AD0AC29" w14:textId="77777777" w:rsidR="00F73D94" w:rsidRPr="00A93283" w:rsidRDefault="00F73D94" w:rsidP="00F73D94">
            <w:r w:rsidRPr="00A93283">
              <w:t>The difference between actual output and potential output.</w:t>
            </w:r>
          </w:p>
        </w:tc>
      </w:tr>
      <w:tr w:rsidR="00F73D94" w:rsidRPr="007A76F1" w14:paraId="69BD5C38" w14:textId="77777777" w:rsidTr="00F22AE5">
        <w:tc>
          <w:tcPr>
            <w:tcW w:w="2228" w:type="dxa"/>
          </w:tcPr>
          <w:p w14:paraId="1E7D4AAF" w14:textId="77777777" w:rsidR="00F73D94" w:rsidRPr="00F73D94" w:rsidRDefault="00F73D94" w:rsidP="00F73D94">
            <w:pPr>
              <w:rPr>
                <w:b/>
                <w:bCs/>
              </w:rPr>
            </w:pPr>
            <w:r w:rsidRPr="00F73D94">
              <w:rPr>
                <w:b/>
                <w:bCs/>
              </w:rPr>
              <w:t>Special board paper</w:t>
            </w:r>
          </w:p>
        </w:tc>
        <w:tc>
          <w:tcPr>
            <w:tcW w:w="6844" w:type="dxa"/>
          </w:tcPr>
          <w:p w14:paraId="47A6EC20" w14:textId="77777777" w:rsidR="00F73D94" w:rsidRPr="00A93283" w:rsidRDefault="00F73D94" w:rsidP="00F73D94">
            <w:r w:rsidRPr="00A93283">
              <w:rPr>
                <w:rFonts w:eastAsiaTheme="minorEastAsia"/>
              </w:rPr>
              <w:t>Papers provided periodically to the RBA Board on topics of special interest. They often cover medium-term issues. Examples in recent years include the neutral interest rate, inequality and monetary policy, and the implications of climate change.</w:t>
            </w:r>
          </w:p>
        </w:tc>
      </w:tr>
      <w:tr w:rsidR="00F73D94" w:rsidRPr="00F615F9" w14:paraId="5D3C2CBB" w14:textId="77777777" w:rsidTr="00F22AE5">
        <w:tc>
          <w:tcPr>
            <w:tcW w:w="2228" w:type="dxa"/>
          </w:tcPr>
          <w:p w14:paraId="2087ACF5" w14:textId="77777777" w:rsidR="00F73D94" w:rsidRPr="00F73D94" w:rsidRDefault="00F73D94" w:rsidP="00F73D94">
            <w:pPr>
              <w:rPr>
                <w:b/>
                <w:bCs/>
              </w:rPr>
            </w:pPr>
            <w:r w:rsidRPr="00F73D94">
              <w:rPr>
                <w:b/>
                <w:bCs/>
              </w:rPr>
              <w:t>State-based forward guidance</w:t>
            </w:r>
          </w:p>
        </w:tc>
        <w:tc>
          <w:tcPr>
            <w:tcW w:w="6844" w:type="dxa"/>
          </w:tcPr>
          <w:p w14:paraId="1002F9F7" w14:textId="77777777" w:rsidR="00F73D94" w:rsidRPr="00A93283" w:rsidRDefault="00F73D94" w:rsidP="00F73D94">
            <w:r w:rsidRPr="00A93283">
              <w:t>A commitment to a cash rate path until specific economic conditions are met.</w:t>
            </w:r>
          </w:p>
        </w:tc>
      </w:tr>
      <w:tr w:rsidR="00F73D94" w:rsidRPr="007A76F1" w14:paraId="2DA8B20E" w14:textId="77777777" w:rsidTr="00F22AE5">
        <w:tc>
          <w:tcPr>
            <w:tcW w:w="2228" w:type="dxa"/>
            <w:shd w:val="clear" w:color="auto" w:fill="auto"/>
          </w:tcPr>
          <w:p w14:paraId="688CDE05" w14:textId="77777777" w:rsidR="00F73D94" w:rsidRPr="00F73D94" w:rsidRDefault="00F73D94" w:rsidP="00F73D94">
            <w:pPr>
              <w:rPr>
                <w:b/>
                <w:bCs/>
              </w:rPr>
            </w:pPr>
            <w:r w:rsidRPr="00F73D94">
              <w:rPr>
                <w:b/>
                <w:bCs/>
              </w:rPr>
              <w:t>Succession planning </w:t>
            </w:r>
          </w:p>
        </w:tc>
        <w:tc>
          <w:tcPr>
            <w:tcW w:w="6844" w:type="dxa"/>
            <w:shd w:val="clear" w:color="auto" w:fill="auto"/>
          </w:tcPr>
          <w:p w14:paraId="7F2E48B8" w14:textId="77777777" w:rsidR="00F73D94" w:rsidRPr="00A93283" w:rsidRDefault="00F73D94" w:rsidP="00F73D94">
            <w:r w:rsidRPr="00A93283">
              <w:t>A process and strategy for identifying and developing future leaders. </w:t>
            </w:r>
          </w:p>
        </w:tc>
      </w:tr>
      <w:tr w:rsidR="00F73D94" w:rsidRPr="007A76F1" w14:paraId="29FF1465" w14:textId="77777777" w:rsidTr="00F22AE5">
        <w:tc>
          <w:tcPr>
            <w:tcW w:w="2228" w:type="dxa"/>
            <w:shd w:val="clear" w:color="auto" w:fill="auto"/>
          </w:tcPr>
          <w:p w14:paraId="3BC39CA0" w14:textId="77777777" w:rsidR="00F73D94" w:rsidRPr="00F73D94" w:rsidRDefault="00F73D94" w:rsidP="00F73D94">
            <w:pPr>
              <w:rPr>
                <w:b/>
                <w:bCs/>
              </w:rPr>
            </w:pPr>
            <w:r w:rsidRPr="00F73D94">
              <w:rPr>
                <w:b/>
                <w:bCs/>
              </w:rPr>
              <w:t>Superannuation defined benefit scheme </w:t>
            </w:r>
          </w:p>
        </w:tc>
        <w:tc>
          <w:tcPr>
            <w:tcW w:w="6844" w:type="dxa"/>
            <w:shd w:val="clear" w:color="auto" w:fill="auto"/>
          </w:tcPr>
          <w:p w14:paraId="5A5C8249" w14:textId="77777777" w:rsidR="00F73D94" w:rsidRPr="00A93283" w:rsidRDefault="00F73D94" w:rsidP="00F73D94">
            <w:r w:rsidRPr="00A93283">
              <w:t>A type of superannuation product previously common in public sector and local government workplaces. It defines or guarantees the amount you will receive in retirement.  </w:t>
            </w:r>
          </w:p>
        </w:tc>
      </w:tr>
      <w:tr w:rsidR="00F73D94" w:rsidRPr="007A76F1" w14:paraId="0D2F3CCB" w14:textId="77777777" w:rsidTr="00F22AE5">
        <w:tc>
          <w:tcPr>
            <w:tcW w:w="2228" w:type="dxa"/>
          </w:tcPr>
          <w:p w14:paraId="39BE336B" w14:textId="77777777" w:rsidR="00F73D94" w:rsidRPr="00F73D94" w:rsidRDefault="00F73D94" w:rsidP="00F73D94">
            <w:pPr>
              <w:rPr>
                <w:b/>
                <w:bCs/>
              </w:rPr>
            </w:pPr>
            <w:r w:rsidRPr="00F73D94">
              <w:rPr>
                <w:b/>
                <w:bCs/>
              </w:rPr>
              <w:lastRenderedPageBreak/>
              <w:t>Supply / Demand shock</w:t>
            </w:r>
          </w:p>
        </w:tc>
        <w:tc>
          <w:tcPr>
            <w:tcW w:w="6844" w:type="dxa"/>
          </w:tcPr>
          <w:p w14:paraId="50C769B6" w14:textId="77777777" w:rsidR="00F73D94" w:rsidRPr="00A93283" w:rsidRDefault="00F73D94" w:rsidP="00F73D94">
            <w:r w:rsidRPr="00A93283">
              <w:t>A sudden and unexpected change to the supply/demand of a product or market, that affects the price of the good and its availability.</w:t>
            </w:r>
          </w:p>
        </w:tc>
      </w:tr>
      <w:tr w:rsidR="00F73D94" w:rsidRPr="00F615F9" w14:paraId="274E7A80" w14:textId="77777777" w:rsidTr="00F22AE5">
        <w:tc>
          <w:tcPr>
            <w:tcW w:w="2228" w:type="dxa"/>
          </w:tcPr>
          <w:p w14:paraId="683BEAC5" w14:textId="77777777" w:rsidR="00F73D94" w:rsidRPr="00F73D94" w:rsidRDefault="00F73D94" w:rsidP="00F73D94">
            <w:pPr>
              <w:rPr>
                <w:b/>
                <w:bCs/>
              </w:rPr>
            </w:pPr>
            <w:r w:rsidRPr="00F73D94">
              <w:rPr>
                <w:b/>
                <w:bCs/>
              </w:rPr>
              <w:t>Term Funding Facility</w:t>
            </w:r>
          </w:p>
          <w:p w14:paraId="5DAA7C27" w14:textId="77777777" w:rsidR="00F73D94" w:rsidRPr="00F73D94" w:rsidRDefault="00F73D94" w:rsidP="00F73D94">
            <w:pPr>
              <w:rPr>
                <w:b/>
                <w:bCs/>
              </w:rPr>
            </w:pPr>
          </w:p>
        </w:tc>
        <w:tc>
          <w:tcPr>
            <w:tcW w:w="6844" w:type="dxa"/>
          </w:tcPr>
          <w:p w14:paraId="7069D648" w14:textId="77777777" w:rsidR="00F73D94" w:rsidRPr="00A93283" w:rsidRDefault="00F73D94" w:rsidP="00F73D94">
            <w:r w:rsidRPr="00A93283">
              <w:t>An RBA lending program introduced in March 2020 to provide cheaper financing for banks, with incentives to lend to small- and medium</w:t>
            </w:r>
            <w:r w:rsidRPr="00A93283">
              <w:noBreakHyphen/>
              <w:t xml:space="preserve">sized businesses. </w:t>
            </w:r>
          </w:p>
        </w:tc>
      </w:tr>
      <w:tr w:rsidR="00F73D94" w14:paraId="2378A3AB" w14:textId="77777777" w:rsidTr="00F22AE5">
        <w:trPr>
          <w:trHeight w:val="600"/>
        </w:trPr>
        <w:tc>
          <w:tcPr>
            <w:tcW w:w="2228" w:type="dxa"/>
          </w:tcPr>
          <w:p w14:paraId="08BE3B2C" w14:textId="77777777" w:rsidR="00F73D94" w:rsidRPr="00F73D94" w:rsidRDefault="00F73D94" w:rsidP="00F73D94">
            <w:pPr>
              <w:rPr>
                <w:rFonts w:eastAsia="Calibri"/>
                <w:b/>
                <w:bCs/>
              </w:rPr>
            </w:pPr>
            <w:r w:rsidRPr="00F73D94">
              <w:rPr>
                <w:b/>
                <w:bCs/>
              </w:rPr>
              <w:t>Trimmed mean inflation</w:t>
            </w:r>
          </w:p>
        </w:tc>
        <w:tc>
          <w:tcPr>
            <w:tcW w:w="6844" w:type="dxa"/>
          </w:tcPr>
          <w:p w14:paraId="04F0C315" w14:textId="77777777" w:rsidR="00F73D94" w:rsidRPr="00A93283" w:rsidRDefault="00F73D94" w:rsidP="00F73D94">
            <w:pPr>
              <w:rPr>
                <w:rFonts w:eastAsiaTheme="minorEastAsia"/>
              </w:rPr>
            </w:pPr>
            <w:r w:rsidRPr="00A93283">
              <w:t>A measure of consumer price inflation that excludes the prices of goods and services with the largest movements (positive or negative).</w:t>
            </w:r>
          </w:p>
        </w:tc>
      </w:tr>
      <w:tr w:rsidR="00F73D94" w:rsidRPr="00F615F9" w14:paraId="17E2C279" w14:textId="77777777" w:rsidTr="00F22AE5">
        <w:tc>
          <w:tcPr>
            <w:tcW w:w="2228" w:type="dxa"/>
            <w:shd w:val="clear" w:color="auto" w:fill="auto"/>
          </w:tcPr>
          <w:p w14:paraId="662BA2F2" w14:textId="77777777" w:rsidR="00F73D94" w:rsidRPr="00F73D94" w:rsidRDefault="00F73D94" w:rsidP="00F73D94">
            <w:pPr>
              <w:rPr>
                <w:b/>
                <w:bCs/>
              </w:rPr>
            </w:pPr>
            <w:r w:rsidRPr="00F73D94">
              <w:rPr>
                <w:b/>
                <w:bCs/>
              </w:rPr>
              <w:t>Two-way communication </w:t>
            </w:r>
          </w:p>
        </w:tc>
        <w:tc>
          <w:tcPr>
            <w:tcW w:w="6844" w:type="dxa"/>
            <w:shd w:val="clear" w:color="auto" w:fill="auto"/>
          </w:tcPr>
          <w:p w14:paraId="33171739" w14:textId="77777777" w:rsidR="00F73D94" w:rsidRPr="00A93283" w:rsidRDefault="00F73D94" w:rsidP="00F73D94">
            <w:r w:rsidRPr="00A93283">
              <w:t>The process of sharing information back and forth between two parties. </w:t>
            </w:r>
          </w:p>
        </w:tc>
      </w:tr>
      <w:tr w:rsidR="00F73D94" w:rsidRPr="007A76F1" w14:paraId="6444913E" w14:textId="77777777" w:rsidTr="00F22AE5">
        <w:tc>
          <w:tcPr>
            <w:tcW w:w="2228" w:type="dxa"/>
          </w:tcPr>
          <w:p w14:paraId="714B4A7C" w14:textId="77777777" w:rsidR="00F73D94" w:rsidRPr="00F73D94" w:rsidRDefault="00F73D94" w:rsidP="00F73D94">
            <w:pPr>
              <w:rPr>
                <w:b/>
                <w:bCs/>
              </w:rPr>
            </w:pPr>
            <w:r w:rsidRPr="00F73D94">
              <w:rPr>
                <w:b/>
                <w:bCs/>
              </w:rPr>
              <w:t>Underlying inflation</w:t>
            </w:r>
          </w:p>
        </w:tc>
        <w:tc>
          <w:tcPr>
            <w:tcW w:w="6844" w:type="dxa"/>
          </w:tcPr>
          <w:p w14:paraId="70756F87" w14:textId="77777777" w:rsidR="00F73D94" w:rsidRPr="00A93283" w:rsidRDefault="00F73D94" w:rsidP="00F73D94">
            <w:r w:rsidRPr="00A93283">
              <w:rPr>
                <w:rFonts w:eastAsiaTheme="minorEastAsia"/>
              </w:rPr>
              <w:t xml:space="preserve">Underlying measures of inflation exclude items that have particularly large price changes (either frequently or </w:t>
            </w:r>
            <w:bookmarkStart w:id="78" w:name="_Int_NsO9qhYl"/>
            <w:r w:rsidRPr="00A93283">
              <w:rPr>
                <w:rFonts w:eastAsiaTheme="minorEastAsia"/>
              </w:rPr>
              <w:t>in a given</w:t>
            </w:r>
            <w:bookmarkEnd w:id="78"/>
            <w:r w:rsidRPr="00A93283">
              <w:rPr>
                <w:rFonts w:eastAsiaTheme="minorEastAsia"/>
              </w:rPr>
              <w:t xml:space="preserve"> period).</w:t>
            </w:r>
          </w:p>
        </w:tc>
      </w:tr>
      <w:tr w:rsidR="00F73D94" w:rsidRPr="007A76F1" w14:paraId="7EC52CD4" w14:textId="77777777" w:rsidTr="00F22AE5">
        <w:tc>
          <w:tcPr>
            <w:tcW w:w="2228" w:type="dxa"/>
          </w:tcPr>
          <w:p w14:paraId="3584D376" w14:textId="77777777" w:rsidR="00F73D94" w:rsidRPr="00F73D94" w:rsidRDefault="00F73D94" w:rsidP="00F73D94">
            <w:pPr>
              <w:rPr>
                <w:b/>
                <w:bCs/>
              </w:rPr>
            </w:pPr>
            <w:r w:rsidRPr="00F73D94">
              <w:rPr>
                <w:b/>
                <w:bCs/>
              </w:rPr>
              <w:t>Unemployment rate</w:t>
            </w:r>
          </w:p>
        </w:tc>
        <w:tc>
          <w:tcPr>
            <w:tcW w:w="6844" w:type="dxa"/>
          </w:tcPr>
          <w:p w14:paraId="43B12AD6" w14:textId="77777777" w:rsidR="00F73D94" w:rsidRPr="00A93283" w:rsidRDefault="00F73D94" w:rsidP="00F73D94">
            <w:r w:rsidRPr="00A93283">
              <w:t>The number of people who are able and willing to work but do not have a job, as a percentage of all people who are able and willing to work.</w:t>
            </w:r>
          </w:p>
        </w:tc>
      </w:tr>
      <w:tr w:rsidR="00F73D94" w:rsidRPr="00F615F9" w14:paraId="4877658F" w14:textId="77777777" w:rsidTr="00F22AE5">
        <w:tc>
          <w:tcPr>
            <w:tcW w:w="2228" w:type="dxa"/>
          </w:tcPr>
          <w:p w14:paraId="6D55C017" w14:textId="77777777" w:rsidR="00F73D94" w:rsidRPr="00F73D94" w:rsidRDefault="00F73D94" w:rsidP="00F73D94">
            <w:pPr>
              <w:rPr>
                <w:b/>
                <w:bCs/>
              </w:rPr>
            </w:pPr>
            <w:r w:rsidRPr="00F73D94">
              <w:rPr>
                <w:b/>
                <w:bCs/>
              </w:rPr>
              <w:t>Yield</w:t>
            </w:r>
          </w:p>
        </w:tc>
        <w:tc>
          <w:tcPr>
            <w:tcW w:w="6844" w:type="dxa"/>
          </w:tcPr>
          <w:p w14:paraId="0DB734F5" w14:textId="77777777" w:rsidR="00F73D94" w:rsidRPr="00A93283" w:rsidRDefault="00F73D94" w:rsidP="00F73D94">
            <w:r w:rsidRPr="00A93283">
              <w:t xml:space="preserve">The expected rate of return for an investor who buys a </w:t>
            </w:r>
            <w:r w:rsidRPr="00A93283" w:rsidDel="00A350F4">
              <w:t>bond</w:t>
            </w:r>
            <w:r w:rsidRPr="00A93283">
              <w:t>; at the time the bond is issued, it is also the cost of the loan for the borrower.</w:t>
            </w:r>
          </w:p>
        </w:tc>
      </w:tr>
      <w:tr w:rsidR="00F73D94" w14:paraId="61035A74" w14:textId="77777777" w:rsidTr="00F22AE5">
        <w:trPr>
          <w:trHeight w:val="885"/>
        </w:trPr>
        <w:tc>
          <w:tcPr>
            <w:tcW w:w="2228" w:type="dxa"/>
          </w:tcPr>
          <w:p w14:paraId="277FEE86" w14:textId="77777777" w:rsidR="00F73D94" w:rsidRPr="00F73D94" w:rsidRDefault="00F73D94" w:rsidP="00F73D94">
            <w:pPr>
              <w:rPr>
                <w:b/>
                <w:bCs/>
              </w:rPr>
            </w:pPr>
            <w:r w:rsidRPr="00F73D94">
              <w:rPr>
                <w:b/>
                <w:bCs/>
              </w:rPr>
              <w:t>Yield target</w:t>
            </w:r>
          </w:p>
        </w:tc>
        <w:tc>
          <w:tcPr>
            <w:tcW w:w="6844" w:type="dxa"/>
          </w:tcPr>
          <w:p w14:paraId="71EE60C5" w14:textId="77777777" w:rsidR="00F73D94" w:rsidRPr="00A93283" w:rsidRDefault="00F73D94" w:rsidP="00F73D94">
            <w:r w:rsidRPr="00A93283">
              <w:t>A monetary policy tool that involves setting a target for the yield of specified bonds to reduce borrowing costs for households and businesses.</w:t>
            </w:r>
          </w:p>
        </w:tc>
      </w:tr>
    </w:tbl>
    <w:p w14:paraId="55DD59CA" w14:textId="672E3A4F" w:rsidR="00A07A5A" w:rsidRDefault="00A07A5A" w:rsidP="000E7E95"/>
    <w:p w14:paraId="737FC708" w14:textId="77777777" w:rsidR="00A07A5A" w:rsidRDefault="00A07A5A">
      <w:pPr>
        <w:spacing w:before="0" w:after="160" w:line="259" w:lineRule="auto"/>
      </w:pPr>
      <w:r>
        <w:br w:type="page"/>
      </w:r>
    </w:p>
    <w:p w14:paraId="1460F89C" w14:textId="06D30117" w:rsidR="000E7E95" w:rsidRDefault="00A07A5A" w:rsidP="00A07A5A">
      <w:pPr>
        <w:pStyle w:val="Heading1"/>
      </w:pPr>
      <w:bookmarkStart w:id="79" w:name="_Toc134221047"/>
      <w:r>
        <w:lastRenderedPageBreak/>
        <w:t xml:space="preserve">Appendix </w:t>
      </w:r>
      <w:r w:rsidR="00A74645">
        <w:t>6</w:t>
      </w:r>
      <w:r>
        <w:t>: Bibliography</w:t>
      </w:r>
      <w:bookmarkEnd w:id="79"/>
    </w:p>
    <w:p w14:paraId="37B2F136" w14:textId="77777777" w:rsidR="00A07A5A" w:rsidRPr="0000278A" w:rsidRDefault="00A07A5A" w:rsidP="00A07A5A">
      <w:pPr>
        <w:rPr>
          <w:rFonts w:cs="Calibri Light"/>
        </w:rPr>
      </w:pPr>
      <w:r w:rsidRPr="0000278A">
        <w:rPr>
          <w:rFonts w:cs="Calibri Light"/>
        </w:rPr>
        <w:t>Amamiya M (2022) ‘Climate change and finance</w:t>
      </w:r>
      <w:r w:rsidRPr="0000278A">
        <w:rPr>
          <w:rFonts w:cs="Calibri Light"/>
          <w:i/>
        </w:rPr>
        <w:t>’</w:t>
      </w:r>
      <w:r w:rsidRPr="0000278A">
        <w:rPr>
          <w:rFonts w:cs="Calibri Light"/>
        </w:rPr>
        <w:t xml:space="preserve">, </w:t>
      </w:r>
      <w:r w:rsidRPr="0000278A">
        <w:rPr>
          <w:rFonts w:cs="Calibri Light"/>
          <w:i/>
        </w:rPr>
        <w:t xml:space="preserve">speech at the Japan Society of Monetary Economics, </w:t>
      </w:r>
      <w:r w:rsidRPr="0000278A">
        <w:rPr>
          <w:rFonts w:cs="Calibri Light"/>
        </w:rPr>
        <w:t xml:space="preserve">27 November. </w:t>
      </w:r>
      <w:hyperlink r:id="rId54" w:history="1">
        <w:r w:rsidRPr="0000278A">
          <w:rPr>
            <w:rStyle w:val="Hyperlink"/>
            <w:rFonts w:cs="Calibri Light"/>
            <w:color w:val="auto"/>
          </w:rPr>
          <w:t>https://www.boj.or.jp/en/about/press/koen_2022/data/ko221127a.pdf</w:t>
        </w:r>
      </w:hyperlink>
      <w:r w:rsidRPr="0000278A">
        <w:rPr>
          <w:rFonts w:cs="Calibri Light"/>
        </w:rPr>
        <w:t xml:space="preserve">  </w:t>
      </w:r>
    </w:p>
    <w:p w14:paraId="66DC6A60" w14:textId="77777777" w:rsidR="00A07A5A" w:rsidRPr="0000278A" w:rsidRDefault="00A07A5A" w:rsidP="00A07A5A">
      <w:pPr>
        <w:rPr>
          <w:rFonts w:cs="Calibri Light"/>
        </w:rPr>
      </w:pPr>
      <w:r w:rsidRPr="0000278A">
        <w:rPr>
          <w:rFonts w:cs="Calibri Light"/>
        </w:rPr>
        <w:t xml:space="preserve">Amano R, Gnocchi S, Leduc S and Wagner J (2020) ‘Average Is Good Enough: Average-Inflation Targeting and the ELB’, </w:t>
      </w:r>
      <w:r w:rsidRPr="0000278A">
        <w:rPr>
          <w:rFonts w:cs="Calibri Light"/>
          <w:i/>
        </w:rPr>
        <w:t xml:space="preserve">Federal Reserve Bank of San Francisco Working Paper 2020-21. </w:t>
      </w:r>
      <w:hyperlink r:id="rId55">
        <w:r w:rsidRPr="0000278A">
          <w:rPr>
            <w:rStyle w:val="Hyperlink"/>
            <w:rFonts w:cs="Calibri Light"/>
            <w:color w:val="auto"/>
          </w:rPr>
          <w:t>https://www.frbsf.org/economic-research/publications/working-papers/2020/21/</w:t>
        </w:r>
      </w:hyperlink>
    </w:p>
    <w:p w14:paraId="30E9C2D6" w14:textId="77777777" w:rsidR="00A07A5A" w:rsidRPr="0000278A" w:rsidRDefault="00A07A5A" w:rsidP="00A07A5A">
      <w:pPr>
        <w:tabs>
          <w:tab w:val="left" w:pos="720"/>
        </w:tabs>
        <w:spacing w:line="276" w:lineRule="auto"/>
        <w:rPr>
          <w:rFonts w:cs="Calibri Light"/>
        </w:rPr>
      </w:pPr>
      <w:r w:rsidRPr="0000278A">
        <w:rPr>
          <w:rFonts w:cs="Calibri Light"/>
        </w:rPr>
        <w:t xml:space="preserve">APRA (2016) ‘Risk Culture’, </w:t>
      </w:r>
      <w:r w:rsidRPr="0000278A">
        <w:rPr>
          <w:rFonts w:cs="Calibri Light"/>
          <w:i/>
        </w:rPr>
        <w:t xml:space="preserve">Information Paper. </w:t>
      </w:r>
      <w:hyperlink r:id="rId56" w:history="1">
        <w:r w:rsidRPr="0000278A">
          <w:rPr>
            <w:rStyle w:val="Hyperlink"/>
            <w:rFonts w:cs="Calibri Light"/>
            <w:color w:val="auto"/>
          </w:rPr>
          <w:t>https://www.apra.gov.au/sites/default/files/information-paper-risk-culture1.pdf</w:t>
        </w:r>
      </w:hyperlink>
    </w:p>
    <w:p w14:paraId="12E45D0B" w14:textId="77777777" w:rsidR="00A07A5A" w:rsidRPr="0000278A" w:rsidRDefault="00A07A5A" w:rsidP="00A07A5A">
      <w:pPr>
        <w:rPr>
          <w:rFonts w:cs="Calibri Light"/>
        </w:rPr>
      </w:pPr>
      <w:r w:rsidRPr="0000278A">
        <w:rPr>
          <w:rFonts w:cs="Calibri Light"/>
        </w:rPr>
        <w:t>Archer D and Levin A (2018) ‘Robust Design Principles for Monetary Policy Committees’, in J Simon (ed</w:t>
      </w:r>
      <w:r w:rsidRPr="0000278A">
        <w:rPr>
          <w:rFonts w:cs="Calibri Light"/>
          <w:i/>
        </w:rPr>
        <w:t>), Central Bank Frameworks: Evolution or Revolution</w:t>
      </w:r>
      <w:r w:rsidRPr="0000278A">
        <w:rPr>
          <w:rFonts w:cs="Calibri Light"/>
        </w:rPr>
        <w:t xml:space="preserve">, Proceedings of a Conference, Reserve Bank of Australia, Sydney. </w:t>
      </w:r>
      <w:hyperlink r:id="rId57">
        <w:r w:rsidRPr="0000278A">
          <w:rPr>
            <w:rFonts w:cs="Calibri Light"/>
          </w:rPr>
          <w:t>https://www.rba.gov.au/publications/confs/2018/pdf/rba-conference-volume-2018-archer-levin.pdf</w:t>
        </w:r>
      </w:hyperlink>
    </w:p>
    <w:p w14:paraId="5DD2258B" w14:textId="77777777" w:rsidR="00A07A5A" w:rsidRPr="0000278A" w:rsidRDefault="00A07A5A" w:rsidP="00A07A5A">
      <w:pPr>
        <w:rPr>
          <w:rFonts w:cs="Calibri Light"/>
        </w:rPr>
      </w:pPr>
      <w:r w:rsidRPr="0000278A">
        <w:rPr>
          <w:rFonts w:cs="Calibri Light"/>
        </w:rPr>
        <w:t xml:space="preserve">Arias J, Bodenstein M, Chung H, Drautzburg T and Andrea Raffo A (2020) ‘Alternative Strategies: How Do They Work? How Might They </w:t>
      </w:r>
      <w:bookmarkStart w:id="80" w:name="_Int_EFUtsZk0"/>
      <w:r w:rsidRPr="0000278A">
        <w:rPr>
          <w:rFonts w:cs="Calibri Light"/>
        </w:rPr>
        <w:t>help?,</w:t>
      </w:r>
      <w:bookmarkEnd w:id="80"/>
      <w:r w:rsidRPr="0000278A">
        <w:rPr>
          <w:rFonts w:cs="Calibri Light"/>
        </w:rPr>
        <w:t xml:space="preserve"> ’ </w:t>
      </w:r>
      <w:r w:rsidRPr="0000278A">
        <w:rPr>
          <w:rFonts w:cs="Calibri Light"/>
          <w:i/>
        </w:rPr>
        <w:t>Finance and Economics Discussion Series</w:t>
      </w:r>
      <w:r w:rsidRPr="0000278A">
        <w:rPr>
          <w:rFonts w:cs="Calibri Light"/>
        </w:rPr>
        <w:t xml:space="preserve">, vol. 2020, no. 068, pp. 1–31. </w:t>
      </w:r>
      <w:hyperlink r:id="rId58">
        <w:r w:rsidRPr="0000278A">
          <w:rPr>
            <w:rStyle w:val="Hyperlink"/>
            <w:rFonts w:cs="Calibri Light"/>
            <w:color w:val="auto"/>
          </w:rPr>
          <w:t>https://www.federalreserve.gov/econres/feds/alternative-strategies-how-do-they-work-how-might-they-help.htm</w:t>
        </w:r>
      </w:hyperlink>
      <w:r w:rsidRPr="0000278A">
        <w:rPr>
          <w:rFonts w:cs="Calibri Light"/>
        </w:rPr>
        <w:t xml:space="preserve"> </w:t>
      </w:r>
    </w:p>
    <w:p w14:paraId="61F72853" w14:textId="77777777" w:rsidR="00A07A5A" w:rsidRPr="0000278A" w:rsidRDefault="00A07A5A" w:rsidP="00A07A5A">
      <w:pPr>
        <w:rPr>
          <w:rFonts w:cs="Calibri Light"/>
        </w:rPr>
      </w:pPr>
      <w:r w:rsidRPr="0000278A">
        <w:rPr>
          <w:rFonts w:cs="Calibri Light"/>
        </w:rPr>
        <w:t xml:space="preserve">Atkin T and La Cava G (2017) ‘The Transmission of Monetary Policy: How Does It </w:t>
      </w:r>
      <w:bookmarkStart w:id="81" w:name="_Int_rg174fVB"/>
      <w:r w:rsidRPr="0000278A">
        <w:rPr>
          <w:rFonts w:cs="Calibri Light"/>
        </w:rPr>
        <w:t>Work?,</w:t>
      </w:r>
      <w:bookmarkEnd w:id="81"/>
      <w:r w:rsidRPr="0000278A">
        <w:rPr>
          <w:rFonts w:cs="Calibri Light"/>
        </w:rPr>
        <w:t xml:space="preserve">’ </w:t>
      </w:r>
      <w:r w:rsidRPr="0000278A">
        <w:rPr>
          <w:rFonts w:cs="Calibri Light"/>
          <w:i/>
        </w:rPr>
        <w:t xml:space="preserve">RBA Bulletin, </w:t>
      </w:r>
      <w:r w:rsidRPr="0000278A">
        <w:rPr>
          <w:rFonts w:cs="Calibri Light"/>
          <w:iCs/>
        </w:rPr>
        <w:t>September</w:t>
      </w:r>
      <w:r w:rsidRPr="0000278A">
        <w:rPr>
          <w:rFonts w:cs="Calibri Light"/>
          <w:i/>
        </w:rPr>
        <w:t xml:space="preserve"> </w:t>
      </w:r>
      <w:r w:rsidRPr="0000278A">
        <w:rPr>
          <w:rFonts w:cs="Calibri Light"/>
        </w:rPr>
        <w:t xml:space="preserve">quarter. </w:t>
      </w:r>
      <w:hyperlink r:id="rId59">
        <w:r w:rsidRPr="0000278A">
          <w:rPr>
            <w:rStyle w:val="Hyperlink"/>
            <w:rFonts w:cs="Calibri Light"/>
            <w:color w:val="auto"/>
          </w:rPr>
          <w:t>https://www.rba.gov.au/publications/bulletin/2017/sep/pdf/bu-0917-1-the-transmission-of-monetary-policy-how-does-it-work.pdf</w:t>
        </w:r>
      </w:hyperlink>
      <w:r w:rsidRPr="0000278A">
        <w:rPr>
          <w:rFonts w:cs="Calibri Light"/>
        </w:rPr>
        <w:t xml:space="preserve"> </w:t>
      </w:r>
    </w:p>
    <w:p w14:paraId="61D2E865" w14:textId="77777777" w:rsidR="00A07A5A" w:rsidRPr="0000278A" w:rsidRDefault="00A07A5A" w:rsidP="00A07A5A">
      <w:pPr>
        <w:rPr>
          <w:rFonts w:cs="Calibri Light"/>
        </w:rPr>
      </w:pPr>
      <w:r w:rsidRPr="0000278A">
        <w:rPr>
          <w:rFonts w:cs="Calibri Light"/>
        </w:rPr>
        <w:t xml:space="preserve">Auer S, Bernardini M, and Cecioni M (2021) ‘Corporate leverage and monetary policy effectiveness in the Euro Area,’ </w:t>
      </w:r>
      <w:r w:rsidRPr="0000278A">
        <w:rPr>
          <w:rFonts w:cs="Calibri Light"/>
          <w:i/>
        </w:rPr>
        <w:t>European Economic Review</w:t>
      </w:r>
      <w:r w:rsidRPr="0000278A">
        <w:rPr>
          <w:rFonts w:cs="Calibri Light"/>
        </w:rPr>
        <w:t xml:space="preserve">, vol. 140, p. 103943. </w:t>
      </w:r>
      <w:hyperlink r:id="rId60" w:history="1">
        <w:r w:rsidRPr="0000278A">
          <w:rPr>
            <w:rStyle w:val="Hyperlink"/>
            <w:rFonts w:cs="Calibri Light"/>
            <w:color w:val="auto"/>
          </w:rPr>
          <w:t>https://www.sciencedirect.com/science/article/abs/pii/S0014292121002397</w:t>
        </w:r>
      </w:hyperlink>
      <w:r w:rsidRPr="0000278A">
        <w:rPr>
          <w:rFonts w:cs="Calibri Light"/>
        </w:rPr>
        <w:t xml:space="preserve"> </w:t>
      </w:r>
    </w:p>
    <w:p w14:paraId="732A4846" w14:textId="77777777" w:rsidR="00A07A5A" w:rsidRPr="0000278A" w:rsidRDefault="00A07A5A" w:rsidP="00A07A5A">
      <w:pPr>
        <w:rPr>
          <w:rFonts w:cs="Calibri Light"/>
        </w:rPr>
      </w:pPr>
      <w:r w:rsidRPr="0000278A">
        <w:rPr>
          <w:rFonts w:cs="Calibri Light"/>
        </w:rPr>
        <w:t>Australian Bureau of Statistics (2023) ‘Monthly Consumer Price Index Indicator Methodology’, viewed 15 March 2023.</w:t>
      </w:r>
      <w:r w:rsidRPr="0000278A">
        <w:rPr>
          <w:rFonts w:cs="Calibri Light"/>
        </w:rPr>
        <w:br/>
      </w:r>
      <w:hyperlink r:id="rId61" w:history="1">
        <w:r w:rsidRPr="0000278A">
          <w:rPr>
            <w:rStyle w:val="Hyperlink"/>
            <w:rFonts w:cs="Calibri Light"/>
            <w:color w:val="auto"/>
          </w:rPr>
          <w:t>Monthly Consumer Pri...~https://www.abs.gov.au/methodologies/monthly-consumer-price-index-indicator-methodology/jan-2023</w:t>
        </w:r>
      </w:hyperlink>
    </w:p>
    <w:p w14:paraId="3823A09D" w14:textId="77777777" w:rsidR="00A07A5A" w:rsidRPr="0000278A" w:rsidRDefault="00A07A5A" w:rsidP="00A07A5A">
      <w:pPr>
        <w:rPr>
          <w:rStyle w:val="Hyperlink"/>
          <w:rFonts w:cs="Calibri Light"/>
          <w:color w:val="auto"/>
        </w:rPr>
      </w:pPr>
      <w:r w:rsidRPr="0000278A">
        <w:rPr>
          <w:rFonts w:cs="Calibri Light"/>
        </w:rPr>
        <w:t>Australian House of Representatives (2017) ‘Reserve Bank of Australia annual report 2016’</w:t>
      </w:r>
      <w:r w:rsidRPr="0000278A">
        <w:rPr>
          <w:rFonts w:cs="Calibri Light"/>
          <w:i/>
        </w:rPr>
        <w:t>, Standing Committee on Economics</w:t>
      </w:r>
      <w:r w:rsidRPr="0000278A">
        <w:rPr>
          <w:rFonts w:cs="Calibri Light"/>
        </w:rPr>
        <w:t>, 24 February</w:t>
      </w:r>
      <w:r w:rsidRPr="0000278A">
        <w:rPr>
          <w:rFonts w:cs="Calibri Light"/>
          <w:i/>
        </w:rPr>
        <w:t>.</w:t>
      </w:r>
      <w:r w:rsidRPr="0000278A">
        <w:rPr>
          <w:rFonts w:cs="Calibri Light"/>
        </w:rPr>
        <w:t xml:space="preserve"> </w:t>
      </w:r>
      <w:hyperlink r:id="rId62">
        <w:r w:rsidRPr="0000278A">
          <w:rPr>
            <w:rStyle w:val="Hyperlink"/>
            <w:rFonts w:cs="Calibri Light"/>
            <w:color w:val="auto"/>
          </w:rPr>
          <w:t>https://parlinfo.aph.gov.au/parlInfo/search/display/display.w3p;query=Id:%22committees/commrep/812fc9ed-0f02-4247-b58b-9fea2e1c7669/0000%22</w:t>
        </w:r>
      </w:hyperlink>
    </w:p>
    <w:p w14:paraId="49D57230" w14:textId="77777777" w:rsidR="00A07A5A" w:rsidRPr="0000278A" w:rsidRDefault="00A07A5A" w:rsidP="00A07A5A">
      <w:pPr>
        <w:rPr>
          <w:rFonts w:cs="Calibri Light"/>
        </w:rPr>
      </w:pPr>
      <w:r w:rsidRPr="0000278A">
        <w:rPr>
          <w:rFonts w:cs="Calibri Light"/>
        </w:rPr>
        <w:t xml:space="preserve">Australian House of Representatives (2019) ‘Reserve Bank of Australia annual report 2018’, </w:t>
      </w:r>
      <w:r w:rsidRPr="0000278A">
        <w:rPr>
          <w:rFonts w:cs="Calibri Light"/>
          <w:i/>
        </w:rPr>
        <w:t>Standing Committee on Economics</w:t>
      </w:r>
      <w:r w:rsidRPr="0000278A">
        <w:rPr>
          <w:rFonts w:cs="Calibri Light"/>
        </w:rPr>
        <w:t xml:space="preserve">, 9 August. </w:t>
      </w:r>
      <w:hyperlink r:id="rId63">
        <w:r w:rsidRPr="0000278A">
          <w:rPr>
            <w:rFonts w:cs="Calibri Light"/>
          </w:rPr>
          <w:t>https://parlinfo.aph.gov.au/parlInfo/search/display/display.w3p;query=Id%3A%22committees%2Fcommrep%2Feea5d0b8-72e9-4b5e-acf8-52ed46888ced%2F0000%22</w:t>
        </w:r>
      </w:hyperlink>
    </w:p>
    <w:p w14:paraId="1C8A7C66" w14:textId="77777777" w:rsidR="00A07A5A" w:rsidRPr="0000278A" w:rsidRDefault="00A07A5A" w:rsidP="00A07A5A">
      <w:pPr>
        <w:rPr>
          <w:rFonts w:cs="Calibri Light"/>
        </w:rPr>
      </w:pPr>
      <w:r w:rsidRPr="0000278A">
        <w:rPr>
          <w:rFonts w:cs="Calibri Light"/>
        </w:rPr>
        <w:t xml:space="preserve">Australian House of Representatives (2022) ‘Reserve Bank of Australia Annual Report 2021’, </w:t>
      </w:r>
      <w:r w:rsidRPr="0000278A">
        <w:rPr>
          <w:rFonts w:cs="Calibri Light"/>
          <w:i/>
          <w:iCs/>
        </w:rPr>
        <w:t>Standing Committee on Economics</w:t>
      </w:r>
      <w:r w:rsidRPr="0000278A">
        <w:rPr>
          <w:rFonts w:cs="Calibri Light"/>
        </w:rPr>
        <w:t xml:space="preserve">, 16 September. </w:t>
      </w:r>
      <w:hyperlink r:id="rId64" w:history="1">
        <w:r w:rsidRPr="0000278A">
          <w:rPr>
            <w:rStyle w:val="Hyperlink"/>
            <w:rFonts w:cs="Calibri Light"/>
            <w:color w:val="auto"/>
          </w:rPr>
          <w:t>https://parlinfo.aph.gov.au/parlInfo/download/committees/commrep/26038/toc_pdf/Economics%20Committee_2022_09_16_Official.pdf</w:t>
        </w:r>
      </w:hyperlink>
      <w:r w:rsidRPr="0000278A">
        <w:rPr>
          <w:rFonts w:cs="Calibri Light"/>
        </w:rPr>
        <w:t xml:space="preserve"> </w:t>
      </w:r>
    </w:p>
    <w:p w14:paraId="07D30A2F" w14:textId="77777777" w:rsidR="00A07A5A" w:rsidRPr="0000278A" w:rsidRDefault="00A07A5A" w:rsidP="00A07A5A">
      <w:pPr>
        <w:rPr>
          <w:rFonts w:cs="Calibri Light"/>
        </w:rPr>
      </w:pPr>
      <w:r w:rsidRPr="0000278A">
        <w:rPr>
          <w:rFonts w:cs="Calibri Light"/>
        </w:rPr>
        <w:t xml:space="preserve">Australian House of Representatives (2023) ‘Reserve Bank of Australia annual report 2022’, </w:t>
      </w:r>
      <w:r w:rsidRPr="0000278A">
        <w:rPr>
          <w:rFonts w:cs="Calibri Light"/>
          <w:i/>
        </w:rPr>
        <w:t>House of Representatives Standing Committee on Economics</w:t>
      </w:r>
      <w:r w:rsidRPr="0000278A">
        <w:rPr>
          <w:rFonts w:cs="Calibri Light"/>
        </w:rPr>
        <w:t xml:space="preserve">, 17 February. </w:t>
      </w:r>
      <w:hyperlink r:id="rId65">
        <w:r w:rsidRPr="0000278A">
          <w:rPr>
            <w:rFonts w:cs="Calibri Light"/>
          </w:rPr>
          <w:t>https://parlinfo.aph.gov.au/parlInfo/search/display/display.w3p;query=Id%3A%22committees%2Fcommrep%2F26560%2F0000%22</w:t>
        </w:r>
      </w:hyperlink>
    </w:p>
    <w:p w14:paraId="463A583C" w14:textId="77777777" w:rsidR="00A07A5A" w:rsidRPr="0000278A" w:rsidRDefault="00A07A5A" w:rsidP="00A07A5A">
      <w:pPr>
        <w:spacing w:after="240"/>
        <w:textAlignment w:val="baseline"/>
        <w:rPr>
          <w:rFonts w:cs="Calibri Light"/>
        </w:rPr>
      </w:pPr>
      <w:r w:rsidRPr="0000278A">
        <w:rPr>
          <w:rFonts w:cs="Calibri Light"/>
        </w:rPr>
        <w:t>Australian Institute of Company Directors (2019) ‘</w:t>
      </w:r>
      <w:hyperlink r:id="rId66" w:tgtFrame="_blank" w:history="1">
        <w:r w:rsidRPr="0000278A">
          <w:rPr>
            <w:rFonts w:cs="Calibri Light"/>
          </w:rPr>
          <w:t>Board: Board size’</w:t>
        </w:r>
      </w:hyperlink>
      <w:r w:rsidRPr="0000278A">
        <w:rPr>
          <w:rFonts w:cs="Calibri Light"/>
        </w:rPr>
        <w:t xml:space="preserve">, </w:t>
      </w:r>
      <w:r w:rsidRPr="0000278A">
        <w:rPr>
          <w:rFonts w:cs="Calibri Light"/>
          <w:i/>
          <w:iCs/>
        </w:rPr>
        <w:t>Director Tools.</w:t>
      </w:r>
      <w:r w:rsidRPr="0000278A">
        <w:rPr>
          <w:rFonts w:cs="Calibri Light"/>
        </w:rPr>
        <w:t> </w:t>
      </w:r>
      <w:hyperlink r:id="rId67" w:history="1">
        <w:r w:rsidRPr="0000278A">
          <w:rPr>
            <w:rFonts w:cs="Calibri Light"/>
          </w:rPr>
          <w:t>https://www.aicd.com.au/content/dam/aicd/pdf/tools-resources/director-tools/board/board-size-director-tool.pdf</w:t>
        </w:r>
      </w:hyperlink>
    </w:p>
    <w:p w14:paraId="4757C140" w14:textId="77777777" w:rsidR="00A07A5A" w:rsidRPr="0000278A" w:rsidRDefault="00A07A5A" w:rsidP="00A07A5A">
      <w:pPr>
        <w:rPr>
          <w:rFonts w:cs="Calibri Light"/>
        </w:rPr>
      </w:pPr>
      <w:r w:rsidRPr="0000278A">
        <w:rPr>
          <w:rFonts w:cs="Calibri Light"/>
        </w:rPr>
        <w:lastRenderedPageBreak/>
        <w:t xml:space="preserve">Australian Prudential Regulation Authority (APRA) (2021) ‘Macroprudential Policy Framework’, </w:t>
      </w:r>
      <w:r w:rsidRPr="0000278A">
        <w:rPr>
          <w:rFonts w:cs="Calibri Light"/>
          <w:i/>
        </w:rPr>
        <w:t>Information Paper</w:t>
      </w:r>
      <w:r w:rsidRPr="0000278A">
        <w:rPr>
          <w:rFonts w:cs="Calibri Light"/>
        </w:rPr>
        <w:t xml:space="preserve">. </w:t>
      </w:r>
      <w:hyperlink r:id="rId68" w:history="1">
        <w:r w:rsidRPr="0000278A">
          <w:rPr>
            <w:rStyle w:val="Hyperlink"/>
            <w:rFonts w:cs="Calibri Light"/>
            <w:color w:val="auto"/>
          </w:rPr>
          <w:t>https://www.apra.gov.au/sites/default/files/2021-11/Macroprudential%20Policy%20Framework.pdf</w:t>
        </w:r>
      </w:hyperlink>
      <w:r w:rsidRPr="0000278A">
        <w:rPr>
          <w:rFonts w:cs="Calibri Light"/>
        </w:rPr>
        <w:t xml:space="preserve"> </w:t>
      </w:r>
    </w:p>
    <w:p w14:paraId="0C9D8AB9" w14:textId="77777777" w:rsidR="00A07A5A" w:rsidRPr="0000278A" w:rsidRDefault="00A07A5A" w:rsidP="00A07A5A">
      <w:pPr>
        <w:rPr>
          <w:rFonts w:cs="Calibri Light"/>
        </w:rPr>
      </w:pPr>
      <w:r w:rsidRPr="0000278A">
        <w:rPr>
          <w:rFonts w:cs="Calibri Light"/>
        </w:rPr>
        <w:t xml:space="preserve">Australian Public Service Commission (2020, June, December 2021, June, December 2022, June), </w:t>
      </w:r>
      <w:r w:rsidRPr="0000278A">
        <w:rPr>
          <w:rFonts w:cs="Calibri Light"/>
          <w:i/>
        </w:rPr>
        <w:t>Employment data</w:t>
      </w:r>
      <w:r w:rsidRPr="0000278A">
        <w:rPr>
          <w:rFonts w:cs="Calibri Light"/>
        </w:rPr>
        <w:t xml:space="preserve"> [Data set]. </w:t>
      </w:r>
      <w:hyperlink r:id="rId69" w:history="1">
        <w:r w:rsidRPr="0000278A">
          <w:rPr>
            <w:rFonts w:cs="Calibri Light"/>
          </w:rPr>
          <w:t>https://www.apsc.gov.au/employment-data</w:t>
        </w:r>
      </w:hyperlink>
    </w:p>
    <w:p w14:paraId="12DF7FDA" w14:textId="77777777" w:rsidR="00A07A5A" w:rsidRPr="0000278A" w:rsidRDefault="00A07A5A" w:rsidP="00A07A5A">
      <w:pPr>
        <w:tabs>
          <w:tab w:val="left" w:pos="720"/>
        </w:tabs>
        <w:spacing w:line="276" w:lineRule="auto"/>
        <w:rPr>
          <w:rFonts w:cs="Calibri Light"/>
        </w:rPr>
      </w:pPr>
      <w:r w:rsidRPr="0000278A">
        <w:rPr>
          <w:rFonts w:cs="Calibri Light"/>
        </w:rPr>
        <w:t xml:space="preserve">Australian Public Service Commission (2022) ‘Australian Public Service Hierarchy and Classification Review’ </w:t>
      </w:r>
      <w:r w:rsidRPr="0000278A">
        <w:rPr>
          <w:rFonts w:cs="Calibri Light"/>
          <w:i/>
          <w:iCs/>
        </w:rPr>
        <w:t>Commonwealth of Australia</w:t>
      </w:r>
      <w:r w:rsidRPr="0000278A">
        <w:rPr>
          <w:rFonts w:cs="Calibri Light"/>
        </w:rPr>
        <w:t xml:space="preserve">. </w:t>
      </w:r>
      <w:hyperlink r:id="rId70" w:history="1">
        <w:r w:rsidRPr="0000278A">
          <w:rPr>
            <w:rFonts w:cs="Calibri Light"/>
          </w:rPr>
          <w:t>https://www.apsc.gov.au/sites/default/files/2022-08/APS%20Hierarchy%20and%20Classification%20Review%20%E2%80%93%20Accessible.pdf</w:t>
        </w:r>
      </w:hyperlink>
      <w:r w:rsidRPr="0000278A">
        <w:rPr>
          <w:rFonts w:cs="Calibri Light"/>
        </w:rPr>
        <w:t xml:space="preserve"> </w:t>
      </w:r>
    </w:p>
    <w:p w14:paraId="23387ADB" w14:textId="77777777" w:rsidR="00A07A5A" w:rsidRPr="0000278A" w:rsidRDefault="00A07A5A" w:rsidP="00A07A5A">
      <w:pPr>
        <w:tabs>
          <w:tab w:val="left" w:pos="720"/>
        </w:tabs>
        <w:spacing w:line="276" w:lineRule="auto"/>
        <w:rPr>
          <w:rFonts w:cs="Calibri Light"/>
        </w:rPr>
      </w:pPr>
      <w:r w:rsidRPr="0000278A">
        <w:rPr>
          <w:rFonts w:cs="Calibri Light"/>
        </w:rPr>
        <w:t>Australian Public Service Commission (2022) ‘Capability Review Program’</w:t>
      </w:r>
      <w:r w:rsidRPr="0000278A">
        <w:rPr>
          <w:rFonts w:cs="Calibri Light"/>
          <w:i/>
        </w:rPr>
        <w:t xml:space="preserve"> </w:t>
      </w:r>
      <w:r w:rsidRPr="0000278A">
        <w:rPr>
          <w:rFonts w:cs="Calibri Light"/>
        </w:rPr>
        <w:t xml:space="preserve">viewed November 25 2022. </w:t>
      </w:r>
      <w:hyperlink r:id="rId71" w:history="1">
        <w:r w:rsidRPr="0000278A">
          <w:rPr>
            <w:rStyle w:val="Hyperlink"/>
            <w:rFonts w:cs="Calibri Light"/>
            <w:color w:val="auto"/>
          </w:rPr>
          <w:t>https://www.apsc.gov.au/initiatives-and-programs/workforce-information/research-analysis-and-publications/capability-review-program</w:t>
        </w:r>
      </w:hyperlink>
    </w:p>
    <w:p w14:paraId="48CDE0ED" w14:textId="77777777" w:rsidR="00A07A5A" w:rsidRPr="0000278A" w:rsidRDefault="00A07A5A" w:rsidP="00A07A5A">
      <w:pPr>
        <w:rPr>
          <w:rFonts w:cs="Calibri Light"/>
        </w:rPr>
      </w:pPr>
      <w:hyperlink r:id="rId72" w:history="1">
        <w:r w:rsidRPr="0000278A">
          <w:rPr>
            <w:rFonts w:cs="Calibri Light"/>
            <w:i/>
          </w:rPr>
          <w:t>Australian Securities and Investments Commission Act 2001</w:t>
        </w:r>
      </w:hyperlink>
      <w:r w:rsidRPr="0000278A">
        <w:rPr>
          <w:rFonts w:cs="Calibri Light"/>
          <w:i/>
        </w:rPr>
        <w:t>.</w:t>
      </w:r>
      <w:r w:rsidRPr="0000278A">
        <w:rPr>
          <w:rFonts w:cs="Calibri Light"/>
        </w:rPr>
        <w:t xml:space="preserve"> </w:t>
      </w:r>
      <w:hyperlink r:id="rId73" w:history="1">
        <w:r w:rsidRPr="0000278A">
          <w:rPr>
            <w:rStyle w:val="Hyperlink"/>
            <w:rFonts w:cs="Calibri Light"/>
            <w:color w:val="auto"/>
          </w:rPr>
          <w:t>https://www.legislation.gov.au/Details/C2022C00254</w:t>
        </w:r>
      </w:hyperlink>
      <w:r w:rsidRPr="0000278A">
        <w:rPr>
          <w:rFonts w:cs="Calibri Light"/>
        </w:rPr>
        <w:t xml:space="preserve">  </w:t>
      </w:r>
    </w:p>
    <w:p w14:paraId="1D3AB4DF" w14:textId="77777777" w:rsidR="00A07A5A" w:rsidRPr="0000278A" w:rsidRDefault="00A07A5A" w:rsidP="00A07A5A">
      <w:pPr>
        <w:spacing w:after="240"/>
        <w:textAlignment w:val="baseline"/>
        <w:rPr>
          <w:rFonts w:cs="Calibri Light"/>
        </w:rPr>
      </w:pPr>
      <w:r w:rsidRPr="0000278A">
        <w:rPr>
          <w:rFonts w:cs="Calibri Light"/>
        </w:rPr>
        <w:t>Australian Securities Exchange Corporate Governance Council (2019) ‘Corporate Governance Principles and Recommendations</w:t>
      </w:r>
      <w:r w:rsidRPr="0000278A">
        <w:rPr>
          <w:rFonts w:cs="Calibri Light"/>
          <w:i/>
          <w:iCs/>
        </w:rPr>
        <w:t>’, 4</w:t>
      </w:r>
      <w:r w:rsidRPr="0000278A">
        <w:rPr>
          <w:rFonts w:cs="Calibri Light"/>
          <w:i/>
          <w:iCs/>
          <w:vertAlign w:val="superscript"/>
        </w:rPr>
        <w:t>th</w:t>
      </w:r>
      <w:r w:rsidRPr="0000278A">
        <w:rPr>
          <w:rFonts w:cs="Calibri Light"/>
          <w:i/>
          <w:iCs/>
        </w:rPr>
        <w:t xml:space="preserve"> Edition.</w:t>
      </w:r>
      <w:r w:rsidRPr="0000278A">
        <w:rPr>
          <w:rFonts w:cs="Calibri Light"/>
        </w:rPr>
        <w:t xml:space="preserve"> </w:t>
      </w:r>
      <w:hyperlink r:id="rId74" w:history="1">
        <w:r w:rsidRPr="0000278A">
          <w:rPr>
            <w:rFonts w:cs="Calibri Light"/>
          </w:rPr>
          <w:t>https://www.asx.com.au/documents/asx-compliance/cgc-principles-and-recommendations-fourth-edn.pdf  </w:t>
        </w:r>
      </w:hyperlink>
    </w:p>
    <w:p w14:paraId="7039A181" w14:textId="77777777" w:rsidR="00A07A5A" w:rsidRPr="0000278A" w:rsidRDefault="00A07A5A" w:rsidP="00A07A5A">
      <w:pPr>
        <w:rPr>
          <w:rFonts w:cs="Calibri Light"/>
        </w:rPr>
      </w:pPr>
      <w:r w:rsidRPr="0000278A">
        <w:rPr>
          <w:rFonts w:cs="Calibri Light"/>
        </w:rPr>
        <w:t xml:space="preserve">Ballantyne A, Cusbert A, Evans R, Guttmann R, Hambur J, Hamilton A, Kendall E, McCririck R, Nodari G and Rees D (2019) ‘MARTIN has its Place: A Macroeconometric Model of the Australian Economy’, </w:t>
      </w:r>
      <w:r w:rsidRPr="0000278A">
        <w:rPr>
          <w:rFonts w:cs="Calibri Light"/>
          <w:i/>
        </w:rPr>
        <w:t>RBA Research Discussion Paper</w:t>
      </w:r>
      <w:r w:rsidRPr="0000278A">
        <w:rPr>
          <w:rFonts w:cs="Calibri Light"/>
        </w:rPr>
        <w:t xml:space="preserve">, No. 2019-07. </w:t>
      </w:r>
      <w:hyperlink r:id="rId75">
        <w:r w:rsidRPr="0000278A">
          <w:rPr>
            <w:rFonts w:cs="Calibri Light"/>
          </w:rPr>
          <w:t>https://www.rba.gov.au/publications/rdp/2019/2019-07.html</w:t>
        </w:r>
      </w:hyperlink>
    </w:p>
    <w:p w14:paraId="6DF5D18A" w14:textId="77777777" w:rsidR="00A07A5A" w:rsidRPr="0000278A" w:rsidRDefault="00A07A5A" w:rsidP="00A07A5A">
      <w:pPr>
        <w:rPr>
          <w:rFonts w:cs="Calibri Light"/>
        </w:rPr>
      </w:pPr>
      <w:r w:rsidRPr="0000278A">
        <w:rPr>
          <w:rFonts w:cs="Calibri Light"/>
        </w:rPr>
        <w:t xml:space="preserve">Balls E, Howat J, and Stansbury A (2016) ‘Central Bank Independence Revisited: After the financial crisis, what should a model central bank look </w:t>
      </w:r>
      <w:bookmarkStart w:id="82" w:name="_Int_SqJsKa8d"/>
      <w:r w:rsidRPr="0000278A">
        <w:rPr>
          <w:rFonts w:cs="Calibri Light"/>
        </w:rPr>
        <w:t>like?,</w:t>
      </w:r>
      <w:bookmarkEnd w:id="82"/>
      <w:r w:rsidRPr="0000278A">
        <w:rPr>
          <w:rFonts w:cs="Calibri Light"/>
        </w:rPr>
        <w:t xml:space="preserve">’ </w:t>
      </w:r>
      <w:r w:rsidRPr="0000278A">
        <w:rPr>
          <w:rFonts w:cs="Calibri Light"/>
          <w:i/>
        </w:rPr>
        <w:t>M-RCBG Associate Working Paper</w:t>
      </w:r>
      <w:r w:rsidRPr="0000278A">
        <w:rPr>
          <w:rFonts w:cs="Calibri Light"/>
        </w:rPr>
        <w:t xml:space="preserve">, vol. 67. </w:t>
      </w:r>
      <w:hyperlink r:id="rId76">
        <w:r w:rsidRPr="0000278A">
          <w:rPr>
            <w:rStyle w:val="Hyperlink"/>
            <w:rFonts w:cs="Calibri Light"/>
            <w:color w:val="auto"/>
          </w:rPr>
          <w:t>https://www.hks.harvard.edu/sites/default/files/centers/mrcbg/files/67_central.bank.v.2.pdf</w:t>
        </w:r>
      </w:hyperlink>
      <w:r w:rsidRPr="0000278A">
        <w:rPr>
          <w:rFonts w:cs="Calibri Light"/>
        </w:rPr>
        <w:t xml:space="preserve"> </w:t>
      </w:r>
    </w:p>
    <w:p w14:paraId="0A7488C2" w14:textId="77777777" w:rsidR="00A07A5A" w:rsidRPr="0000278A" w:rsidRDefault="00A07A5A" w:rsidP="00A07A5A">
      <w:pPr>
        <w:rPr>
          <w:rFonts w:cs="Calibri Light"/>
        </w:rPr>
      </w:pPr>
      <w:r w:rsidRPr="0000278A">
        <w:rPr>
          <w:rFonts w:cs="Calibri Light"/>
        </w:rPr>
        <w:t xml:space="preserve">Bank for International Settlements (BIS) (2014), ‘84th Annual Report’.  </w:t>
      </w:r>
      <w:hyperlink r:id="rId77" w:history="1">
        <w:r w:rsidRPr="0000278A">
          <w:rPr>
            <w:rStyle w:val="Hyperlink"/>
            <w:rFonts w:cs="Calibri Light"/>
            <w:color w:val="auto"/>
          </w:rPr>
          <w:t>https://www.bis.org/publ/arpdf/ar2014_ec.pdf</w:t>
        </w:r>
      </w:hyperlink>
      <w:r w:rsidRPr="0000278A">
        <w:rPr>
          <w:rFonts w:cs="Calibri Light"/>
        </w:rPr>
        <w:t xml:space="preserve"> </w:t>
      </w:r>
    </w:p>
    <w:p w14:paraId="33AF2410" w14:textId="77777777" w:rsidR="00A07A5A" w:rsidRPr="0000278A" w:rsidRDefault="00A07A5A" w:rsidP="00A07A5A">
      <w:pPr>
        <w:rPr>
          <w:rFonts w:cs="Calibri Light"/>
        </w:rPr>
      </w:pPr>
      <w:r w:rsidRPr="0000278A">
        <w:rPr>
          <w:rFonts w:cs="Calibri Light"/>
        </w:rPr>
        <w:t>Bank of Canada (2021) ‘</w:t>
      </w:r>
      <w:r w:rsidRPr="0000278A">
        <w:rPr>
          <w:rFonts w:cs="Calibri Light"/>
          <w:i/>
        </w:rPr>
        <w:t>Monetary Policy Framework Renewal’</w:t>
      </w:r>
      <w:r w:rsidRPr="0000278A">
        <w:rPr>
          <w:rFonts w:cs="Calibri Light"/>
        </w:rPr>
        <w:t xml:space="preserve">. </w:t>
      </w:r>
      <w:hyperlink r:id="rId78" w:history="1">
        <w:r w:rsidRPr="0000278A">
          <w:rPr>
            <w:rStyle w:val="Hyperlink"/>
            <w:rFonts w:cs="Calibri Light"/>
            <w:color w:val="auto"/>
          </w:rPr>
          <w:t>https://www.bankofcanada.ca/wp-content/uploads/2021/12/Monetary-Policy-Framework-Renewal-December-2021.pdf</w:t>
        </w:r>
      </w:hyperlink>
      <w:r w:rsidRPr="0000278A">
        <w:rPr>
          <w:rFonts w:cs="Calibri Light"/>
        </w:rPr>
        <w:t xml:space="preserve"> </w:t>
      </w:r>
    </w:p>
    <w:p w14:paraId="61074C62" w14:textId="77777777" w:rsidR="00A07A5A" w:rsidRPr="0000278A" w:rsidRDefault="00A07A5A" w:rsidP="00A07A5A">
      <w:pPr>
        <w:tabs>
          <w:tab w:val="left" w:pos="720"/>
        </w:tabs>
        <w:spacing w:line="276" w:lineRule="auto"/>
        <w:rPr>
          <w:rFonts w:cs="Calibri Light"/>
        </w:rPr>
      </w:pPr>
      <w:r w:rsidRPr="0000278A">
        <w:rPr>
          <w:rFonts w:cs="Calibri Light"/>
        </w:rPr>
        <w:t>Bank of England (2021) ‘</w:t>
      </w:r>
      <w:r w:rsidRPr="0000278A">
        <w:rPr>
          <w:rFonts w:cs="Calibri Light"/>
          <w:i/>
        </w:rPr>
        <w:t>Court Review of Ethnic Diversity and Inclusion’.</w:t>
      </w:r>
      <w:r w:rsidRPr="0000278A">
        <w:rPr>
          <w:rFonts w:cs="Calibri Light"/>
        </w:rPr>
        <w:t xml:space="preserve"> </w:t>
      </w:r>
      <w:hyperlink r:id="rId79">
        <w:r w:rsidRPr="0000278A">
          <w:rPr>
            <w:rFonts w:cs="Calibri Light"/>
          </w:rPr>
          <w:t>https://www.bankofengland.co.uk/report/2021/court-review-of-ethnic-diversity-and-inclusion </w:t>
        </w:r>
      </w:hyperlink>
    </w:p>
    <w:p w14:paraId="700A2BE2" w14:textId="77777777" w:rsidR="00A07A5A" w:rsidRPr="0000278A" w:rsidRDefault="00A07A5A" w:rsidP="00A07A5A">
      <w:pPr>
        <w:tabs>
          <w:tab w:val="left" w:pos="720"/>
        </w:tabs>
        <w:spacing w:line="276" w:lineRule="auto"/>
        <w:rPr>
          <w:rFonts w:cs="Calibri Light"/>
        </w:rPr>
      </w:pPr>
      <w:r w:rsidRPr="0000278A">
        <w:rPr>
          <w:rFonts w:cs="Calibri Light"/>
        </w:rPr>
        <w:t xml:space="preserve">Bank of England (2023, January 20) </w:t>
      </w:r>
      <w:r w:rsidRPr="0000278A">
        <w:rPr>
          <w:rFonts w:cs="Calibri Light"/>
          <w:i/>
        </w:rPr>
        <w:t>Bank of England</w:t>
      </w:r>
      <w:r w:rsidRPr="0000278A">
        <w:rPr>
          <w:rFonts w:cs="Calibri Light"/>
        </w:rPr>
        <w:t xml:space="preserve"> [Organogram]. </w:t>
      </w:r>
      <w:hyperlink r:id="rId80" w:history="1">
        <w:r w:rsidRPr="0000278A">
          <w:rPr>
            <w:rFonts w:cs="Calibri Light"/>
          </w:rPr>
          <w:t>https://www.bankofengland.co.uk/-/media/boe/files/about/people/orgchart.pdf</w:t>
        </w:r>
      </w:hyperlink>
      <w:r w:rsidRPr="0000278A">
        <w:rPr>
          <w:rFonts w:cs="Calibri Light"/>
        </w:rPr>
        <w:t xml:space="preserve"> </w:t>
      </w:r>
    </w:p>
    <w:p w14:paraId="5142669A" w14:textId="77777777" w:rsidR="00A07A5A" w:rsidRPr="0000278A" w:rsidRDefault="00A07A5A" w:rsidP="00A07A5A">
      <w:pPr>
        <w:rPr>
          <w:rFonts w:cs="Calibri Light"/>
        </w:rPr>
      </w:pPr>
      <w:r w:rsidRPr="0000278A">
        <w:rPr>
          <w:rFonts w:cs="Calibri Light"/>
        </w:rPr>
        <w:t xml:space="preserve">Bank of Korea (2023) ‘Inflation targeting’ </w:t>
      </w:r>
      <w:r w:rsidRPr="0000278A">
        <w:rPr>
          <w:rFonts w:cs="Calibri Light"/>
          <w:i/>
          <w:iCs/>
        </w:rPr>
        <w:t>Bank of Korea</w:t>
      </w:r>
      <w:r w:rsidRPr="0000278A">
        <w:rPr>
          <w:rFonts w:cs="Calibri Light"/>
        </w:rPr>
        <w:t xml:space="preserve">. </w:t>
      </w:r>
      <w:hyperlink r:id="rId81" w:history="1">
        <w:r w:rsidRPr="0000278A">
          <w:rPr>
            <w:rStyle w:val="Hyperlink"/>
            <w:rFonts w:cs="Calibri Light"/>
            <w:color w:val="auto"/>
          </w:rPr>
          <w:t>https://www.bok.or.kr/eng/main/contents.do?menuNo=400015</w:t>
        </w:r>
      </w:hyperlink>
      <w:r w:rsidRPr="0000278A">
        <w:rPr>
          <w:rFonts w:cs="Calibri Light"/>
        </w:rPr>
        <w:t xml:space="preserve"> </w:t>
      </w:r>
    </w:p>
    <w:p w14:paraId="7B66F231" w14:textId="77777777" w:rsidR="00A07A5A" w:rsidRPr="0000278A" w:rsidRDefault="00A07A5A" w:rsidP="00A07A5A">
      <w:pPr>
        <w:rPr>
          <w:rFonts w:cs="Calibri Light"/>
        </w:rPr>
      </w:pPr>
      <w:r w:rsidRPr="0000278A">
        <w:rPr>
          <w:rFonts w:cs="Calibri Light"/>
        </w:rPr>
        <w:t>Baumann, Kamps and Kremer (2022) ‘The ECB’s new inflation target one year on’</w:t>
      </w:r>
      <w:r w:rsidRPr="0000278A">
        <w:rPr>
          <w:rFonts w:cs="Calibri Light"/>
          <w:i/>
          <w:iCs/>
        </w:rPr>
        <w:t xml:space="preserve"> The ECB blog</w:t>
      </w:r>
      <w:r w:rsidRPr="0000278A">
        <w:rPr>
          <w:rFonts w:cs="Calibri Light"/>
        </w:rPr>
        <w:t xml:space="preserve"> </w:t>
      </w:r>
      <w:hyperlink r:id="rId82" w:history="1">
        <w:r w:rsidRPr="0000278A">
          <w:rPr>
            <w:rStyle w:val="Hyperlink"/>
            <w:rFonts w:cs="Calibri Light"/>
            <w:color w:val="auto"/>
          </w:rPr>
          <w:t>https://www.ecb.europa.eu/press/blog/date/2022/html/ecb.blog220810~78357be60b.en.html</w:t>
        </w:r>
      </w:hyperlink>
      <w:r w:rsidRPr="0000278A">
        <w:rPr>
          <w:rFonts w:cs="Calibri Light"/>
        </w:rPr>
        <w:t xml:space="preserve">  </w:t>
      </w:r>
    </w:p>
    <w:p w14:paraId="3766303F" w14:textId="77777777" w:rsidR="00A07A5A" w:rsidRPr="0000278A" w:rsidRDefault="00A07A5A" w:rsidP="00A07A5A">
      <w:pPr>
        <w:rPr>
          <w:rStyle w:val="Hyperlink"/>
          <w:rFonts w:cs="Calibri Light"/>
          <w:color w:val="auto"/>
        </w:rPr>
      </w:pPr>
      <w:r w:rsidRPr="0000278A">
        <w:rPr>
          <w:rFonts w:cs="Calibri Light"/>
        </w:rPr>
        <w:t xml:space="preserve">Bean C (2000) ‘The Australian Economic “Miracle”: A View from the North’, in D Gruen and S Shrestha (eds), </w:t>
      </w:r>
      <w:r w:rsidRPr="0000278A">
        <w:rPr>
          <w:rFonts w:cs="Calibri Light"/>
          <w:i/>
        </w:rPr>
        <w:t>The Australian Economy in the 1990s</w:t>
      </w:r>
      <w:r w:rsidRPr="0000278A">
        <w:rPr>
          <w:rFonts w:cs="Calibri Light"/>
        </w:rPr>
        <w:t>, Proceedings of a Conference, Reserve Bank of Australia, Sydney, pp 74–114. </w:t>
      </w:r>
      <w:hyperlink r:id="rId83">
        <w:r w:rsidRPr="0000278A">
          <w:rPr>
            <w:rStyle w:val="Hyperlink"/>
            <w:rFonts w:cs="Calibri Light"/>
            <w:color w:val="auto"/>
          </w:rPr>
          <w:t>https://www.rba.gov.au/publications</w:t>
        </w:r>
        <w:bookmarkStart w:id="83" w:name="_Hlt129791641"/>
        <w:r w:rsidRPr="0000278A">
          <w:rPr>
            <w:rStyle w:val="Hyperlink"/>
            <w:rFonts w:cs="Calibri Light"/>
            <w:color w:val="auto"/>
          </w:rPr>
          <w:t>/</w:t>
        </w:r>
        <w:bookmarkEnd w:id="83"/>
        <w:r w:rsidRPr="0000278A">
          <w:rPr>
            <w:rStyle w:val="Hyperlink"/>
            <w:rFonts w:cs="Calibri Light"/>
            <w:color w:val="auto"/>
          </w:rPr>
          <w:t>confs/2000/pdf/bean.pdf</w:t>
        </w:r>
      </w:hyperlink>
    </w:p>
    <w:p w14:paraId="6655B0D5" w14:textId="77777777" w:rsidR="00A07A5A" w:rsidRPr="0000278A" w:rsidRDefault="00A07A5A" w:rsidP="00A07A5A">
      <w:pPr>
        <w:rPr>
          <w:rFonts w:cs="Calibri Light"/>
        </w:rPr>
      </w:pPr>
      <w:r w:rsidRPr="0000278A">
        <w:rPr>
          <w:rFonts w:cs="Calibri Light"/>
        </w:rPr>
        <w:t xml:space="preserve">Beckworth D (2019) ‘Facts, Fears, and Functionality of NGDP Level Targeting: A Guide to a Popular Framework for Monetary Policy’, </w:t>
      </w:r>
      <w:r w:rsidRPr="0000278A">
        <w:rPr>
          <w:rFonts w:cs="Calibri Light"/>
          <w:i/>
        </w:rPr>
        <w:t>Mercatus Center Special Study</w:t>
      </w:r>
      <w:r w:rsidRPr="0000278A">
        <w:rPr>
          <w:rFonts w:cs="Calibri Light"/>
        </w:rPr>
        <w:t xml:space="preserve">. </w:t>
      </w:r>
      <w:hyperlink r:id="rId84" w:history="1">
        <w:r w:rsidRPr="0000278A">
          <w:rPr>
            <w:rStyle w:val="Hyperlink"/>
            <w:rFonts w:cs="Calibri Light"/>
            <w:color w:val="auto"/>
          </w:rPr>
          <w:t>https://www.mercatus.org/media/70431/download</w:t>
        </w:r>
      </w:hyperlink>
      <w:r w:rsidRPr="0000278A">
        <w:rPr>
          <w:rFonts w:cs="Calibri Light"/>
        </w:rPr>
        <w:t xml:space="preserve"> </w:t>
      </w:r>
    </w:p>
    <w:p w14:paraId="006DD451" w14:textId="77777777" w:rsidR="00A07A5A" w:rsidRPr="0000278A" w:rsidRDefault="00A07A5A" w:rsidP="00A07A5A">
      <w:pPr>
        <w:rPr>
          <w:rFonts w:cs="Calibri Light"/>
        </w:rPr>
      </w:pPr>
      <w:r w:rsidRPr="0000278A">
        <w:rPr>
          <w:rFonts w:cs="Calibri Light"/>
        </w:rPr>
        <w:t xml:space="preserve">Bell S (2004) ‘Inflation-plus targeting at the Reserve Bank of Australia’, The Australian Economic Review, 37(4):391-401. </w:t>
      </w:r>
      <w:hyperlink r:id="rId85" w:history="1">
        <w:r w:rsidRPr="0000278A">
          <w:rPr>
            <w:rStyle w:val="Hyperlink"/>
            <w:rFonts w:cs="Calibri Light"/>
            <w:color w:val="auto"/>
          </w:rPr>
          <w:t>https://onlinelibrary.wiley.com/doi/abs/10.1111/j.1467-8462.2004.00340.x</w:t>
        </w:r>
      </w:hyperlink>
    </w:p>
    <w:p w14:paraId="1076E159" w14:textId="77777777" w:rsidR="00A07A5A" w:rsidRPr="0000278A" w:rsidRDefault="00A07A5A" w:rsidP="00A07A5A">
      <w:pPr>
        <w:rPr>
          <w:rFonts w:cs="Calibri Light"/>
        </w:rPr>
      </w:pPr>
      <w:r w:rsidRPr="0000278A">
        <w:rPr>
          <w:rFonts w:cs="Calibri Light"/>
        </w:rPr>
        <w:lastRenderedPageBreak/>
        <w:t xml:space="preserve">Bell S and Hindmoor A (2019) ‘Avoiding the Global Financial Crisis in Australia: A policy success?’ in J Luetjens, M Mintrom, and P ’t Hart (eds), </w:t>
      </w:r>
      <w:r w:rsidRPr="0000278A">
        <w:rPr>
          <w:rFonts w:cs="Calibri Light"/>
          <w:i/>
        </w:rPr>
        <w:t xml:space="preserve">Successful Public Policy: Lessons from Australia and New Zealand, </w:t>
      </w:r>
      <w:r w:rsidRPr="0000278A">
        <w:rPr>
          <w:rFonts w:cs="Calibri Light"/>
        </w:rPr>
        <w:t>pp 279–302, ANU Press. </w:t>
      </w:r>
      <w:hyperlink r:id="rId86" w:history="1">
        <w:r w:rsidRPr="0000278A">
          <w:rPr>
            <w:rStyle w:val="Hyperlink"/>
            <w:rFonts w:cs="Calibri Light"/>
            <w:color w:val="auto"/>
          </w:rPr>
          <w:t>https://press-files.anu.edu.au/downloads/press/n5314/pdf/ch12.pdf</w:t>
        </w:r>
      </w:hyperlink>
    </w:p>
    <w:p w14:paraId="3BAFD678" w14:textId="77777777" w:rsidR="00A07A5A" w:rsidRPr="0000278A" w:rsidRDefault="00A07A5A" w:rsidP="00A07A5A">
      <w:pPr>
        <w:tabs>
          <w:tab w:val="left" w:pos="720"/>
        </w:tabs>
        <w:spacing w:line="276" w:lineRule="auto"/>
        <w:rPr>
          <w:rFonts w:cs="Calibri Light"/>
        </w:rPr>
      </w:pPr>
      <w:r w:rsidRPr="0000278A">
        <w:rPr>
          <w:rFonts w:cs="Calibri Light"/>
        </w:rPr>
        <w:t xml:space="preserve">Bernanke B (2010) ‘Central Bank Independence, Transparency, and </w:t>
      </w:r>
      <w:r w:rsidRPr="0000278A">
        <w:rPr>
          <w:rFonts w:cs="Calibri Light"/>
          <w:iCs/>
        </w:rPr>
        <w:t>Accountability</w:t>
      </w:r>
      <w:r w:rsidRPr="0000278A">
        <w:rPr>
          <w:rFonts w:cs="Calibri Light"/>
          <w:i/>
        </w:rPr>
        <w:t>’</w:t>
      </w:r>
      <w:r w:rsidRPr="0000278A">
        <w:rPr>
          <w:rFonts w:cs="Calibri Light"/>
        </w:rPr>
        <w:t xml:space="preserve"> </w:t>
      </w:r>
      <w:r w:rsidRPr="0000278A">
        <w:rPr>
          <w:rFonts w:cs="Calibri Light"/>
          <w:i/>
          <w:iCs/>
        </w:rPr>
        <w:t>speech at</w:t>
      </w:r>
      <w:r w:rsidRPr="0000278A">
        <w:rPr>
          <w:rFonts w:cs="Calibri Light"/>
          <w:i/>
        </w:rPr>
        <w:t xml:space="preserve"> The Institute for Monetary and Economic Studies International Conference, Bank of Japan</w:t>
      </w:r>
      <w:r w:rsidRPr="0000278A">
        <w:rPr>
          <w:rFonts w:cs="Calibri Light"/>
        </w:rPr>
        <w:t xml:space="preserve">, Tokyo, Japan. </w:t>
      </w:r>
      <w:hyperlink r:id="rId87" w:history="1">
        <w:r w:rsidRPr="0000278A">
          <w:rPr>
            <w:rFonts w:cs="Calibri Light"/>
          </w:rPr>
          <w:t>https://www.federalreserve.gov/newsevents/speech/bernanke20100525a.htm</w:t>
        </w:r>
      </w:hyperlink>
      <w:r w:rsidRPr="0000278A">
        <w:rPr>
          <w:rFonts w:cs="Calibri Light"/>
        </w:rPr>
        <w:t xml:space="preserve"> </w:t>
      </w:r>
    </w:p>
    <w:p w14:paraId="63C39557" w14:textId="77777777" w:rsidR="00A07A5A" w:rsidRPr="0000278A" w:rsidRDefault="00A07A5A" w:rsidP="00A07A5A">
      <w:pPr>
        <w:textAlignment w:val="baseline"/>
        <w:rPr>
          <w:rFonts w:cs="Calibri Light"/>
        </w:rPr>
      </w:pPr>
      <w:r w:rsidRPr="0000278A">
        <w:rPr>
          <w:rFonts w:cs="Calibri Light"/>
        </w:rPr>
        <w:t xml:space="preserve">Bishop J and Greenland E (2021) ‘Is the Phillips Curve Still a Curve? Evidence from the Regions’, </w:t>
      </w:r>
      <w:r w:rsidRPr="0000278A">
        <w:rPr>
          <w:rFonts w:cs="Calibri Light"/>
          <w:i/>
        </w:rPr>
        <w:t>RBA</w:t>
      </w:r>
      <w:r w:rsidRPr="0000278A">
        <w:rPr>
          <w:rFonts w:cs="Calibri Light"/>
        </w:rPr>
        <w:t xml:space="preserve"> </w:t>
      </w:r>
      <w:r w:rsidRPr="0000278A">
        <w:rPr>
          <w:rFonts w:cs="Calibri Light"/>
          <w:i/>
        </w:rPr>
        <w:t>Research Discussion Paper</w:t>
      </w:r>
      <w:r w:rsidRPr="0000278A">
        <w:rPr>
          <w:rFonts w:cs="Calibri Light"/>
        </w:rPr>
        <w:t>, No 2021-09. </w:t>
      </w:r>
      <w:hyperlink r:id="rId88">
        <w:r w:rsidRPr="0000278A">
          <w:rPr>
            <w:rStyle w:val="Hyperlink"/>
            <w:rFonts w:cs="Calibri Light"/>
            <w:color w:val="auto"/>
          </w:rPr>
          <w:t>https://www.rba.gov.au/publications/rdp/2021/2021-09.html</w:t>
        </w:r>
      </w:hyperlink>
    </w:p>
    <w:p w14:paraId="614527BC" w14:textId="77777777" w:rsidR="00A07A5A" w:rsidRPr="0000278A" w:rsidRDefault="00A07A5A" w:rsidP="00A07A5A">
      <w:pPr>
        <w:rPr>
          <w:rFonts w:cs="Calibri Light"/>
        </w:rPr>
      </w:pPr>
      <w:r w:rsidRPr="0000278A">
        <w:rPr>
          <w:rFonts w:cs="Calibri Light"/>
        </w:rPr>
        <w:t xml:space="preserve">Black S, Jackman B and Schwartz C (2021) ‘An Assessment of the Term Funding Facility’, </w:t>
      </w:r>
      <w:r w:rsidRPr="0000278A">
        <w:rPr>
          <w:rFonts w:cs="Calibri Light"/>
          <w:i/>
        </w:rPr>
        <w:t>RBA</w:t>
      </w:r>
      <w:r w:rsidRPr="0000278A">
        <w:rPr>
          <w:rFonts w:cs="Calibri Light"/>
        </w:rPr>
        <w:t xml:space="preserve"> </w:t>
      </w:r>
      <w:r w:rsidRPr="0000278A">
        <w:rPr>
          <w:rFonts w:cs="Calibri Light"/>
          <w:i/>
          <w:iCs/>
        </w:rPr>
        <w:t xml:space="preserve">Bulletin, </w:t>
      </w:r>
      <w:r w:rsidRPr="0000278A">
        <w:rPr>
          <w:rFonts w:cs="Calibri Light"/>
        </w:rPr>
        <w:t xml:space="preserve">September quarter. </w:t>
      </w:r>
      <w:hyperlink r:id="rId89" w:history="1">
        <w:r w:rsidRPr="0000278A">
          <w:rPr>
            <w:rStyle w:val="Hyperlink"/>
            <w:rFonts w:cs="Calibri Light"/>
            <w:color w:val="auto"/>
          </w:rPr>
          <w:t>https://www.rba.gov.au/publications/bulletin/2021/sep/an-assessment-of-the-term-funding-facility.html</w:t>
        </w:r>
      </w:hyperlink>
      <w:r w:rsidRPr="0000278A">
        <w:rPr>
          <w:rFonts w:cs="Calibri Light"/>
        </w:rPr>
        <w:t xml:space="preserve"> </w:t>
      </w:r>
    </w:p>
    <w:p w14:paraId="35123E2D" w14:textId="77777777" w:rsidR="00A07A5A" w:rsidRPr="0000278A" w:rsidRDefault="00A07A5A" w:rsidP="00A07A5A">
      <w:pPr>
        <w:rPr>
          <w:rStyle w:val="Hyperlink"/>
          <w:rFonts w:cs="Calibri Light"/>
          <w:color w:val="auto"/>
        </w:rPr>
      </w:pPr>
      <w:r w:rsidRPr="0000278A">
        <w:rPr>
          <w:rFonts w:cs="Calibri Light"/>
        </w:rPr>
        <w:t xml:space="preserve">Blanchard O (2023) ‘Secular Stagnation is not Over’, </w:t>
      </w:r>
      <w:r w:rsidRPr="0000278A">
        <w:rPr>
          <w:rFonts w:cs="Calibri Light"/>
          <w:i/>
        </w:rPr>
        <w:t>Real-time Economics Blog</w:t>
      </w:r>
      <w:r w:rsidRPr="0000278A">
        <w:rPr>
          <w:rFonts w:cs="Calibri Light"/>
        </w:rPr>
        <w:t xml:space="preserve">, Peterson Institute for International Economics, viewed 2 February 2023. </w:t>
      </w:r>
      <w:hyperlink r:id="rId90" w:history="1">
        <w:r w:rsidRPr="0000278A">
          <w:rPr>
            <w:rStyle w:val="Hyperlink"/>
            <w:rFonts w:cs="Calibri Light"/>
            <w:color w:val="auto"/>
          </w:rPr>
          <w:t>https://www.piie.com/blogs/realtime-economics/secular-stagnation-not-over</w:t>
        </w:r>
      </w:hyperlink>
      <w:r w:rsidRPr="0000278A">
        <w:rPr>
          <w:rFonts w:cs="Calibri Light"/>
        </w:rPr>
        <w:t xml:space="preserve"> </w:t>
      </w:r>
    </w:p>
    <w:p w14:paraId="17E806E3" w14:textId="77777777" w:rsidR="00A07A5A" w:rsidRPr="0000278A" w:rsidRDefault="00A07A5A" w:rsidP="00A07A5A">
      <w:pPr>
        <w:spacing w:after="240"/>
        <w:textAlignment w:val="baseline"/>
        <w:rPr>
          <w:rFonts w:cs="Calibri Light"/>
        </w:rPr>
      </w:pPr>
      <w:r w:rsidRPr="0000278A">
        <w:rPr>
          <w:rFonts w:cs="Calibri Light"/>
        </w:rPr>
        <w:t xml:space="preserve">Blanchflower D and Levin A (2023) ‘Diverse Views in Monetary Policy’, March 2023. </w:t>
      </w:r>
      <w:hyperlink r:id="rId91" w:history="1">
        <w:r w:rsidRPr="0000278A">
          <w:rPr>
            <w:rStyle w:val="Hyperlink"/>
            <w:rFonts w:cs="Calibri Light"/>
            <w:color w:val="auto"/>
          </w:rPr>
          <w:t>https://www.imf.org/en/Publications/fandd/issues/2023/03/diverse-views-in-monetary-policy-blanchflower-levin</w:t>
        </w:r>
      </w:hyperlink>
      <w:r w:rsidRPr="0000278A">
        <w:rPr>
          <w:rFonts w:cs="Calibri Light"/>
        </w:rPr>
        <w:t xml:space="preserve">  </w:t>
      </w:r>
    </w:p>
    <w:p w14:paraId="3B5CF155" w14:textId="77777777" w:rsidR="00A07A5A" w:rsidRPr="0000278A" w:rsidRDefault="00A07A5A" w:rsidP="00A07A5A">
      <w:pPr>
        <w:rPr>
          <w:rFonts w:cs="Calibri Light"/>
        </w:rPr>
      </w:pPr>
      <w:r w:rsidRPr="0000278A">
        <w:rPr>
          <w:rFonts w:cs="Calibri Light"/>
        </w:rPr>
        <w:t>Blinder A (2004) ‘The Quiet Revolution: Central Banking Goes Modern’, Yale University Press. </w:t>
      </w:r>
    </w:p>
    <w:p w14:paraId="77A30C90" w14:textId="77777777" w:rsidR="00A07A5A" w:rsidRPr="0000278A" w:rsidRDefault="00A07A5A" w:rsidP="00A07A5A">
      <w:pPr>
        <w:rPr>
          <w:rFonts w:cs="Calibri Light"/>
        </w:rPr>
      </w:pPr>
      <w:r w:rsidRPr="0000278A">
        <w:rPr>
          <w:rFonts w:cs="Calibri Light"/>
        </w:rPr>
        <w:t xml:space="preserve">Blinder A (2018) ‘Through a Crystal Ball Darkly: The Future of Monetary Policy Communication’, </w:t>
      </w:r>
      <w:r w:rsidRPr="0000278A">
        <w:rPr>
          <w:rFonts w:cs="Calibri Light"/>
          <w:i/>
        </w:rPr>
        <w:t>AEA Papers and Proceedings</w:t>
      </w:r>
      <w:r w:rsidRPr="0000278A">
        <w:rPr>
          <w:rFonts w:cs="Calibri Light"/>
        </w:rPr>
        <w:t xml:space="preserve">, 108: 567-71. </w:t>
      </w:r>
      <w:hyperlink r:id="rId92">
        <w:r w:rsidRPr="0000278A">
          <w:rPr>
            <w:rFonts w:cs="Calibri Light"/>
          </w:rPr>
          <w:t>https://oar.princeton.edu/jspui/bitstream/88435/pr14b4j/1/pandp.20181080.pdf</w:t>
        </w:r>
      </w:hyperlink>
    </w:p>
    <w:p w14:paraId="4525E37A" w14:textId="77777777" w:rsidR="00A07A5A" w:rsidRPr="0000278A" w:rsidRDefault="00A07A5A" w:rsidP="00A07A5A">
      <w:pPr>
        <w:spacing w:after="240"/>
        <w:textAlignment w:val="baseline"/>
        <w:rPr>
          <w:rFonts w:cs="Calibri Light"/>
        </w:rPr>
      </w:pPr>
      <w:r w:rsidRPr="0000278A">
        <w:rPr>
          <w:rFonts w:cs="Calibri Light"/>
        </w:rPr>
        <w:t xml:space="preserve">Bossu W and Rossi A (2019) ‘The Role of Board Oversight in Central Bank Governance: Key Legal Design Issues’, </w:t>
      </w:r>
      <w:r w:rsidRPr="0000278A">
        <w:rPr>
          <w:rFonts w:cs="Calibri Light"/>
          <w:i/>
          <w:iCs/>
        </w:rPr>
        <w:t>IMF Working Paper,</w:t>
      </w:r>
      <w:r w:rsidRPr="0000278A">
        <w:rPr>
          <w:rFonts w:cs="Calibri Light"/>
        </w:rPr>
        <w:t xml:space="preserve"> No WP/2019/293. </w:t>
      </w:r>
      <w:hyperlink r:id="rId93" w:history="1">
        <w:r w:rsidRPr="0000278A">
          <w:rPr>
            <w:rFonts w:cs="Calibri Light"/>
          </w:rPr>
          <w:t>https://www.imf.org/en/Publications/WP/Issues/2019/12/27/The-Role-of-Board-Oversight-in-Central-Bank-Governance-Key-Legal-Design-Issues-48906</w:t>
        </w:r>
      </w:hyperlink>
    </w:p>
    <w:p w14:paraId="5994A034" w14:textId="77777777" w:rsidR="00A07A5A" w:rsidRPr="0000278A" w:rsidRDefault="00A07A5A" w:rsidP="00A07A5A">
      <w:pPr>
        <w:rPr>
          <w:rFonts w:cs="Calibri Light"/>
          <w:i/>
        </w:rPr>
      </w:pPr>
      <w:r w:rsidRPr="0000278A">
        <w:rPr>
          <w:rFonts w:cs="Calibri Light"/>
        </w:rPr>
        <w:t xml:space="preserve">Bullock M (2022a) ‘Policymaking at the RBA’, </w:t>
      </w:r>
      <w:r w:rsidRPr="0000278A">
        <w:rPr>
          <w:rFonts w:cs="Calibri Light"/>
          <w:i/>
        </w:rPr>
        <w:t xml:space="preserve">address to AFIA Annual Conference, </w:t>
      </w:r>
      <w:r w:rsidRPr="0000278A">
        <w:rPr>
          <w:rFonts w:cs="Calibri Light"/>
        </w:rPr>
        <w:t xml:space="preserve">18 October. </w:t>
      </w:r>
      <w:hyperlink r:id="rId94">
        <w:r w:rsidRPr="0000278A">
          <w:rPr>
            <w:rFonts w:cs="Calibri Light"/>
          </w:rPr>
          <w:t>https://www.rba.gov.au/speeches/2022/sp-dg-2022-10-18.html</w:t>
        </w:r>
      </w:hyperlink>
    </w:p>
    <w:p w14:paraId="35D2BF69" w14:textId="77777777" w:rsidR="00A07A5A" w:rsidRPr="0000278A" w:rsidRDefault="00A07A5A" w:rsidP="00A07A5A">
      <w:pPr>
        <w:rPr>
          <w:rFonts w:cs="Calibri Light"/>
        </w:rPr>
      </w:pPr>
      <w:r w:rsidRPr="0000278A">
        <w:rPr>
          <w:rFonts w:cs="Calibri Light"/>
        </w:rPr>
        <w:t xml:space="preserve">Bullock M (2022b) ‘The Review of the Bond Purchase Program’, </w:t>
      </w:r>
      <w:r w:rsidRPr="0000278A">
        <w:rPr>
          <w:rFonts w:cs="Calibri Light"/>
          <w:i/>
        </w:rPr>
        <w:t>Transcript of Question &amp; Answer Session</w:t>
      </w:r>
      <w:r w:rsidRPr="0000278A">
        <w:rPr>
          <w:rFonts w:cs="Calibri Light"/>
        </w:rPr>
        <w:t xml:space="preserve">, 21 September. </w:t>
      </w:r>
      <w:hyperlink r:id="rId95">
        <w:r w:rsidRPr="0000278A">
          <w:rPr>
            <w:rFonts w:cs="Calibri Light"/>
          </w:rPr>
          <w:t>https://www.rba.gov.au/speeches/2022/sp-dg-2022-09-21-q-and-a-transcript.html</w:t>
        </w:r>
      </w:hyperlink>
    </w:p>
    <w:p w14:paraId="7105F4C9" w14:textId="77777777" w:rsidR="00A07A5A" w:rsidRPr="0000278A" w:rsidRDefault="00A07A5A" w:rsidP="00A07A5A">
      <w:pPr>
        <w:rPr>
          <w:rFonts w:cs="Calibri Light"/>
        </w:rPr>
      </w:pPr>
      <w:r w:rsidRPr="0000278A">
        <w:rPr>
          <w:rFonts w:cs="Calibri Light"/>
        </w:rPr>
        <w:t xml:space="preserve">Carney (2020) ‘A framework for all seasons?’ </w:t>
      </w:r>
      <w:r w:rsidRPr="0000278A">
        <w:rPr>
          <w:rFonts w:cs="Calibri Light"/>
          <w:i/>
          <w:iCs/>
        </w:rPr>
        <w:t>Bank of England Research Workshop on the Future of Inflation Targeting</w:t>
      </w:r>
      <w:r w:rsidRPr="0000278A">
        <w:rPr>
          <w:rFonts w:cs="Calibri Light"/>
        </w:rPr>
        <w:t>.</w:t>
      </w:r>
      <w:r w:rsidRPr="0000278A">
        <w:rPr>
          <w:rFonts w:cs="Calibri Light"/>
          <w:i/>
          <w:iCs/>
        </w:rPr>
        <w:t xml:space="preserve"> </w:t>
      </w:r>
      <w:hyperlink r:id="rId96" w:history="1">
        <w:r w:rsidRPr="0000278A">
          <w:rPr>
            <w:rStyle w:val="Hyperlink"/>
            <w:rFonts w:cs="Calibri Light"/>
            <w:color w:val="auto"/>
          </w:rPr>
          <w:t>https://www.bankofengland.co.uk/-/media/boe/files/speech/2020/a-framework-for-all-seasons-speech-by-mark-carney.pdf</w:t>
        </w:r>
      </w:hyperlink>
      <w:r w:rsidRPr="0000278A">
        <w:rPr>
          <w:rFonts w:cs="Calibri Light"/>
        </w:rPr>
        <w:t xml:space="preserve"> </w:t>
      </w:r>
    </w:p>
    <w:p w14:paraId="0C8CB477" w14:textId="77777777" w:rsidR="00A07A5A" w:rsidRPr="0000278A" w:rsidRDefault="00A07A5A" w:rsidP="00A07A5A">
      <w:pPr>
        <w:spacing w:before="100" w:beforeAutospacing="1" w:after="100" w:afterAutospacing="1"/>
        <w:rPr>
          <w:rFonts w:cs="Calibri Light"/>
        </w:rPr>
      </w:pPr>
      <w:r w:rsidRPr="0000278A">
        <w:rPr>
          <w:rFonts w:cs="Calibri Light"/>
        </w:rPr>
        <w:t>Carstens A (2022) ‘The return of inflation’</w:t>
      </w:r>
      <w:r w:rsidRPr="0000278A">
        <w:rPr>
          <w:rFonts w:cs="Calibri Light"/>
          <w:i/>
        </w:rPr>
        <w:t xml:space="preserve">, address at the International Center for Monetary and Banking Studies, </w:t>
      </w:r>
      <w:r w:rsidRPr="0000278A">
        <w:rPr>
          <w:rFonts w:cs="Calibri Light"/>
        </w:rPr>
        <w:t xml:space="preserve">5 April. </w:t>
      </w:r>
      <w:hyperlink r:id="rId97" w:history="1">
        <w:r w:rsidRPr="0000278A">
          <w:rPr>
            <w:rStyle w:val="Hyperlink"/>
            <w:rFonts w:cs="Calibri Light"/>
            <w:color w:val="auto"/>
          </w:rPr>
          <w:t>https://www.bis.org/speeches/sp220405.htm</w:t>
        </w:r>
      </w:hyperlink>
      <w:r w:rsidRPr="0000278A">
        <w:rPr>
          <w:rFonts w:cs="Calibri Light"/>
        </w:rPr>
        <w:t xml:space="preserve">  </w:t>
      </w:r>
    </w:p>
    <w:p w14:paraId="0CF3ED02" w14:textId="77777777" w:rsidR="00A07A5A" w:rsidRPr="0000278A" w:rsidRDefault="00A07A5A" w:rsidP="00A07A5A">
      <w:pPr>
        <w:rPr>
          <w:rFonts w:cs="Calibri Light"/>
        </w:rPr>
      </w:pPr>
      <w:r w:rsidRPr="0000278A">
        <w:rPr>
          <w:rFonts w:cs="Calibri Light"/>
        </w:rPr>
        <w:t xml:space="preserve">CFR Working Group on Financial Implications of Climate Change (2021) </w:t>
      </w:r>
      <w:r w:rsidRPr="0000278A">
        <w:rPr>
          <w:rFonts w:cs="Calibri Light"/>
          <w:i/>
        </w:rPr>
        <w:t>‘</w:t>
      </w:r>
      <w:r w:rsidRPr="0000278A">
        <w:rPr>
          <w:rFonts w:cs="Calibri Light"/>
        </w:rPr>
        <w:t xml:space="preserve">Council of Financial Regulators: Climate Change Activity Stocktake 2021’, September.  </w:t>
      </w:r>
      <w:hyperlink r:id="rId98" w:history="1">
        <w:r w:rsidRPr="0000278A">
          <w:rPr>
            <w:rStyle w:val="Hyperlink"/>
            <w:rFonts w:cs="Calibri Light"/>
            <w:color w:val="auto"/>
          </w:rPr>
          <w:t>https://www.cfr.gov.au/publications/policy-statements-and-other-reports/2021/council-of-financial-regulators-climate-change-activity-stocktake-2021/</w:t>
        </w:r>
      </w:hyperlink>
      <w:r w:rsidRPr="0000278A">
        <w:rPr>
          <w:rFonts w:cs="Calibri Light"/>
        </w:rPr>
        <w:t xml:space="preserve"> </w:t>
      </w:r>
      <w:r w:rsidRPr="0000278A">
        <w:rPr>
          <w:rStyle w:val="Hyperlink"/>
          <w:rFonts w:cs="Calibri Light"/>
          <w:color w:val="auto"/>
        </w:rPr>
        <w:t xml:space="preserve"> </w:t>
      </w:r>
    </w:p>
    <w:p w14:paraId="04D82CEA" w14:textId="77777777" w:rsidR="00A07A5A" w:rsidRPr="0000278A" w:rsidRDefault="00A07A5A" w:rsidP="00A07A5A">
      <w:pPr>
        <w:tabs>
          <w:tab w:val="left" w:pos="720"/>
        </w:tabs>
        <w:spacing w:line="276" w:lineRule="auto"/>
        <w:rPr>
          <w:rFonts w:cs="Calibri Light"/>
        </w:rPr>
      </w:pPr>
      <w:r w:rsidRPr="0000278A">
        <w:rPr>
          <w:rFonts w:cs="Calibri Light"/>
        </w:rPr>
        <w:t xml:space="preserve">Chief Executive Women and Male Champions of Change (2014) </w:t>
      </w:r>
      <w:r w:rsidRPr="0000278A">
        <w:rPr>
          <w:rFonts w:cs="Calibri Light"/>
          <w:i/>
        </w:rPr>
        <w:t>‘It starts with us: The Leadership Shadow’</w:t>
      </w:r>
      <w:r w:rsidRPr="0000278A">
        <w:rPr>
          <w:rFonts w:cs="Calibri Light"/>
        </w:rPr>
        <w:t xml:space="preserve">. </w:t>
      </w:r>
      <w:hyperlink r:id="rId99">
        <w:r w:rsidRPr="0000278A">
          <w:rPr>
            <w:rFonts w:cs="Calibri Light"/>
          </w:rPr>
          <w:t>https://championsofchangecoalition.org/wp-content/uploads/2021/08/Leadership-Shadow-Implementation-Guide.pdf</w:t>
        </w:r>
      </w:hyperlink>
    </w:p>
    <w:p w14:paraId="743FAF8C" w14:textId="77777777" w:rsidR="00A07A5A" w:rsidRPr="0000278A" w:rsidRDefault="00A07A5A" w:rsidP="00A07A5A">
      <w:pPr>
        <w:rPr>
          <w:rFonts w:cs="Calibri Light"/>
          <w:i/>
        </w:rPr>
      </w:pPr>
      <w:r w:rsidRPr="0000278A">
        <w:rPr>
          <w:rFonts w:cs="Calibri Light"/>
        </w:rPr>
        <w:lastRenderedPageBreak/>
        <w:t xml:space="preserve">Chua CL and Robinson T (2018) ‘Why has Australian wages growth been so low? </w:t>
      </w:r>
      <w:r w:rsidRPr="0000278A">
        <w:rPr>
          <w:rFonts w:cs="Calibri Light"/>
          <w:i/>
        </w:rPr>
        <w:t xml:space="preserve">A Phillips Curve Perspective,’ Economic Record, </w:t>
      </w:r>
      <w:r w:rsidRPr="0000278A">
        <w:rPr>
          <w:rFonts w:cs="Calibri Light"/>
        </w:rPr>
        <w:t>vol. 94, no. S1, pp. 11–32</w:t>
      </w:r>
      <w:r w:rsidRPr="0000278A">
        <w:rPr>
          <w:rFonts w:cs="Calibri Light"/>
          <w:i/>
        </w:rPr>
        <w:t xml:space="preserve">. </w:t>
      </w:r>
    </w:p>
    <w:p w14:paraId="4A3E83F2" w14:textId="77777777" w:rsidR="00A07A5A" w:rsidRPr="0000278A" w:rsidRDefault="00A07A5A" w:rsidP="00A07A5A">
      <w:pPr>
        <w:tabs>
          <w:tab w:val="left" w:pos="720"/>
        </w:tabs>
        <w:spacing w:line="276" w:lineRule="auto"/>
        <w:rPr>
          <w:rFonts w:cs="Calibri Light"/>
        </w:rPr>
      </w:pPr>
      <w:r w:rsidRPr="0000278A">
        <w:rPr>
          <w:rFonts w:cs="Calibri Light"/>
        </w:rPr>
        <w:t xml:space="preserve">Clark T (2021) ‘The Hazards of a ‘Nice’ Company Culture’, </w:t>
      </w:r>
      <w:r w:rsidRPr="0000278A">
        <w:rPr>
          <w:rFonts w:cs="Calibri Light"/>
          <w:i/>
        </w:rPr>
        <w:t>Harvard Business Review</w:t>
      </w:r>
      <w:r w:rsidRPr="0000278A">
        <w:rPr>
          <w:rFonts w:cs="Calibri Light"/>
        </w:rPr>
        <w:t xml:space="preserve">. </w:t>
      </w:r>
      <w:hyperlink r:id="rId100" w:history="1">
        <w:r w:rsidRPr="0000278A">
          <w:rPr>
            <w:rFonts w:cs="Calibri Light"/>
          </w:rPr>
          <w:t>https://hbr.org/2021/06/the-hazards-of-a-nice-company-culture </w:t>
        </w:r>
      </w:hyperlink>
    </w:p>
    <w:p w14:paraId="5B58BEF1" w14:textId="77777777" w:rsidR="00A07A5A" w:rsidRPr="0000278A" w:rsidRDefault="00A07A5A" w:rsidP="00A07A5A">
      <w:pPr>
        <w:rPr>
          <w:rFonts w:cs="Calibri Light"/>
        </w:rPr>
      </w:pPr>
      <w:r w:rsidRPr="0000278A">
        <w:rPr>
          <w:rFonts w:cs="Calibri Light"/>
        </w:rPr>
        <w:t xml:space="preserve">Committee on the Global Financial System (2019) ‘Unconventional Monetary Policy Tools: a Cross-country Analysis’, CGFS Papers No 63, Bank for International Settlements. </w:t>
      </w:r>
      <w:hyperlink r:id="rId101" w:history="1">
        <w:r w:rsidRPr="0000278A">
          <w:rPr>
            <w:rStyle w:val="Hyperlink"/>
            <w:rFonts w:cs="Calibri Light"/>
            <w:color w:val="auto"/>
          </w:rPr>
          <w:t>https://www.bis.org/publ/cgfs63.htm</w:t>
        </w:r>
      </w:hyperlink>
    </w:p>
    <w:p w14:paraId="76A21032" w14:textId="77777777" w:rsidR="00A07A5A" w:rsidRPr="0000278A" w:rsidRDefault="00A07A5A" w:rsidP="00A07A5A">
      <w:pPr>
        <w:rPr>
          <w:rFonts w:cs="Calibri Light"/>
        </w:rPr>
      </w:pPr>
      <w:r w:rsidRPr="0000278A">
        <w:rPr>
          <w:rFonts w:cs="Calibri Light"/>
        </w:rPr>
        <w:t xml:space="preserve">Cornish S (2019) ‘The Evolution of Inflation Targeting in Australia’, </w:t>
      </w:r>
      <w:r w:rsidRPr="0000278A">
        <w:rPr>
          <w:rFonts w:cs="Calibri Light"/>
          <w:i/>
          <w:iCs/>
        </w:rPr>
        <w:t>History of Economics Review</w:t>
      </w:r>
      <w:r w:rsidRPr="0000278A">
        <w:rPr>
          <w:rFonts w:cs="Calibri Light"/>
        </w:rPr>
        <w:t xml:space="preserve">, vol. 72, no. 1, pp. 1–31. </w:t>
      </w:r>
      <w:hyperlink r:id="rId102" w:history="1">
        <w:r w:rsidRPr="0000278A">
          <w:rPr>
            <w:rStyle w:val="Hyperlink"/>
            <w:rFonts w:cs="Calibri Light"/>
            <w:color w:val="auto"/>
          </w:rPr>
          <w:t>https://www.tandfonline.com/doi/abs/10.1080/10370196.2019.1615401</w:t>
        </w:r>
      </w:hyperlink>
    </w:p>
    <w:p w14:paraId="4254368A" w14:textId="77777777" w:rsidR="00A07A5A" w:rsidRPr="0000278A" w:rsidRDefault="00A07A5A" w:rsidP="00A07A5A">
      <w:pPr>
        <w:rPr>
          <w:rStyle w:val="Hyperlink"/>
          <w:rFonts w:cs="Calibri Light"/>
          <w:color w:val="auto"/>
        </w:rPr>
      </w:pPr>
      <w:r w:rsidRPr="0000278A">
        <w:rPr>
          <w:rFonts w:cs="Calibri Light"/>
        </w:rPr>
        <w:t xml:space="preserve">Cornish S (2022) ‘The RBA has got a lot right, but there’s still a case for an inquiry’, The Conversation, 10 June. </w:t>
      </w:r>
      <w:hyperlink r:id="rId103" w:history="1">
        <w:r w:rsidRPr="0000278A">
          <w:rPr>
            <w:rStyle w:val="Hyperlink"/>
            <w:rFonts w:cs="Calibri Light"/>
            <w:color w:val="auto"/>
          </w:rPr>
          <w:t>https://theconversation.com/the-rba-has-got-a-lot-right-but-theres-still-a-case-for-an-inquiry-184314</w:t>
        </w:r>
      </w:hyperlink>
    </w:p>
    <w:p w14:paraId="33BD2706" w14:textId="77777777" w:rsidR="00A07A5A" w:rsidRPr="0000278A" w:rsidRDefault="00A07A5A" w:rsidP="00A07A5A">
      <w:pPr>
        <w:rPr>
          <w:rFonts w:cs="Calibri Light"/>
        </w:rPr>
      </w:pPr>
      <w:r w:rsidRPr="0000278A">
        <w:rPr>
          <w:rFonts w:cs="Calibri Light"/>
        </w:rPr>
        <w:t xml:space="preserve">Council of Financial Regulators (2008) ‘Memorandum of Understanding on Financial Distress Management’. </w:t>
      </w:r>
      <w:r w:rsidRPr="0000278A">
        <w:rPr>
          <w:rStyle w:val="Hyperlink"/>
          <w:rFonts w:cs="Calibri Light"/>
          <w:color w:val="auto"/>
        </w:rPr>
        <w:t>https://www.cfr.gov.au/financial-institutions/crisis-management-arrangements/pdf/mou-financial-distress-management.pdf</w:t>
      </w:r>
    </w:p>
    <w:p w14:paraId="7A8ED151" w14:textId="77777777" w:rsidR="00A07A5A" w:rsidRPr="0000278A" w:rsidRDefault="00A07A5A" w:rsidP="00A07A5A">
      <w:pPr>
        <w:textAlignment w:val="baseline"/>
        <w:rPr>
          <w:rFonts w:cs="Calibri Light"/>
        </w:rPr>
      </w:pPr>
      <w:r w:rsidRPr="0000278A">
        <w:rPr>
          <w:rFonts w:cs="Calibri Light"/>
        </w:rPr>
        <w:t xml:space="preserve">Cusbert T (2017) ‘Estimating the NAIRU and the Unemployment Gap’, </w:t>
      </w:r>
      <w:r w:rsidRPr="0000278A">
        <w:rPr>
          <w:rFonts w:cs="Calibri Light"/>
          <w:i/>
        </w:rPr>
        <w:t>RBA</w:t>
      </w:r>
      <w:r w:rsidRPr="0000278A">
        <w:rPr>
          <w:rFonts w:cs="Calibri Light"/>
        </w:rPr>
        <w:t xml:space="preserve"> </w:t>
      </w:r>
      <w:r w:rsidRPr="0000278A">
        <w:rPr>
          <w:rFonts w:cs="Calibri Light"/>
          <w:i/>
        </w:rPr>
        <w:t xml:space="preserve">Bulletin, </w:t>
      </w:r>
      <w:r w:rsidRPr="0000278A">
        <w:rPr>
          <w:rFonts w:cs="Calibri Light"/>
        </w:rPr>
        <w:t>June quarter. </w:t>
      </w:r>
      <w:hyperlink r:id="rId104">
        <w:r w:rsidRPr="0000278A">
          <w:rPr>
            <w:rStyle w:val="Hyperlink"/>
            <w:rFonts w:cs="Calibri Light"/>
            <w:color w:val="auto"/>
          </w:rPr>
          <w:t>https://www.rba.gov.au/publications/bulletin/2017/jun/2.html</w:t>
        </w:r>
      </w:hyperlink>
    </w:p>
    <w:p w14:paraId="5400FCD9" w14:textId="77777777" w:rsidR="00A07A5A" w:rsidRPr="0000278A" w:rsidRDefault="00A07A5A" w:rsidP="00A07A5A">
      <w:pPr>
        <w:rPr>
          <w:rFonts w:cs="Calibri Light"/>
        </w:rPr>
      </w:pPr>
      <w:r w:rsidRPr="0000278A">
        <w:rPr>
          <w:rFonts w:cs="Calibri Light"/>
        </w:rPr>
        <w:t xml:space="preserve">Da Silva LAP (2021) ‘How are central banks helping to make the recovery from the Covid-19 pandemic more sustainable and inclusive?’ People’s Bank of China / International Monetary Fund High Level Online Seminar on Green Finance and Climate Policy. </w:t>
      </w:r>
      <w:hyperlink r:id="rId105" w:history="1">
        <w:r w:rsidRPr="0000278A">
          <w:rPr>
            <w:rStyle w:val="Hyperlink"/>
            <w:rFonts w:cs="Calibri Light"/>
            <w:color w:val="auto"/>
          </w:rPr>
          <w:t>https://www.bis.org/speeches/sp210416.pdf</w:t>
        </w:r>
      </w:hyperlink>
      <w:r w:rsidRPr="0000278A">
        <w:rPr>
          <w:rFonts w:cs="Calibri Light"/>
        </w:rPr>
        <w:t xml:space="preserve"> </w:t>
      </w:r>
    </w:p>
    <w:p w14:paraId="44F0E461" w14:textId="77777777" w:rsidR="00A07A5A" w:rsidRPr="0000278A" w:rsidRDefault="00A07A5A" w:rsidP="00A07A5A">
      <w:pPr>
        <w:rPr>
          <w:rFonts w:cs="Calibri Light"/>
        </w:rPr>
      </w:pPr>
      <w:r w:rsidRPr="0000278A">
        <w:rPr>
          <w:rFonts w:cs="Calibri Light"/>
        </w:rPr>
        <w:t xml:space="preserve">Davis K (2011) ‘The Australian Financial System in the 2000s: Dodging the Bullet’, in H Gerard and J Kearns (eds), </w:t>
      </w:r>
      <w:r w:rsidRPr="0000278A">
        <w:rPr>
          <w:rFonts w:cs="Calibri Light"/>
          <w:i/>
        </w:rPr>
        <w:t>The Australian Economy in the 2000s</w:t>
      </w:r>
      <w:r w:rsidRPr="0000278A">
        <w:rPr>
          <w:rFonts w:cs="Calibri Light"/>
        </w:rPr>
        <w:t>, Proceedings of a Conference, Reserve Bank of Australia, Sydney, pp 301-348. </w:t>
      </w:r>
      <w:hyperlink r:id="rId106">
        <w:r w:rsidRPr="0000278A">
          <w:rPr>
            <w:rStyle w:val="Hyperlink"/>
            <w:rFonts w:cs="Calibri Light"/>
            <w:color w:val="auto"/>
          </w:rPr>
          <w:t>https://www.rba.gov.au/publications/confs/2011/davis.html</w:t>
        </w:r>
      </w:hyperlink>
    </w:p>
    <w:p w14:paraId="68762504" w14:textId="77777777" w:rsidR="00A07A5A" w:rsidRPr="0000278A" w:rsidRDefault="00A07A5A" w:rsidP="00A07A5A">
      <w:pPr>
        <w:rPr>
          <w:rFonts w:cs="Calibri Light"/>
        </w:rPr>
      </w:pPr>
      <w:r w:rsidRPr="0000278A">
        <w:rPr>
          <w:rFonts w:cs="Calibri Light"/>
        </w:rPr>
        <w:t xml:space="preserve">de Brouwer G and O'Regan J (1997) ‘Evaluating Simple Monetary-policy Rules for Australia,’ </w:t>
      </w:r>
      <w:r w:rsidRPr="0000278A">
        <w:rPr>
          <w:rFonts w:cs="Calibri Light"/>
          <w:i/>
        </w:rPr>
        <w:t>Monetary Policy and Inflation Targeting: Reserve Bank of Australia</w:t>
      </w:r>
      <w:r w:rsidRPr="0000278A">
        <w:rPr>
          <w:rFonts w:cs="Calibri Light"/>
        </w:rPr>
        <w:t xml:space="preserve">. </w:t>
      </w:r>
      <w:hyperlink r:id="rId107" w:history="1">
        <w:r w:rsidRPr="0000278A">
          <w:rPr>
            <w:rStyle w:val="Hyperlink"/>
            <w:rFonts w:cs="Calibri Light"/>
            <w:color w:val="auto"/>
          </w:rPr>
          <w:t>https://www.rba.gov.au/publications/confs/1997/pdf/de-brouwer-oregan.pdf</w:t>
        </w:r>
      </w:hyperlink>
      <w:r w:rsidRPr="0000278A">
        <w:rPr>
          <w:rFonts w:cs="Calibri Light"/>
        </w:rPr>
        <w:t xml:space="preserve"> </w:t>
      </w:r>
    </w:p>
    <w:p w14:paraId="17770B1C" w14:textId="77777777" w:rsidR="00A07A5A" w:rsidRPr="0000278A" w:rsidRDefault="00A07A5A" w:rsidP="00A07A5A">
      <w:pPr>
        <w:spacing w:before="100" w:beforeAutospacing="1" w:after="100" w:afterAutospacing="1"/>
        <w:rPr>
          <w:rFonts w:cs="Calibri Light"/>
        </w:rPr>
      </w:pPr>
      <w:r w:rsidRPr="0000278A">
        <w:rPr>
          <w:rFonts w:cs="Calibri Light"/>
        </w:rPr>
        <w:t>Debelle G (2009) ‘The Australian experience with inflation targeting’</w:t>
      </w:r>
      <w:r w:rsidRPr="0000278A">
        <w:rPr>
          <w:rFonts w:cs="Calibri Light"/>
          <w:i/>
        </w:rPr>
        <w:t xml:space="preserve">, </w:t>
      </w:r>
      <w:r w:rsidRPr="0000278A">
        <w:rPr>
          <w:rFonts w:cs="Calibri Light"/>
        </w:rPr>
        <w:t xml:space="preserve">15 May. </w:t>
      </w:r>
      <w:hyperlink r:id="rId108" w:history="1">
        <w:r w:rsidRPr="0000278A">
          <w:rPr>
            <w:rStyle w:val="Hyperlink"/>
            <w:rFonts w:cs="Calibri Light"/>
            <w:color w:val="auto"/>
          </w:rPr>
          <w:t>https://www.rba.gov.au/speeches/2009/sp-ag-150509.html</w:t>
        </w:r>
      </w:hyperlink>
      <w:r w:rsidRPr="0000278A">
        <w:rPr>
          <w:rFonts w:cs="Calibri Light"/>
        </w:rPr>
        <w:t xml:space="preserve"> </w:t>
      </w:r>
    </w:p>
    <w:p w14:paraId="4CF1DFED" w14:textId="77777777" w:rsidR="00A07A5A" w:rsidRPr="0000278A" w:rsidRDefault="00A07A5A" w:rsidP="00A07A5A">
      <w:pPr>
        <w:rPr>
          <w:rFonts w:cs="Calibri Light"/>
        </w:rPr>
      </w:pPr>
      <w:r w:rsidRPr="0000278A">
        <w:rPr>
          <w:rFonts w:cs="Calibri Light"/>
        </w:rPr>
        <w:t>Debelle G (2018a) ‘</w:t>
      </w:r>
      <w:bookmarkStart w:id="84" w:name="_Hlk129012611"/>
      <w:r w:rsidRPr="0000278A">
        <w:rPr>
          <w:rFonts w:cs="Calibri Light"/>
        </w:rPr>
        <w:t>Remarks at the Walkley Business Journalism Award</w:t>
      </w:r>
      <w:bookmarkEnd w:id="84"/>
      <w:r w:rsidRPr="0000278A">
        <w:rPr>
          <w:rFonts w:cs="Calibri Light"/>
        </w:rPr>
        <w:t xml:space="preserve">’, </w:t>
      </w:r>
      <w:r w:rsidRPr="0000278A">
        <w:rPr>
          <w:rFonts w:cs="Calibri Light"/>
          <w:i/>
        </w:rPr>
        <w:t>Transcript of Question &amp; Answer Session</w:t>
      </w:r>
      <w:r w:rsidRPr="0000278A">
        <w:rPr>
          <w:rFonts w:cs="Calibri Light"/>
        </w:rPr>
        <w:t xml:space="preserve">, 22 October. </w:t>
      </w:r>
      <w:hyperlink r:id="rId109">
        <w:r w:rsidRPr="0000278A">
          <w:rPr>
            <w:rStyle w:val="Hyperlink"/>
            <w:rFonts w:cs="Calibri Light"/>
            <w:color w:val="auto"/>
          </w:rPr>
          <w:t>https://www.rba.gov.au/speeches/2018/sp-dg-2018-10-22-q-and-a-transcript.html</w:t>
        </w:r>
      </w:hyperlink>
    </w:p>
    <w:p w14:paraId="76286E1F" w14:textId="77777777" w:rsidR="00A07A5A" w:rsidRPr="0000278A" w:rsidRDefault="00A07A5A" w:rsidP="00A07A5A">
      <w:pPr>
        <w:rPr>
          <w:rFonts w:cs="Calibri Light"/>
        </w:rPr>
      </w:pPr>
      <w:r w:rsidRPr="0000278A">
        <w:rPr>
          <w:rFonts w:cs="Calibri Light"/>
        </w:rPr>
        <w:t xml:space="preserve">Debelle G (2018b) ‘Twenty-five Years of Inflation Targeting in Australia’, in J Simon and M Sutton (eds), </w:t>
      </w:r>
      <w:r w:rsidRPr="0000278A">
        <w:rPr>
          <w:rFonts w:cs="Calibri Light"/>
          <w:i/>
        </w:rPr>
        <w:t>Central Bank Frameworks: Evolution or Revolution</w:t>
      </w:r>
      <w:r w:rsidRPr="0000278A">
        <w:rPr>
          <w:rFonts w:cs="Calibri Light"/>
        </w:rPr>
        <w:t xml:space="preserve">, Proceedings of a Conference, Reserve Bank of Australia, Sydney, pp 53-68. </w:t>
      </w:r>
      <w:hyperlink r:id="rId110">
        <w:r w:rsidRPr="0000278A">
          <w:rPr>
            <w:rStyle w:val="Hyperlink"/>
            <w:rFonts w:cs="Calibri Light"/>
            <w:color w:val="auto"/>
          </w:rPr>
          <w:t>https://www.rba.gov.au/publications/confs/2018/pdf/rba-conference-volume-2018.pdf</w:t>
        </w:r>
      </w:hyperlink>
    </w:p>
    <w:p w14:paraId="0815921A" w14:textId="77777777" w:rsidR="00A07A5A" w:rsidRPr="0000278A" w:rsidRDefault="00A07A5A" w:rsidP="00A07A5A">
      <w:pPr>
        <w:spacing w:before="100" w:beforeAutospacing="1" w:after="100" w:afterAutospacing="1"/>
        <w:rPr>
          <w:rFonts w:cs="Calibri Light"/>
        </w:rPr>
      </w:pPr>
      <w:r w:rsidRPr="0000278A">
        <w:rPr>
          <w:rFonts w:cs="Calibri Light"/>
        </w:rPr>
        <w:t xml:space="preserve">Debelle G (2019) ‘Climate Change and the Economy’, </w:t>
      </w:r>
      <w:r w:rsidRPr="0000278A">
        <w:rPr>
          <w:rFonts w:cs="Calibri Light"/>
          <w:i/>
        </w:rPr>
        <w:t>address at a public forum hosted by the Centre for Policy Development,</w:t>
      </w:r>
      <w:r w:rsidRPr="0000278A">
        <w:rPr>
          <w:rFonts w:cs="Calibri Light"/>
        </w:rPr>
        <w:t xml:space="preserve"> 12 March. </w:t>
      </w:r>
      <w:hyperlink r:id="rId111" w:history="1">
        <w:r w:rsidRPr="0000278A">
          <w:rPr>
            <w:rStyle w:val="Hyperlink"/>
            <w:rFonts w:cs="Calibri Light"/>
            <w:color w:val="auto"/>
          </w:rPr>
          <w:t>https://www.rba.gov.au/speeches/2019/sp-dg-2019-03-12.html</w:t>
        </w:r>
      </w:hyperlink>
      <w:r w:rsidRPr="0000278A">
        <w:rPr>
          <w:rFonts w:cs="Calibri Light"/>
        </w:rPr>
        <w:t xml:space="preserve"> </w:t>
      </w:r>
    </w:p>
    <w:p w14:paraId="3E92A638" w14:textId="77777777" w:rsidR="00A07A5A" w:rsidRPr="0000278A" w:rsidRDefault="00A07A5A" w:rsidP="00A07A5A">
      <w:pPr>
        <w:spacing w:before="100" w:beforeAutospacing="1" w:after="100" w:afterAutospacing="1"/>
        <w:rPr>
          <w:rFonts w:cs="Calibri Light"/>
        </w:rPr>
      </w:pPr>
      <w:r w:rsidRPr="0000278A">
        <w:rPr>
          <w:rFonts w:cs="Calibri Light"/>
        </w:rPr>
        <w:t xml:space="preserve">Debelle G (2021a) ‘Monetary Policy During COVID’, </w:t>
      </w:r>
      <w:r w:rsidRPr="0000278A">
        <w:rPr>
          <w:rFonts w:cs="Calibri Light"/>
          <w:i/>
        </w:rPr>
        <w:t>address at a public forum hosted by the University of Western Australia</w:t>
      </w:r>
      <w:r w:rsidRPr="0000278A">
        <w:rPr>
          <w:rFonts w:cs="Calibri Light"/>
        </w:rPr>
        <w:t xml:space="preserve">, 6 May. </w:t>
      </w:r>
      <w:hyperlink r:id="rId112" w:history="1">
        <w:r w:rsidRPr="0000278A">
          <w:rPr>
            <w:rStyle w:val="Hyperlink"/>
            <w:rFonts w:cs="Calibri Light"/>
            <w:color w:val="auto"/>
          </w:rPr>
          <w:t>https://www.rba.gov.au/speeches/2021/sp-dg-2021-05-06.html</w:t>
        </w:r>
      </w:hyperlink>
    </w:p>
    <w:p w14:paraId="1AFF83B8" w14:textId="77777777" w:rsidR="00A07A5A" w:rsidRPr="0000278A" w:rsidRDefault="00A07A5A" w:rsidP="00A07A5A">
      <w:pPr>
        <w:spacing w:before="100" w:beforeAutospacing="1" w:after="100" w:afterAutospacing="1"/>
        <w:rPr>
          <w:rFonts w:cs="Calibri Light"/>
        </w:rPr>
      </w:pPr>
      <w:r w:rsidRPr="0000278A">
        <w:rPr>
          <w:rFonts w:cs="Calibri Light"/>
        </w:rPr>
        <w:t>Debelle G (2021b) ‘Climate Risks and the Australian Financial System</w:t>
      </w:r>
      <w:r w:rsidRPr="0000278A">
        <w:rPr>
          <w:rFonts w:cs="Calibri Light"/>
          <w:i/>
        </w:rPr>
        <w:t xml:space="preserve">’, address at CFA Australia Investment Conference, </w:t>
      </w:r>
      <w:r w:rsidRPr="0000278A">
        <w:rPr>
          <w:rFonts w:cs="Calibri Light"/>
        </w:rPr>
        <w:t xml:space="preserve">14 October. </w:t>
      </w:r>
      <w:hyperlink r:id="rId113" w:history="1">
        <w:r w:rsidRPr="0000278A">
          <w:rPr>
            <w:rStyle w:val="Hyperlink"/>
            <w:rFonts w:cs="Calibri Light"/>
            <w:color w:val="auto"/>
          </w:rPr>
          <w:t>https://www.rba.gov.au/speeches/2021/sp-dg-2021-10-14.html</w:t>
        </w:r>
      </w:hyperlink>
      <w:r w:rsidRPr="0000278A">
        <w:rPr>
          <w:rFonts w:cs="Calibri Light"/>
        </w:rPr>
        <w:t xml:space="preserve"> </w:t>
      </w:r>
    </w:p>
    <w:p w14:paraId="576CE75C" w14:textId="77777777" w:rsidR="00A07A5A" w:rsidRPr="0000278A" w:rsidRDefault="00A07A5A" w:rsidP="00A07A5A">
      <w:pPr>
        <w:rPr>
          <w:rFonts w:cs="Calibri Light"/>
          <w:i/>
        </w:rPr>
      </w:pPr>
      <w:r w:rsidRPr="0000278A">
        <w:rPr>
          <w:rFonts w:cs="Calibri Light"/>
        </w:rPr>
        <w:lastRenderedPageBreak/>
        <w:t xml:space="preserve">Debelle G and Fischer S (1994) ‘How independent should a central bank be?’, </w:t>
      </w:r>
      <w:r w:rsidRPr="0000278A">
        <w:rPr>
          <w:rFonts w:cs="Calibri Light"/>
          <w:i/>
        </w:rPr>
        <w:t>Center for Economic Policy Research, Stanford University, Stanford, CA.</w:t>
      </w:r>
      <w:r w:rsidRPr="0000278A">
        <w:rPr>
          <w:rFonts w:cs="Calibri Light"/>
        </w:rPr>
        <w:t xml:space="preserve"> </w:t>
      </w:r>
      <w:hyperlink r:id="rId114" w:history="1">
        <w:r w:rsidRPr="0000278A">
          <w:rPr>
            <w:rStyle w:val="Hyperlink"/>
            <w:rFonts w:cs="Calibri Light"/>
            <w:color w:val="auto"/>
          </w:rPr>
          <w:t>https://ideas.repec.org/a/fip/fedbcp/y1994p195-225n38.html</w:t>
        </w:r>
      </w:hyperlink>
      <w:r w:rsidRPr="0000278A">
        <w:rPr>
          <w:rFonts w:cs="Calibri Light"/>
          <w:i/>
        </w:rPr>
        <w:t xml:space="preserve"> </w:t>
      </w:r>
    </w:p>
    <w:p w14:paraId="07F49323" w14:textId="77777777" w:rsidR="00A07A5A" w:rsidRPr="0000278A" w:rsidRDefault="00A07A5A" w:rsidP="00A07A5A">
      <w:pPr>
        <w:spacing w:before="100" w:beforeAutospacing="1" w:after="100" w:afterAutospacing="1"/>
        <w:rPr>
          <w:rFonts w:cs="Calibri Light"/>
        </w:rPr>
      </w:pPr>
      <w:r w:rsidRPr="0000278A">
        <w:rPr>
          <w:rFonts w:cs="Calibri Light"/>
        </w:rPr>
        <w:t xml:space="preserve">Debelle G and Stevens G (1995) ‘Monetary policy goals for inflation in Australia,’ </w:t>
      </w:r>
      <w:r w:rsidRPr="0000278A">
        <w:rPr>
          <w:rFonts w:cs="Calibri Light"/>
          <w:i/>
        </w:rPr>
        <w:t>RBA Research Discussion Paper</w:t>
      </w:r>
      <w:r w:rsidRPr="0000278A">
        <w:rPr>
          <w:rFonts w:cs="Calibri Light"/>
        </w:rPr>
        <w:t xml:space="preserve">, No. 1995-03. </w:t>
      </w:r>
      <w:hyperlink r:id="rId115" w:history="1">
        <w:r w:rsidRPr="0000278A">
          <w:rPr>
            <w:rStyle w:val="Hyperlink"/>
            <w:rFonts w:cs="Calibri Light"/>
            <w:color w:val="auto"/>
          </w:rPr>
          <w:t>https://www.rba.gov.au/publications/rdp/1995/pdf/rdp9503.pdf</w:t>
        </w:r>
      </w:hyperlink>
      <w:r w:rsidRPr="0000278A">
        <w:rPr>
          <w:rFonts w:cs="Calibri Light"/>
        </w:rPr>
        <w:t xml:space="preserve"> </w:t>
      </w:r>
    </w:p>
    <w:p w14:paraId="4CBD499B" w14:textId="77777777" w:rsidR="00A07A5A" w:rsidRPr="0000278A" w:rsidRDefault="00A07A5A" w:rsidP="00A07A5A">
      <w:pPr>
        <w:tabs>
          <w:tab w:val="left" w:pos="720"/>
        </w:tabs>
        <w:spacing w:line="276" w:lineRule="auto"/>
        <w:rPr>
          <w:rFonts w:cs="Calibri Light"/>
        </w:rPr>
      </w:pPr>
      <w:r w:rsidRPr="0000278A">
        <w:rPr>
          <w:rFonts w:cs="Calibri Light"/>
        </w:rPr>
        <w:t xml:space="preserve">Deloitte (2013) ‘Waiter, is that inclusion in my soup? A new recipe to improve business performance’. </w:t>
      </w:r>
      <w:hyperlink r:id="rId116">
        <w:r w:rsidRPr="0000278A">
          <w:rPr>
            <w:rFonts w:cs="Calibri Light"/>
          </w:rPr>
          <w:t>https://www2.deloitte.com/content/dam/Deloitte/au/Documents/human-capital/deloitte-au-hc-diversity-inclusion-soup-0513.pdf  </w:t>
        </w:r>
      </w:hyperlink>
    </w:p>
    <w:p w14:paraId="14BD9960" w14:textId="77777777" w:rsidR="00A07A5A" w:rsidRPr="0000278A" w:rsidRDefault="00A07A5A" w:rsidP="00A07A5A">
      <w:pPr>
        <w:spacing w:after="240"/>
        <w:textAlignment w:val="baseline"/>
        <w:rPr>
          <w:rFonts w:cs="Calibri Light"/>
        </w:rPr>
      </w:pPr>
      <w:r w:rsidRPr="0000278A">
        <w:rPr>
          <w:rFonts w:cs="Calibri Light"/>
        </w:rPr>
        <w:t>Department of Finance (2013) ‘Independent Review into the operations of the Public Governance, Performance and Accountability Act 2013 and Rule’.</w:t>
      </w:r>
    </w:p>
    <w:p w14:paraId="48B1B817" w14:textId="77777777" w:rsidR="00A07A5A" w:rsidRPr="0000278A" w:rsidRDefault="00A07A5A" w:rsidP="00A07A5A">
      <w:pPr>
        <w:spacing w:after="240"/>
        <w:textAlignment w:val="baseline"/>
        <w:rPr>
          <w:rFonts w:cs="Calibri Light"/>
        </w:rPr>
      </w:pPr>
      <w:r w:rsidRPr="0000278A">
        <w:rPr>
          <w:rFonts w:cs="Calibri Light"/>
        </w:rPr>
        <w:t>Department of Finance ‘</w:t>
      </w:r>
      <w:hyperlink r:id="rId117" w:anchor=":~:text=This%20model%20audit%20committee%20charter%20%28model%20charter%29%20is,may%20wish%20to%20consider%20when%20developing%20the%20charter.">
        <w:r w:rsidRPr="0000278A">
          <w:rPr>
            <w:rFonts w:cs="Calibri Light"/>
          </w:rPr>
          <w:t>Model charter for audit committee</w:t>
        </w:r>
      </w:hyperlink>
      <w:r w:rsidRPr="0000278A">
        <w:rPr>
          <w:rFonts w:cs="Calibri Light"/>
        </w:rPr>
        <w:t xml:space="preserve">’, accessed 7 March 2023. </w:t>
      </w:r>
      <w:hyperlink r:id="rId118">
        <w:r w:rsidRPr="0000278A">
          <w:rPr>
            <w:rFonts w:cs="Calibri Light"/>
          </w:rPr>
          <w:t>https://www.finance.gov.au/sites/default/files/2019-10/Model-charter-for-audit-committees.pdf.</w:t>
        </w:r>
      </w:hyperlink>
    </w:p>
    <w:p w14:paraId="64F01761" w14:textId="77777777" w:rsidR="00A07A5A" w:rsidRPr="0000278A" w:rsidRDefault="00A07A5A" w:rsidP="00A07A5A">
      <w:pPr>
        <w:tabs>
          <w:tab w:val="left" w:pos="720"/>
        </w:tabs>
        <w:spacing w:line="276" w:lineRule="auto"/>
        <w:rPr>
          <w:rFonts w:cs="Calibri Light"/>
        </w:rPr>
      </w:pPr>
      <w:r w:rsidRPr="0000278A">
        <w:rPr>
          <w:rFonts w:cs="Calibri Light"/>
        </w:rPr>
        <w:t xml:space="preserve">Department of the Prime Minister and Cabinet (2019) ‘Our Public Service Our Future: Independent Review of the Australian Public Service’, </w:t>
      </w:r>
      <w:r w:rsidRPr="0000278A">
        <w:rPr>
          <w:rFonts w:cs="Calibri Light"/>
          <w:i/>
        </w:rPr>
        <w:t>Commonwealth of Australia.</w:t>
      </w:r>
      <w:r w:rsidRPr="0000278A">
        <w:rPr>
          <w:rFonts w:cs="Calibri Light"/>
        </w:rPr>
        <w:t xml:space="preserve"> </w:t>
      </w:r>
      <w:hyperlink r:id="rId119" w:history="1">
        <w:r w:rsidRPr="0000278A">
          <w:rPr>
            <w:rFonts w:cs="Calibri Light"/>
          </w:rPr>
          <w:t>https://www.pmc.gov.au/sites/default/files/resource/download/independent-review-aps.pdf  </w:t>
        </w:r>
      </w:hyperlink>
    </w:p>
    <w:p w14:paraId="69BDD9F3" w14:textId="77777777" w:rsidR="00A07A5A" w:rsidRPr="0000278A" w:rsidRDefault="00A07A5A" w:rsidP="00A07A5A">
      <w:pPr>
        <w:tabs>
          <w:tab w:val="left" w:pos="720"/>
        </w:tabs>
        <w:spacing w:line="276" w:lineRule="auto"/>
        <w:rPr>
          <w:rFonts w:cs="Calibri Light"/>
        </w:rPr>
      </w:pPr>
      <w:r w:rsidRPr="0000278A">
        <w:rPr>
          <w:rFonts w:cs="Calibri Light"/>
        </w:rPr>
        <w:t xml:space="preserve">Department of the Treasury (1981) ‘Australian Financial System: Final Report of the Committee of Inquiry’ (“The Campbell Report”), </w:t>
      </w:r>
      <w:r w:rsidRPr="0000278A">
        <w:rPr>
          <w:rFonts w:cs="Calibri Light"/>
          <w:i/>
        </w:rPr>
        <w:t>Commonwealth Government of Australia</w:t>
      </w:r>
      <w:r w:rsidRPr="0000278A">
        <w:rPr>
          <w:rFonts w:cs="Calibri Light"/>
        </w:rPr>
        <w:t xml:space="preserve">. </w:t>
      </w:r>
      <w:hyperlink r:id="rId120" w:history="1">
        <w:r w:rsidRPr="0000278A">
          <w:rPr>
            <w:rFonts w:cs="Calibri Light"/>
          </w:rPr>
          <w:t>https://treasury.gov.au/publication/p1981-afs</w:t>
        </w:r>
      </w:hyperlink>
    </w:p>
    <w:p w14:paraId="335F26D4" w14:textId="77777777" w:rsidR="00A07A5A" w:rsidRPr="0000278A" w:rsidRDefault="00A07A5A" w:rsidP="00A07A5A">
      <w:pPr>
        <w:tabs>
          <w:tab w:val="left" w:pos="720"/>
        </w:tabs>
        <w:spacing w:line="276" w:lineRule="auto"/>
        <w:rPr>
          <w:rFonts w:cs="Calibri Light"/>
        </w:rPr>
      </w:pPr>
      <w:r w:rsidRPr="0000278A">
        <w:rPr>
          <w:rFonts w:cs="Calibri Light"/>
        </w:rPr>
        <w:t xml:space="preserve">Department of the Treasury (1997) ‘Financial System Inquiry’ (“The Wallis Inquiry”), </w:t>
      </w:r>
      <w:r w:rsidRPr="0000278A">
        <w:rPr>
          <w:rFonts w:cs="Calibri Light"/>
          <w:i/>
        </w:rPr>
        <w:t>Commonwealth Government of Australia</w:t>
      </w:r>
      <w:r w:rsidRPr="0000278A">
        <w:rPr>
          <w:rFonts w:cs="Calibri Light"/>
        </w:rPr>
        <w:t xml:space="preserve">. </w:t>
      </w:r>
      <w:hyperlink r:id="rId121" w:history="1">
        <w:r w:rsidRPr="0000278A">
          <w:rPr>
            <w:rFonts w:cs="Calibri Light"/>
          </w:rPr>
          <w:t>https://treasury.gov.au/publication/p1996-fsi-fr</w:t>
        </w:r>
      </w:hyperlink>
      <w:r w:rsidRPr="0000278A">
        <w:rPr>
          <w:rFonts w:cs="Calibri Light"/>
        </w:rPr>
        <w:t xml:space="preserve"> </w:t>
      </w:r>
    </w:p>
    <w:p w14:paraId="64616DE7" w14:textId="77777777" w:rsidR="00A07A5A" w:rsidRPr="0000278A" w:rsidRDefault="00A07A5A" w:rsidP="00A07A5A">
      <w:pPr>
        <w:tabs>
          <w:tab w:val="left" w:pos="720"/>
        </w:tabs>
        <w:spacing w:line="276" w:lineRule="auto"/>
        <w:rPr>
          <w:rFonts w:cs="Calibri Light"/>
        </w:rPr>
      </w:pPr>
      <w:r w:rsidRPr="0000278A">
        <w:rPr>
          <w:rFonts w:cs="Calibri Light"/>
        </w:rPr>
        <w:t xml:space="preserve">Department of the Treasury (2014) ‘Financial System Inquiry’ (“The Murray Inquiry”), </w:t>
      </w:r>
      <w:r w:rsidRPr="0000278A">
        <w:rPr>
          <w:rFonts w:cs="Calibri Light"/>
          <w:i/>
        </w:rPr>
        <w:t>Commonwealth Government of Australia</w:t>
      </w:r>
      <w:r w:rsidRPr="0000278A">
        <w:rPr>
          <w:rFonts w:cs="Calibri Light"/>
        </w:rPr>
        <w:t xml:space="preserve">. </w:t>
      </w:r>
      <w:hyperlink r:id="rId122" w:history="1">
        <w:r w:rsidRPr="0000278A">
          <w:rPr>
            <w:rFonts w:cs="Calibri Light"/>
          </w:rPr>
          <w:t>https://treasury.gov.au/publication/c2014-fsi-final-report</w:t>
        </w:r>
      </w:hyperlink>
    </w:p>
    <w:p w14:paraId="08C21D6C" w14:textId="77777777" w:rsidR="00A07A5A" w:rsidRPr="0000278A" w:rsidRDefault="00A07A5A" w:rsidP="00A07A5A">
      <w:pPr>
        <w:rPr>
          <w:rFonts w:cs="Calibri Light"/>
        </w:rPr>
      </w:pPr>
      <w:r w:rsidRPr="0000278A">
        <w:rPr>
          <w:rFonts w:cs="Calibri Light"/>
        </w:rPr>
        <w:t xml:space="preserve">Dorich J, Mendes R and Zhang Y (2021) ‘The Bank of Canada’s ‘Horse Race’ of Alternative Monetary Policy Frameworks: Some Interim Results from Model Simulations,’ </w:t>
      </w:r>
      <w:r w:rsidRPr="0000278A">
        <w:rPr>
          <w:rFonts w:cs="Calibri Light"/>
          <w:i/>
        </w:rPr>
        <w:t>Discussion Papers, Bank of Canada</w:t>
      </w:r>
      <w:r w:rsidRPr="0000278A">
        <w:rPr>
          <w:rFonts w:cs="Calibri Light"/>
        </w:rPr>
        <w:t xml:space="preserve">. </w:t>
      </w:r>
      <w:hyperlink r:id="rId123" w:history="1">
        <w:r w:rsidRPr="0000278A">
          <w:rPr>
            <w:rStyle w:val="Hyperlink"/>
            <w:rFonts w:cs="Calibri Light"/>
            <w:color w:val="auto"/>
          </w:rPr>
          <w:t>https://www.bankofcanada.ca/wp-content/uploads/2021/08/sdp2021-13.pdf</w:t>
        </w:r>
      </w:hyperlink>
      <w:r w:rsidRPr="0000278A">
        <w:rPr>
          <w:rFonts w:cs="Calibri Light"/>
        </w:rPr>
        <w:t xml:space="preserve"> </w:t>
      </w:r>
    </w:p>
    <w:p w14:paraId="19EF7E4C" w14:textId="77777777" w:rsidR="00A07A5A" w:rsidRPr="0000278A" w:rsidRDefault="00A07A5A" w:rsidP="00A07A5A">
      <w:pPr>
        <w:rPr>
          <w:rFonts w:cs="Calibri Light"/>
        </w:rPr>
      </w:pPr>
      <w:r w:rsidRPr="0000278A">
        <w:rPr>
          <w:rFonts w:cs="Calibri Light"/>
        </w:rPr>
        <w:t xml:space="preserve">Dwyer J (2022) ‘A Matter of Diversity’, </w:t>
      </w:r>
      <w:r w:rsidRPr="0000278A">
        <w:rPr>
          <w:rFonts w:cs="Calibri Light"/>
          <w:i/>
        </w:rPr>
        <w:t>guest lecture at Macquarie University</w:t>
      </w:r>
      <w:r w:rsidRPr="0000278A">
        <w:rPr>
          <w:rFonts w:cs="Calibri Light"/>
        </w:rPr>
        <w:t xml:space="preserve">, 28 September. </w:t>
      </w:r>
      <w:hyperlink r:id="rId124" w:history="1">
        <w:r w:rsidRPr="0000278A">
          <w:rPr>
            <w:rStyle w:val="Hyperlink"/>
            <w:rFonts w:cs="Calibri Light"/>
            <w:color w:val="auto"/>
          </w:rPr>
          <w:t>https://www.rba.gov.au/speeches/2022/sp-so-2022-09-28.html</w:t>
        </w:r>
      </w:hyperlink>
      <w:r w:rsidRPr="0000278A">
        <w:rPr>
          <w:rFonts w:cs="Calibri Light"/>
        </w:rPr>
        <w:t xml:space="preserve">     </w:t>
      </w:r>
    </w:p>
    <w:p w14:paraId="13CCD6B8" w14:textId="77777777" w:rsidR="00A07A5A" w:rsidRPr="0000278A" w:rsidRDefault="00A07A5A" w:rsidP="00A07A5A">
      <w:pPr>
        <w:rPr>
          <w:rFonts w:cs="Calibri Light"/>
        </w:rPr>
      </w:pPr>
      <w:r w:rsidRPr="0000278A">
        <w:rPr>
          <w:rFonts w:cs="Calibri Light"/>
        </w:rPr>
        <w:t xml:space="preserve">ECB (2021) ‘ECB presents action plan to include climate change considerations in its monetary policy strategy’, </w:t>
      </w:r>
      <w:r w:rsidRPr="0000278A">
        <w:rPr>
          <w:rFonts w:cs="Calibri Light"/>
          <w:i/>
        </w:rPr>
        <w:t>press release</w:t>
      </w:r>
      <w:r w:rsidRPr="0000278A">
        <w:rPr>
          <w:rFonts w:cs="Calibri Light"/>
        </w:rPr>
        <w:t xml:space="preserve">. </w:t>
      </w:r>
      <w:hyperlink r:id="rId125" w:history="1">
        <w:r w:rsidRPr="0000278A">
          <w:rPr>
            <w:rStyle w:val="Hyperlink"/>
            <w:rFonts w:cs="Calibri Light"/>
            <w:color w:val="auto"/>
          </w:rPr>
          <w:t>https://www.ecb.europa.eu/press/pr/date/2021/html/ecb.pr210708_1~f104919225.en.html</w:t>
        </w:r>
      </w:hyperlink>
      <w:r w:rsidRPr="0000278A">
        <w:rPr>
          <w:rFonts w:cs="Calibri Light"/>
        </w:rPr>
        <w:t xml:space="preserve"> </w:t>
      </w:r>
    </w:p>
    <w:p w14:paraId="345611A8" w14:textId="77777777" w:rsidR="00A07A5A" w:rsidRPr="0000278A" w:rsidRDefault="00A07A5A" w:rsidP="00A07A5A">
      <w:pPr>
        <w:rPr>
          <w:rFonts w:cs="Calibri Light"/>
        </w:rPr>
      </w:pPr>
      <w:r w:rsidRPr="0000278A">
        <w:rPr>
          <w:rFonts w:cs="Calibri Light"/>
        </w:rPr>
        <w:t xml:space="preserve">ECB (2021) ‘The ECB’s price stability framework: past experience, and current and future challenges’, </w:t>
      </w:r>
      <w:r w:rsidRPr="0000278A">
        <w:rPr>
          <w:rFonts w:cs="Calibri Light"/>
          <w:i/>
        </w:rPr>
        <w:t>Occasional Paper 269</w:t>
      </w:r>
      <w:r w:rsidRPr="0000278A">
        <w:rPr>
          <w:rFonts w:cs="Calibri Light"/>
        </w:rPr>
        <w:t xml:space="preserve">. </w:t>
      </w:r>
      <w:hyperlink r:id="rId126" w:history="1">
        <w:r w:rsidRPr="0000278A">
          <w:rPr>
            <w:rStyle w:val="Hyperlink"/>
            <w:rFonts w:cs="Calibri Light"/>
            <w:color w:val="auto"/>
          </w:rPr>
          <w:t>https://www.ecb.europa.eu/pub/pdf/scpops/ecb.op269~3f2619ac7a.en.pdf</w:t>
        </w:r>
      </w:hyperlink>
      <w:r w:rsidRPr="0000278A">
        <w:rPr>
          <w:rFonts w:cs="Calibri Light"/>
        </w:rPr>
        <w:t xml:space="preserve"> </w:t>
      </w:r>
    </w:p>
    <w:p w14:paraId="64F03870" w14:textId="77777777" w:rsidR="00A07A5A" w:rsidRPr="0000278A" w:rsidRDefault="00A07A5A" w:rsidP="00A07A5A">
      <w:pPr>
        <w:rPr>
          <w:rFonts w:cs="Calibri Light"/>
        </w:rPr>
      </w:pPr>
      <w:r w:rsidRPr="0000278A">
        <w:rPr>
          <w:rFonts w:cs="Calibri Light"/>
        </w:rPr>
        <w:t xml:space="preserve">Edey M (1997) ‘The Debate on Alternatives for Monetary Policy in Australia,’ </w:t>
      </w:r>
      <w:r w:rsidRPr="0000278A">
        <w:rPr>
          <w:rFonts w:cs="Calibri Light"/>
          <w:i/>
        </w:rPr>
        <w:t>Monetary Policy and Inflation Targeting, Reserve Bank of Australia</w:t>
      </w:r>
      <w:r w:rsidRPr="0000278A">
        <w:rPr>
          <w:rFonts w:cs="Calibri Light"/>
        </w:rPr>
        <w:t xml:space="preserve">. </w:t>
      </w:r>
      <w:hyperlink r:id="rId127" w:history="1">
        <w:r w:rsidRPr="0000278A">
          <w:rPr>
            <w:rStyle w:val="Hyperlink"/>
            <w:rFonts w:cs="Calibri Light"/>
            <w:color w:val="auto"/>
          </w:rPr>
          <w:t>https://www.rba.gov.au/publications/confs/1997/pdf/edey.pdf</w:t>
        </w:r>
      </w:hyperlink>
      <w:r w:rsidRPr="0000278A">
        <w:rPr>
          <w:rFonts w:cs="Calibri Light"/>
        </w:rPr>
        <w:t xml:space="preserve"> </w:t>
      </w:r>
    </w:p>
    <w:p w14:paraId="6EB21BCB" w14:textId="77777777" w:rsidR="00A07A5A" w:rsidRPr="0000278A" w:rsidRDefault="00A07A5A" w:rsidP="00A07A5A">
      <w:pPr>
        <w:rPr>
          <w:rFonts w:cs="Calibri Light"/>
        </w:rPr>
      </w:pPr>
      <w:r w:rsidRPr="0000278A">
        <w:rPr>
          <w:rFonts w:cs="Calibri Light"/>
        </w:rPr>
        <w:t xml:space="preserve">Edey M (2006) ‘An Australian Perspective on Inflation Targeting, Communication and Transparency’, BIS Paper No 31. </w:t>
      </w:r>
      <w:hyperlink r:id="rId128" w:history="1">
        <w:r w:rsidRPr="0000278A">
          <w:rPr>
            <w:rStyle w:val="Hyperlink"/>
            <w:rFonts w:cs="Calibri Light"/>
            <w:color w:val="auto"/>
          </w:rPr>
          <w:t>https://www.bis.org/publ/bppdf/bispap31b.pdf</w:t>
        </w:r>
      </w:hyperlink>
    </w:p>
    <w:p w14:paraId="41E1254B" w14:textId="77777777" w:rsidR="00A07A5A" w:rsidRPr="0000278A" w:rsidRDefault="00A07A5A" w:rsidP="00A07A5A">
      <w:pPr>
        <w:rPr>
          <w:rFonts w:cs="Calibri Light"/>
        </w:rPr>
      </w:pPr>
      <w:r w:rsidRPr="0000278A">
        <w:rPr>
          <w:rFonts w:cs="Calibri Light"/>
        </w:rPr>
        <w:t xml:space="preserve">Ellis L (2019) ‘Watching the Invisibles’, </w:t>
      </w:r>
      <w:r w:rsidRPr="0000278A">
        <w:rPr>
          <w:rFonts w:cs="Calibri Light"/>
          <w:i/>
        </w:rPr>
        <w:t>The 2019 Freebairn Lecture in Public Policy</w:t>
      </w:r>
      <w:r w:rsidRPr="0000278A">
        <w:rPr>
          <w:rFonts w:cs="Calibri Light"/>
        </w:rPr>
        <w:t xml:space="preserve">, University of Melbourne, 12 June. </w:t>
      </w:r>
      <w:hyperlink r:id="rId129">
        <w:r w:rsidRPr="0000278A">
          <w:rPr>
            <w:rStyle w:val="Hyperlink"/>
            <w:rFonts w:cs="Calibri Light"/>
            <w:color w:val="auto"/>
          </w:rPr>
          <w:t>https://www.rba.gov.au/speeches/2019/sp-ag-2019-06-12-2.html</w:t>
        </w:r>
      </w:hyperlink>
    </w:p>
    <w:p w14:paraId="75609379" w14:textId="77777777" w:rsidR="00A07A5A" w:rsidRPr="0000278A" w:rsidRDefault="00A07A5A" w:rsidP="00A07A5A">
      <w:pPr>
        <w:rPr>
          <w:rFonts w:cs="Calibri Light"/>
        </w:rPr>
      </w:pPr>
      <w:r w:rsidRPr="0000278A">
        <w:rPr>
          <w:rFonts w:cs="Calibri Light"/>
        </w:rPr>
        <w:lastRenderedPageBreak/>
        <w:t xml:space="preserve">European Central Bank (2022, December) </w:t>
      </w:r>
      <w:r w:rsidRPr="0000278A">
        <w:rPr>
          <w:rFonts w:cs="Calibri Light"/>
          <w:i/>
        </w:rPr>
        <w:t xml:space="preserve">ECB Organigramme </w:t>
      </w:r>
      <w:r w:rsidRPr="0000278A">
        <w:rPr>
          <w:rFonts w:cs="Calibri Light"/>
        </w:rPr>
        <w:t xml:space="preserve">[Organogram]. </w:t>
      </w:r>
      <w:hyperlink r:id="rId130" w:history="1">
        <w:r w:rsidRPr="0000278A">
          <w:rPr>
            <w:rFonts w:cs="Calibri Light"/>
          </w:rPr>
          <w:t>https://www.ecb.europa.eu/ecb/pdf/orga/ECB_organisational_chart.pdf</w:t>
        </w:r>
      </w:hyperlink>
    </w:p>
    <w:p w14:paraId="15067202" w14:textId="77777777" w:rsidR="00A07A5A" w:rsidRPr="0000278A" w:rsidRDefault="00A07A5A" w:rsidP="00A07A5A">
      <w:pPr>
        <w:rPr>
          <w:rFonts w:cs="Calibri Light"/>
        </w:rPr>
      </w:pPr>
      <w:r w:rsidRPr="0000278A">
        <w:rPr>
          <w:rFonts w:cs="Calibri Light"/>
        </w:rPr>
        <w:t xml:space="preserve">Federal Reserve (2010) ‘Strategies for Targeting Interest Rates Out the Yield Curve’, Internal note. </w:t>
      </w:r>
      <w:hyperlink r:id="rId131" w:history="1">
        <w:r w:rsidRPr="0000278A">
          <w:rPr>
            <w:rStyle w:val="Hyperlink"/>
            <w:rFonts w:cs="Calibri Light"/>
            <w:color w:val="auto"/>
          </w:rPr>
          <w:t>https://www.federalreserve.gov/monetarypolicy/files/FOMC20101013memo08.pdf</w:t>
        </w:r>
      </w:hyperlink>
    </w:p>
    <w:p w14:paraId="335083AE" w14:textId="77777777" w:rsidR="00A07A5A" w:rsidRPr="0000278A" w:rsidRDefault="00A07A5A" w:rsidP="00A07A5A">
      <w:pPr>
        <w:rPr>
          <w:rFonts w:cs="Calibri Light"/>
        </w:rPr>
      </w:pPr>
      <w:r w:rsidRPr="0000278A">
        <w:rPr>
          <w:rStyle w:val="Hyperlink"/>
          <w:rFonts w:cs="Calibri Light"/>
          <w:color w:val="auto"/>
        </w:rPr>
        <w:t xml:space="preserve">Federal Reserve (2020a), ‘Federal Reserve press release’, </w:t>
      </w:r>
      <w:r w:rsidRPr="0000278A">
        <w:rPr>
          <w:rStyle w:val="Hyperlink"/>
          <w:rFonts w:cs="Calibri Light"/>
          <w:i/>
          <w:iCs/>
          <w:color w:val="auto"/>
        </w:rPr>
        <w:t>Federal Open Market Committee meeting statement</w:t>
      </w:r>
      <w:r w:rsidRPr="0000278A">
        <w:rPr>
          <w:rStyle w:val="Hyperlink"/>
          <w:rFonts w:cs="Calibri Light"/>
          <w:color w:val="auto"/>
        </w:rPr>
        <w:t xml:space="preserve">, 16 September. </w:t>
      </w:r>
      <w:hyperlink r:id="rId132" w:history="1">
        <w:r w:rsidRPr="0000278A">
          <w:rPr>
            <w:rStyle w:val="Hyperlink"/>
            <w:rFonts w:cs="Calibri Light"/>
            <w:color w:val="auto"/>
          </w:rPr>
          <w:t>https://www.federalreserve.gov/monetarypolicy/files/monetary20200916a1.pdf</w:t>
        </w:r>
      </w:hyperlink>
    </w:p>
    <w:p w14:paraId="32D87298" w14:textId="77777777" w:rsidR="00A07A5A" w:rsidRPr="0000278A" w:rsidRDefault="00A07A5A" w:rsidP="00A07A5A">
      <w:pPr>
        <w:rPr>
          <w:rFonts w:cs="Calibri Light"/>
        </w:rPr>
      </w:pPr>
      <w:r w:rsidRPr="0000278A">
        <w:rPr>
          <w:rFonts w:cs="Calibri Light"/>
        </w:rPr>
        <w:t>Federal Reserve (2020b) ‘Why does the Federal Reserve aim for inflation of 2 percent over the longer run’</w:t>
      </w:r>
      <w:r w:rsidRPr="0000278A">
        <w:rPr>
          <w:rFonts w:cs="Calibri Light"/>
          <w:i/>
          <w:iCs/>
        </w:rPr>
        <w:t xml:space="preserve">, </w:t>
      </w:r>
      <w:hyperlink r:id="rId133" w:history="1">
        <w:r w:rsidRPr="0000278A">
          <w:rPr>
            <w:rStyle w:val="Hyperlink"/>
            <w:rFonts w:cs="Calibri Light"/>
            <w:color w:val="auto"/>
          </w:rPr>
          <w:t>https://www.federalreserve.gov/faqs/economy_14400.htm</w:t>
        </w:r>
      </w:hyperlink>
      <w:r w:rsidRPr="0000278A">
        <w:rPr>
          <w:rFonts w:cs="Calibri Light"/>
          <w:i/>
          <w:iCs/>
        </w:rPr>
        <w:t xml:space="preserve"> </w:t>
      </w:r>
      <w:r w:rsidRPr="0000278A">
        <w:rPr>
          <w:rFonts w:cs="Calibri Light"/>
        </w:rPr>
        <w:t xml:space="preserve"> </w:t>
      </w:r>
    </w:p>
    <w:p w14:paraId="34B0F687" w14:textId="77777777" w:rsidR="00A07A5A" w:rsidRPr="0000278A" w:rsidRDefault="00A07A5A" w:rsidP="00A07A5A">
      <w:pPr>
        <w:rPr>
          <w:rFonts w:cs="Calibri Light"/>
        </w:rPr>
      </w:pPr>
      <w:r w:rsidRPr="0000278A">
        <w:rPr>
          <w:rFonts w:cs="Calibri Light"/>
        </w:rPr>
        <w:t xml:space="preserve">Federal Reserve (The United States Federal Reserve) (2021) ‘The Fed Explained’ </w:t>
      </w:r>
      <w:r w:rsidRPr="0000278A">
        <w:rPr>
          <w:rFonts w:cs="Calibri Light"/>
          <w:i/>
          <w:iCs/>
        </w:rPr>
        <w:t>Federal Reserve System Publication</w:t>
      </w:r>
      <w:r w:rsidRPr="0000278A">
        <w:rPr>
          <w:rFonts w:cs="Calibri Light"/>
        </w:rPr>
        <w:t xml:space="preserve"> </w:t>
      </w:r>
      <w:hyperlink r:id="rId134" w:history="1">
        <w:r w:rsidRPr="0000278A">
          <w:rPr>
            <w:rStyle w:val="Hyperlink"/>
            <w:rFonts w:cs="Calibri Light"/>
            <w:color w:val="auto"/>
          </w:rPr>
          <w:t>https://www.federalreserve.gov/aboutthefed/files/the-fed-explained.pdf</w:t>
        </w:r>
      </w:hyperlink>
      <w:r w:rsidRPr="0000278A">
        <w:rPr>
          <w:rFonts w:cs="Calibri Light"/>
        </w:rPr>
        <w:t xml:space="preserve"> </w:t>
      </w:r>
    </w:p>
    <w:p w14:paraId="03EE738F" w14:textId="77777777" w:rsidR="00A07A5A" w:rsidRPr="0000278A" w:rsidRDefault="00A07A5A" w:rsidP="00A07A5A">
      <w:pPr>
        <w:rPr>
          <w:rFonts w:cs="Calibri Light"/>
        </w:rPr>
      </w:pPr>
      <w:r w:rsidRPr="0000278A">
        <w:rPr>
          <w:rFonts w:cs="Calibri Light"/>
        </w:rPr>
        <w:t xml:space="preserve">Federal Reserve Bank of New York (2022) ‘Minutes of the Fall 2022 Economic Advisory Panel Meeting’, October. Accessed on 22 February 2023. </w:t>
      </w:r>
      <w:hyperlink r:id="rId135" w:history="1">
        <w:r w:rsidRPr="0000278A">
          <w:rPr>
            <w:rStyle w:val="Hyperlink"/>
            <w:rFonts w:cs="Calibri Light"/>
            <w:color w:val="auto"/>
          </w:rPr>
          <w:t>https://www.newyorkfed.org/medialibrary/media/research/advisory_panel/eap/eap_minutes_october%202022_final.pdf</w:t>
        </w:r>
      </w:hyperlink>
      <w:r w:rsidRPr="0000278A">
        <w:rPr>
          <w:rFonts w:cs="Calibri Light"/>
        </w:rPr>
        <w:t xml:space="preserve"> </w:t>
      </w:r>
    </w:p>
    <w:p w14:paraId="6DD3F89B" w14:textId="77777777" w:rsidR="00A07A5A" w:rsidRPr="0000278A" w:rsidRDefault="00A07A5A" w:rsidP="00A07A5A">
      <w:pPr>
        <w:tabs>
          <w:tab w:val="left" w:pos="720"/>
        </w:tabs>
        <w:spacing w:line="276" w:lineRule="auto"/>
        <w:rPr>
          <w:rFonts w:cs="Calibri Light"/>
        </w:rPr>
      </w:pPr>
      <w:r w:rsidRPr="0000278A">
        <w:rPr>
          <w:rFonts w:cs="Calibri Light"/>
        </w:rPr>
        <w:t xml:space="preserve">Fisher C (2021) ‘Groupthink: what it is and how to avoid it’, </w:t>
      </w:r>
      <w:r w:rsidRPr="0000278A">
        <w:rPr>
          <w:rFonts w:cs="Calibri Light"/>
          <w:i/>
        </w:rPr>
        <w:t>The Conversation.</w:t>
      </w:r>
      <w:r w:rsidRPr="0000278A">
        <w:rPr>
          <w:rFonts w:cs="Calibri Light"/>
        </w:rPr>
        <w:t xml:space="preserve"> </w:t>
      </w:r>
      <w:hyperlink r:id="rId136" w:history="1">
        <w:r w:rsidRPr="0000278A">
          <w:rPr>
            <w:rFonts w:cs="Calibri Light"/>
          </w:rPr>
          <w:t>https://theconversation.com/group-think-what-it-is-and-how-to-avoid-it-161697  </w:t>
        </w:r>
      </w:hyperlink>
    </w:p>
    <w:p w14:paraId="77F55355" w14:textId="77777777" w:rsidR="00A07A5A" w:rsidRPr="0000278A" w:rsidRDefault="00A07A5A" w:rsidP="00A07A5A">
      <w:pPr>
        <w:rPr>
          <w:rFonts w:cs="Calibri Light"/>
        </w:rPr>
      </w:pPr>
      <w:r w:rsidRPr="0000278A">
        <w:rPr>
          <w:rFonts w:cs="Calibri Light"/>
        </w:rPr>
        <w:t xml:space="preserve">Fraser B (1994) ‘Inflation, Current Account Deficits and Unemployment’, </w:t>
      </w:r>
      <w:r w:rsidRPr="0000278A">
        <w:rPr>
          <w:rFonts w:cs="Calibri Light"/>
          <w:i/>
        </w:rPr>
        <w:t>address to the CEDA Annual General Meeting Dinner</w:t>
      </w:r>
      <w:r w:rsidRPr="0000278A">
        <w:rPr>
          <w:rFonts w:cs="Calibri Light"/>
        </w:rPr>
        <w:t xml:space="preserve">, 29 November. </w:t>
      </w:r>
      <w:hyperlink r:id="rId137">
        <w:r w:rsidRPr="0000278A">
          <w:rPr>
            <w:rStyle w:val="Hyperlink"/>
            <w:rFonts w:cs="Calibri Light"/>
            <w:color w:val="auto"/>
          </w:rPr>
          <w:t>https://www.rba.gov.au/speeches/1994/sp-gov-291194.html</w:t>
        </w:r>
      </w:hyperlink>
    </w:p>
    <w:p w14:paraId="198ADBFE" w14:textId="77777777" w:rsidR="00A07A5A" w:rsidRPr="0000278A" w:rsidRDefault="00A07A5A" w:rsidP="00A07A5A">
      <w:pPr>
        <w:rPr>
          <w:rFonts w:cs="Calibri Light"/>
        </w:rPr>
      </w:pPr>
      <w:r w:rsidRPr="0000278A">
        <w:rPr>
          <w:rFonts w:cs="Calibri Light"/>
        </w:rPr>
        <w:t xml:space="preserve">Frisell L, Roszbach K and Spagnolo G (2008, March) ‘Governing the Governors: A Clinical Study of Central Banks’, </w:t>
      </w:r>
      <w:r w:rsidRPr="0000278A">
        <w:rPr>
          <w:rFonts w:cs="Calibri Light"/>
          <w:i/>
        </w:rPr>
        <w:t>Sveriges Riksbank Working Paper Series.</w:t>
      </w:r>
      <w:r w:rsidRPr="0000278A">
        <w:rPr>
          <w:rFonts w:cs="Calibri Light"/>
        </w:rPr>
        <w:t xml:space="preserve"> </w:t>
      </w:r>
      <w:hyperlink r:id="rId138" w:history="1">
        <w:r w:rsidRPr="0000278A">
          <w:rPr>
            <w:rStyle w:val="Hyperlink"/>
            <w:rFonts w:cs="Calibri Light"/>
            <w:color w:val="auto"/>
          </w:rPr>
          <w:t>http://archive.riksbank.se/Upload/Dokument_riksbank/Kat_publicerat/WorkingPapers/2008/wp221.pdf</w:t>
        </w:r>
      </w:hyperlink>
    </w:p>
    <w:p w14:paraId="7F265957" w14:textId="77777777" w:rsidR="00A07A5A" w:rsidRPr="0000278A" w:rsidRDefault="00A07A5A" w:rsidP="00A07A5A">
      <w:pPr>
        <w:spacing w:before="100" w:beforeAutospacing="1" w:after="100" w:afterAutospacing="1"/>
        <w:rPr>
          <w:rFonts w:cs="Calibri Light"/>
        </w:rPr>
      </w:pPr>
      <w:r w:rsidRPr="0000278A">
        <w:rPr>
          <w:rFonts w:cs="Calibri Light"/>
        </w:rPr>
        <w:t xml:space="preserve">Gai P (2023) ‘The Governance of monetary policy – process, structure and international experience’, </w:t>
      </w:r>
      <w:r w:rsidRPr="0000278A">
        <w:rPr>
          <w:rFonts w:cs="Calibri Light"/>
          <w:i/>
        </w:rPr>
        <w:t>paper prepared for the Review</w:t>
      </w:r>
      <w:r w:rsidRPr="0000278A">
        <w:rPr>
          <w:rFonts w:cs="Calibri Light"/>
        </w:rPr>
        <w:t xml:space="preserve">. </w:t>
      </w:r>
      <w:hyperlink r:id="rId139" w:history="1">
        <w:r w:rsidRPr="0000278A">
          <w:rPr>
            <w:rFonts w:cs="Calibri Light"/>
          </w:rPr>
          <w:t>https://rbareview.gov.au/resources</w:t>
        </w:r>
      </w:hyperlink>
    </w:p>
    <w:p w14:paraId="7D3E560A" w14:textId="77777777" w:rsidR="00A07A5A" w:rsidRPr="0000278A" w:rsidRDefault="00A07A5A" w:rsidP="00A07A5A">
      <w:pPr>
        <w:tabs>
          <w:tab w:val="left" w:pos="720"/>
        </w:tabs>
        <w:spacing w:line="276" w:lineRule="auto"/>
        <w:rPr>
          <w:rFonts w:cs="Calibri Light"/>
        </w:rPr>
      </w:pPr>
      <w:r w:rsidRPr="0000278A">
        <w:rPr>
          <w:rFonts w:cs="Calibri Light"/>
        </w:rPr>
        <w:t xml:space="preserve">Gallagher K (2022), ‘Albanese Government’s APS Reform agenda’, </w:t>
      </w:r>
      <w:r w:rsidRPr="0000278A">
        <w:rPr>
          <w:rFonts w:cs="Calibri Light"/>
          <w:i/>
        </w:rPr>
        <w:t>speech at the Institute of Public Administration Australia</w:t>
      </w:r>
      <w:r w:rsidRPr="0000278A">
        <w:rPr>
          <w:rFonts w:cs="Calibri Light"/>
        </w:rPr>
        <w:t xml:space="preserve">, 13 October. </w:t>
      </w:r>
      <w:hyperlink r:id="rId140" w:history="1">
        <w:r w:rsidRPr="0000278A">
          <w:rPr>
            <w:rFonts w:cs="Calibri Light"/>
          </w:rPr>
          <w:t>https://ministers.pmc.gov.au/gallagher/2022/albanese-governments-aps-reform-agenda</w:t>
        </w:r>
      </w:hyperlink>
      <w:r w:rsidRPr="0000278A">
        <w:rPr>
          <w:rFonts w:cs="Calibri Light"/>
        </w:rPr>
        <w:t xml:space="preserve"> </w:t>
      </w:r>
    </w:p>
    <w:p w14:paraId="5B77AC27" w14:textId="77777777" w:rsidR="00A07A5A" w:rsidRPr="0000278A" w:rsidRDefault="00A07A5A" w:rsidP="00A07A5A">
      <w:pPr>
        <w:rPr>
          <w:rFonts w:cs="Calibri Light"/>
        </w:rPr>
      </w:pPr>
      <w:r w:rsidRPr="0000278A">
        <w:rPr>
          <w:rFonts w:cs="Calibri Light"/>
        </w:rPr>
        <w:t>Garvin N, Kearner A and Rosé C (2021) ‘Macroprudential Limits on Mortgage Products: The Australian Experience’,</w:t>
      </w:r>
      <w:r w:rsidRPr="0000278A">
        <w:rPr>
          <w:rFonts w:cs="Calibri Light"/>
          <w:i/>
        </w:rPr>
        <w:t xml:space="preserve"> RBA Research Discussion Paper, </w:t>
      </w:r>
      <w:r w:rsidRPr="0000278A">
        <w:rPr>
          <w:rFonts w:cs="Calibri Light"/>
        </w:rPr>
        <w:t xml:space="preserve">No. 2021-07. </w:t>
      </w:r>
      <w:hyperlink r:id="rId141" w:history="1">
        <w:r w:rsidRPr="0000278A">
          <w:rPr>
            <w:rStyle w:val="Hyperlink"/>
            <w:rFonts w:cs="Calibri Light"/>
            <w:color w:val="auto"/>
          </w:rPr>
          <w:t>https://www.rba.gov.au/publications/rdp/2021/pdf/rdp2021-07.pdf</w:t>
        </w:r>
      </w:hyperlink>
      <w:r w:rsidRPr="0000278A">
        <w:rPr>
          <w:rFonts w:cs="Calibri Light"/>
        </w:rPr>
        <w:t xml:space="preserve"> </w:t>
      </w:r>
    </w:p>
    <w:p w14:paraId="19142B03" w14:textId="77777777" w:rsidR="00A07A5A" w:rsidRPr="0000278A" w:rsidRDefault="00A07A5A" w:rsidP="00A07A5A">
      <w:pPr>
        <w:rPr>
          <w:rFonts w:cs="Calibri Light"/>
        </w:rPr>
      </w:pPr>
      <w:r w:rsidRPr="0000278A">
        <w:rPr>
          <w:rFonts w:cs="Calibri Light"/>
        </w:rPr>
        <w:t xml:space="preserve">Gillitzer C and Simon J (2015) ‘Inflation Targeting: A Victim of Its Own </w:t>
      </w:r>
      <w:bookmarkStart w:id="85" w:name="_Int_4OypEkX8"/>
      <w:r w:rsidRPr="0000278A">
        <w:rPr>
          <w:rFonts w:cs="Calibri Light"/>
        </w:rPr>
        <w:t>Success?,</w:t>
      </w:r>
      <w:bookmarkEnd w:id="85"/>
      <w:r w:rsidRPr="0000278A">
        <w:rPr>
          <w:rFonts w:cs="Calibri Light"/>
        </w:rPr>
        <w:t xml:space="preserve">’ </w:t>
      </w:r>
      <w:r w:rsidRPr="0000278A">
        <w:rPr>
          <w:rFonts w:cs="Calibri Light"/>
          <w:i/>
          <w:iCs/>
        </w:rPr>
        <w:t>RBA</w:t>
      </w:r>
      <w:r w:rsidRPr="0000278A">
        <w:rPr>
          <w:rFonts w:cs="Calibri Light"/>
        </w:rPr>
        <w:t xml:space="preserve"> </w:t>
      </w:r>
      <w:r w:rsidRPr="0000278A">
        <w:rPr>
          <w:rFonts w:cs="Calibri Light"/>
          <w:i/>
        </w:rPr>
        <w:t xml:space="preserve">Research Discussion Paper, </w:t>
      </w:r>
      <w:r w:rsidRPr="0000278A">
        <w:rPr>
          <w:rFonts w:cs="Calibri Light"/>
        </w:rPr>
        <w:t xml:space="preserve">No. 2015-09. </w:t>
      </w:r>
      <w:hyperlink r:id="rId142">
        <w:r w:rsidRPr="0000278A">
          <w:rPr>
            <w:rStyle w:val="Hyperlink"/>
            <w:rFonts w:cs="Calibri Light"/>
            <w:color w:val="auto"/>
          </w:rPr>
          <w:t>https://www.rba.gov.au/publications/rdp/2015/pdf/rdp2015-09.pdf</w:t>
        </w:r>
      </w:hyperlink>
      <w:r w:rsidRPr="0000278A">
        <w:rPr>
          <w:rFonts w:cs="Calibri Light"/>
        </w:rPr>
        <w:t xml:space="preserve"> </w:t>
      </w:r>
    </w:p>
    <w:p w14:paraId="35C2D993" w14:textId="77777777" w:rsidR="00A07A5A" w:rsidRPr="0000278A" w:rsidRDefault="00A07A5A" w:rsidP="00A07A5A">
      <w:pPr>
        <w:rPr>
          <w:rFonts w:cs="Calibri Light"/>
        </w:rPr>
      </w:pPr>
      <w:r w:rsidRPr="0000278A">
        <w:rPr>
          <w:rFonts w:cs="Calibri Light"/>
        </w:rPr>
        <w:t xml:space="preserve">Goldberg J, Klee E, Simpson Prescott E and Wood P (2020) ‘Monetary policy strategies and tools: Financial Stability Considerations,’ </w:t>
      </w:r>
      <w:r w:rsidRPr="0000278A">
        <w:rPr>
          <w:rFonts w:cs="Calibri Light"/>
          <w:i/>
        </w:rPr>
        <w:t>Finance and Economics Discussion Series</w:t>
      </w:r>
      <w:r w:rsidRPr="0000278A">
        <w:rPr>
          <w:rFonts w:cs="Calibri Light"/>
        </w:rPr>
        <w:t xml:space="preserve">, vol. 2020, no. 074, pp. 1–34. </w:t>
      </w:r>
      <w:hyperlink r:id="rId143">
        <w:r w:rsidRPr="0000278A">
          <w:rPr>
            <w:rStyle w:val="Hyperlink"/>
            <w:rFonts w:cs="Calibri Light"/>
            <w:color w:val="auto"/>
          </w:rPr>
          <w:t>https://www.federalreserve.gov/econres/feds/monetary-policy-strategies-and-tools-financial-stability-considerations.htm</w:t>
        </w:r>
      </w:hyperlink>
    </w:p>
    <w:p w14:paraId="0F219AD2" w14:textId="77777777" w:rsidR="00A07A5A" w:rsidRPr="0000278A" w:rsidRDefault="00A07A5A" w:rsidP="00A07A5A">
      <w:pPr>
        <w:spacing w:before="100" w:beforeAutospacing="1" w:after="100" w:afterAutospacing="1"/>
        <w:rPr>
          <w:rFonts w:cs="Calibri Light"/>
        </w:rPr>
      </w:pPr>
      <w:r w:rsidRPr="0000278A">
        <w:rPr>
          <w:rFonts w:cs="Calibri Light"/>
        </w:rPr>
        <w:t xml:space="preserve">Gopinath G (2022) ‘How will the pandemic and war shape future monetary policy?’, </w:t>
      </w:r>
      <w:r w:rsidRPr="0000278A">
        <w:rPr>
          <w:rFonts w:cs="Calibri Light"/>
          <w:i/>
        </w:rPr>
        <w:t xml:space="preserve">Remarks at the Jackson Hole Symposium, </w:t>
      </w:r>
      <w:r w:rsidRPr="0000278A">
        <w:rPr>
          <w:rFonts w:cs="Calibri Light"/>
        </w:rPr>
        <w:t xml:space="preserve">26 August. </w:t>
      </w:r>
      <w:hyperlink r:id="rId144" w:history="1">
        <w:r w:rsidRPr="0000278A">
          <w:rPr>
            <w:rStyle w:val="Hyperlink"/>
            <w:rFonts w:cs="Calibri Light"/>
            <w:color w:val="auto"/>
          </w:rPr>
          <w:t>https://www.imf.org/en/News/Articles/2022/08/26/sp-gita-gopinath-remarks-at-the-jackson-hole-symposium</w:t>
        </w:r>
      </w:hyperlink>
      <w:r w:rsidRPr="0000278A">
        <w:rPr>
          <w:rFonts w:cs="Calibri Light"/>
        </w:rPr>
        <w:t xml:space="preserve"> </w:t>
      </w:r>
    </w:p>
    <w:p w14:paraId="173D2988" w14:textId="77777777" w:rsidR="00A07A5A" w:rsidRPr="0000278A" w:rsidRDefault="00A07A5A" w:rsidP="00A07A5A">
      <w:pPr>
        <w:rPr>
          <w:rFonts w:cs="Calibri Light"/>
        </w:rPr>
      </w:pPr>
      <w:r w:rsidRPr="0000278A">
        <w:rPr>
          <w:rFonts w:cs="Calibri Light"/>
        </w:rPr>
        <w:lastRenderedPageBreak/>
        <w:t xml:space="preserve">Governance Institute of Australia (2015) ‘Creating and disclosing a board skills matrix’, </w:t>
      </w:r>
      <w:r w:rsidRPr="0000278A">
        <w:rPr>
          <w:rFonts w:cs="Calibri Light"/>
          <w:i/>
        </w:rPr>
        <w:t>Good Governance Guides</w:t>
      </w:r>
      <w:r w:rsidRPr="0000278A">
        <w:rPr>
          <w:rFonts w:cs="Calibri Light"/>
        </w:rPr>
        <w:t xml:space="preserve">. </w:t>
      </w:r>
      <w:hyperlink r:id="rId145">
        <w:r w:rsidRPr="0000278A">
          <w:rPr>
            <w:rFonts w:cs="Calibri Light"/>
          </w:rPr>
          <w:t>https://www.asx.com.au/documents/asx-compliance/creating-disclosing-board-skills-matrix.pdf</w:t>
        </w:r>
      </w:hyperlink>
    </w:p>
    <w:p w14:paraId="206F0593" w14:textId="77777777" w:rsidR="00A07A5A" w:rsidRPr="0000278A" w:rsidRDefault="00A07A5A" w:rsidP="00A07A5A">
      <w:pPr>
        <w:spacing w:before="100" w:beforeAutospacing="1" w:after="100" w:afterAutospacing="1"/>
        <w:rPr>
          <w:rFonts w:cs="Calibri Light"/>
          <w:i/>
        </w:rPr>
      </w:pPr>
      <w:r w:rsidRPr="0000278A">
        <w:rPr>
          <w:rFonts w:cs="Calibri Light"/>
        </w:rPr>
        <w:t xml:space="preserve">Gross I (2023) ‘Optimal Monetary Policy Rules for Australia’, </w:t>
      </w:r>
      <w:r w:rsidRPr="0000278A">
        <w:rPr>
          <w:rFonts w:cs="Calibri Light"/>
          <w:i/>
        </w:rPr>
        <w:t>Working Paper</w:t>
      </w:r>
      <w:r w:rsidRPr="0000278A">
        <w:rPr>
          <w:rFonts w:cs="Calibri Light"/>
        </w:rPr>
        <w:t xml:space="preserve">.  </w:t>
      </w:r>
      <w:hyperlink r:id="rId146" w:history="1">
        <w:r w:rsidRPr="0000278A">
          <w:rPr>
            <w:rStyle w:val="Hyperlink"/>
            <w:rFonts w:cs="Calibri Light"/>
            <w:color w:val="auto"/>
          </w:rPr>
          <w:t>https://isaacgrossnet.files.wordpress.com/2023/01/omp_australia_jan2023-1.pdf</w:t>
        </w:r>
      </w:hyperlink>
    </w:p>
    <w:p w14:paraId="5E359099" w14:textId="77777777" w:rsidR="00A07A5A" w:rsidRPr="0000278A" w:rsidRDefault="00A07A5A" w:rsidP="00A07A5A">
      <w:pPr>
        <w:rPr>
          <w:rFonts w:cs="Calibri Light"/>
        </w:rPr>
      </w:pPr>
      <w:r w:rsidRPr="0000278A">
        <w:rPr>
          <w:rFonts w:cs="Calibri Light"/>
        </w:rPr>
        <w:t xml:space="preserve">Gross I and Leigh A (2022) ‘Assessing Australian monetary policy in the Twenty-First Century,’ </w:t>
      </w:r>
      <w:r w:rsidRPr="0000278A">
        <w:rPr>
          <w:rFonts w:cs="Calibri Light"/>
          <w:i/>
        </w:rPr>
        <w:t>Economic Record</w:t>
      </w:r>
      <w:r w:rsidRPr="0000278A">
        <w:rPr>
          <w:rFonts w:cs="Calibri Light"/>
        </w:rPr>
        <w:t xml:space="preserve">, vol. 98, no. 322, pp. 271–295. </w:t>
      </w:r>
      <w:hyperlink r:id="rId147">
        <w:r w:rsidRPr="0000278A">
          <w:rPr>
            <w:rStyle w:val="Hyperlink"/>
            <w:rFonts w:cs="Calibri Light"/>
            <w:color w:val="auto"/>
          </w:rPr>
          <w:t>https://onlinelibrary.wiley.com/doi/epdf/10.1111/1475-4932.12689</w:t>
        </w:r>
      </w:hyperlink>
    </w:p>
    <w:p w14:paraId="47F92043" w14:textId="77777777" w:rsidR="00A07A5A" w:rsidRPr="0000278A" w:rsidRDefault="00A07A5A" w:rsidP="00A07A5A">
      <w:pPr>
        <w:rPr>
          <w:rFonts w:cs="Calibri Light"/>
        </w:rPr>
      </w:pPr>
      <w:r w:rsidRPr="0000278A">
        <w:rPr>
          <w:rFonts w:cs="Calibri Light"/>
        </w:rPr>
        <w:t xml:space="preserve">Gruen D, Robinson T and Stone A (2002) ‘Output Gaps in Real Time: Are They Reliable Enough to Use for Monetary Policy?’, </w:t>
      </w:r>
      <w:r w:rsidRPr="0000278A">
        <w:rPr>
          <w:rFonts w:cs="Calibri Light"/>
          <w:i/>
        </w:rPr>
        <w:t>RBA Research Discussion Paper,</w:t>
      </w:r>
      <w:r w:rsidRPr="0000278A">
        <w:rPr>
          <w:rFonts w:cs="Calibri Light"/>
        </w:rPr>
        <w:t xml:space="preserve"> No. 2002-06. </w:t>
      </w:r>
      <w:hyperlink r:id="rId148" w:history="1">
        <w:r w:rsidRPr="0000278A">
          <w:rPr>
            <w:rStyle w:val="Hyperlink"/>
            <w:rFonts w:cs="Calibri Light"/>
            <w:color w:val="auto"/>
          </w:rPr>
          <w:t>https://www.rba.gov.au/publications/rdp/2002/pdf/rdp2002-06.pdf</w:t>
        </w:r>
      </w:hyperlink>
      <w:r w:rsidRPr="0000278A">
        <w:rPr>
          <w:rFonts w:cs="Calibri Light"/>
        </w:rPr>
        <w:t xml:space="preserve"> </w:t>
      </w:r>
    </w:p>
    <w:p w14:paraId="3B578CA5" w14:textId="77777777" w:rsidR="00A07A5A" w:rsidRPr="0000278A" w:rsidRDefault="00A07A5A" w:rsidP="00A07A5A">
      <w:pPr>
        <w:rPr>
          <w:rFonts w:cs="Calibri Light"/>
        </w:rPr>
      </w:pPr>
      <w:r w:rsidRPr="0000278A">
        <w:rPr>
          <w:rFonts w:cs="Calibri Light"/>
        </w:rPr>
        <w:t xml:space="preserve">Hansen S, McMahon M, and Rivera C (2014) ‘Preferences or private assessments on a monetary policy committee?’, </w:t>
      </w:r>
      <w:r w:rsidRPr="0000278A">
        <w:rPr>
          <w:rFonts w:cs="Calibri Light"/>
          <w:i/>
        </w:rPr>
        <w:t>Journal of Monetary Economics</w:t>
      </w:r>
      <w:r w:rsidRPr="0000278A">
        <w:rPr>
          <w:rFonts w:cs="Calibri Light"/>
        </w:rPr>
        <w:t xml:space="preserve">, 67, 16-32. </w:t>
      </w:r>
      <w:hyperlink r:id="rId149">
        <w:r w:rsidRPr="0000278A">
          <w:rPr>
            <w:rFonts w:cs="Calibri Light"/>
          </w:rPr>
          <w:t>https://sekhansen.github.io/pdf_files/jme_2014.pdf</w:t>
        </w:r>
      </w:hyperlink>
    </w:p>
    <w:p w14:paraId="28BB7BC5" w14:textId="77777777" w:rsidR="00A07A5A" w:rsidRPr="0000278A" w:rsidRDefault="00A07A5A" w:rsidP="00A07A5A">
      <w:pPr>
        <w:rPr>
          <w:rFonts w:cs="Calibri Light"/>
        </w:rPr>
      </w:pPr>
      <w:r w:rsidRPr="0000278A">
        <w:rPr>
          <w:rFonts w:cs="Calibri Light"/>
        </w:rPr>
        <w:t>Hartigan L and Morley J (2018) ‘A Factor Model Analysis of the Effects of Inflation Targeting on the Australian Economy’, in J Simon and M Sutton (eds),</w:t>
      </w:r>
      <w:r w:rsidRPr="0000278A">
        <w:rPr>
          <w:rFonts w:cs="Calibri Light"/>
          <w:i/>
        </w:rPr>
        <w:t xml:space="preserve"> Central Bank Frameworks: Evolution or Revolution</w:t>
      </w:r>
      <w:r w:rsidRPr="0000278A">
        <w:rPr>
          <w:rFonts w:cs="Calibri Light"/>
        </w:rPr>
        <w:t xml:space="preserve">, Proceedings of a Conference, Reserve Bank of Australia, Sydney, pp127-160. </w:t>
      </w:r>
      <w:hyperlink r:id="rId150">
        <w:r w:rsidRPr="0000278A">
          <w:rPr>
            <w:rStyle w:val="Hyperlink"/>
            <w:rFonts w:cs="Calibri Light"/>
            <w:color w:val="auto"/>
          </w:rPr>
          <w:t>https://www.rba.gov.au/publications/confs/2018/pdf/rba-conference-volume-2018.pdf</w:t>
        </w:r>
      </w:hyperlink>
    </w:p>
    <w:p w14:paraId="3B8808A3" w14:textId="77777777" w:rsidR="00A07A5A" w:rsidRPr="0000278A" w:rsidRDefault="00A07A5A" w:rsidP="00A07A5A">
      <w:pPr>
        <w:rPr>
          <w:rStyle w:val="Hyperlink"/>
          <w:rFonts w:cs="Calibri Light"/>
          <w:color w:val="auto"/>
        </w:rPr>
      </w:pPr>
      <w:r w:rsidRPr="0000278A">
        <w:rPr>
          <w:rFonts w:cs="Calibri Light"/>
        </w:rPr>
        <w:t xml:space="preserve">Hebden J, Herbst E, Tang J, Topa G and Winkler F (2020) ‘How robust are makeup strategies to key alternative </w:t>
      </w:r>
      <w:bookmarkStart w:id="86" w:name="_Int_dgcOEIHB"/>
      <w:r w:rsidRPr="0000278A">
        <w:rPr>
          <w:rFonts w:cs="Calibri Light"/>
        </w:rPr>
        <w:t>assumptions?,</w:t>
      </w:r>
      <w:bookmarkEnd w:id="86"/>
      <w:r w:rsidRPr="0000278A">
        <w:rPr>
          <w:rFonts w:cs="Calibri Light"/>
        </w:rPr>
        <w:t xml:space="preserve">’ </w:t>
      </w:r>
      <w:r w:rsidRPr="0000278A">
        <w:rPr>
          <w:rFonts w:cs="Calibri Light"/>
          <w:i/>
        </w:rPr>
        <w:t>Finance and Economics Discussion Series</w:t>
      </w:r>
      <w:r w:rsidRPr="0000278A">
        <w:rPr>
          <w:rFonts w:cs="Calibri Light"/>
        </w:rPr>
        <w:t xml:space="preserve">, vol. 2020, no. 068, pp. 1–42. </w:t>
      </w:r>
      <w:hyperlink r:id="rId151">
        <w:r w:rsidRPr="0000278A">
          <w:rPr>
            <w:rStyle w:val="Hyperlink"/>
            <w:rFonts w:cs="Calibri Light"/>
            <w:color w:val="auto"/>
          </w:rPr>
          <w:t>https://www.federalreserve.gov/econres/feds/how-robust-are-makeup-strategies-to-key-alternative-assumptions.htm</w:t>
        </w:r>
      </w:hyperlink>
    </w:p>
    <w:p w14:paraId="6CC02769" w14:textId="77777777" w:rsidR="00A07A5A" w:rsidRPr="0000278A" w:rsidRDefault="00A07A5A" w:rsidP="00A07A5A">
      <w:pPr>
        <w:rPr>
          <w:rFonts w:cs="Calibri Light"/>
        </w:rPr>
      </w:pPr>
      <w:r w:rsidRPr="0000278A">
        <w:rPr>
          <w:rFonts w:cs="Calibri Light"/>
        </w:rPr>
        <w:t xml:space="preserve">Horvath R, Smidkova K and Zapal J (2012) ‘Central Banks’ Voting Records and Future Policy’, </w:t>
      </w:r>
      <w:r w:rsidRPr="0000278A">
        <w:rPr>
          <w:rFonts w:cs="Calibri Light"/>
          <w:i/>
          <w:iCs/>
        </w:rPr>
        <w:t xml:space="preserve">International Journal of Central Banking. </w:t>
      </w:r>
      <w:hyperlink r:id="rId152" w:history="1">
        <w:r w:rsidRPr="0000278A">
          <w:rPr>
            <w:rStyle w:val="Hyperlink"/>
            <w:rFonts w:cs="Calibri Light"/>
            <w:color w:val="auto"/>
          </w:rPr>
          <w:t>https://www.ijcb.org/journal/ijcb12q4a1.pdf</w:t>
        </w:r>
      </w:hyperlink>
    </w:p>
    <w:p w14:paraId="22B4CAF3" w14:textId="77777777" w:rsidR="00A07A5A" w:rsidRPr="0000278A" w:rsidRDefault="00A07A5A" w:rsidP="00A07A5A">
      <w:pPr>
        <w:rPr>
          <w:rFonts w:cs="Calibri Light"/>
        </w:rPr>
      </w:pPr>
      <w:r w:rsidRPr="0000278A">
        <w:rPr>
          <w:rFonts w:cs="Calibri Light"/>
        </w:rPr>
        <w:t xml:space="preserve">International Monetary Fund (IMF) (1998) ‘The Asian Crisis: Causes and Cures’, IMF Staff Report, 35(2). </w:t>
      </w:r>
      <w:hyperlink r:id="rId153" w:history="1">
        <w:r w:rsidRPr="0000278A">
          <w:rPr>
            <w:rStyle w:val="Hyperlink"/>
            <w:rFonts w:cs="Calibri Light"/>
            <w:color w:val="auto"/>
          </w:rPr>
          <w:t>https://www.imf.org/external/pubs/ft/fandd/1998/06/imfstaff.htm</w:t>
        </w:r>
      </w:hyperlink>
    </w:p>
    <w:p w14:paraId="0CDAA406" w14:textId="77777777" w:rsidR="00A07A5A" w:rsidRPr="0000278A" w:rsidRDefault="00A07A5A" w:rsidP="00A07A5A">
      <w:pPr>
        <w:rPr>
          <w:rFonts w:cs="Calibri Light"/>
        </w:rPr>
      </w:pPr>
      <w:r w:rsidRPr="0000278A">
        <w:rPr>
          <w:rFonts w:cs="Calibri Light"/>
        </w:rPr>
        <w:t xml:space="preserve">IMF (2009) ‘Australia: 2009 Article IV Consultation’, </w:t>
      </w:r>
      <w:r w:rsidRPr="0000278A">
        <w:rPr>
          <w:rFonts w:cs="Calibri Light"/>
          <w:i/>
          <w:iCs/>
        </w:rPr>
        <w:t>Staff Report</w:t>
      </w:r>
      <w:r w:rsidRPr="0000278A">
        <w:rPr>
          <w:rFonts w:cs="Calibri Light"/>
        </w:rPr>
        <w:t xml:space="preserve">. </w:t>
      </w:r>
      <w:hyperlink r:id="rId154" w:history="1">
        <w:r w:rsidRPr="0000278A">
          <w:rPr>
            <w:rStyle w:val="Hyperlink"/>
            <w:rFonts w:cs="Calibri Light"/>
            <w:color w:val="auto"/>
          </w:rPr>
          <w:t>https://www.imf.org/en/Publications/CR/Issues/2016/12/31/Australia-2009-Article-IV-Consultation-Staff-Report-and-Public-Information-Notice-on-the-23179</w:t>
        </w:r>
      </w:hyperlink>
    </w:p>
    <w:p w14:paraId="3AD32231" w14:textId="77777777" w:rsidR="00A07A5A" w:rsidRPr="0000278A" w:rsidRDefault="00A07A5A" w:rsidP="00A07A5A">
      <w:pPr>
        <w:rPr>
          <w:rFonts w:cs="Calibri Light"/>
        </w:rPr>
      </w:pPr>
      <w:r w:rsidRPr="0000278A">
        <w:rPr>
          <w:rFonts w:cs="Calibri Light"/>
        </w:rPr>
        <w:t xml:space="preserve">IMF (2015) ‘Monetary Policy and Financial Stability’, </w:t>
      </w:r>
      <w:r w:rsidRPr="0000278A">
        <w:rPr>
          <w:rFonts w:cs="Calibri Light"/>
          <w:i/>
        </w:rPr>
        <w:t xml:space="preserve">Staff Report, </w:t>
      </w:r>
      <w:r w:rsidRPr="0000278A">
        <w:rPr>
          <w:rFonts w:cs="Calibri Light"/>
        </w:rPr>
        <w:t xml:space="preserve">September. </w:t>
      </w:r>
      <w:hyperlink r:id="rId155">
        <w:r w:rsidRPr="0000278A">
          <w:rPr>
            <w:rStyle w:val="Hyperlink"/>
            <w:rFonts w:cs="Calibri Light"/>
            <w:color w:val="auto"/>
          </w:rPr>
          <w:t>https://www.imf.org/external/np/pp/eng/2015/082815a.pdf</w:t>
        </w:r>
      </w:hyperlink>
    </w:p>
    <w:p w14:paraId="50D38B7D" w14:textId="77777777" w:rsidR="00A07A5A" w:rsidRPr="0000278A" w:rsidRDefault="00A07A5A" w:rsidP="00A07A5A">
      <w:pPr>
        <w:rPr>
          <w:rFonts w:cs="Calibri Light"/>
        </w:rPr>
      </w:pPr>
      <w:r w:rsidRPr="0000278A">
        <w:rPr>
          <w:rFonts w:cs="Calibri Light"/>
        </w:rPr>
        <w:t xml:space="preserve">IMF (2019) ‘Systemic Risk Oversight and Macroprudential Policy’, Financial Sector Assessment Program – </w:t>
      </w:r>
      <w:r w:rsidRPr="0000278A">
        <w:rPr>
          <w:rFonts w:cs="Calibri Light"/>
          <w:i/>
        </w:rPr>
        <w:t>Technical Note.</w:t>
      </w:r>
      <w:r w:rsidRPr="0000278A">
        <w:rPr>
          <w:rFonts w:cs="Calibri Light"/>
        </w:rPr>
        <w:t xml:space="preserve"> </w:t>
      </w:r>
      <w:hyperlink r:id="rId156" w:history="1">
        <w:r w:rsidRPr="0000278A">
          <w:rPr>
            <w:rStyle w:val="Hyperlink"/>
            <w:rFonts w:cs="Calibri Light"/>
            <w:color w:val="auto"/>
          </w:rPr>
          <w:t>https://www.imf.org/</w:t>
        </w:r>
        <w:r w:rsidRPr="0000278A">
          <w:rPr>
            <w:rStyle w:val="Hyperlink"/>
            <w:rFonts w:cs="Calibri Light"/>
            <w:color w:val="auto"/>
          </w:rPr>
          <w:noBreakHyphen/>
          <w:t>/media/Files/Publications/CR/2019/1AUSEA2019003.ashx</w:t>
        </w:r>
      </w:hyperlink>
      <w:r w:rsidRPr="0000278A">
        <w:rPr>
          <w:rFonts w:cs="Calibri Light"/>
          <w:i/>
        </w:rPr>
        <w:t xml:space="preserve"> </w:t>
      </w:r>
    </w:p>
    <w:p w14:paraId="5E9B2482" w14:textId="77777777" w:rsidR="00A07A5A" w:rsidRPr="0000278A" w:rsidRDefault="00A07A5A" w:rsidP="00A07A5A">
      <w:pPr>
        <w:rPr>
          <w:rFonts w:cs="Calibri Light"/>
        </w:rPr>
      </w:pPr>
      <w:r w:rsidRPr="0000278A">
        <w:rPr>
          <w:rFonts w:cs="Calibri Light"/>
        </w:rPr>
        <w:t xml:space="preserve">IMF (2021) ‘Australia: 2021 Article IV Consultation’, </w:t>
      </w:r>
      <w:r w:rsidRPr="0000278A">
        <w:rPr>
          <w:rFonts w:cs="Calibri Light"/>
          <w:i/>
        </w:rPr>
        <w:t>Staff Report</w:t>
      </w:r>
      <w:r w:rsidRPr="0000278A">
        <w:rPr>
          <w:rFonts w:cs="Calibri Light"/>
        </w:rPr>
        <w:t xml:space="preserve">. </w:t>
      </w:r>
      <w:hyperlink r:id="rId157" w:history="1">
        <w:r w:rsidRPr="0000278A">
          <w:rPr>
            <w:rStyle w:val="Hyperlink"/>
            <w:rFonts w:cs="Calibri Light"/>
            <w:color w:val="auto"/>
          </w:rPr>
          <w:t>https://www.imf.org/en/Publications/CR/Issues/2021/12/02/Australia-2021-Article-IV-Consultation-Press-Release-Staff-Report-and-Statement-by-the-510754</w:t>
        </w:r>
      </w:hyperlink>
      <w:r w:rsidRPr="0000278A">
        <w:rPr>
          <w:rFonts w:cs="Calibri Light"/>
        </w:rPr>
        <w:t xml:space="preserve"> </w:t>
      </w:r>
    </w:p>
    <w:p w14:paraId="00D470DD" w14:textId="77777777" w:rsidR="00A07A5A" w:rsidRPr="0000278A" w:rsidRDefault="00A07A5A" w:rsidP="00A07A5A">
      <w:pPr>
        <w:spacing w:before="100" w:beforeAutospacing="1" w:after="100" w:afterAutospacing="1"/>
        <w:rPr>
          <w:rFonts w:cs="Calibri Light"/>
        </w:rPr>
      </w:pPr>
      <w:r w:rsidRPr="0000278A">
        <w:rPr>
          <w:rFonts w:cs="Calibri Light"/>
        </w:rPr>
        <w:t xml:space="preserve">IMF (2022) ‘Global Financial Stability Report’, October. </w:t>
      </w:r>
      <w:hyperlink r:id="rId158" w:history="1">
        <w:r w:rsidRPr="0000278A">
          <w:rPr>
            <w:rStyle w:val="Hyperlink"/>
            <w:rFonts w:cs="Calibri Light"/>
            <w:color w:val="auto"/>
          </w:rPr>
          <w:t>https://www.imf.org/-/media/Files/Publications/GFSR/2022/October/English/text.ashx</w:t>
        </w:r>
      </w:hyperlink>
      <w:r w:rsidRPr="0000278A">
        <w:rPr>
          <w:rFonts w:cs="Calibri Light"/>
        </w:rPr>
        <w:t xml:space="preserve"> </w:t>
      </w:r>
    </w:p>
    <w:p w14:paraId="70FA7565" w14:textId="77777777" w:rsidR="00A07A5A" w:rsidRPr="0000278A" w:rsidRDefault="00A07A5A" w:rsidP="00A07A5A">
      <w:pPr>
        <w:spacing w:before="100" w:beforeAutospacing="1" w:after="100" w:afterAutospacing="1"/>
        <w:rPr>
          <w:rFonts w:cs="Calibri Light"/>
        </w:rPr>
      </w:pPr>
      <w:r w:rsidRPr="0000278A">
        <w:rPr>
          <w:rFonts w:cs="Calibri Light"/>
        </w:rPr>
        <w:t xml:space="preserve">Janis I L (1971) ‘Groupthink’, </w:t>
      </w:r>
      <w:r w:rsidRPr="0000278A">
        <w:rPr>
          <w:rFonts w:cs="Calibri Light"/>
          <w:i/>
          <w:iCs/>
        </w:rPr>
        <w:t xml:space="preserve">Psychology Today Magazine, </w:t>
      </w:r>
      <w:r w:rsidRPr="0000278A">
        <w:rPr>
          <w:rFonts w:cs="Calibri Light"/>
        </w:rPr>
        <w:t xml:space="preserve">Ziff-Davis Publishing Company. </w:t>
      </w:r>
      <w:hyperlink r:id="rId159" w:history="1">
        <w:r w:rsidRPr="0000278A">
          <w:rPr>
            <w:rStyle w:val="Hyperlink"/>
            <w:rFonts w:cs="Calibri Light"/>
            <w:color w:val="auto"/>
          </w:rPr>
          <w:t>https://agcommtheory.pbworks.com/f/GroupThink.pdf</w:t>
        </w:r>
      </w:hyperlink>
      <w:r w:rsidRPr="0000278A">
        <w:rPr>
          <w:rFonts w:cs="Calibri Light"/>
        </w:rPr>
        <w:t xml:space="preserve"> </w:t>
      </w:r>
    </w:p>
    <w:p w14:paraId="53769CDA" w14:textId="77777777" w:rsidR="00A07A5A" w:rsidRPr="0000278A" w:rsidRDefault="00A07A5A" w:rsidP="00A07A5A">
      <w:pPr>
        <w:spacing w:before="100" w:beforeAutospacing="1" w:after="100" w:afterAutospacing="1"/>
        <w:rPr>
          <w:rFonts w:cs="Calibri Light"/>
        </w:rPr>
      </w:pPr>
      <w:r w:rsidRPr="0000278A">
        <w:rPr>
          <w:rFonts w:cs="Calibri Light"/>
        </w:rPr>
        <w:lastRenderedPageBreak/>
        <w:t xml:space="preserve">Jia C and Wu JC (2022) ‘Average Inflation Targeting: Time Inconsistency and Intentional Ambiguity’, </w:t>
      </w:r>
      <w:r w:rsidRPr="0000278A">
        <w:rPr>
          <w:rFonts w:cs="Calibri Light"/>
          <w:i/>
        </w:rPr>
        <w:t>Federal Reserve Bank of Cleveland Working Paper</w:t>
      </w:r>
      <w:r w:rsidRPr="0000278A">
        <w:rPr>
          <w:rFonts w:cs="Calibri Light"/>
        </w:rPr>
        <w:t xml:space="preserve">, 21-19R. </w:t>
      </w:r>
      <w:hyperlink r:id="rId160" w:history="1">
        <w:r w:rsidRPr="0000278A">
          <w:rPr>
            <w:rStyle w:val="Hyperlink"/>
            <w:rFonts w:cs="Calibri Light"/>
            <w:color w:val="auto"/>
          </w:rPr>
          <w:t>https://www.clevelandfed.org/-/media/project/clevelandfedtenant/clevelandfedsite/publications/working-papers/2021/wp-2119-average-inflation-targeting-pdf.pdf?sc_lang=en</w:t>
        </w:r>
      </w:hyperlink>
      <w:r w:rsidRPr="0000278A">
        <w:rPr>
          <w:rFonts w:cs="Calibri Light"/>
        </w:rPr>
        <w:t xml:space="preserve"> </w:t>
      </w:r>
    </w:p>
    <w:p w14:paraId="086C31A3" w14:textId="77777777" w:rsidR="00A07A5A" w:rsidRPr="0000278A" w:rsidRDefault="00A07A5A" w:rsidP="00A07A5A">
      <w:pPr>
        <w:rPr>
          <w:rFonts w:cs="Calibri Light"/>
        </w:rPr>
      </w:pPr>
      <w:r w:rsidRPr="0000278A">
        <w:rPr>
          <w:rFonts w:cs="Calibri Light"/>
          <w:i/>
          <w:iCs/>
        </w:rPr>
        <w:t>Joint Statement of the Government of Canada and the Bank of Canada on the Renewal of the Monetary Policy Framework</w:t>
      </w:r>
      <w:r w:rsidRPr="0000278A">
        <w:rPr>
          <w:rFonts w:cs="Calibri Light"/>
        </w:rPr>
        <w:t xml:space="preserve"> 2022 (Canada) </w:t>
      </w:r>
      <w:hyperlink r:id="rId161" w:history="1">
        <w:r w:rsidRPr="0000278A">
          <w:rPr>
            <w:rStyle w:val="Hyperlink"/>
            <w:rFonts w:cs="Calibri Light"/>
            <w:color w:val="auto"/>
          </w:rPr>
          <w:t>https://www.riksbank.se/globalassets/media/riksbanken/lagar-regler--policy/the-sveriges-riksbank-act-2022_1568.pdf</w:t>
        </w:r>
      </w:hyperlink>
      <w:r w:rsidRPr="0000278A">
        <w:rPr>
          <w:rFonts w:cs="Calibri Light"/>
        </w:rPr>
        <w:t xml:space="preserve"> </w:t>
      </w:r>
    </w:p>
    <w:p w14:paraId="39B8F6E8" w14:textId="77777777" w:rsidR="00A07A5A" w:rsidRPr="0000278A" w:rsidRDefault="00A07A5A" w:rsidP="00A07A5A">
      <w:pPr>
        <w:tabs>
          <w:tab w:val="left" w:pos="720"/>
        </w:tabs>
        <w:spacing w:line="276" w:lineRule="auto"/>
        <w:rPr>
          <w:rFonts w:cs="Calibri Light"/>
        </w:rPr>
      </w:pPr>
      <w:r w:rsidRPr="0000278A">
        <w:rPr>
          <w:rFonts w:cs="Calibri Light"/>
        </w:rPr>
        <w:t xml:space="preserve">Justice Owen in the HIH Royal Commission (2003) ‘The Failure of HIH Insurance Volume 1: A Corporate Collapse and Its Lessons’, </w:t>
      </w:r>
      <w:r w:rsidRPr="0000278A">
        <w:rPr>
          <w:rFonts w:cs="Calibri Light"/>
          <w:i/>
          <w:iCs/>
        </w:rPr>
        <w:t>Commonwealth of Australia</w:t>
      </w:r>
      <w:r w:rsidRPr="0000278A">
        <w:rPr>
          <w:rFonts w:cs="Calibri Light"/>
        </w:rPr>
        <w:t>, page xxxiv. </w:t>
      </w:r>
      <w:hyperlink r:id="rId162" w:history="1">
        <w:r w:rsidRPr="0000278A">
          <w:rPr>
            <w:rFonts w:cs="Calibri Light"/>
          </w:rPr>
          <w:t>https://parlinfo.aph.gov.au/parlInfo/download/publications/tabledpapers/19869/upload_pdf/HPP042016000816.pdf;fileType=application%2Fpdf#search=%22publications/tabledpapers/19869%22</w:t>
        </w:r>
      </w:hyperlink>
    </w:p>
    <w:p w14:paraId="07E50112" w14:textId="77777777" w:rsidR="00A07A5A" w:rsidRPr="0000278A" w:rsidRDefault="00A07A5A" w:rsidP="00A07A5A">
      <w:pPr>
        <w:spacing w:before="100" w:beforeAutospacing="1" w:after="100" w:afterAutospacing="1"/>
        <w:rPr>
          <w:rFonts w:cs="Calibri Light"/>
        </w:rPr>
      </w:pPr>
      <w:r w:rsidRPr="0000278A">
        <w:rPr>
          <w:rFonts w:cs="Calibri Light"/>
        </w:rPr>
        <w:t xml:space="preserve">Kashyap A (2023) ‘Monetary Policy and Financial Stability: Governance Design Considerations’, paper prepared for the Review. </w:t>
      </w:r>
      <w:hyperlink r:id="rId163">
        <w:r w:rsidRPr="0000278A">
          <w:rPr>
            <w:rStyle w:val="Hyperlink"/>
            <w:rFonts w:cs="Calibri Light"/>
            <w:color w:val="auto"/>
          </w:rPr>
          <w:t>https://rbareview.gov.au/resources</w:t>
        </w:r>
      </w:hyperlink>
    </w:p>
    <w:p w14:paraId="7766BA65" w14:textId="77777777" w:rsidR="00A07A5A" w:rsidRPr="0000278A" w:rsidRDefault="00A07A5A" w:rsidP="00A07A5A">
      <w:pPr>
        <w:spacing w:before="100" w:beforeAutospacing="1" w:after="100" w:afterAutospacing="1"/>
        <w:rPr>
          <w:rFonts w:cs="Calibri Light"/>
        </w:rPr>
      </w:pPr>
      <w:r w:rsidRPr="0000278A">
        <w:rPr>
          <w:rFonts w:cs="Calibri Light"/>
        </w:rPr>
        <w:t xml:space="preserve">Kearns J, Major M and Norman D (2021) ‘How risky is Australian household debt?,’ </w:t>
      </w:r>
      <w:r w:rsidRPr="0000278A">
        <w:rPr>
          <w:rFonts w:cs="Calibri Light"/>
          <w:i/>
        </w:rPr>
        <w:t>Australian Economic Review</w:t>
      </w:r>
      <w:r w:rsidRPr="0000278A">
        <w:rPr>
          <w:rFonts w:cs="Calibri Light"/>
        </w:rPr>
        <w:t xml:space="preserve">, vol. 54, no. 3, pp. 313–330. </w:t>
      </w:r>
      <w:hyperlink r:id="rId164" w:history="1">
        <w:r w:rsidRPr="0000278A">
          <w:rPr>
            <w:rStyle w:val="Hyperlink"/>
            <w:rFonts w:cs="Calibri Light"/>
            <w:color w:val="auto"/>
          </w:rPr>
          <w:t>https://</w:t>
        </w:r>
      </w:hyperlink>
      <w:hyperlink r:id="rId165" w:history="1">
        <w:r w:rsidRPr="0000278A">
          <w:rPr>
            <w:rStyle w:val="Hyperlink"/>
            <w:rFonts w:cs="Calibri Light"/>
            <w:color w:val="auto"/>
          </w:rPr>
          <w:t>www.rba.gov.au/publications/rdp/2020/pdf/rdp2020-05.pdf</w:t>
        </w:r>
      </w:hyperlink>
      <w:r w:rsidRPr="0000278A">
        <w:rPr>
          <w:rFonts w:cs="Calibri Light"/>
        </w:rPr>
        <w:t xml:space="preserve"> </w:t>
      </w:r>
    </w:p>
    <w:p w14:paraId="3B09B100" w14:textId="77777777" w:rsidR="00A07A5A" w:rsidRPr="0000278A" w:rsidRDefault="00A07A5A" w:rsidP="00A07A5A">
      <w:pPr>
        <w:pStyle w:val="Bullet"/>
        <w:numPr>
          <w:ilvl w:val="0"/>
          <w:numId w:val="0"/>
        </w:numPr>
        <w:spacing w:after="160" w:line="259" w:lineRule="auto"/>
        <w:rPr>
          <w:rFonts w:cs="Calibri Light"/>
        </w:rPr>
      </w:pPr>
      <w:r w:rsidRPr="0000278A">
        <w:rPr>
          <w:rFonts w:cs="Calibri Light"/>
        </w:rPr>
        <w:t xml:space="preserve">Kengmana B (2021) ‘RAMPed up: RBNZ's Additional Monetary Policy toolkit’, </w:t>
      </w:r>
      <w:r w:rsidRPr="0000278A">
        <w:rPr>
          <w:rFonts w:cs="Calibri Light"/>
          <w:i/>
        </w:rPr>
        <w:t>Reserve Bank of New Zealand Bulletin</w:t>
      </w:r>
      <w:r w:rsidRPr="0000278A">
        <w:rPr>
          <w:rFonts w:cs="Calibri Light"/>
        </w:rPr>
        <w:t>, Vol.84, No. 1.</w:t>
      </w:r>
      <w:hyperlink>
        <w:r w:rsidRPr="0000278A">
          <w:rPr>
            <w:rStyle w:val="Hyperlink"/>
            <w:rFonts w:cs="Calibri Light"/>
            <w:color w:val="auto"/>
          </w:rPr>
          <w:t xml:space="preserve"> https://www.rbnz.govt.nz/-/media/a0f3776c10f64d11ab66c71097cbe0e2.ashx?sc_lang=en</w:t>
        </w:r>
      </w:hyperlink>
    </w:p>
    <w:p w14:paraId="7DD80DA9" w14:textId="77777777" w:rsidR="00A07A5A" w:rsidRPr="0000278A" w:rsidRDefault="00A07A5A" w:rsidP="00A07A5A">
      <w:pPr>
        <w:rPr>
          <w:rFonts w:cs="Calibri Light"/>
        </w:rPr>
      </w:pPr>
      <w:r w:rsidRPr="0000278A">
        <w:rPr>
          <w:rFonts w:cs="Calibri Light"/>
        </w:rPr>
        <w:t xml:space="preserve">Kennedy S (2022) </w:t>
      </w:r>
      <w:r w:rsidRPr="0000278A">
        <w:rPr>
          <w:rFonts w:cs="Calibri Light"/>
          <w:i/>
          <w:iCs/>
        </w:rPr>
        <w:t>A tale of two crises: reflections on macroeconomic policy responses to the GFC and the pandemic</w:t>
      </w:r>
      <w:r w:rsidRPr="0000278A">
        <w:rPr>
          <w:rFonts w:cs="Calibri Light"/>
        </w:rPr>
        <w:t xml:space="preserve">, Sir Leslie Melville Lecture 2022, 27 July. </w:t>
      </w:r>
      <w:hyperlink r:id="rId166" w:history="1">
        <w:r w:rsidRPr="0000278A">
          <w:rPr>
            <w:rFonts w:cs="Calibri Light"/>
          </w:rPr>
          <w:t>https://cbe.anu.edu.au/events/public-lecture-recordings/steven-kennedy-sir-leslie-melville-lecture-2022</w:t>
        </w:r>
      </w:hyperlink>
    </w:p>
    <w:p w14:paraId="6491033B" w14:textId="77777777" w:rsidR="00A07A5A" w:rsidRPr="0000278A" w:rsidRDefault="00A07A5A" w:rsidP="00A07A5A">
      <w:pPr>
        <w:rPr>
          <w:rFonts w:cs="Calibri Light"/>
        </w:rPr>
      </w:pPr>
      <w:r w:rsidRPr="0000278A">
        <w:rPr>
          <w:rFonts w:cs="Calibri Light"/>
        </w:rPr>
        <w:t xml:space="preserve">Kirchner S (2021) ‘Reforming Australian monetary policy: How nominal income targeting can help get the Reserve Bank back on track,’ </w:t>
      </w:r>
      <w:r w:rsidRPr="0000278A">
        <w:rPr>
          <w:rFonts w:cs="Calibri Light"/>
          <w:i/>
        </w:rPr>
        <w:t>SSRN Electronic Journal</w:t>
      </w:r>
      <w:r w:rsidRPr="0000278A">
        <w:rPr>
          <w:rFonts w:cs="Calibri Light"/>
        </w:rPr>
        <w:t xml:space="preserve">. </w:t>
      </w:r>
      <w:hyperlink r:id="rId167" w:history="1">
        <w:r w:rsidRPr="0000278A">
          <w:rPr>
            <w:rStyle w:val="Hyperlink"/>
            <w:rFonts w:cs="Calibri Light"/>
            <w:color w:val="auto"/>
          </w:rPr>
          <w:t>https://papers.ssrn.com/sol3/Delivery.cfm/SSRN_ID3777444_code2715209.pdf?abstractid=3777444&amp;mirid=1</w:t>
        </w:r>
      </w:hyperlink>
      <w:r w:rsidRPr="0000278A">
        <w:rPr>
          <w:rFonts w:cs="Calibri Light"/>
        </w:rPr>
        <w:t xml:space="preserve"> </w:t>
      </w:r>
    </w:p>
    <w:p w14:paraId="2A35CB92" w14:textId="77777777" w:rsidR="00A07A5A" w:rsidRPr="0000278A" w:rsidRDefault="00A07A5A" w:rsidP="00A07A5A">
      <w:pPr>
        <w:rPr>
          <w:rFonts w:cs="Calibri Light"/>
        </w:rPr>
      </w:pPr>
      <w:r w:rsidRPr="0000278A">
        <w:rPr>
          <w:rFonts w:cs="Calibri Light"/>
        </w:rPr>
        <w:t xml:space="preserve">Kostyshyna O, Petersen L and Yang J (2022) ‘A horse race of monetary policy regimes: An experimental investigation,’ </w:t>
      </w:r>
      <w:r w:rsidRPr="0000278A">
        <w:rPr>
          <w:rFonts w:cs="Calibri Light"/>
          <w:i/>
        </w:rPr>
        <w:t>NBER Working Papers</w:t>
      </w:r>
      <w:r w:rsidRPr="0000278A">
        <w:rPr>
          <w:rFonts w:cs="Calibri Light"/>
        </w:rPr>
        <w:t xml:space="preserve">.  </w:t>
      </w:r>
      <w:hyperlink r:id="rId168" w:history="1">
        <w:r w:rsidRPr="0000278A">
          <w:rPr>
            <w:rStyle w:val="Hyperlink"/>
            <w:rFonts w:cs="Calibri Light"/>
            <w:color w:val="auto"/>
          </w:rPr>
          <w:t>https://ideas.repec.org/p/bca/bocawp/22-33.html</w:t>
        </w:r>
      </w:hyperlink>
      <w:r w:rsidRPr="0000278A">
        <w:rPr>
          <w:rFonts w:cs="Calibri Light"/>
        </w:rPr>
        <w:t xml:space="preserve"> </w:t>
      </w:r>
    </w:p>
    <w:p w14:paraId="6CCF7169" w14:textId="77777777" w:rsidR="00A07A5A" w:rsidRPr="0000278A" w:rsidRDefault="00A07A5A" w:rsidP="00A07A5A">
      <w:pPr>
        <w:rPr>
          <w:rFonts w:cs="Calibri Light"/>
          <w:b/>
        </w:rPr>
      </w:pPr>
      <w:r w:rsidRPr="0000278A">
        <w:rPr>
          <w:rFonts w:cs="Calibri Light"/>
        </w:rPr>
        <w:t xml:space="preserve">Krueger AB and Mueller AI (2012) ‘Time use, emotional well-being, and unemployment: Evidence from Longitudinal Data,’ </w:t>
      </w:r>
      <w:r w:rsidRPr="0000278A">
        <w:rPr>
          <w:rFonts w:cs="Calibri Light"/>
          <w:i/>
        </w:rPr>
        <w:t>American Economic Review</w:t>
      </w:r>
      <w:r w:rsidRPr="0000278A">
        <w:rPr>
          <w:rFonts w:cs="Calibri Light"/>
        </w:rPr>
        <w:t xml:space="preserve">, vol. 102, no. 3, pp. 594–599. </w:t>
      </w:r>
      <w:hyperlink r:id="rId169" w:history="1">
        <w:r w:rsidRPr="0000278A">
          <w:rPr>
            <w:rStyle w:val="Hyperlink"/>
            <w:rFonts w:cs="Calibri Light"/>
            <w:color w:val="auto"/>
          </w:rPr>
          <w:t>https://www.aeaweb.org/articles/pdf/doi/10.1257/aer.102.3.594</w:t>
        </w:r>
      </w:hyperlink>
      <w:r w:rsidRPr="0000278A">
        <w:rPr>
          <w:rFonts w:cs="Calibri Light"/>
        </w:rPr>
        <w:t xml:space="preserve"> </w:t>
      </w:r>
    </w:p>
    <w:p w14:paraId="6D3EAD06" w14:textId="77777777" w:rsidR="00A07A5A" w:rsidRPr="0000278A" w:rsidRDefault="00A07A5A" w:rsidP="00A07A5A">
      <w:pPr>
        <w:rPr>
          <w:rFonts w:cs="Calibri Light"/>
        </w:rPr>
      </w:pPr>
      <w:r w:rsidRPr="0000278A">
        <w:rPr>
          <w:rFonts w:cs="Calibri Light"/>
        </w:rPr>
        <w:t xml:space="preserve">Kulish M (2020) ‘Price-level targeting: how inflation-focused central banks can squeeze more from interest rates’, </w:t>
      </w:r>
      <w:r w:rsidRPr="0000278A">
        <w:rPr>
          <w:rFonts w:cs="Calibri Light"/>
          <w:i/>
        </w:rPr>
        <w:t>The Conversation.</w:t>
      </w:r>
      <w:r w:rsidRPr="0000278A">
        <w:rPr>
          <w:rFonts w:cs="Calibri Light"/>
        </w:rPr>
        <w:t xml:space="preserve"> </w:t>
      </w:r>
      <w:hyperlink r:id="rId170" w:history="1">
        <w:r w:rsidRPr="0000278A">
          <w:rPr>
            <w:rStyle w:val="Hyperlink"/>
            <w:rFonts w:cs="Calibri Light"/>
            <w:color w:val="auto"/>
          </w:rPr>
          <w:t>https://theconversation.com/price-level-targeting-how-inflation-focused-central-banks-can-squeeze-more-from-interest-rates-127100</w:t>
        </w:r>
      </w:hyperlink>
    </w:p>
    <w:p w14:paraId="18809DF7" w14:textId="77777777" w:rsidR="00A07A5A" w:rsidRPr="0000278A" w:rsidRDefault="00A07A5A" w:rsidP="00A07A5A">
      <w:pPr>
        <w:rPr>
          <w:rFonts w:cs="Calibri Light"/>
        </w:rPr>
      </w:pPr>
      <w:r w:rsidRPr="0000278A">
        <w:rPr>
          <w:rFonts w:cs="Calibri Light"/>
        </w:rPr>
        <w:t xml:space="preserve">Leeper EM (2023) ‘Monetary-Fiscal Policy Interactions for Central Bankers’, </w:t>
      </w:r>
      <w:r w:rsidRPr="0000278A">
        <w:rPr>
          <w:rFonts w:cs="Calibri Light"/>
          <w:i/>
        </w:rPr>
        <w:t>paper prepared for the Review</w:t>
      </w:r>
      <w:r w:rsidRPr="0000278A">
        <w:rPr>
          <w:rFonts w:cs="Calibri Light"/>
        </w:rPr>
        <w:t xml:space="preserve">. </w:t>
      </w:r>
      <w:hyperlink r:id="rId171">
        <w:r w:rsidRPr="0000278A">
          <w:rPr>
            <w:rStyle w:val="Hyperlink"/>
            <w:rFonts w:cs="Calibri Light"/>
            <w:color w:val="auto"/>
          </w:rPr>
          <w:t>https://rbareview.gov.au/resources</w:t>
        </w:r>
      </w:hyperlink>
    </w:p>
    <w:p w14:paraId="1938DE08" w14:textId="77777777" w:rsidR="00A07A5A" w:rsidRPr="0000278A" w:rsidRDefault="00A07A5A" w:rsidP="00A07A5A">
      <w:pPr>
        <w:spacing w:before="100" w:beforeAutospacing="1" w:after="100" w:afterAutospacing="1"/>
        <w:rPr>
          <w:rFonts w:cs="Calibri Light"/>
        </w:rPr>
      </w:pPr>
      <w:r w:rsidRPr="0000278A">
        <w:rPr>
          <w:rFonts w:cs="Calibri Light"/>
        </w:rPr>
        <w:t xml:space="preserve">Levin A (2023) ‘Principles &amp; Practical Recommendations for Strengthening the Governance and Accountability of the Reserve Bank of Australia’, </w:t>
      </w:r>
      <w:r w:rsidRPr="0000278A">
        <w:rPr>
          <w:rFonts w:cs="Calibri Light"/>
          <w:i/>
        </w:rPr>
        <w:t>paper prepared for the Review</w:t>
      </w:r>
      <w:r w:rsidRPr="0000278A">
        <w:rPr>
          <w:rFonts w:cs="Calibri Light"/>
        </w:rPr>
        <w:t xml:space="preserve">. </w:t>
      </w:r>
      <w:hyperlink r:id="rId172">
        <w:r w:rsidRPr="0000278A">
          <w:rPr>
            <w:rStyle w:val="Hyperlink"/>
            <w:rFonts w:cs="Calibri Light"/>
            <w:color w:val="auto"/>
          </w:rPr>
          <w:t>https://rbareview.gov.au/resources</w:t>
        </w:r>
      </w:hyperlink>
    </w:p>
    <w:p w14:paraId="35AA8F74" w14:textId="77777777" w:rsidR="00A07A5A" w:rsidRPr="0000278A" w:rsidRDefault="00A07A5A" w:rsidP="00A07A5A">
      <w:pPr>
        <w:pStyle w:val="Bullet"/>
        <w:numPr>
          <w:ilvl w:val="0"/>
          <w:numId w:val="0"/>
        </w:numPr>
        <w:spacing w:after="160" w:line="259" w:lineRule="auto"/>
        <w:rPr>
          <w:rFonts w:cs="Calibri Light"/>
        </w:rPr>
      </w:pPr>
      <w:r w:rsidRPr="0000278A">
        <w:rPr>
          <w:rFonts w:cs="Calibri Light"/>
        </w:rPr>
        <w:lastRenderedPageBreak/>
        <w:t xml:space="preserve">Levin A, Lu B and Nelson W (2022) ‘Quantifying the Costs and Benefits of Quantitative Easing’, </w:t>
      </w:r>
      <w:r w:rsidRPr="0000278A">
        <w:rPr>
          <w:rFonts w:cs="Calibri Light"/>
          <w:i/>
        </w:rPr>
        <w:t>National Bureau of Economic Research Working Paper 30749</w:t>
      </w:r>
      <w:r w:rsidRPr="0000278A">
        <w:rPr>
          <w:rFonts w:cs="Calibri Light"/>
        </w:rPr>
        <w:t xml:space="preserve">, December. </w:t>
      </w:r>
      <w:hyperlink r:id="rId173">
        <w:r w:rsidRPr="0000278A">
          <w:rPr>
            <w:rStyle w:val="Hyperlink"/>
            <w:rFonts w:cs="Calibri Light"/>
            <w:color w:val="auto"/>
          </w:rPr>
          <w:t>https://www.nber.org/papers/w30749</w:t>
        </w:r>
      </w:hyperlink>
    </w:p>
    <w:p w14:paraId="6B4E37F8" w14:textId="77777777" w:rsidR="00A07A5A" w:rsidRPr="0000278A" w:rsidRDefault="00A07A5A" w:rsidP="00A07A5A">
      <w:pPr>
        <w:spacing w:before="100" w:beforeAutospacing="1" w:after="100" w:afterAutospacing="1"/>
        <w:rPr>
          <w:rFonts w:cs="Calibri Light"/>
          <w:i/>
        </w:rPr>
      </w:pPr>
      <w:r w:rsidRPr="0000278A">
        <w:rPr>
          <w:rFonts w:cs="Calibri Light"/>
        </w:rPr>
        <w:t xml:space="preserve">Lockyer T (2022) ‘The optimal level of the inflation target’, </w:t>
      </w:r>
      <w:r w:rsidRPr="0000278A">
        <w:rPr>
          <w:rFonts w:cs="Calibri Light"/>
          <w:i/>
        </w:rPr>
        <w:t>RBNZ.</w:t>
      </w:r>
      <w:r w:rsidRPr="0000278A">
        <w:rPr>
          <w:rFonts w:cs="Calibri Light"/>
        </w:rPr>
        <w:t xml:space="preserve"> </w:t>
      </w:r>
      <w:hyperlink r:id="rId174" w:history="1">
        <w:r w:rsidRPr="0000278A">
          <w:rPr>
            <w:rStyle w:val="Hyperlink"/>
            <w:rFonts w:cs="Calibri Light"/>
            <w:color w:val="auto"/>
          </w:rPr>
          <w:t>https://www.rbnz.govt.nz/-/media/project/sites/rbnz/files/monetary-policy/about-monetary-policy/optimal-level-of-the-inflation-target.pdf</w:t>
        </w:r>
      </w:hyperlink>
      <w:r w:rsidRPr="0000278A">
        <w:rPr>
          <w:rFonts w:cs="Calibri Light"/>
          <w:i/>
        </w:rPr>
        <w:t xml:space="preserve"> </w:t>
      </w:r>
    </w:p>
    <w:p w14:paraId="32C61556" w14:textId="77777777" w:rsidR="00A07A5A" w:rsidRPr="0000278A" w:rsidRDefault="00A07A5A" w:rsidP="00A07A5A">
      <w:pPr>
        <w:pStyle w:val="Bullet"/>
        <w:numPr>
          <w:ilvl w:val="0"/>
          <w:numId w:val="0"/>
        </w:numPr>
        <w:spacing w:after="160" w:line="259" w:lineRule="auto"/>
        <w:rPr>
          <w:rFonts w:cs="Calibri Light"/>
          <w:i/>
        </w:rPr>
      </w:pPr>
      <w:r w:rsidRPr="0000278A">
        <w:rPr>
          <w:rFonts w:cs="Calibri Light"/>
        </w:rPr>
        <w:t xml:space="preserve">Lowe P (2017) ‘Household Debt, Housing Prices and Resilience’, </w:t>
      </w:r>
      <w:r w:rsidRPr="0000278A">
        <w:rPr>
          <w:rFonts w:cs="Calibri Light"/>
          <w:i/>
        </w:rPr>
        <w:t>address to the Economic Society of Australia (Qld) Business Lunch</w:t>
      </w:r>
      <w:r w:rsidRPr="0000278A">
        <w:rPr>
          <w:rFonts w:cs="Calibri Light"/>
        </w:rPr>
        <w:t xml:space="preserve">, Brisbane, 4 May. </w:t>
      </w:r>
      <w:hyperlink r:id="rId175">
        <w:r w:rsidRPr="0000278A">
          <w:rPr>
            <w:rStyle w:val="Hyperlink"/>
            <w:rFonts w:cs="Calibri Light"/>
            <w:color w:val="auto"/>
          </w:rPr>
          <w:t>https://www.rba.gov.au/speeches/2017/sp-gov-2017-05-04.html</w:t>
        </w:r>
      </w:hyperlink>
    </w:p>
    <w:p w14:paraId="742D61FA" w14:textId="77777777" w:rsidR="00A07A5A" w:rsidRPr="0000278A" w:rsidRDefault="00A07A5A" w:rsidP="00A07A5A">
      <w:pPr>
        <w:spacing w:before="100" w:beforeAutospacing="1" w:after="100" w:afterAutospacing="1"/>
        <w:rPr>
          <w:rFonts w:cs="Calibri Light"/>
        </w:rPr>
      </w:pPr>
      <w:r w:rsidRPr="0000278A">
        <w:rPr>
          <w:rFonts w:cs="Calibri Light"/>
        </w:rPr>
        <w:t>Lowe P (2019) ‘Inflation targeting and economic welfare’, a</w:t>
      </w:r>
      <w:r w:rsidRPr="0000278A">
        <w:rPr>
          <w:rFonts w:cs="Calibri Light"/>
          <w:i/>
        </w:rPr>
        <w:t xml:space="preserve">ddress to Anika Foundation Luncheon Supported by NAB and the ABE, </w:t>
      </w:r>
      <w:r w:rsidRPr="0000278A">
        <w:rPr>
          <w:rFonts w:cs="Calibri Light"/>
        </w:rPr>
        <w:t xml:space="preserve">25 July. </w:t>
      </w:r>
      <w:hyperlink r:id="rId176" w:history="1">
        <w:r w:rsidRPr="0000278A">
          <w:rPr>
            <w:rStyle w:val="Hyperlink"/>
            <w:rFonts w:cs="Calibri Light"/>
            <w:color w:val="auto"/>
          </w:rPr>
          <w:t>https://www.rba.gov.au/speeches/2019/sp-gov-2019-07-25.html</w:t>
        </w:r>
      </w:hyperlink>
      <w:r w:rsidRPr="0000278A">
        <w:rPr>
          <w:rFonts w:cs="Calibri Light"/>
        </w:rPr>
        <w:t xml:space="preserve"> </w:t>
      </w:r>
    </w:p>
    <w:p w14:paraId="0C149694" w14:textId="77777777" w:rsidR="00A07A5A" w:rsidRPr="0000278A" w:rsidRDefault="00A07A5A" w:rsidP="00A07A5A">
      <w:pPr>
        <w:pStyle w:val="Bullet"/>
        <w:numPr>
          <w:ilvl w:val="0"/>
          <w:numId w:val="0"/>
        </w:numPr>
        <w:spacing w:after="160" w:line="259" w:lineRule="auto"/>
        <w:rPr>
          <w:rFonts w:cs="Calibri Light"/>
        </w:rPr>
      </w:pPr>
      <w:r w:rsidRPr="0000278A">
        <w:rPr>
          <w:rFonts w:cs="Calibri Light"/>
        </w:rPr>
        <w:t xml:space="preserve">Lowe P (2020a) ‘Responding to the Economic and Financial Impact of COVID-19’, </w:t>
      </w:r>
      <w:r w:rsidRPr="0000278A">
        <w:rPr>
          <w:rFonts w:cs="Calibri Light"/>
          <w:i/>
          <w:iCs/>
        </w:rPr>
        <w:t>transcript of Question &amp; Answer Session</w:t>
      </w:r>
      <w:r w:rsidRPr="0000278A">
        <w:rPr>
          <w:rFonts w:cs="Calibri Light"/>
        </w:rPr>
        <w:t xml:space="preserve">, 19 March. </w:t>
      </w:r>
      <w:hyperlink r:id="rId177" w:history="1">
        <w:r w:rsidRPr="0000278A">
          <w:rPr>
            <w:rStyle w:val="Hyperlink"/>
            <w:rFonts w:cs="Calibri Light"/>
            <w:color w:val="auto"/>
          </w:rPr>
          <w:t>https://www.rba.gov.au/speeches/2020/sp-gov-2020-03-19-q-and-a-transcript.html</w:t>
        </w:r>
      </w:hyperlink>
      <w:r w:rsidRPr="0000278A">
        <w:rPr>
          <w:rFonts w:cs="Calibri Light"/>
        </w:rPr>
        <w:t xml:space="preserve">  </w:t>
      </w:r>
    </w:p>
    <w:p w14:paraId="0CE16ED4" w14:textId="77777777" w:rsidR="00A07A5A" w:rsidRPr="0000278A" w:rsidRDefault="00A07A5A" w:rsidP="00A07A5A">
      <w:pPr>
        <w:pStyle w:val="Bullet"/>
        <w:numPr>
          <w:ilvl w:val="0"/>
          <w:numId w:val="0"/>
        </w:numPr>
        <w:spacing w:after="160" w:line="259" w:lineRule="auto"/>
        <w:rPr>
          <w:rStyle w:val="Hyperlink"/>
          <w:rFonts w:cs="Calibri Light"/>
          <w:color w:val="auto"/>
        </w:rPr>
      </w:pPr>
      <w:r w:rsidRPr="0000278A">
        <w:rPr>
          <w:rFonts w:cs="Calibri Light"/>
        </w:rPr>
        <w:t>Lowe P (2020b) ‘</w:t>
      </w:r>
      <w:r w:rsidRPr="0000278A">
        <w:rPr>
          <w:rFonts w:eastAsiaTheme="minorEastAsia" w:cs="Calibri Light"/>
          <w:lang w:eastAsia="en-US"/>
        </w:rPr>
        <w:t>The Recovery from a Very Uneven Recession</w:t>
      </w:r>
      <w:r w:rsidRPr="0000278A">
        <w:rPr>
          <w:rFonts w:cs="Calibri Light"/>
        </w:rPr>
        <w:t xml:space="preserve">’, </w:t>
      </w:r>
      <w:r w:rsidRPr="0000278A">
        <w:rPr>
          <w:rFonts w:cs="Calibri Light"/>
          <w:i/>
        </w:rPr>
        <w:t>address to Citi’s 12th Annual Australian and New Zealand Investment Conference</w:t>
      </w:r>
      <w:r w:rsidRPr="0000278A">
        <w:rPr>
          <w:rFonts w:cs="Calibri Light"/>
        </w:rPr>
        <w:t>, Sydney, 15 October. </w:t>
      </w:r>
      <w:hyperlink r:id="rId178">
        <w:r w:rsidRPr="0000278A">
          <w:rPr>
            <w:rStyle w:val="Hyperlink"/>
            <w:rFonts w:cs="Calibri Light"/>
            <w:color w:val="auto"/>
          </w:rPr>
          <w:t>https://www.rba.gov.au/speeches/2020/sp-gov-2020-10-15.html</w:t>
        </w:r>
      </w:hyperlink>
    </w:p>
    <w:p w14:paraId="3F65844C" w14:textId="77777777" w:rsidR="00A07A5A" w:rsidRPr="0000278A" w:rsidRDefault="00A07A5A" w:rsidP="00A07A5A">
      <w:pPr>
        <w:pStyle w:val="Bullet"/>
        <w:numPr>
          <w:ilvl w:val="0"/>
          <w:numId w:val="0"/>
        </w:numPr>
        <w:spacing w:after="160"/>
        <w:rPr>
          <w:rStyle w:val="Hyperlink"/>
          <w:rFonts w:cs="Calibri Light"/>
          <w:color w:val="auto"/>
        </w:rPr>
      </w:pPr>
      <w:r w:rsidRPr="0000278A">
        <w:rPr>
          <w:rStyle w:val="Hyperlink"/>
          <w:rFonts w:cs="Calibri Light"/>
          <w:color w:val="auto"/>
        </w:rPr>
        <w:t xml:space="preserve">Lowe P (2021a), ‘Today’s Monetary Policy Decision’, </w:t>
      </w:r>
      <w:r w:rsidRPr="0000278A">
        <w:rPr>
          <w:rFonts w:cs="Calibri Light"/>
          <w:i/>
          <w:iCs/>
        </w:rPr>
        <w:t>transcript of Question &amp; Answer Session</w:t>
      </w:r>
      <w:r w:rsidRPr="0000278A">
        <w:rPr>
          <w:rFonts w:cs="Calibri Light"/>
        </w:rPr>
        <w:t xml:space="preserve">, 2 November. </w:t>
      </w:r>
      <w:hyperlink r:id="rId179" w:history="1">
        <w:r w:rsidRPr="0000278A">
          <w:rPr>
            <w:rStyle w:val="Hyperlink"/>
            <w:rFonts w:cs="Calibri Light"/>
            <w:color w:val="auto"/>
          </w:rPr>
          <w:t>https://www.rba.gov.au/speeches/2021/sp-gov-2021-11-02-q-and-a-transcript.html</w:t>
        </w:r>
      </w:hyperlink>
      <w:r w:rsidRPr="0000278A">
        <w:rPr>
          <w:rFonts w:cs="Calibri Light"/>
        </w:rPr>
        <w:t xml:space="preserve"> </w:t>
      </w:r>
    </w:p>
    <w:p w14:paraId="349123D0" w14:textId="77777777" w:rsidR="00A07A5A" w:rsidRPr="0000278A" w:rsidRDefault="00A07A5A" w:rsidP="00A07A5A">
      <w:pPr>
        <w:pStyle w:val="Bullet"/>
        <w:numPr>
          <w:ilvl w:val="0"/>
          <w:numId w:val="0"/>
        </w:numPr>
        <w:spacing w:after="160"/>
        <w:rPr>
          <w:rFonts w:cs="Calibri Light"/>
          <w:b/>
          <w:bCs/>
        </w:rPr>
      </w:pPr>
      <w:r w:rsidRPr="0000278A">
        <w:rPr>
          <w:rStyle w:val="Hyperlink"/>
          <w:rFonts w:cs="Calibri Light"/>
          <w:color w:val="auto"/>
        </w:rPr>
        <w:t>Lowe P (2021b), ‘</w:t>
      </w:r>
      <w:r w:rsidRPr="0000278A">
        <w:rPr>
          <w:rFonts w:cs="Calibri Light"/>
        </w:rPr>
        <w:t xml:space="preserve">Recent Trends in Inflation’, </w:t>
      </w:r>
      <w:r w:rsidRPr="0000278A">
        <w:rPr>
          <w:rFonts w:cs="Calibri Light"/>
          <w:i/>
          <w:iCs/>
        </w:rPr>
        <w:t>transcript of Question &amp; Answer Session</w:t>
      </w:r>
      <w:r w:rsidRPr="0000278A">
        <w:rPr>
          <w:rFonts w:cs="Calibri Light"/>
        </w:rPr>
        <w:t xml:space="preserve">, 16 November. </w:t>
      </w:r>
      <w:hyperlink r:id="rId180" w:history="1">
        <w:r w:rsidRPr="0000278A">
          <w:rPr>
            <w:rStyle w:val="Hyperlink"/>
            <w:rFonts w:cs="Calibri Light"/>
            <w:color w:val="auto"/>
          </w:rPr>
          <w:t>https://www.rba.gov.au/speeches/2021/sp-gov-2021-11-16-q-and-a-transcript.html</w:t>
        </w:r>
      </w:hyperlink>
      <w:r w:rsidRPr="0000278A">
        <w:rPr>
          <w:rFonts w:cs="Calibri Light"/>
        </w:rPr>
        <w:t xml:space="preserve"> </w:t>
      </w:r>
    </w:p>
    <w:p w14:paraId="3F17B1FD" w14:textId="77777777" w:rsidR="00A07A5A" w:rsidRPr="0000278A" w:rsidRDefault="00A07A5A" w:rsidP="00A07A5A">
      <w:pPr>
        <w:spacing w:before="100" w:beforeAutospacing="1" w:after="100" w:afterAutospacing="1"/>
        <w:rPr>
          <w:rFonts w:cs="Calibri Light"/>
        </w:rPr>
      </w:pPr>
      <w:r w:rsidRPr="0000278A">
        <w:rPr>
          <w:rFonts w:cs="Calibri Light"/>
        </w:rPr>
        <w:t>Lowe P (2022a), ‘Price stability, the supply side and prosperity</w:t>
      </w:r>
      <w:r w:rsidRPr="0000278A">
        <w:rPr>
          <w:rFonts w:cs="Calibri Light"/>
          <w:i/>
        </w:rPr>
        <w:t>’,</w:t>
      </w:r>
      <w:r w:rsidRPr="0000278A">
        <w:rPr>
          <w:rFonts w:cs="Calibri Light"/>
        </w:rPr>
        <w:t xml:space="preserve"> </w:t>
      </w:r>
      <w:r w:rsidRPr="0000278A">
        <w:rPr>
          <w:rFonts w:cs="Calibri Light"/>
          <w:i/>
        </w:rPr>
        <w:t>address to CEDA Annual Dinner</w:t>
      </w:r>
      <w:r w:rsidRPr="0000278A">
        <w:rPr>
          <w:rFonts w:cs="Calibri Light"/>
        </w:rPr>
        <w:t xml:space="preserve">, Melbourne, 22 November. </w:t>
      </w:r>
      <w:hyperlink r:id="rId181" w:history="1">
        <w:r w:rsidRPr="0000278A">
          <w:rPr>
            <w:rStyle w:val="Hyperlink"/>
            <w:rFonts w:cs="Calibri Light"/>
            <w:color w:val="auto"/>
          </w:rPr>
          <w:t>https://www.rba.gov.au/speeches/2022/sp-gov-2022-11-22.html</w:t>
        </w:r>
      </w:hyperlink>
      <w:r w:rsidRPr="0000278A">
        <w:rPr>
          <w:rFonts w:cs="Calibri Light"/>
        </w:rPr>
        <w:t xml:space="preserve">  </w:t>
      </w:r>
    </w:p>
    <w:p w14:paraId="0B13FF12" w14:textId="77777777" w:rsidR="00A07A5A" w:rsidRPr="0000278A" w:rsidRDefault="00A07A5A" w:rsidP="00A07A5A">
      <w:pPr>
        <w:rPr>
          <w:rFonts w:cs="Calibri Light"/>
        </w:rPr>
      </w:pPr>
      <w:r w:rsidRPr="0000278A">
        <w:rPr>
          <w:rFonts w:cs="Calibri Light"/>
        </w:rPr>
        <w:t xml:space="preserve">Lowe P (2022b), ‘Inflation and the Monetary Policy Framework’, </w:t>
      </w:r>
      <w:r w:rsidRPr="0000278A">
        <w:rPr>
          <w:rFonts w:cs="Calibri Light"/>
          <w:i/>
          <w:iCs/>
        </w:rPr>
        <w:t xml:space="preserve">transcript of Question &amp; Answer Session, </w:t>
      </w:r>
      <w:r w:rsidRPr="0000278A">
        <w:rPr>
          <w:rFonts w:cs="Calibri Light"/>
        </w:rPr>
        <w:t xml:space="preserve">8 September. </w:t>
      </w:r>
      <w:hyperlink r:id="rId182" w:history="1">
        <w:r w:rsidRPr="0000278A">
          <w:rPr>
            <w:rFonts w:cs="Calibri Light"/>
          </w:rPr>
          <w:t>https://www.rba.gov.au/speeches/2022/sp-gov-2022-09-08-q-and-a-transcript.html</w:t>
        </w:r>
      </w:hyperlink>
    </w:p>
    <w:p w14:paraId="192D05F2" w14:textId="77777777" w:rsidR="00A07A5A" w:rsidRPr="0000278A" w:rsidRDefault="00A07A5A" w:rsidP="00A07A5A">
      <w:pPr>
        <w:pStyle w:val="Bullet"/>
        <w:numPr>
          <w:ilvl w:val="0"/>
          <w:numId w:val="0"/>
        </w:numPr>
        <w:spacing w:after="160" w:line="259" w:lineRule="auto"/>
        <w:rPr>
          <w:rFonts w:cs="Calibri Light"/>
        </w:rPr>
      </w:pPr>
      <w:r w:rsidRPr="0000278A">
        <w:rPr>
          <w:rFonts w:cs="Calibri Light"/>
        </w:rPr>
        <w:t xml:space="preserve">Lucca D and Wright W (2022) ‘The Narrow Channel of Quantitative Easing: Evidence from YCC Down Under’, </w:t>
      </w:r>
      <w:r w:rsidRPr="0000278A">
        <w:rPr>
          <w:rFonts w:cs="Calibri Light"/>
          <w:i/>
        </w:rPr>
        <w:t>Federal Reserve Bank of New York Staff Reports</w:t>
      </w:r>
      <w:r w:rsidRPr="0000278A">
        <w:rPr>
          <w:rFonts w:cs="Calibri Light"/>
        </w:rPr>
        <w:t xml:space="preserve">, no. 1013. </w:t>
      </w:r>
      <w:hyperlink r:id="rId183">
        <w:r w:rsidRPr="0000278A">
          <w:rPr>
            <w:rStyle w:val="Hyperlink"/>
            <w:rFonts w:cs="Calibri Light"/>
            <w:color w:val="auto"/>
          </w:rPr>
          <w:t>https://www.newyorkfed.org/medialibrary/media/research/staff_reports/sr1013.pdf</w:t>
        </w:r>
      </w:hyperlink>
    </w:p>
    <w:p w14:paraId="6F49D56D" w14:textId="77777777" w:rsidR="00A07A5A" w:rsidRPr="0000278A" w:rsidRDefault="00A07A5A" w:rsidP="00A07A5A">
      <w:pPr>
        <w:textAlignment w:val="baseline"/>
        <w:rPr>
          <w:rFonts w:cs="Calibri Light"/>
        </w:rPr>
      </w:pPr>
      <w:r w:rsidRPr="0000278A">
        <w:rPr>
          <w:rFonts w:cs="Calibri Light"/>
        </w:rPr>
        <w:t xml:space="preserve">Makin T (2016) ‘The effectiveness of federal fiscal policy: a review’, </w:t>
      </w:r>
      <w:r w:rsidRPr="0000278A">
        <w:rPr>
          <w:rFonts w:cs="Calibri Light"/>
          <w:i/>
          <w:iCs/>
        </w:rPr>
        <w:t>Australian Government – the Treasury</w:t>
      </w:r>
      <w:r w:rsidRPr="0000278A">
        <w:rPr>
          <w:rFonts w:cs="Calibri Light"/>
        </w:rPr>
        <w:t>, External Paper. </w:t>
      </w:r>
      <w:hyperlink r:id="rId184" w:history="1">
        <w:r w:rsidRPr="0000278A">
          <w:rPr>
            <w:rStyle w:val="Hyperlink"/>
            <w:rFonts w:cs="Calibri Light"/>
            <w:color w:val="auto"/>
          </w:rPr>
          <w:t>https://cdn.tspace.gov.au/uploads/sites/99/2016/10/The-Effectiveness-of-Federal-Fiscal-Policy.pdf</w:t>
        </w:r>
      </w:hyperlink>
    </w:p>
    <w:p w14:paraId="7E8D9F7E" w14:textId="77777777" w:rsidR="00A07A5A" w:rsidRPr="0000278A" w:rsidRDefault="00A07A5A" w:rsidP="00A07A5A">
      <w:pPr>
        <w:rPr>
          <w:rFonts w:cs="Calibri Light"/>
        </w:rPr>
      </w:pPr>
      <w:r w:rsidRPr="0000278A">
        <w:rPr>
          <w:rFonts w:cs="Calibri Light"/>
        </w:rPr>
        <w:t xml:space="preserve">McCririck R and Rees D (2017) ‘The Neutral Interest Rate’, </w:t>
      </w:r>
      <w:r w:rsidRPr="0000278A">
        <w:rPr>
          <w:rFonts w:cs="Calibri Light"/>
          <w:i/>
        </w:rPr>
        <w:t>RBA Bulletin</w:t>
      </w:r>
      <w:r w:rsidRPr="0000278A">
        <w:rPr>
          <w:rFonts w:cs="Calibri Light"/>
        </w:rPr>
        <w:t xml:space="preserve">, September quarter. </w:t>
      </w:r>
      <w:hyperlink r:id="rId185">
        <w:r w:rsidRPr="0000278A">
          <w:rPr>
            <w:rStyle w:val="Hyperlink"/>
            <w:rFonts w:cs="Calibri Light"/>
            <w:color w:val="auto"/>
          </w:rPr>
          <w:t>https://www.rba.gov.au/publications/bulletin/2017/sep/2.html</w:t>
        </w:r>
      </w:hyperlink>
    </w:p>
    <w:p w14:paraId="1A2CB05E" w14:textId="77777777" w:rsidR="00A07A5A" w:rsidRPr="0000278A" w:rsidRDefault="00A07A5A" w:rsidP="00A07A5A">
      <w:pPr>
        <w:rPr>
          <w:rFonts w:cs="Calibri Light"/>
        </w:rPr>
      </w:pPr>
      <w:r w:rsidRPr="0000278A">
        <w:rPr>
          <w:rFonts w:cs="Calibri Light"/>
        </w:rPr>
        <w:t xml:space="preserve">McKibbin W (1997) ‘Which monetary-policy regime for Australia?’, in P Lowe (ed), </w:t>
      </w:r>
      <w:r w:rsidRPr="0000278A">
        <w:rPr>
          <w:rFonts w:cs="Calibri Light"/>
          <w:i/>
        </w:rPr>
        <w:t>Monetary Policy and Inflation Targeting</w:t>
      </w:r>
      <w:r w:rsidRPr="0000278A">
        <w:rPr>
          <w:rFonts w:cs="Calibri Light"/>
        </w:rPr>
        <w:t xml:space="preserve">, Proceedings of a Conference, Reserve Bank of Australia, Sydney, pp 166-173. </w:t>
      </w:r>
      <w:hyperlink r:id="rId186" w:history="1">
        <w:r w:rsidRPr="0000278A">
          <w:rPr>
            <w:rStyle w:val="Hyperlink"/>
            <w:rFonts w:cs="Calibri Light"/>
            <w:color w:val="auto"/>
          </w:rPr>
          <w:t>https://www.rba.gov.au/publications/confs/1997/pdf/conf-vol-1997.pdf</w:t>
        </w:r>
      </w:hyperlink>
      <w:r w:rsidRPr="0000278A">
        <w:rPr>
          <w:rFonts w:cs="Calibri Light"/>
        </w:rPr>
        <w:t xml:space="preserve">  </w:t>
      </w:r>
    </w:p>
    <w:p w14:paraId="3F76C8E9" w14:textId="77777777" w:rsidR="00A07A5A" w:rsidRPr="0000278A" w:rsidRDefault="00A07A5A" w:rsidP="00A07A5A">
      <w:pPr>
        <w:rPr>
          <w:rFonts w:cs="Calibri Light"/>
        </w:rPr>
      </w:pPr>
      <w:r w:rsidRPr="0000278A">
        <w:rPr>
          <w:rFonts w:cs="Calibri Light"/>
        </w:rPr>
        <w:t xml:space="preserve">McKibbin W (2018) ‘Twenty-five Years of Inflation Targeting in Australia: Are There Better Alternatives for the Next 25 Years?’, in J Simon and M Sutton (eds), </w:t>
      </w:r>
      <w:r w:rsidRPr="0000278A">
        <w:rPr>
          <w:rFonts w:cs="Calibri Light"/>
          <w:i/>
        </w:rPr>
        <w:t xml:space="preserve">Central Bank Frameworks: Evolution or </w:t>
      </w:r>
      <w:r w:rsidRPr="0000278A">
        <w:rPr>
          <w:rFonts w:cs="Calibri Light"/>
          <w:i/>
        </w:rPr>
        <w:lastRenderedPageBreak/>
        <w:t>Revolution</w:t>
      </w:r>
      <w:r w:rsidRPr="0000278A">
        <w:rPr>
          <w:rFonts w:cs="Calibri Light"/>
        </w:rPr>
        <w:t xml:space="preserve">, Proceedings of a Conference, Reserve Bank of Australia, Sydney, pp 173-198. </w:t>
      </w:r>
      <w:hyperlink r:id="rId187">
        <w:r w:rsidRPr="0000278A">
          <w:rPr>
            <w:rStyle w:val="Hyperlink"/>
            <w:rFonts w:cs="Calibri Light"/>
            <w:color w:val="auto"/>
          </w:rPr>
          <w:t>https://www.rba.gov.au/publications/confs/2018/pdf/rba-conference-volume-2018.pdf</w:t>
        </w:r>
      </w:hyperlink>
    </w:p>
    <w:p w14:paraId="4B06666A" w14:textId="77777777" w:rsidR="00A07A5A" w:rsidRPr="0000278A" w:rsidRDefault="00A07A5A" w:rsidP="00A07A5A">
      <w:pPr>
        <w:spacing w:before="100" w:beforeAutospacing="1" w:after="100" w:afterAutospacing="1"/>
        <w:rPr>
          <w:rFonts w:cs="Calibri Light"/>
        </w:rPr>
      </w:pPr>
      <w:r w:rsidRPr="0000278A">
        <w:rPr>
          <w:rFonts w:cs="Calibri Light"/>
        </w:rPr>
        <w:t xml:space="preserve">Mian A, Straub L and Sufi A (2020) ‘Indebted demand,’ </w:t>
      </w:r>
      <w:r w:rsidRPr="0000278A">
        <w:rPr>
          <w:rFonts w:cs="Calibri Light"/>
          <w:i/>
        </w:rPr>
        <w:t>CESifo Working Paper No. 8210</w:t>
      </w:r>
      <w:r w:rsidRPr="0000278A">
        <w:rPr>
          <w:rFonts w:cs="Calibri Light"/>
        </w:rPr>
        <w:t xml:space="preserve">. </w:t>
      </w:r>
      <w:hyperlink r:id="rId188" w:history="1">
        <w:r w:rsidRPr="0000278A">
          <w:rPr>
            <w:rStyle w:val="Hyperlink"/>
            <w:rFonts w:cs="Calibri Light"/>
            <w:color w:val="auto"/>
          </w:rPr>
          <w:t>https://papers.ssrn.com/sol3/Delivery.cfm/8210.pdf?abstractid=3576287&amp;mirid=1&amp;type=2</w:t>
        </w:r>
      </w:hyperlink>
      <w:r w:rsidRPr="0000278A">
        <w:rPr>
          <w:rFonts w:cs="Calibri Light"/>
        </w:rPr>
        <w:t xml:space="preserve"> </w:t>
      </w:r>
    </w:p>
    <w:p w14:paraId="4F93CD32" w14:textId="33F1A7F1" w:rsidR="00A07A5A" w:rsidRPr="0000278A" w:rsidRDefault="00884708" w:rsidP="00884708">
      <w:pPr>
        <w:rPr>
          <w:rFonts w:cs="Calibri Light"/>
        </w:rPr>
      </w:pPr>
      <w:r w:rsidRPr="00884708">
        <w:rPr>
          <w:rFonts w:cs="Calibri Light"/>
        </w:rPr>
        <w:t>Murphy C (2023), ‘Fiscal Policy in the COVID-19 era’, Economic Papers, March.</w:t>
      </w:r>
      <w:r w:rsidR="00ED5F89">
        <w:rPr>
          <w:rFonts w:cs="Calibri Light"/>
        </w:rPr>
        <w:t xml:space="preserve"> </w:t>
      </w:r>
      <w:hyperlink r:id="rId189" w:history="1">
        <w:r w:rsidRPr="00ED5F89">
          <w:rPr>
            <w:rStyle w:val="Hyperlink"/>
            <w:rFonts w:cs="Calibri Light"/>
            <w:color w:val="auto"/>
          </w:rPr>
          <w:t>https://onlinelibrary.wiley.com/doi/10.1111/1759-3441.12382</w:t>
        </w:r>
      </w:hyperlink>
    </w:p>
    <w:p w14:paraId="7433C516" w14:textId="77777777" w:rsidR="00A07A5A" w:rsidRPr="0000278A" w:rsidRDefault="00A07A5A" w:rsidP="00A07A5A">
      <w:pPr>
        <w:tabs>
          <w:tab w:val="left" w:pos="720"/>
        </w:tabs>
        <w:spacing w:line="276" w:lineRule="auto"/>
        <w:rPr>
          <w:rFonts w:cs="Calibri Light"/>
        </w:rPr>
      </w:pPr>
      <w:r w:rsidRPr="0000278A">
        <w:rPr>
          <w:rFonts w:cs="Calibri Light"/>
        </w:rPr>
        <w:t xml:space="preserve">Muth M and Selden B (2018) ‘Setting the tone from the top’, </w:t>
      </w:r>
      <w:r w:rsidRPr="0000278A">
        <w:rPr>
          <w:rFonts w:cs="Calibri Light"/>
          <w:i/>
        </w:rPr>
        <w:t>Australian Institute of Company Directors</w:t>
      </w:r>
      <w:r w:rsidRPr="0000278A">
        <w:rPr>
          <w:rFonts w:cs="Calibri Light"/>
        </w:rPr>
        <w:t xml:space="preserve">. </w:t>
      </w:r>
      <w:hyperlink r:id="rId190" w:history="1">
        <w:r w:rsidRPr="0000278A">
          <w:rPr>
            <w:rFonts w:cs="Calibri Light"/>
          </w:rPr>
          <w:t>https://www.aicd.com.au/content/dam/aicd/pdf/tools-resources/bookstore/previews/Setting-Tone-from-top-preview.pdf</w:t>
        </w:r>
      </w:hyperlink>
    </w:p>
    <w:p w14:paraId="011CD99A" w14:textId="77777777" w:rsidR="00A07A5A" w:rsidRPr="0000278A" w:rsidRDefault="00A07A5A" w:rsidP="00A07A5A">
      <w:pPr>
        <w:rPr>
          <w:rFonts w:cs="Calibri Light"/>
        </w:rPr>
      </w:pPr>
      <w:r w:rsidRPr="0000278A">
        <w:rPr>
          <w:rFonts w:cs="Calibri Light"/>
        </w:rPr>
        <w:t xml:space="preserve">Norges Bank (2022) ‘Norges Bank’s monetary Policy Handbook’ </w:t>
      </w:r>
      <w:r w:rsidRPr="0000278A">
        <w:rPr>
          <w:rFonts w:cs="Calibri Light"/>
          <w:i/>
          <w:iCs/>
        </w:rPr>
        <w:t>Norges Bank Papers</w:t>
      </w:r>
      <w:r w:rsidRPr="0000278A">
        <w:rPr>
          <w:rFonts w:cs="Calibri Light"/>
        </w:rPr>
        <w:t xml:space="preserve"> 2022(1) </w:t>
      </w:r>
      <w:hyperlink r:id="rId191" w:history="1">
        <w:r w:rsidRPr="0000278A">
          <w:rPr>
            <w:rStyle w:val="Hyperlink"/>
            <w:rFonts w:cs="Calibri Light"/>
            <w:color w:val="auto"/>
          </w:rPr>
          <w:t>https://www.norges</w:t>
        </w:r>
        <w:r w:rsidRPr="0000278A">
          <w:rPr>
            <w:rStyle w:val="Hyperlink"/>
            <w:rFonts w:cs="Calibri Light"/>
            <w:color w:val="auto"/>
          </w:rPr>
          <w:noBreakHyphen/>
          <w:t>bank.no/contentassets/3f090d4a86624533beba0eb029b5a5c0/nb_papers_1_22_handbook.pdf?v=02/22/2022155625</w:t>
        </w:r>
      </w:hyperlink>
      <w:r w:rsidRPr="0000278A">
        <w:rPr>
          <w:rFonts w:cs="Calibri Light"/>
        </w:rPr>
        <w:t xml:space="preserve"> </w:t>
      </w:r>
    </w:p>
    <w:p w14:paraId="4AD49F1E" w14:textId="77777777" w:rsidR="00A07A5A" w:rsidRPr="0000278A" w:rsidRDefault="00A07A5A" w:rsidP="00A07A5A">
      <w:pPr>
        <w:rPr>
          <w:rFonts w:cs="Calibri Light"/>
          <w:i/>
          <w:iCs/>
        </w:rPr>
      </w:pPr>
      <w:r w:rsidRPr="0000278A">
        <w:rPr>
          <w:rFonts w:cs="Calibri Light"/>
        </w:rPr>
        <w:t xml:space="preserve">Organisation for Economic Co-operation and Development (OECD) (2010), ‘Australia 2010’, </w:t>
      </w:r>
      <w:r w:rsidRPr="0000278A">
        <w:rPr>
          <w:rFonts w:cs="Calibri Light"/>
          <w:i/>
          <w:iCs/>
        </w:rPr>
        <w:t xml:space="preserve">OECD Economic Surveys. </w:t>
      </w:r>
      <w:hyperlink r:id="rId192" w:history="1">
        <w:r w:rsidRPr="0000278A">
          <w:rPr>
            <w:rStyle w:val="Hyperlink"/>
            <w:rFonts w:cs="Calibri Light"/>
            <w:color w:val="auto"/>
          </w:rPr>
          <w:t>https://read.oecd-ilibrary.org/economics/oecd-economic-surveys-australia-2010/assessment-and-recommendations_eco_surveys-aus-2010-3-en#page1</w:t>
        </w:r>
      </w:hyperlink>
    </w:p>
    <w:p w14:paraId="59E92840" w14:textId="77777777" w:rsidR="00A07A5A" w:rsidRPr="0000278A" w:rsidRDefault="00A07A5A" w:rsidP="00A07A5A">
      <w:pPr>
        <w:rPr>
          <w:rFonts w:cs="Calibri Light"/>
        </w:rPr>
      </w:pPr>
      <w:r w:rsidRPr="0000278A">
        <w:rPr>
          <w:rFonts w:cs="Calibri Light"/>
        </w:rPr>
        <w:t xml:space="preserve">OECD (2018) ‘Australia 2018’, </w:t>
      </w:r>
      <w:r w:rsidRPr="0000278A">
        <w:rPr>
          <w:rFonts w:cs="Calibri Light"/>
          <w:i/>
          <w:iCs/>
        </w:rPr>
        <w:t>OECD Economic Surveys</w:t>
      </w:r>
      <w:r w:rsidRPr="0000278A">
        <w:rPr>
          <w:rFonts w:cs="Calibri Light"/>
        </w:rPr>
        <w:t xml:space="preserve">. </w:t>
      </w:r>
      <w:hyperlink r:id="rId193" w:history="1">
        <w:r w:rsidRPr="0000278A">
          <w:rPr>
            <w:rStyle w:val="Hyperlink"/>
            <w:rFonts w:cs="Calibri Light"/>
            <w:color w:val="auto"/>
          </w:rPr>
          <w:t>https://read.oecd-ilibrary.org/economics/oecd-economic-surveys-australia-2018/key-policy-insights_eco_surveys-aus-2018-3-en#page1</w:t>
        </w:r>
      </w:hyperlink>
    </w:p>
    <w:p w14:paraId="60BA0932" w14:textId="77777777" w:rsidR="00A07A5A" w:rsidRPr="0000278A" w:rsidRDefault="00A07A5A" w:rsidP="00A07A5A">
      <w:pPr>
        <w:rPr>
          <w:rFonts w:cs="Calibri Light"/>
          <w:i/>
          <w:iCs/>
        </w:rPr>
      </w:pPr>
      <w:r w:rsidRPr="0000278A">
        <w:rPr>
          <w:rFonts w:cs="Calibri Light"/>
        </w:rPr>
        <w:t xml:space="preserve">OECD (2021), ‘Australia 2021’, </w:t>
      </w:r>
      <w:r w:rsidRPr="0000278A">
        <w:rPr>
          <w:rFonts w:cs="Calibri Light"/>
          <w:i/>
          <w:iCs/>
        </w:rPr>
        <w:t>OECD Economic Surveys</w:t>
      </w:r>
      <w:r w:rsidRPr="0000278A">
        <w:rPr>
          <w:rFonts w:cs="Calibri Light"/>
        </w:rPr>
        <w:t xml:space="preserve">. </w:t>
      </w:r>
      <w:hyperlink r:id="rId194" w:history="1">
        <w:r w:rsidRPr="0000278A">
          <w:rPr>
            <w:rStyle w:val="Hyperlink"/>
            <w:rFonts w:cs="Calibri Light"/>
            <w:color w:val="auto"/>
          </w:rPr>
          <w:t>https://www.oecd.org/economy/surveys/Australia-2021-OECD-economic-survey-overview.pdf</w:t>
        </w:r>
      </w:hyperlink>
    </w:p>
    <w:p w14:paraId="5BFFBD39" w14:textId="77777777" w:rsidR="00A07A5A" w:rsidRPr="0000278A" w:rsidRDefault="00A07A5A" w:rsidP="00A07A5A">
      <w:pPr>
        <w:rPr>
          <w:rFonts w:cs="Calibri Light"/>
        </w:rPr>
      </w:pPr>
      <w:r w:rsidRPr="0000278A">
        <w:rPr>
          <w:rFonts w:cs="Calibri Light"/>
        </w:rPr>
        <w:t xml:space="preserve">Orphanides A (2023) ‘Monetary Policy Tools with Near Zero Policy Rates: A Review of the Australian Experience’, </w:t>
      </w:r>
      <w:r w:rsidRPr="0000278A">
        <w:rPr>
          <w:rFonts w:cs="Calibri Light"/>
          <w:i/>
        </w:rPr>
        <w:t xml:space="preserve">research paper produced for the RBA Review </w:t>
      </w:r>
      <w:hyperlink r:id="rId195">
        <w:r w:rsidRPr="0000278A">
          <w:rPr>
            <w:rStyle w:val="Hyperlink"/>
            <w:rFonts w:cs="Calibri Light"/>
            <w:color w:val="auto"/>
          </w:rPr>
          <w:t>https://rbareview.gov.au/resources</w:t>
        </w:r>
      </w:hyperlink>
    </w:p>
    <w:p w14:paraId="7D0B096C" w14:textId="77777777" w:rsidR="00A07A5A" w:rsidRPr="0000278A" w:rsidRDefault="00A07A5A" w:rsidP="00A07A5A">
      <w:pPr>
        <w:spacing w:before="100" w:beforeAutospacing="1" w:after="100" w:afterAutospacing="1"/>
        <w:rPr>
          <w:rFonts w:cs="Calibri Light"/>
        </w:rPr>
      </w:pPr>
      <w:r w:rsidRPr="0000278A">
        <w:rPr>
          <w:rFonts w:cs="Calibri Light"/>
        </w:rPr>
        <w:t xml:space="preserve">Orphanides O and van Norden S (2002) ‘The Unreliability of Output-Gap Estimates in Real Time’, </w:t>
      </w:r>
      <w:r w:rsidRPr="0000278A">
        <w:rPr>
          <w:rFonts w:cs="Calibri Light"/>
          <w:i/>
        </w:rPr>
        <w:t>The Review of Economics and Statistics</w:t>
      </w:r>
      <w:r w:rsidRPr="0000278A">
        <w:rPr>
          <w:rFonts w:cs="Calibri Light"/>
        </w:rPr>
        <w:t xml:space="preserve">, 84(4), pp. 569-583. </w:t>
      </w:r>
      <w:hyperlink r:id="rId196" w:history="1">
        <w:r w:rsidRPr="0000278A">
          <w:rPr>
            <w:rStyle w:val="Hyperlink"/>
            <w:rFonts w:cs="Calibri Light"/>
            <w:color w:val="auto"/>
            <w:spacing w:val="-5"/>
          </w:rPr>
          <w:t>https://www.jstor.org/stable/3211719</w:t>
        </w:r>
      </w:hyperlink>
      <w:r w:rsidRPr="0000278A">
        <w:rPr>
          <w:rFonts w:cs="Calibri Light"/>
          <w:spacing w:val="-5"/>
          <w:sz w:val="21"/>
          <w:szCs w:val="21"/>
        </w:rPr>
        <w:t xml:space="preserve"> </w:t>
      </w:r>
    </w:p>
    <w:p w14:paraId="2B756CA5" w14:textId="77777777" w:rsidR="00A07A5A" w:rsidRPr="0000278A" w:rsidRDefault="00A07A5A" w:rsidP="00A07A5A">
      <w:pPr>
        <w:rPr>
          <w:rStyle w:val="Hyperlink"/>
          <w:rFonts w:cs="Calibri Light"/>
          <w:color w:val="auto"/>
        </w:rPr>
      </w:pPr>
      <w:r w:rsidRPr="0000278A">
        <w:rPr>
          <w:rFonts w:cs="Calibri Light"/>
        </w:rPr>
        <w:t xml:space="preserve">Pagan A and Wilcox D (2016), ‘Reserve Bank of Australia Economic Group Forecasts and Analysis’, </w:t>
      </w:r>
      <w:r w:rsidRPr="0000278A">
        <w:rPr>
          <w:rFonts w:cs="Calibri Light"/>
          <w:i/>
        </w:rPr>
        <w:t>External Review</w:t>
      </w:r>
      <w:r w:rsidRPr="0000278A">
        <w:rPr>
          <w:rFonts w:cs="Calibri Light"/>
        </w:rPr>
        <w:t xml:space="preserve">. </w:t>
      </w:r>
      <w:hyperlink r:id="rId197">
        <w:r w:rsidRPr="0000278A">
          <w:rPr>
            <w:rStyle w:val="Hyperlink"/>
            <w:rFonts w:cs="Calibri Light"/>
            <w:color w:val="auto"/>
          </w:rPr>
          <w:t>https://www.rba.gov.au/speeches/2016/pdf/sp-ag-2016-04-06-external-forecast-review-final-report.pdf</w:t>
        </w:r>
      </w:hyperlink>
    </w:p>
    <w:p w14:paraId="52D5CBE2" w14:textId="77777777" w:rsidR="00A07A5A" w:rsidRPr="0000278A" w:rsidRDefault="00A07A5A" w:rsidP="00A07A5A">
      <w:pPr>
        <w:spacing w:before="100" w:beforeAutospacing="1" w:after="100" w:afterAutospacing="1"/>
        <w:rPr>
          <w:rFonts w:cs="Calibri Light"/>
          <w:i/>
        </w:rPr>
      </w:pPr>
      <w:r w:rsidRPr="0000278A">
        <w:rPr>
          <w:rFonts w:cs="Calibri Light"/>
        </w:rPr>
        <w:t xml:space="preserve">Powell J (2023) ‘Central Bank Independence and the Mandate—Evolving Views’, </w:t>
      </w:r>
      <w:r w:rsidRPr="0000278A">
        <w:rPr>
          <w:rFonts w:cs="Calibri Light"/>
          <w:i/>
        </w:rPr>
        <w:t xml:space="preserve">Panel comments at the Symposium on Central Bank Independence, Sveriges Riksbank </w:t>
      </w:r>
      <w:hyperlink r:id="rId198" w:history="1">
        <w:r w:rsidRPr="0000278A">
          <w:rPr>
            <w:rStyle w:val="Hyperlink"/>
            <w:rFonts w:cs="Calibri Light"/>
            <w:color w:val="auto"/>
          </w:rPr>
          <w:t>https://www.bis.org/review/r230111a.pdf</w:t>
        </w:r>
      </w:hyperlink>
      <w:r w:rsidRPr="0000278A">
        <w:rPr>
          <w:rFonts w:cs="Calibri Light"/>
          <w:i/>
        </w:rPr>
        <w:t xml:space="preserve"> </w:t>
      </w:r>
    </w:p>
    <w:p w14:paraId="6EFB840D" w14:textId="77777777" w:rsidR="00A07A5A" w:rsidRPr="0000278A" w:rsidRDefault="00A07A5A" w:rsidP="00A07A5A">
      <w:pPr>
        <w:spacing w:before="100" w:beforeAutospacing="1" w:after="100" w:afterAutospacing="1"/>
        <w:rPr>
          <w:rFonts w:cs="Calibri Light"/>
          <w:i/>
        </w:rPr>
      </w:pPr>
      <w:r w:rsidRPr="0000278A">
        <w:rPr>
          <w:rFonts w:cs="Calibri Light"/>
        </w:rPr>
        <w:t xml:space="preserve">Preston B (2019) ‘The Case for Reform of the RBA’s Policy and Communication Strategy’, </w:t>
      </w:r>
      <w:r w:rsidRPr="0000278A">
        <w:rPr>
          <w:rFonts w:cs="Calibri Light"/>
          <w:i/>
        </w:rPr>
        <w:t>Crawford School of Public Policy CAMA Working Paper 3/2020.</w:t>
      </w:r>
      <w:r w:rsidRPr="0000278A">
        <w:rPr>
          <w:rFonts w:cs="Calibri Light"/>
        </w:rPr>
        <w:t xml:space="preserve"> </w:t>
      </w:r>
      <w:hyperlink r:id="rId199" w:history="1">
        <w:r w:rsidRPr="0000278A">
          <w:rPr>
            <w:rStyle w:val="Hyperlink"/>
            <w:rFonts w:cs="Calibri Light"/>
            <w:color w:val="auto"/>
          </w:rPr>
          <w:t>https://cama.crawford.anu.edu.au/sites/default/files/publication/cama_crawford_anu_edu_au/2020-01/3_2020_preston.pdf</w:t>
        </w:r>
      </w:hyperlink>
      <w:r w:rsidRPr="0000278A">
        <w:rPr>
          <w:rFonts w:cs="Calibri Light"/>
          <w:i/>
        </w:rPr>
        <w:t xml:space="preserve"> </w:t>
      </w:r>
    </w:p>
    <w:p w14:paraId="4205D697" w14:textId="77777777" w:rsidR="00A07A5A" w:rsidRPr="0000278A" w:rsidRDefault="00A07A5A" w:rsidP="00A07A5A">
      <w:pPr>
        <w:spacing w:before="100" w:beforeAutospacing="1" w:after="100" w:afterAutospacing="1"/>
        <w:rPr>
          <w:rFonts w:cs="Calibri Light"/>
        </w:rPr>
      </w:pPr>
      <w:r w:rsidRPr="0000278A">
        <w:rPr>
          <w:rFonts w:cs="Calibri Light"/>
        </w:rPr>
        <w:t xml:space="preserve">Productivity Commission (2018) ‘Rising inequality? A stocktake of the evidence’, </w:t>
      </w:r>
      <w:r w:rsidRPr="0000278A">
        <w:rPr>
          <w:rFonts w:cs="Calibri Light"/>
          <w:i/>
        </w:rPr>
        <w:t xml:space="preserve">PC Research Paper, </w:t>
      </w:r>
      <w:r w:rsidRPr="0000278A">
        <w:rPr>
          <w:rFonts w:cs="Calibri Light"/>
        </w:rPr>
        <w:t xml:space="preserve">Canberra, ACT. </w:t>
      </w:r>
      <w:hyperlink r:id="rId200" w:history="1">
        <w:r w:rsidRPr="0000278A">
          <w:rPr>
            <w:rStyle w:val="Hyperlink"/>
            <w:rFonts w:cs="Calibri Light"/>
            <w:color w:val="auto"/>
          </w:rPr>
          <w:t>https://www.pc.gov.au/research/completed/rising-inequality/rising-inequality.pdf</w:t>
        </w:r>
      </w:hyperlink>
      <w:r w:rsidRPr="0000278A">
        <w:rPr>
          <w:rFonts w:cs="Calibri Light"/>
        </w:rPr>
        <w:t xml:space="preserve"> </w:t>
      </w:r>
    </w:p>
    <w:p w14:paraId="75064009" w14:textId="77777777" w:rsidR="00A07A5A" w:rsidRPr="0000278A" w:rsidRDefault="00A07A5A" w:rsidP="00A07A5A">
      <w:pPr>
        <w:spacing w:before="100" w:beforeAutospacing="1" w:after="100" w:afterAutospacing="1"/>
        <w:rPr>
          <w:rFonts w:cs="Calibri Light"/>
        </w:rPr>
      </w:pPr>
      <w:r w:rsidRPr="0000278A">
        <w:rPr>
          <w:rFonts w:cs="Calibri Light"/>
          <w:i/>
        </w:rPr>
        <w:t>Public Governance, Performance and Accountability Act 2013</w:t>
      </w:r>
      <w:r w:rsidRPr="0000278A">
        <w:rPr>
          <w:rFonts w:cs="Calibri Light"/>
        </w:rPr>
        <w:t xml:space="preserve"> </w:t>
      </w:r>
      <w:hyperlink r:id="rId201" w:history="1">
        <w:r w:rsidRPr="0000278A">
          <w:rPr>
            <w:rStyle w:val="Hyperlink"/>
            <w:rFonts w:cs="Calibri Light"/>
            <w:color w:val="auto"/>
          </w:rPr>
          <w:t>https://www.legislation.gov.au/Details/C2017C00269</w:t>
        </w:r>
      </w:hyperlink>
      <w:r w:rsidRPr="0000278A">
        <w:rPr>
          <w:rFonts w:cs="Calibri Light"/>
        </w:rPr>
        <w:t xml:space="preserve"> </w:t>
      </w:r>
    </w:p>
    <w:p w14:paraId="0BD389AA" w14:textId="77777777" w:rsidR="00A07A5A" w:rsidRPr="0000278A" w:rsidRDefault="00A07A5A" w:rsidP="00A07A5A">
      <w:pPr>
        <w:rPr>
          <w:rFonts w:cs="Calibri Light"/>
        </w:rPr>
      </w:pPr>
      <w:r w:rsidRPr="0000278A">
        <w:rPr>
          <w:rFonts w:cs="Calibri Light"/>
        </w:rPr>
        <w:lastRenderedPageBreak/>
        <w:t xml:space="preserve">Quiggin J (2013) ‘Macroeconomic Policy after the Global Financial Crisis’, </w:t>
      </w:r>
      <w:r w:rsidRPr="0000278A">
        <w:rPr>
          <w:rFonts w:cs="Calibri Light"/>
          <w:i/>
        </w:rPr>
        <w:t>Risk and Sustainable Management Group Working Papers</w:t>
      </w:r>
      <w:r w:rsidRPr="0000278A">
        <w:rPr>
          <w:rFonts w:cs="Calibri Light"/>
        </w:rPr>
        <w:t>, University of Queensland. </w:t>
      </w:r>
      <w:hyperlink r:id="rId202">
        <w:r w:rsidRPr="0000278A">
          <w:rPr>
            <w:rStyle w:val="Hyperlink"/>
            <w:rFonts w:cs="Calibri Light"/>
            <w:color w:val="auto"/>
          </w:rPr>
          <w:t>https://ideas.repec.org/p/ags/uqsers/156935.html</w:t>
        </w:r>
      </w:hyperlink>
    </w:p>
    <w:p w14:paraId="4D5503EB" w14:textId="77777777" w:rsidR="00A07A5A" w:rsidRPr="0000278A" w:rsidRDefault="00A07A5A" w:rsidP="00A07A5A">
      <w:pPr>
        <w:rPr>
          <w:rFonts w:cs="Calibri Light"/>
        </w:rPr>
      </w:pPr>
      <w:r w:rsidRPr="0000278A">
        <w:rPr>
          <w:rFonts w:cs="Calibri Light"/>
        </w:rPr>
        <w:t xml:space="preserve">Rachel L and Smith T (2015) ‘Secular drivers of the global real interest rate,’ </w:t>
      </w:r>
      <w:r w:rsidRPr="0000278A">
        <w:rPr>
          <w:rFonts w:cs="Calibri Light"/>
          <w:i/>
        </w:rPr>
        <w:t>Bank of England Staff Working Paper</w:t>
      </w:r>
      <w:r w:rsidRPr="0000278A">
        <w:rPr>
          <w:rFonts w:cs="Calibri Light"/>
        </w:rPr>
        <w:t xml:space="preserve">, vol. 571. </w:t>
      </w:r>
      <w:hyperlink r:id="rId203" w:history="1">
        <w:r w:rsidRPr="0000278A">
          <w:rPr>
            <w:rStyle w:val="Hyperlink"/>
            <w:rFonts w:cs="Calibri Light"/>
            <w:color w:val="auto"/>
          </w:rPr>
          <w:t>https://www.bankofengland.co.uk/working-paper/2015/secular-drivers-of-the-global-real-interest-rate</w:t>
        </w:r>
      </w:hyperlink>
      <w:r w:rsidRPr="0000278A">
        <w:rPr>
          <w:rFonts w:cs="Calibri Light"/>
        </w:rPr>
        <w:t xml:space="preserve"> </w:t>
      </w:r>
    </w:p>
    <w:p w14:paraId="51841AF2" w14:textId="77777777" w:rsidR="00A07A5A" w:rsidRPr="0000278A" w:rsidRDefault="00A07A5A" w:rsidP="00A07A5A">
      <w:pPr>
        <w:spacing w:before="100" w:beforeAutospacing="1" w:after="100" w:afterAutospacing="1"/>
        <w:rPr>
          <w:rFonts w:cs="Calibri Light"/>
        </w:rPr>
      </w:pPr>
      <w:r w:rsidRPr="0000278A">
        <w:rPr>
          <w:rFonts w:cs="Calibri Light"/>
        </w:rPr>
        <w:t xml:space="preserve">Rao SMR (2022) ‘Challenges and Opportunities in Scaling up Green Finance’, </w:t>
      </w:r>
      <w:r w:rsidRPr="0000278A">
        <w:rPr>
          <w:rFonts w:cs="Calibri Light"/>
          <w:i/>
          <w:iCs/>
        </w:rPr>
        <w:t xml:space="preserve">address at the Business Standard BFSI Insight Summit, </w:t>
      </w:r>
      <w:r w:rsidRPr="0000278A">
        <w:rPr>
          <w:rFonts w:cs="Calibri Light"/>
        </w:rPr>
        <w:t xml:space="preserve">22 December. </w:t>
      </w:r>
      <w:hyperlink r:id="rId204" w:history="1">
        <w:r w:rsidRPr="0000278A">
          <w:rPr>
            <w:rStyle w:val="Hyperlink"/>
            <w:rFonts w:cs="Calibri Light"/>
            <w:color w:val="auto"/>
          </w:rPr>
          <w:t>https://www.bis.org/review/r221222a.pdf</w:t>
        </w:r>
      </w:hyperlink>
      <w:r w:rsidRPr="0000278A">
        <w:rPr>
          <w:rFonts w:cs="Calibri Light"/>
        </w:rPr>
        <w:t xml:space="preserve"> </w:t>
      </w:r>
    </w:p>
    <w:p w14:paraId="540AA82E" w14:textId="77777777" w:rsidR="00A07A5A" w:rsidRPr="0000278A" w:rsidRDefault="00A07A5A" w:rsidP="00A07A5A">
      <w:pPr>
        <w:rPr>
          <w:rFonts w:cs="Calibri Light"/>
        </w:rPr>
      </w:pPr>
      <w:r w:rsidRPr="0000278A">
        <w:rPr>
          <w:rFonts w:cs="Calibri Light"/>
        </w:rPr>
        <w:t xml:space="preserve">RBA (2008) ‘Expansion of Domestic Market Facilities’, </w:t>
      </w:r>
      <w:r w:rsidRPr="0000278A">
        <w:rPr>
          <w:rFonts w:cs="Calibri Light"/>
          <w:i/>
          <w:iCs/>
        </w:rPr>
        <w:t>Media Release</w:t>
      </w:r>
      <w:r w:rsidRPr="0000278A">
        <w:rPr>
          <w:rFonts w:cs="Calibri Light"/>
        </w:rPr>
        <w:t xml:space="preserve">, 8 October. </w:t>
      </w:r>
      <w:hyperlink r:id="rId205" w:history="1">
        <w:r w:rsidRPr="0000278A">
          <w:rPr>
            <w:rStyle w:val="Hyperlink"/>
            <w:rFonts w:cs="Calibri Light"/>
            <w:color w:val="auto"/>
          </w:rPr>
          <w:t>https://www.rba.gov.au/media-releases/2008/mr-08-21.html</w:t>
        </w:r>
      </w:hyperlink>
    </w:p>
    <w:p w14:paraId="37E2C6A0" w14:textId="77777777" w:rsidR="00A07A5A" w:rsidRPr="0000278A" w:rsidRDefault="00A07A5A" w:rsidP="00A07A5A">
      <w:pPr>
        <w:rPr>
          <w:rStyle w:val="Hyperlink"/>
          <w:rFonts w:cs="Calibri Light"/>
          <w:color w:val="auto"/>
        </w:rPr>
      </w:pPr>
      <w:r w:rsidRPr="0000278A">
        <w:rPr>
          <w:rFonts w:cs="Calibri Light"/>
        </w:rPr>
        <w:t>RBA (2017) ‘Minu</w:t>
      </w:r>
      <w:bookmarkStart w:id="87" w:name="_Hlt127450115"/>
      <w:bookmarkStart w:id="88" w:name="_Hlt127450116"/>
      <w:r w:rsidRPr="0000278A">
        <w:rPr>
          <w:rFonts w:cs="Calibri Light"/>
        </w:rPr>
        <w:t>t</w:t>
      </w:r>
      <w:bookmarkEnd w:id="87"/>
      <w:bookmarkEnd w:id="88"/>
      <w:r w:rsidRPr="0000278A">
        <w:rPr>
          <w:rFonts w:cs="Calibri Light"/>
        </w:rPr>
        <w:t xml:space="preserve">es of the Monetary Policy Meeting of the Reserve Bank Board’, </w:t>
      </w:r>
      <w:r w:rsidRPr="0000278A">
        <w:rPr>
          <w:rFonts w:cs="Calibri Light"/>
          <w:i/>
        </w:rPr>
        <w:t>Monetary Policy Minutes,</w:t>
      </w:r>
      <w:r w:rsidRPr="0000278A">
        <w:rPr>
          <w:rFonts w:cs="Calibri Light"/>
        </w:rPr>
        <w:t xml:space="preserve"> August</w:t>
      </w:r>
      <w:r w:rsidRPr="0000278A">
        <w:rPr>
          <w:rFonts w:cs="Calibri Light"/>
          <w:i/>
        </w:rPr>
        <w:t>.</w:t>
      </w:r>
      <w:r w:rsidRPr="0000278A">
        <w:rPr>
          <w:rFonts w:cs="Calibri Light"/>
        </w:rPr>
        <w:t xml:space="preserve"> </w:t>
      </w:r>
      <w:hyperlink r:id="rId206">
        <w:r w:rsidRPr="0000278A">
          <w:rPr>
            <w:rStyle w:val="Hyperlink"/>
            <w:rFonts w:cs="Calibri Light"/>
            <w:color w:val="auto"/>
          </w:rPr>
          <w:t>https://www.rba.gov.au/monetary-policy/rba-board-minutes/2017/2017-09-05.html</w:t>
        </w:r>
      </w:hyperlink>
    </w:p>
    <w:p w14:paraId="11EAC0C5" w14:textId="77777777" w:rsidR="00A07A5A" w:rsidRPr="0000278A" w:rsidRDefault="00A07A5A" w:rsidP="00A07A5A">
      <w:pPr>
        <w:rPr>
          <w:rFonts w:cs="Calibri Light"/>
        </w:rPr>
      </w:pPr>
      <w:r w:rsidRPr="0000278A">
        <w:rPr>
          <w:rFonts w:cs="Calibri Light"/>
        </w:rPr>
        <w:t xml:space="preserve">RBA (2018a) ‘Minutes of the Monetary Policy Meeting of the Reserve Bank Board’, </w:t>
      </w:r>
      <w:r w:rsidRPr="0000278A">
        <w:rPr>
          <w:rFonts w:cs="Calibri Light"/>
          <w:i/>
          <w:iCs/>
        </w:rPr>
        <w:t>Monetary Policy Minutes</w:t>
      </w:r>
      <w:r w:rsidRPr="0000278A">
        <w:rPr>
          <w:rFonts w:cs="Calibri Light"/>
        </w:rPr>
        <w:t xml:space="preserve">, February. </w:t>
      </w:r>
      <w:hyperlink r:id="rId207" w:history="1">
        <w:r w:rsidRPr="0000278A">
          <w:rPr>
            <w:rStyle w:val="Hyperlink"/>
            <w:rFonts w:cs="Calibri Light"/>
            <w:color w:val="auto"/>
          </w:rPr>
          <w:t>https://www.rba.gov.au/monetary-policy/rba-board-minutes/2018/2018-02-06.html</w:t>
        </w:r>
      </w:hyperlink>
    </w:p>
    <w:p w14:paraId="75F1F478" w14:textId="77777777" w:rsidR="00A07A5A" w:rsidRPr="0000278A" w:rsidRDefault="00A07A5A" w:rsidP="00A07A5A">
      <w:pPr>
        <w:rPr>
          <w:rFonts w:cs="Calibri Light"/>
        </w:rPr>
      </w:pPr>
      <w:r w:rsidRPr="0000278A">
        <w:rPr>
          <w:rFonts w:cs="Calibri Light"/>
        </w:rPr>
        <w:t xml:space="preserve">RBA (2018b) ‘Minutes of the Monetary Policy Meeting of the Reserve Bank Board’, </w:t>
      </w:r>
      <w:r w:rsidRPr="0000278A">
        <w:rPr>
          <w:rFonts w:cs="Calibri Light"/>
          <w:i/>
          <w:iCs/>
        </w:rPr>
        <w:t>Monetary Policy Minutes</w:t>
      </w:r>
      <w:r w:rsidRPr="0000278A">
        <w:rPr>
          <w:rFonts w:cs="Calibri Light"/>
        </w:rPr>
        <w:t xml:space="preserve">, May. </w:t>
      </w:r>
      <w:hyperlink r:id="rId208" w:history="1">
        <w:r w:rsidRPr="0000278A">
          <w:rPr>
            <w:rStyle w:val="Hyperlink"/>
            <w:rFonts w:cs="Calibri Light"/>
            <w:color w:val="auto"/>
          </w:rPr>
          <w:t>https://www.rba.gov.au/monetary-policy/rba-board-minutes/2018/2018-05-01.html</w:t>
        </w:r>
      </w:hyperlink>
    </w:p>
    <w:p w14:paraId="5E3C948E" w14:textId="77777777" w:rsidR="00A07A5A" w:rsidRPr="0000278A" w:rsidRDefault="00A07A5A" w:rsidP="00A07A5A">
      <w:pPr>
        <w:rPr>
          <w:rFonts w:cs="Calibri Light"/>
        </w:rPr>
      </w:pPr>
      <w:r w:rsidRPr="0000278A">
        <w:rPr>
          <w:rFonts w:cs="Calibri Light"/>
        </w:rPr>
        <w:t xml:space="preserve">RBA (2019a) ‘Minutes of the Monetary Policy Meeting of the Reserve Bank Board’, </w:t>
      </w:r>
      <w:r w:rsidRPr="0000278A">
        <w:rPr>
          <w:rFonts w:cs="Calibri Light"/>
          <w:i/>
          <w:iCs/>
        </w:rPr>
        <w:t>Monetary Policy Minutes</w:t>
      </w:r>
      <w:r w:rsidRPr="0000278A">
        <w:rPr>
          <w:rFonts w:cs="Calibri Light"/>
        </w:rPr>
        <w:t xml:space="preserve">, April. </w:t>
      </w:r>
      <w:hyperlink r:id="rId209" w:history="1">
        <w:r w:rsidRPr="0000278A">
          <w:rPr>
            <w:rStyle w:val="Hyperlink"/>
            <w:rFonts w:cs="Calibri Light"/>
            <w:color w:val="auto"/>
          </w:rPr>
          <w:t>https://www.rba.gov.au/monetary-policy/rba-board-minutes/2019/2019-04-02.html</w:t>
        </w:r>
      </w:hyperlink>
    </w:p>
    <w:p w14:paraId="551BFA41" w14:textId="77777777" w:rsidR="00A07A5A" w:rsidRPr="0000278A" w:rsidRDefault="00A07A5A" w:rsidP="00A07A5A">
      <w:pPr>
        <w:rPr>
          <w:rStyle w:val="Hyperlink"/>
          <w:rFonts w:cs="Calibri Light"/>
          <w:color w:val="auto"/>
        </w:rPr>
      </w:pPr>
      <w:r w:rsidRPr="0000278A">
        <w:rPr>
          <w:rFonts w:cs="Calibri Light"/>
        </w:rPr>
        <w:t xml:space="preserve">RBA (2019b) ‘Minutes of the Monetary Policy Meeting of the Reserve Bank Board’, </w:t>
      </w:r>
      <w:r w:rsidRPr="0000278A">
        <w:rPr>
          <w:rFonts w:cs="Calibri Light"/>
          <w:i/>
          <w:iCs/>
        </w:rPr>
        <w:t>Monetary Policy Minutes</w:t>
      </w:r>
      <w:r w:rsidRPr="0000278A">
        <w:rPr>
          <w:rFonts w:cs="Calibri Light"/>
        </w:rPr>
        <w:t xml:space="preserve">, November. </w:t>
      </w:r>
      <w:hyperlink r:id="rId210" w:history="1">
        <w:r w:rsidRPr="0000278A">
          <w:rPr>
            <w:rStyle w:val="Hyperlink"/>
            <w:rFonts w:cs="Calibri Light"/>
            <w:color w:val="auto"/>
          </w:rPr>
          <w:t>https://www.rba.gov.au/monetary-policy/rba-board-minutes/2019/2019-11-05.html</w:t>
        </w:r>
      </w:hyperlink>
    </w:p>
    <w:p w14:paraId="2D5C7452" w14:textId="77777777" w:rsidR="00A07A5A" w:rsidRPr="0000278A" w:rsidRDefault="00A07A5A" w:rsidP="00A07A5A">
      <w:pPr>
        <w:tabs>
          <w:tab w:val="left" w:pos="720"/>
        </w:tabs>
        <w:spacing w:line="276" w:lineRule="auto"/>
        <w:rPr>
          <w:rStyle w:val="Hyperlink"/>
          <w:rFonts w:cs="Calibri Light"/>
          <w:color w:val="auto"/>
        </w:rPr>
      </w:pPr>
      <w:r w:rsidRPr="0000278A">
        <w:rPr>
          <w:rFonts w:cs="Calibri Light"/>
        </w:rPr>
        <w:t>RBA (2019c) ‘</w:t>
      </w:r>
      <w:bookmarkStart w:id="89" w:name="_Hlk129012969"/>
      <w:r w:rsidRPr="0000278A">
        <w:rPr>
          <w:rFonts w:cs="Calibri Light"/>
        </w:rPr>
        <w:t>Minutes of the Monetary Policy Meeting of the Reserve Bank Board</w:t>
      </w:r>
      <w:bookmarkEnd w:id="89"/>
      <w:r w:rsidRPr="0000278A">
        <w:rPr>
          <w:rFonts w:cs="Calibri Light"/>
        </w:rPr>
        <w:t xml:space="preserve">’, </w:t>
      </w:r>
      <w:r w:rsidRPr="0000278A">
        <w:rPr>
          <w:rFonts w:cs="Calibri Light"/>
          <w:i/>
          <w:iCs/>
        </w:rPr>
        <w:t>Monetary Policy Minutes</w:t>
      </w:r>
      <w:r w:rsidRPr="0000278A">
        <w:rPr>
          <w:rFonts w:cs="Calibri Light"/>
        </w:rPr>
        <w:t xml:space="preserve">, October. </w:t>
      </w:r>
      <w:hyperlink r:id="rId211" w:history="1">
        <w:r w:rsidRPr="0000278A">
          <w:rPr>
            <w:rStyle w:val="Hyperlink"/>
            <w:rFonts w:cs="Calibri Light"/>
            <w:color w:val="auto"/>
          </w:rPr>
          <w:t>https://www.rba.gov.au/monetary-policy/rba-board-minutes/2019/2019-10-01.html</w:t>
        </w:r>
      </w:hyperlink>
    </w:p>
    <w:p w14:paraId="4EE7260F" w14:textId="77777777" w:rsidR="00A07A5A" w:rsidRPr="0000278A" w:rsidRDefault="00A07A5A" w:rsidP="00A07A5A">
      <w:pPr>
        <w:tabs>
          <w:tab w:val="left" w:pos="720"/>
        </w:tabs>
        <w:spacing w:line="276" w:lineRule="auto"/>
        <w:rPr>
          <w:rStyle w:val="Hyperlink"/>
          <w:rFonts w:cs="Calibri Light"/>
          <w:color w:val="auto"/>
        </w:rPr>
      </w:pPr>
      <w:r w:rsidRPr="0000278A">
        <w:rPr>
          <w:rFonts w:cs="Calibri Light"/>
        </w:rPr>
        <w:t xml:space="preserve">RBA (2020) ‘Reserve Bank of Australia Annual Report 2020’, September. </w:t>
      </w:r>
      <w:hyperlink r:id="rId212" w:history="1">
        <w:r w:rsidRPr="0000278A">
          <w:rPr>
            <w:rStyle w:val="Hyperlink"/>
            <w:rFonts w:cs="Calibri Light"/>
            <w:color w:val="auto"/>
          </w:rPr>
          <w:t>https://www.rba.gov.au/publications/annual-reports/rba/2020/</w:t>
        </w:r>
      </w:hyperlink>
    </w:p>
    <w:p w14:paraId="14ABF71A" w14:textId="77777777" w:rsidR="00A07A5A" w:rsidRPr="0000278A" w:rsidRDefault="00A07A5A" w:rsidP="00A07A5A">
      <w:pPr>
        <w:rPr>
          <w:rFonts w:cs="Calibri Light"/>
        </w:rPr>
      </w:pPr>
      <w:r w:rsidRPr="0000278A">
        <w:rPr>
          <w:rFonts w:cs="Calibri Light"/>
        </w:rPr>
        <w:t xml:space="preserve">RBA (2022a) ‘RBA Review Request – Forecast Error Decomposition’, </w:t>
      </w:r>
      <w:r w:rsidRPr="0000278A">
        <w:rPr>
          <w:rFonts w:cs="Calibri Light"/>
          <w:i/>
          <w:iCs/>
        </w:rPr>
        <w:t xml:space="preserve">Research note produced for the </w:t>
      </w:r>
      <w:r w:rsidRPr="0000278A">
        <w:rPr>
          <w:rFonts w:cs="Calibri Light"/>
          <w:i/>
        </w:rPr>
        <w:t>RBA Review</w:t>
      </w:r>
      <w:r w:rsidRPr="0000278A">
        <w:rPr>
          <w:rFonts w:cs="Calibri Light"/>
        </w:rPr>
        <w:t>.</w:t>
      </w:r>
    </w:p>
    <w:p w14:paraId="24335845" w14:textId="77777777" w:rsidR="00A07A5A" w:rsidRPr="0000278A" w:rsidRDefault="00A07A5A" w:rsidP="00A07A5A">
      <w:pPr>
        <w:rPr>
          <w:rFonts w:cs="Calibri Light"/>
        </w:rPr>
      </w:pPr>
      <w:r w:rsidRPr="0000278A">
        <w:rPr>
          <w:rFonts w:cs="Calibri Light"/>
        </w:rPr>
        <w:t>RBA (2022b) ‘</w:t>
      </w:r>
      <w:bookmarkStart w:id="90" w:name="_Hlk129012982"/>
      <w:r w:rsidRPr="0000278A">
        <w:rPr>
          <w:rFonts w:cs="Calibri Light"/>
        </w:rPr>
        <w:t>Review of Bond Purchase Program</w:t>
      </w:r>
      <w:bookmarkEnd w:id="90"/>
      <w:r w:rsidRPr="0000278A">
        <w:rPr>
          <w:rFonts w:cs="Calibri Light"/>
        </w:rPr>
        <w:t xml:space="preserve">’, </w:t>
      </w:r>
      <w:r w:rsidRPr="0000278A">
        <w:rPr>
          <w:rFonts w:cs="Calibri Light"/>
          <w:i/>
          <w:iCs/>
        </w:rPr>
        <w:t>Reviews of the Monetary Policies Adopted in Response to COVID-19</w:t>
      </w:r>
      <w:r w:rsidRPr="0000278A">
        <w:rPr>
          <w:rFonts w:cs="Calibri Light"/>
        </w:rPr>
        <w:t xml:space="preserve">, September. </w:t>
      </w:r>
      <w:hyperlink r:id="rId213" w:history="1">
        <w:r w:rsidRPr="0000278A">
          <w:rPr>
            <w:rStyle w:val="Hyperlink"/>
            <w:rFonts w:cs="Calibri Light"/>
            <w:color w:val="auto"/>
          </w:rPr>
          <w:t>https://www.rba.gov.au/monetary-policy/reviews/bond-purchase-program/</w:t>
        </w:r>
      </w:hyperlink>
    </w:p>
    <w:p w14:paraId="60CE0EE7" w14:textId="77777777" w:rsidR="00A07A5A" w:rsidRPr="0000278A" w:rsidRDefault="00A07A5A" w:rsidP="00A07A5A">
      <w:pPr>
        <w:rPr>
          <w:rStyle w:val="Hyperlink"/>
          <w:rFonts w:cs="Calibri Light"/>
          <w:color w:val="auto"/>
        </w:rPr>
      </w:pPr>
      <w:r w:rsidRPr="0000278A">
        <w:rPr>
          <w:rFonts w:cs="Calibri Light"/>
        </w:rPr>
        <w:t xml:space="preserve">RBA (2022c) ‘Reserve Bank of Australia Annual Report 2022’, September. </w:t>
      </w:r>
      <w:hyperlink r:id="rId214">
        <w:r w:rsidRPr="0000278A">
          <w:rPr>
            <w:rStyle w:val="Hyperlink"/>
            <w:rFonts w:cs="Calibri Light"/>
            <w:color w:val="auto"/>
          </w:rPr>
          <w:t>https://www.rba.gov.au/publications/annual-reports/rba/2022/</w:t>
        </w:r>
      </w:hyperlink>
    </w:p>
    <w:p w14:paraId="5C1EAAD4" w14:textId="77777777" w:rsidR="00A07A5A" w:rsidRPr="0000278A" w:rsidRDefault="00A07A5A" w:rsidP="00A07A5A">
      <w:pPr>
        <w:rPr>
          <w:rFonts w:cs="Calibri Light"/>
        </w:rPr>
      </w:pPr>
      <w:r w:rsidRPr="0000278A">
        <w:rPr>
          <w:rFonts w:cs="Calibri Light"/>
        </w:rPr>
        <w:t>RBA (2022d) ‘Review of the Yield Target’,</w:t>
      </w:r>
      <w:r w:rsidRPr="0000278A">
        <w:rPr>
          <w:rFonts w:cs="Calibri Light"/>
          <w:i/>
          <w:iCs/>
        </w:rPr>
        <w:t xml:space="preserve"> Reviews of the Monetary Policies Adopted in Response to COVID-19</w:t>
      </w:r>
      <w:r w:rsidRPr="0000278A">
        <w:rPr>
          <w:rFonts w:cs="Calibri Light"/>
        </w:rPr>
        <w:t xml:space="preserve">, June. </w:t>
      </w:r>
      <w:hyperlink r:id="rId215" w:history="1">
        <w:r w:rsidRPr="0000278A">
          <w:rPr>
            <w:rStyle w:val="Hyperlink"/>
            <w:rFonts w:cs="Calibri Light"/>
            <w:color w:val="auto"/>
          </w:rPr>
          <w:t>https://www.rba.gov.au/monetary-policy/reviews/yield-target/index.html</w:t>
        </w:r>
      </w:hyperlink>
    </w:p>
    <w:p w14:paraId="1F8C6AF9" w14:textId="77777777" w:rsidR="00A07A5A" w:rsidRPr="0000278A" w:rsidRDefault="00A07A5A" w:rsidP="00A07A5A">
      <w:pPr>
        <w:rPr>
          <w:rStyle w:val="Hyperlink"/>
          <w:rFonts w:cs="Calibri Light"/>
          <w:color w:val="auto"/>
        </w:rPr>
      </w:pPr>
      <w:r w:rsidRPr="0000278A">
        <w:rPr>
          <w:rFonts w:cs="Calibri Light"/>
        </w:rPr>
        <w:t>RBA (2022e) ‘Review of the RBA’s Approach to Forward Guidance’,</w:t>
      </w:r>
      <w:r w:rsidRPr="0000278A">
        <w:rPr>
          <w:rFonts w:cs="Calibri Light"/>
          <w:i/>
        </w:rPr>
        <w:t xml:space="preserve"> Reviews of the Monetary Policies Adopted in Response to COVID-19</w:t>
      </w:r>
      <w:r w:rsidRPr="0000278A">
        <w:rPr>
          <w:rFonts w:cs="Calibri Light"/>
        </w:rPr>
        <w:t xml:space="preserve">, November. </w:t>
      </w:r>
      <w:hyperlink r:id="rId216" w:history="1">
        <w:r w:rsidRPr="0000278A">
          <w:rPr>
            <w:rStyle w:val="Hyperlink"/>
            <w:rFonts w:cs="Calibri Light"/>
            <w:color w:val="auto"/>
          </w:rPr>
          <w:t>https://www.rba.gov.au/monetary-policy/reviews/approach-to-forward-guidance/index.html</w:t>
        </w:r>
      </w:hyperlink>
    </w:p>
    <w:p w14:paraId="68F091C5" w14:textId="77777777" w:rsidR="00A07A5A" w:rsidRPr="0000278A" w:rsidRDefault="00A07A5A" w:rsidP="00A07A5A">
      <w:pPr>
        <w:rPr>
          <w:rFonts w:cs="Calibri Light"/>
        </w:rPr>
      </w:pPr>
      <w:r w:rsidRPr="0000278A">
        <w:rPr>
          <w:rFonts w:cs="Calibri Light"/>
        </w:rPr>
        <w:t xml:space="preserve">RBA (2022f) ‘Private-Sector Economists Panel and Academic Panel’, </w:t>
      </w:r>
      <w:r w:rsidRPr="0000278A">
        <w:rPr>
          <w:rFonts w:cs="Calibri Light"/>
          <w:i/>
          <w:iCs/>
        </w:rPr>
        <w:t>Media Release</w:t>
      </w:r>
      <w:r w:rsidRPr="0000278A">
        <w:rPr>
          <w:rFonts w:cs="Calibri Light"/>
        </w:rPr>
        <w:t xml:space="preserve">, 18 August. </w:t>
      </w:r>
      <w:hyperlink r:id="rId217" w:history="1">
        <w:r w:rsidRPr="0000278A">
          <w:rPr>
            <w:rFonts w:cs="Calibri Light"/>
          </w:rPr>
          <w:t>https://www.rba.gov.au/media-releases/2022/mr-22-25.html</w:t>
        </w:r>
      </w:hyperlink>
    </w:p>
    <w:p w14:paraId="70151F0F" w14:textId="77777777" w:rsidR="00A07A5A" w:rsidRPr="0000278A" w:rsidRDefault="00A07A5A" w:rsidP="00A07A5A">
      <w:pPr>
        <w:rPr>
          <w:rFonts w:cs="Calibri Light"/>
        </w:rPr>
      </w:pPr>
      <w:r w:rsidRPr="0000278A">
        <w:rPr>
          <w:rFonts w:cs="Calibri Light"/>
        </w:rPr>
        <w:lastRenderedPageBreak/>
        <w:t xml:space="preserve">RBA (2022g) ‘Minutes of the Monetary Policy Meeting of the Reserve Bank Board’, </w:t>
      </w:r>
      <w:r w:rsidRPr="0000278A">
        <w:rPr>
          <w:rFonts w:cs="Calibri Light"/>
          <w:i/>
        </w:rPr>
        <w:t>Monetary Policy</w:t>
      </w:r>
      <w:r w:rsidRPr="0000278A">
        <w:rPr>
          <w:rFonts w:cs="Calibri Light"/>
        </w:rPr>
        <w:t xml:space="preserve"> </w:t>
      </w:r>
      <w:r w:rsidRPr="0000278A">
        <w:rPr>
          <w:rFonts w:cs="Calibri Light"/>
          <w:i/>
          <w:iCs/>
        </w:rPr>
        <w:t>Minutes,</w:t>
      </w:r>
      <w:r w:rsidRPr="0000278A">
        <w:rPr>
          <w:rFonts w:cs="Calibri Light"/>
        </w:rPr>
        <w:t xml:space="preserve"> December. </w:t>
      </w:r>
      <w:hyperlink r:id="rId218" w:history="1">
        <w:r w:rsidRPr="0000278A">
          <w:rPr>
            <w:rFonts w:cs="Calibri Light"/>
          </w:rPr>
          <w:t>https://www.rba.gov.au/monetary-policy/rba-board-minutes/2022/2022-12-06.html</w:t>
        </w:r>
      </w:hyperlink>
    </w:p>
    <w:p w14:paraId="7555833F" w14:textId="77777777" w:rsidR="00A07A5A" w:rsidRPr="0000278A" w:rsidRDefault="00A07A5A" w:rsidP="00A07A5A">
      <w:pPr>
        <w:spacing w:after="240"/>
        <w:textAlignment w:val="baseline"/>
        <w:rPr>
          <w:rStyle w:val="Hyperlink"/>
          <w:rFonts w:cs="Calibri Light"/>
          <w:color w:val="auto"/>
        </w:rPr>
      </w:pPr>
      <w:r w:rsidRPr="0000278A">
        <w:rPr>
          <w:rFonts w:cs="Calibri Light"/>
        </w:rPr>
        <w:t xml:space="preserve">RBA (2022h) response to information requests from the RBA Review. </w:t>
      </w:r>
      <w:hyperlink r:id="rId219" w:history="1">
        <w:r w:rsidRPr="0000278A">
          <w:rPr>
            <w:rStyle w:val="Hyperlink"/>
            <w:rFonts w:cs="Calibri Light"/>
            <w:color w:val="auto"/>
          </w:rPr>
          <w:t>https://rbareview.gov.au/sites/rbareview.gov.au/files/2022-12/rba-review-requests-for-information-from-the-reserve-bank-september-october-2022.pdf</w:t>
        </w:r>
      </w:hyperlink>
    </w:p>
    <w:p w14:paraId="6C991161" w14:textId="77777777" w:rsidR="00A07A5A" w:rsidRPr="0000278A" w:rsidRDefault="00A07A5A" w:rsidP="00A07A5A">
      <w:pPr>
        <w:rPr>
          <w:rFonts w:cs="Calibri Light"/>
          <w:i/>
        </w:rPr>
      </w:pPr>
      <w:r w:rsidRPr="0000278A">
        <w:rPr>
          <w:rFonts w:cs="Calibri Light"/>
        </w:rPr>
        <w:t xml:space="preserve">RBA (2023) ‘Box C: Supply and Demand Drivers of Inflation in Australia’, </w:t>
      </w:r>
      <w:r w:rsidRPr="0000278A">
        <w:rPr>
          <w:rFonts w:cs="Calibri Light"/>
          <w:i/>
        </w:rPr>
        <w:t xml:space="preserve">Statement on Monetary Policy, </w:t>
      </w:r>
      <w:r w:rsidRPr="0000278A">
        <w:rPr>
          <w:rFonts w:cs="Calibri Light"/>
        </w:rPr>
        <w:t>February</w:t>
      </w:r>
      <w:r w:rsidRPr="0000278A">
        <w:rPr>
          <w:rFonts w:cs="Calibri Light"/>
          <w:i/>
        </w:rPr>
        <w:t>.</w:t>
      </w:r>
      <w:r w:rsidRPr="0000278A">
        <w:rPr>
          <w:rFonts w:cs="Calibri Light"/>
        </w:rPr>
        <w:t xml:space="preserve"> </w:t>
      </w:r>
      <w:hyperlink r:id="rId220" w:history="1">
        <w:r w:rsidRPr="0000278A">
          <w:rPr>
            <w:rStyle w:val="Hyperlink"/>
            <w:rFonts w:cs="Calibri Light"/>
            <w:color w:val="auto"/>
          </w:rPr>
          <w:t>https://www.rba.gov.au/publications/smp/2023/feb/</w:t>
        </w:r>
      </w:hyperlink>
    </w:p>
    <w:p w14:paraId="473C9C11" w14:textId="77777777" w:rsidR="00A07A5A" w:rsidRPr="0000278A" w:rsidRDefault="00A07A5A" w:rsidP="00A07A5A">
      <w:pPr>
        <w:tabs>
          <w:tab w:val="left" w:pos="720"/>
        </w:tabs>
        <w:spacing w:line="276" w:lineRule="auto"/>
        <w:rPr>
          <w:rFonts w:cs="Calibri Light"/>
        </w:rPr>
      </w:pPr>
      <w:r w:rsidRPr="0000278A">
        <w:rPr>
          <w:rFonts w:cs="Calibri Light"/>
        </w:rPr>
        <w:t>RBA, ‘</w:t>
      </w:r>
      <w:r w:rsidRPr="0000278A">
        <w:rPr>
          <w:rFonts w:cs="Calibri Light"/>
          <w:i/>
        </w:rPr>
        <w:t>A Brief History’.</w:t>
      </w:r>
      <w:r w:rsidRPr="0000278A">
        <w:rPr>
          <w:rFonts w:cs="Calibri Light"/>
        </w:rPr>
        <w:t xml:space="preserve"> </w:t>
      </w:r>
      <w:hyperlink r:id="rId221" w:history="1">
        <w:r w:rsidRPr="0000278A">
          <w:rPr>
            <w:rFonts w:cs="Calibri Light"/>
          </w:rPr>
          <w:t>https://www.rba.gov.au/about-rba/history/</w:t>
        </w:r>
      </w:hyperlink>
      <w:r w:rsidRPr="0000278A">
        <w:rPr>
          <w:rFonts w:cs="Calibri Light"/>
        </w:rPr>
        <w:t xml:space="preserve"> </w:t>
      </w:r>
    </w:p>
    <w:p w14:paraId="7B3C0C51" w14:textId="77777777" w:rsidR="00A07A5A" w:rsidRPr="0000278A" w:rsidRDefault="00A07A5A" w:rsidP="00A07A5A">
      <w:pPr>
        <w:rPr>
          <w:rFonts w:cs="Calibri Light"/>
        </w:rPr>
      </w:pPr>
      <w:r w:rsidRPr="0000278A">
        <w:rPr>
          <w:rFonts w:cs="Calibri Light"/>
        </w:rPr>
        <w:t>RBNZ (Reserve Bank of New Zealand) (2022) ‘History of the Remit’</w:t>
      </w:r>
      <w:r w:rsidRPr="0000278A">
        <w:rPr>
          <w:rFonts w:cs="Calibri Light"/>
          <w:i/>
          <w:iCs/>
        </w:rPr>
        <w:t xml:space="preserve">, RBNZ </w:t>
      </w:r>
      <w:hyperlink r:id="rId222" w:history="1">
        <w:r w:rsidRPr="0000278A">
          <w:rPr>
            <w:rStyle w:val="Hyperlink"/>
            <w:rFonts w:cs="Calibri Light"/>
            <w:color w:val="auto"/>
          </w:rPr>
          <w:t>https://www.rbnz.govt.nz/monetary-policy/about-monetary-policy/history-of-the-remit-and-policy-targets-agreement</w:t>
        </w:r>
      </w:hyperlink>
      <w:r w:rsidRPr="0000278A">
        <w:rPr>
          <w:rFonts w:cs="Calibri Light"/>
        </w:rPr>
        <w:t xml:space="preserve"> </w:t>
      </w:r>
    </w:p>
    <w:p w14:paraId="49B17EF4" w14:textId="77777777" w:rsidR="00A07A5A" w:rsidRPr="0000278A" w:rsidRDefault="00A07A5A" w:rsidP="00A07A5A">
      <w:pPr>
        <w:tabs>
          <w:tab w:val="left" w:pos="720"/>
        </w:tabs>
        <w:spacing w:line="276" w:lineRule="auto"/>
        <w:rPr>
          <w:rFonts w:cs="Calibri Light"/>
        </w:rPr>
      </w:pPr>
      <w:r w:rsidRPr="0000278A">
        <w:rPr>
          <w:rFonts w:cs="Calibri Light"/>
          <w:i/>
        </w:rPr>
        <w:t>Remuneration Tribunal Act 1973</w:t>
      </w:r>
      <w:r w:rsidRPr="0000278A">
        <w:rPr>
          <w:rFonts w:cs="Calibri Light"/>
        </w:rPr>
        <w:t xml:space="preserve">. </w:t>
      </w:r>
      <w:hyperlink r:id="rId223" w:history="1">
        <w:r w:rsidRPr="0000278A">
          <w:rPr>
            <w:rStyle w:val="Hyperlink"/>
            <w:rFonts w:cs="Calibri Light"/>
            <w:color w:val="auto"/>
          </w:rPr>
          <w:t>https://www.legislation.gov.au/Details/C2019C00081</w:t>
        </w:r>
      </w:hyperlink>
    </w:p>
    <w:p w14:paraId="3960367A" w14:textId="77777777" w:rsidR="00A07A5A" w:rsidRPr="0000278A" w:rsidRDefault="00A07A5A" w:rsidP="00A07A5A">
      <w:pPr>
        <w:tabs>
          <w:tab w:val="left" w:pos="720"/>
        </w:tabs>
        <w:spacing w:line="276" w:lineRule="auto"/>
        <w:rPr>
          <w:rFonts w:cs="Calibri Light"/>
        </w:rPr>
      </w:pPr>
      <w:r w:rsidRPr="0000278A">
        <w:rPr>
          <w:rFonts w:cs="Calibri Light"/>
          <w:i/>
        </w:rPr>
        <w:t xml:space="preserve">Reserve Bank Act 1959. </w:t>
      </w:r>
      <w:hyperlink r:id="rId224" w:history="1">
        <w:r w:rsidRPr="0000278A">
          <w:rPr>
            <w:rStyle w:val="Hyperlink"/>
            <w:rFonts w:cs="Calibri Light"/>
            <w:color w:val="auto"/>
          </w:rPr>
          <w:t>https://www.legislation.gov.au/Details/C2020C00322</w:t>
        </w:r>
      </w:hyperlink>
    </w:p>
    <w:p w14:paraId="3B16A603" w14:textId="77777777" w:rsidR="00A07A5A" w:rsidRPr="0000278A" w:rsidRDefault="00A07A5A" w:rsidP="00A07A5A">
      <w:pPr>
        <w:rPr>
          <w:rFonts w:cs="Calibri Light"/>
        </w:rPr>
      </w:pPr>
      <w:r w:rsidRPr="0000278A">
        <w:rPr>
          <w:rFonts w:cs="Calibri Light"/>
          <w:i/>
          <w:iCs/>
        </w:rPr>
        <w:t>Reserve Bank of New Zealand (Replacement of Remit for Monetary Policy Committee) Order</w:t>
      </w:r>
      <w:r w:rsidRPr="0000278A">
        <w:rPr>
          <w:rFonts w:cs="Calibri Light"/>
        </w:rPr>
        <w:t xml:space="preserve"> 2021 </w:t>
      </w:r>
      <w:hyperlink r:id="rId225" w:history="1">
        <w:r w:rsidRPr="0000278A">
          <w:rPr>
            <w:rStyle w:val="Hyperlink"/>
            <w:rFonts w:cs="Calibri Light"/>
            <w:color w:val="auto"/>
          </w:rPr>
          <w:t>https://www.rbnz.govt.nz/-/media/project/sites/rbnz/files/monetary-policy/about-monetary-policy/remit-for-monetary-policy-committee-order-feb-2021.pdf?sc_lang=en</w:t>
        </w:r>
      </w:hyperlink>
      <w:r w:rsidRPr="0000278A">
        <w:rPr>
          <w:rFonts w:cs="Calibri Light"/>
        </w:rPr>
        <w:t xml:space="preserve"> </w:t>
      </w:r>
    </w:p>
    <w:p w14:paraId="6EEB83B3" w14:textId="77777777" w:rsidR="00A07A5A" w:rsidRPr="0000278A" w:rsidRDefault="00A07A5A" w:rsidP="00A07A5A">
      <w:pPr>
        <w:rPr>
          <w:rFonts w:cs="Calibri Light"/>
          <w:i/>
        </w:rPr>
      </w:pPr>
      <w:r w:rsidRPr="0000278A">
        <w:rPr>
          <w:rFonts w:cs="Calibri Light"/>
        </w:rPr>
        <w:t xml:space="preserve">Saunders T and Tulip P (2019) ‘Cost-benefit Analysis of Leaning Against the Wind’, </w:t>
      </w:r>
      <w:r w:rsidRPr="0000278A">
        <w:rPr>
          <w:rFonts w:cs="Calibri Light"/>
          <w:i/>
        </w:rPr>
        <w:t xml:space="preserve">RBA Research Discussion Paper, </w:t>
      </w:r>
      <w:r w:rsidRPr="0000278A">
        <w:rPr>
          <w:rFonts w:cs="Calibri Light"/>
        </w:rPr>
        <w:t>No 2019-05.</w:t>
      </w:r>
      <w:hyperlink>
        <w:r w:rsidRPr="0000278A">
          <w:rPr>
            <w:rStyle w:val="Hyperlink"/>
            <w:rFonts w:cs="Calibri Light"/>
            <w:color w:val="auto"/>
          </w:rPr>
          <w:t xml:space="preserve"> https://www.rba.gov.au/publications/rdp/2019/pdf/rdp2019-05.pdf</w:t>
        </w:r>
      </w:hyperlink>
    </w:p>
    <w:p w14:paraId="5C285639" w14:textId="77777777" w:rsidR="00A07A5A" w:rsidRPr="0000278A" w:rsidRDefault="00A07A5A" w:rsidP="00A07A5A">
      <w:pPr>
        <w:spacing w:before="100" w:beforeAutospacing="1" w:after="100" w:afterAutospacing="1"/>
        <w:rPr>
          <w:rFonts w:cs="Calibri Light"/>
        </w:rPr>
      </w:pPr>
      <w:r w:rsidRPr="0000278A">
        <w:rPr>
          <w:rFonts w:cs="Calibri Light"/>
        </w:rPr>
        <w:t xml:space="preserve">Schnabel I (2022) ‘Monetary policy and the great volatility’, </w:t>
      </w:r>
      <w:r w:rsidRPr="0000278A">
        <w:rPr>
          <w:rFonts w:cs="Calibri Light"/>
          <w:i/>
        </w:rPr>
        <w:t>speech at the Jackson Hole Economic Policy Symposium</w:t>
      </w:r>
      <w:r w:rsidRPr="0000278A">
        <w:rPr>
          <w:rFonts w:cs="Calibri Light"/>
        </w:rPr>
        <w:t xml:space="preserve">, 27 August. </w:t>
      </w:r>
      <w:hyperlink r:id="rId226" w:history="1">
        <w:r w:rsidRPr="0000278A">
          <w:rPr>
            <w:rStyle w:val="Hyperlink"/>
            <w:rFonts w:cs="Calibri Light"/>
            <w:color w:val="auto"/>
          </w:rPr>
          <w:t>https://www.ecb.europa.eu/press/key/date/2022/html/ecb.sp220827~93f7d07535.en.html</w:t>
        </w:r>
      </w:hyperlink>
      <w:r w:rsidRPr="0000278A">
        <w:rPr>
          <w:rFonts w:cs="Calibri Light"/>
        </w:rPr>
        <w:t xml:space="preserve"> </w:t>
      </w:r>
    </w:p>
    <w:p w14:paraId="1280ADA3" w14:textId="77777777" w:rsidR="00A07A5A" w:rsidRPr="0000278A" w:rsidRDefault="00A07A5A" w:rsidP="00A07A5A">
      <w:pPr>
        <w:rPr>
          <w:rFonts w:cs="Calibri Light"/>
        </w:rPr>
      </w:pPr>
      <w:r w:rsidRPr="0000278A">
        <w:rPr>
          <w:rFonts w:cs="Calibri Light"/>
        </w:rPr>
        <w:t xml:space="preserve">Schnabel I (2023) </w:t>
      </w:r>
      <w:r w:rsidRPr="0000278A">
        <w:rPr>
          <w:rFonts w:cs="Calibri Light"/>
          <w:i/>
        </w:rPr>
        <w:t>‘</w:t>
      </w:r>
      <w:r w:rsidRPr="0000278A">
        <w:rPr>
          <w:rFonts w:cs="Calibri Light"/>
        </w:rPr>
        <w:t xml:space="preserve">Monetary policy tightening and the green transition’, </w:t>
      </w:r>
      <w:r w:rsidRPr="0000278A">
        <w:rPr>
          <w:rFonts w:cs="Calibri Light"/>
          <w:i/>
        </w:rPr>
        <w:t>speech at the International Symposium on Central Bank Independence</w:t>
      </w:r>
      <w:r w:rsidRPr="0000278A">
        <w:rPr>
          <w:rFonts w:cs="Calibri Light"/>
        </w:rPr>
        <w:t xml:space="preserve">, 11 January. </w:t>
      </w:r>
      <w:hyperlink r:id="rId227" w:history="1">
        <w:r w:rsidRPr="0000278A">
          <w:rPr>
            <w:rStyle w:val="Hyperlink"/>
            <w:rFonts w:cs="Calibri Light"/>
            <w:color w:val="auto"/>
          </w:rPr>
          <w:t>https://www.bis.org/review/r230110k.htm</w:t>
        </w:r>
      </w:hyperlink>
      <w:r w:rsidRPr="0000278A">
        <w:rPr>
          <w:rFonts w:cs="Calibri Light"/>
        </w:rPr>
        <w:t xml:space="preserve">  </w:t>
      </w:r>
    </w:p>
    <w:p w14:paraId="6D921363" w14:textId="77777777" w:rsidR="00A07A5A" w:rsidRPr="0000278A" w:rsidRDefault="00A07A5A" w:rsidP="00A07A5A">
      <w:pPr>
        <w:rPr>
          <w:rFonts w:cs="Calibri Light"/>
        </w:rPr>
      </w:pPr>
      <w:r w:rsidRPr="0000278A">
        <w:rPr>
          <w:rFonts w:cs="Calibri Light"/>
        </w:rPr>
        <w:t xml:space="preserve">Senate (Senate Economics References Committee) (2009) Government's Economic Stimulus Initiatives, (A Eggleston, Chair), Commonwealth of Australia, Canberra. </w:t>
      </w:r>
      <w:hyperlink r:id="rId228">
        <w:r w:rsidRPr="0000278A">
          <w:rPr>
            <w:rStyle w:val="Hyperlink"/>
            <w:rFonts w:cs="Calibri Light"/>
            <w:color w:val="auto"/>
          </w:rPr>
          <w:t>https://www.aph.gov.au/Parliamentary_Business/Committees/Senate/Economics/Completed_inquiries/2008-10/eco_stimulus_09/report/index</w:t>
        </w:r>
      </w:hyperlink>
    </w:p>
    <w:p w14:paraId="17FEC09E" w14:textId="77777777" w:rsidR="00A07A5A" w:rsidRPr="0000278A" w:rsidRDefault="00A07A5A" w:rsidP="00A07A5A">
      <w:pPr>
        <w:rPr>
          <w:rFonts w:cs="Calibri Light"/>
        </w:rPr>
      </w:pPr>
      <w:r w:rsidRPr="0000278A">
        <w:rPr>
          <w:rFonts w:cs="Calibri Light"/>
        </w:rPr>
        <w:t>Summers L (2023) ‘</w:t>
      </w:r>
      <w:r w:rsidRPr="0000278A">
        <w:rPr>
          <w:rFonts w:cs="Calibri Light"/>
          <w:i/>
        </w:rPr>
        <w:t>Back to Secular Stagnation?’</w:t>
      </w:r>
      <w:r w:rsidRPr="0000278A">
        <w:rPr>
          <w:rFonts w:cs="Calibri Light"/>
        </w:rPr>
        <w:t xml:space="preserve">, Panel discussion on ‘Economic Shocks, Crises and their consequences’, American Economic Association Annual Meeting. </w:t>
      </w:r>
      <w:hyperlink r:id="rId229" w:history="1">
        <w:r w:rsidRPr="0000278A">
          <w:rPr>
            <w:rStyle w:val="Hyperlink"/>
            <w:rFonts w:cs="Calibri Light"/>
            <w:color w:val="auto"/>
          </w:rPr>
          <w:t>https://www.aeaweb.org/conference/2023/program/1512</w:t>
        </w:r>
      </w:hyperlink>
      <w:r w:rsidRPr="0000278A">
        <w:rPr>
          <w:rFonts w:cs="Calibri Light"/>
        </w:rPr>
        <w:t xml:space="preserve"> </w:t>
      </w:r>
    </w:p>
    <w:p w14:paraId="2330266C" w14:textId="77777777" w:rsidR="00A07A5A" w:rsidRPr="0000278A" w:rsidRDefault="00A07A5A" w:rsidP="00A07A5A">
      <w:pPr>
        <w:rPr>
          <w:rFonts w:cs="Calibri Light"/>
          <w:i/>
        </w:rPr>
      </w:pPr>
      <w:r w:rsidRPr="0000278A">
        <w:rPr>
          <w:rFonts w:cs="Calibri Light"/>
        </w:rPr>
        <w:t xml:space="preserve">Svensson L (2016) ‘Cost-benefit Analysis of Leaning Against the Wind: Are Costs Larger also with Less Effective Macroprudential Policy’, </w:t>
      </w:r>
      <w:r w:rsidRPr="0000278A">
        <w:rPr>
          <w:rFonts w:cs="Calibri Light"/>
          <w:i/>
        </w:rPr>
        <w:t>IMF Working Paper, No WP/16/3.</w:t>
      </w:r>
      <w:r w:rsidRPr="0000278A">
        <w:rPr>
          <w:rFonts w:cs="Calibri Light"/>
        </w:rPr>
        <w:t xml:space="preserve"> </w:t>
      </w:r>
      <w:hyperlink r:id="rId230">
        <w:r w:rsidRPr="0000278A">
          <w:rPr>
            <w:rStyle w:val="Hyperlink"/>
            <w:rFonts w:cs="Calibri Light"/>
            <w:color w:val="auto"/>
          </w:rPr>
          <w:t>https://www.imf.org/external/pubs/ft/wp/2016/wp1603.pdf</w:t>
        </w:r>
      </w:hyperlink>
    </w:p>
    <w:p w14:paraId="093EB97B" w14:textId="77777777" w:rsidR="00A07A5A" w:rsidRPr="0000278A" w:rsidRDefault="00A07A5A" w:rsidP="00A07A5A">
      <w:pPr>
        <w:tabs>
          <w:tab w:val="left" w:pos="720"/>
        </w:tabs>
        <w:spacing w:line="276" w:lineRule="auto"/>
        <w:rPr>
          <w:rFonts w:cs="Calibri Light"/>
        </w:rPr>
      </w:pPr>
      <w:r w:rsidRPr="0000278A">
        <w:rPr>
          <w:rFonts w:cs="Calibri Light"/>
        </w:rPr>
        <w:t>Sveriges Riksbank (2023, January 4) ‘</w:t>
      </w:r>
      <w:r w:rsidRPr="0000278A">
        <w:rPr>
          <w:rFonts w:cs="Calibri Light"/>
          <w:i/>
        </w:rPr>
        <w:t xml:space="preserve">The Riksbank organisation’ </w:t>
      </w:r>
      <w:r w:rsidRPr="0000278A">
        <w:rPr>
          <w:rFonts w:cs="Calibri Light"/>
        </w:rPr>
        <w:t xml:space="preserve">[Organogram]. </w:t>
      </w:r>
      <w:hyperlink r:id="rId231" w:history="1">
        <w:r w:rsidRPr="0000278A">
          <w:rPr>
            <w:rFonts w:cs="Calibri Light"/>
          </w:rPr>
          <w:t>https://www.riksbank.se/globalassets/media/riksbanken/organisation/organisationschema-engelsk.pdf</w:t>
        </w:r>
      </w:hyperlink>
      <w:r w:rsidRPr="0000278A">
        <w:rPr>
          <w:rFonts w:cs="Calibri Light"/>
        </w:rPr>
        <w:t xml:space="preserve"> </w:t>
      </w:r>
    </w:p>
    <w:p w14:paraId="465E58A8" w14:textId="77777777" w:rsidR="00A07A5A" w:rsidRPr="0000278A" w:rsidRDefault="00A07A5A" w:rsidP="00A07A5A">
      <w:pPr>
        <w:rPr>
          <w:rFonts w:cs="Calibri Light"/>
          <w:bCs/>
        </w:rPr>
      </w:pPr>
      <w:r w:rsidRPr="0000278A">
        <w:rPr>
          <w:rFonts w:cs="Calibri Light"/>
          <w:bCs/>
          <w:i/>
          <w:iCs/>
        </w:rPr>
        <w:t xml:space="preserve">Sveriges Riksbank Act 2023 </w:t>
      </w:r>
      <w:r w:rsidRPr="0000278A">
        <w:rPr>
          <w:rFonts w:cs="Calibri Light"/>
          <w:bCs/>
        </w:rPr>
        <w:t xml:space="preserve">(Sweden) </w:t>
      </w:r>
      <w:hyperlink r:id="rId232" w:history="1">
        <w:r w:rsidRPr="0000278A">
          <w:rPr>
            <w:rStyle w:val="Hyperlink"/>
            <w:rFonts w:cs="Calibri Light"/>
            <w:bCs/>
            <w:color w:val="auto"/>
          </w:rPr>
          <w:t>https://www.riksbank.se/globalassets/media/riksbanken/lagar-regler--policy/the-sveriges-riksbank-act-2022_1568.pdf</w:t>
        </w:r>
      </w:hyperlink>
      <w:r w:rsidRPr="0000278A">
        <w:rPr>
          <w:rFonts w:cs="Calibri Light"/>
          <w:bCs/>
        </w:rPr>
        <w:t xml:space="preserve"> </w:t>
      </w:r>
    </w:p>
    <w:p w14:paraId="2C7C0EFB" w14:textId="77777777" w:rsidR="00A07A5A" w:rsidRPr="0000278A" w:rsidRDefault="00A07A5A" w:rsidP="00A07A5A">
      <w:pPr>
        <w:rPr>
          <w:rFonts w:cs="Calibri Light"/>
        </w:rPr>
      </w:pPr>
      <w:r w:rsidRPr="0000278A">
        <w:rPr>
          <w:rFonts w:cs="Calibri Light"/>
          <w:i/>
          <w:iCs/>
        </w:rPr>
        <w:t>The ECB’s monetary policy strategy statement</w:t>
      </w:r>
      <w:r w:rsidRPr="0000278A">
        <w:rPr>
          <w:rFonts w:cs="Calibri Light"/>
        </w:rPr>
        <w:t xml:space="preserve"> 2021 (European Central Bank) </w:t>
      </w:r>
      <w:hyperlink r:id="rId233" w:history="1">
        <w:r w:rsidRPr="0000278A">
          <w:rPr>
            <w:rStyle w:val="Hyperlink"/>
            <w:rFonts w:cs="Calibri Light"/>
            <w:color w:val="auto"/>
          </w:rPr>
          <w:t>https://www.ecb.europa.eu/home/search/review/html/ecb.strategyreview_monpol_strategy_statement.en.html</w:t>
        </w:r>
      </w:hyperlink>
      <w:r w:rsidRPr="0000278A">
        <w:rPr>
          <w:rFonts w:cs="Calibri Light"/>
        </w:rPr>
        <w:t xml:space="preserve"> </w:t>
      </w:r>
    </w:p>
    <w:p w14:paraId="2E5786E1" w14:textId="77777777" w:rsidR="00A07A5A" w:rsidRPr="0000278A" w:rsidRDefault="00A07A5A" w:rsidP="00A07A5A">
      <w:pPr>
        <w:spacing w:before="100" w:beforeAutospacing="1" w:after="100" w:afterAutospacing="1"/>
        <w:rPr>
          <w:rFonts w:cs="Calibri Light"/>
        </w:rPr>
      </w:pPr>
      <w:r w:rsidRPr="0000278A">
        <w:rPr>
          <w:rFonts w:cs="Calibri Light"/>
        </w:rPr>
        <w:lastRenderedPageBreak/>
        <w:t>Treasury (2021) ‘</w:t>
      </w:r>
      <w:r w:rsidRPr="0000278A">
        <w:rPr>
          <w:rFonts w:cs="Calibri Light"/>
          <w:i/>
        </w:rPr>
        <w:t>2021 Intergenerational report: Australia over the next 40 Years’</w:t>
      </w:r>
      <w:r w:rsidRPr="0000278A">
        <w:rPr>
          <w:rFonts w:cs="Calibri Light"/>
        </w:rPr>
        <w:t xml:space="preserve">, Australian Government, Parkes, ACT. </w:t>
      </w:r>
      <w:hyperlink r:id="rId234" w:history="1">
        <w:r w:rsidRPr="0000278A">
          <w:rPr>
            <w:rStyle w:val="Hyperlink"/>
            <w:rFonts w:cs="Calibri Light"/>
            <w:color w:val="auto"/>
          </w:rPr>
          <w:t>https://treasury.gov.au/sites/default/files/2021-06/p2021_182464.pdf</w:t>
        </w:r>
      </w:hyperlink>
    </w:p>
    <w:p w14:paraId="6EDE3B74" w14:textId="77777777" w:rsidR="00A07A5A" w:rsidRPr="0000278A" w:rsidRDefault="00A07A5A" w:rsidP="00A07A5A">
      <w:pPr>
        <w:spacing w:after="240"/>
        <w:textAlignment w:val="baseline"/>
        <w:rPr>
          <w:rFonts w:cs="Calibri Light"/>
        </w:rPr>
      </w:pPr>
      <w:r w:rsidRPr="0000278A">
        <w:rPr>
          <w:rFonts w:cs="Calibri Light"/>
        </w:rPr>
        <w:t>Tricker R (2015) ‘</w:t>
      </w:r>
      <w:r w:rsidRPr="0000278A">
        <w:rPr>
          <w:rFonts w:cs="Calibri Light"/>
          <w:i/>
          <w:iCs/>
        </w:rPr>
        <w:t>Corporate Governance: Principles, Policies, and Practices’</w:t>
      </w:r>
      <w:r w:rsidRPr="0000278A">
        <w:rPr>
          <w:rFonts w:cs="Calibri Light"/>
        </w:rPr>
        <w:t>, Oxford: Oxford University Press. </w:t>
      </w:r>
    </w:p>
    <w:p w14:paraId="5E9BC98D" w14:textId="77777777" w:rsidR="00A07A5A" w:rsidRPr="0000278A" w:rsidRDefault="00A07A5A" w:rsidP="00A07A5A">
      <w:pPr>
        <w:rPr>
          <w:rFonts w:cs="Calibri Light"/>
        </w:rPr>
      </w:pPr>
      <w:r w:rsidRPr="0000278A">
        <w:rPr>
          <w:rFonts w:cs="Calibri Light"/>
        </w:rPr>
        <w:t>Tucker P (2019) ‘</w:t>
      </w:r>
      <w:r w:rsidRPr="0000278A">
        <w:rPr>
          <w:rFonts w:cs="Calibri Light"/>
          <w:i/>
        </w:rPr>
        <w:t>Unelected power the quest for legitimacy in central banking and the regulatory state</w:t>
      </w:r>
      <w:r w:rsidRPr="0000278A">
        <w:rPr>
          <w:rFonts w:cs="Calibri Light"/>
        </w:rPr>
        <w:t xml:space="preserve">’, Princeton University Press, Princeton, NJ. </w:t>
      </w:r>
    </w:p>
    <w:p w14:paraId="198FFC2B" w14:textId="77777777" w:rsidR="00A07A5A" w:rsidRPr="0000278A" w:rsidRDefault="00A07A5A" w:rsidP="00A07A5A">
      <w:pPr>
        <w:rPr>
          <w:rFonts w:cs="Calibri Light"/>
        </w:rPr>
      </w:pPr>
      <w:r w:rsidRPr="0000278A">
        <w:rPr>
          <w:rFonts w:cs="Calibri Light"/>
        </w:rPr>
        <w:t xml:space="preserve">Wagner J, Schlanger T and Zhang Y (2022) ‘A horse race of alternative monetary policy regimes under bounded rationality’, </w:t>
      </w:r>
      <w:r w:rsidRPr="0000278A">
        <w:rPr>
          <w:rFonts w:cs="Calibri Light"/>
          <w:i/>
        </w:rPr>
        <w:t>Staff Discussion Paper 2022-4</w:t>
      </w:r>
      <w:r w:rsidRPr="0000278A">
        <w:rPr>
          <w:rFonts w:cs="Calibri Light"/>
        </w:rPr>
        <w:t xml:space="preserve">. </w:t>
      </w:r>
      <w:hyperlink r:id="rId235" w:history="1">
        <w:r w:rsidRPr="0000278A">
          <w:rPr>
            <w:rStyle w:val="Hyperlink"/>
            <w:rFonts w:cs="Calibri Light"/>
            <w:color w:val="auto"/>
          </w:rPr>
          <w:t>https://www.bankofcanada.ca/wp-content/uploads/2022/02/sdp2022-4.pdf</w:t>
        </w:r>
      </w:hyperlink>
      <w:r w:rsidRPr="0000278A">
        <w:rPr>
          <w:rFonts w:cs="Calibri Light"/>
        </w:rPr>
        <w:t xml:space="preserve"> </w:t>
      </w:r>
    </w:p>
    <w:p w14:paraId="43C9BE36" w14:textId="77777777" w:rsidR="00A07A5A" w:rsidRPr="0000278A" w:rsidRDefault="00A07A5A" w:rsidP="00A07A5A">
      <w:pPr>
        <w:rPr>
          <w:rFonts w:cs="Calibri Light"/>
        </w:rPr>
      </w:pPr>
      <w:r w:rsidRPr="0000278A">
        <w:rPr>
          <w:rFonts w:cs="Calibri Light"/>
        </w:rPr>
        <w:t xml:space="preserve">Warsh K (2014) ‘Transparency and the Bank of England’s Monetary Policy Committee’, </w:t>
      </w:r>
      <w:r w:rsidRPr="0000278A">
        <w:rPr>
          <w:rFonts w:cs="Calibri Light"/>
          <w:i/>
          <w:iCs/>
        </w:rPr>
        <w:t>external review of the Bank of England, December.</w:t>
      </w:r>
      <w:r w:rsidRPr="0000278A">
        <w:rPr>
          <w:rFonts w:cs="Calibri Light"/>
        </w:rPr>
        <w:t xml:space="preserve"> </w:t>
      </w:r>
      <w:hyperlink r:id="rId236" w:history="1">
        <w:r w:rsidRPr="0000278A">
          <w:rPr>
            <w:rFonts w:cs="Calibri Light"/>
          </w:rPr>
          <w:t>https://www.hoover.org/sites/default/files/transparency_and_the_bank_of_englands_monetary_policy_committee.pdf</w:t>
        </w:r>
      </w:hyperlink>
    </w:p>
    <w:p w14:paraId="2D92E720" w14:textId="77777777" w:rsidR="00A07A5A" w:rsidRPr="0000278A" w:rsidRDefault="00A07A5A" w:rsidP="00A07A5A">
      <w:pPr>
        <w:rPr>
          <w:rFonts w:cs="Calibri Light"/>
        </w:rPr>
      </w:pPr>
      <w:r w:rsidRPr="0000278A">
        <w:rPr>
          <w:rStyle w:val="ui-provider"/>
          <w:rFonts w:cs="Calibri Light"/>
        </w:rPr>
        <w:t xml:space="preserve">Wilkins, R. (2007) ‘The Consequences of Underemployment for the Underemployed’, </w:t>
      </w:r>
      <w:r w:rsidRPr="0000278A">
        <w:rPr>
          <w:rStyle w:val="ui-provider"/>
          <w:rFonts w:cs="Calibri Light"/>
          <w:i/>
          <w:iCs/>
        </w:rPr>
        <w:t>Journal of Industrial Relations</w:t>
      </w:r>
      <w:r w:rsidRPr="0000278A">
        <w:rPr>
          <w:rStyle w:val="ui-provider"/>
          <w:rFonts w:cs="Calibri Light"/>
        </w:rPr>
        <w:t xml:space="preserve">, </w:t>
      </w:r>
      <w:r w:rsidRPr="0000278A">
        <w:rPr>
          <w:rStyle w:val="ui-provider"/>
          <w:rFonts w:cs="Calibri Light"/>
          <w:i/>
          <w:iCs/>
        </w:rPr>
        <w:t>49</w:t>
      </w:r>
      <w:r w:rsidRPr="0000278A">
        <w:rPr>
          <w:rStyle w:val="ui-provider"/>
          <w:rFonts w:cs="Calibri Light"/>
        </w:rPr>
        <w:t xml:space="preserve">(2), 247–275. </w:t>
      </w:r>
      <w:hyperlink r:id="rId237" w:history="1">
        <w:r w:rsidRPr="0000278A">
          <w:rPr>
            <w:rStyle w:val="Hyperlink"/>
            <w:rFonts w:cs="Calibri Light"/>
            <w:color w:val="auto"/>
          </w:rPr>
          <w:t>https://journals.sagepub.com/doi/abs/10.1177/0022185607074921</w:t>
        </w:r>
      </w:hyperlink>
      <w:r w:rsidRPr="0000278A">
        <w:rPr>
          <w:rStyle w:val="ui-provider"/>
          <w:rFonts w:cs="Calibri Light"/>
        </w:rPr>
        <w:t xml:space="preserve"> </w:t>
      </w:r>
    </w:p>
    <w:p w14:paraId="77B9715E" w14:textId="77777777" w:rsidR="00A07A5A" w:rsidRPr="0000278A" w:rsidRDefault="00A07A5A" w:rsidP="00A07A5A">
      <w:pPr>
        <w:rPr>
          <w:rFonts w:cs="Calibri Light"/>
        </w:rPr>
      </w:pPr>
      <w:r w:rsidRPr="0000278A">
        <w:rPr>
          <w:rFonts w:cs="Calibri Light"/>
        </w:rPr>
        <w:t xml:space="preserve">Wood D, Griffiths K and Stobart A (2022) ‘New politics: A better process for public appointments’, </w:t>
      </w:r>
      <w:r w:rsidRPr="0000278A">
        <w:rPr>
          <w:rFonts w:cs="Calibri Light"/>
          <w:i/>
          <w:iCs/>
        </w:rPr>
        <w:t>Grattan Institute</w:t>
      </w:r>
      <w:r w:rsidRPr="0000278A">
        <w:rPr>
          <w:rFonts w:cs="Calibri Light"/>
        </w:rPr>
        <w:t xml:space="preserve"> </w:t>
      </w:r>
      <w:r w:rsidRPr="0000278A">
        <w:rPr>
          <w:rFonts w:cs="Calibri Light"/>
          <w:i/>
          <w:iCs/>
        </w:rPr>
        <w:t xml:space="preserve">Report, </w:t>
      </w:r>
      <w:r w:rsidRPr="0000278A">
        <w:rPr>
          <w:rFonts w:cs="Calibri Light"/>
        </w:rPr>
        <w:t xml:space="preserve">No. 2022-09. </w:t>
      </w:r>
      <w:hyperlink r:id="rId238" w:history="1">
        <w:r w:rsidRPr="0000278A">
          <w:rPr>
            <w:rFonts w:cs="Calibri Light"/>
          </w:rPr>
          <w:t>https://grattan.edu.au/report/new-politics-public-appointments</w:t>
        </w:r>
      </w:hyperlink>
    </w:p>
    <w:p w14:paraId="203F0C93" w14:textId="77777777" w:rsidR="00A07A5A" w:rsidRPr="0000278A" w:rsidRDefault="00A07A5A" w:rsidP="00A07A5A">
      <w:pPr>
        <w:spacing w:after="240"/>
        <w:textAlignment w:val="baseline"/>
        <w:rPr>
          <w:rFonts w:cs="Calibri Light"/>
          <w:i/>
          <w:iCs/>
        </w:rPr>
      </w:pPr>
      <w:r w:rsidRPr="0000278A">
        <w:rPr>
          <w:rFonts w:cs="Calibri Light"/>
          <w:i/>
        </w:rPr>
        <w:t>Work Health and Safety Act 2011</w:t>
      </w:r>
      <w:r w:rsidRPr="0000278A">
        <w:rPr>
          <w:rFonts w:cs="Calibri Light"/>
        </w:rPr>
        <w:t xml:space="preserve">. </w:t>
      </w:r>
      <w:hyperlink r:id="rId239" w:history="1">
        <w:r w:rsidRPr="0000278A">
          <w:rPr>
            <w:rStyle w:val="Hyperlink"/>
            <w:rFonts w:cs="Calibri Light"/>
            <w:color w:val="auto"/>
          </w:rPr>
          <w:t>https://www.legislation.gov.au/Details/C2022C00082</w:t>
        </w:r>
      </w:hyperlink>
    </w:p>
    <w:p w14:paraId="2DD22CC2" w14:textId="77777777" w:rsidR="00A07A5A" w:rsidRPr="0000278A" w:rsidRDefault="00A07A5A" w:rsidP="00A07A5A">
      <w:pPr>
        <w:tabs>
          <w:tab w:val="left" w:pos="720"/>
        </w:tabs>
        <w:spacing w:line="276" w:lineRule="auto"/>
        <w:rPr>
          <w:rFonts w:cs="Calibri Light"/>
        </w:rPr>
      </w:pPr>
      <w:r w:rsidRPr="0000278A">
        <w:rPr>
          <w:rFonts w:cs="Calibri Light"/>
        </w:rPr>
        <w:t xml:space="preserve">Workplace Gender Equality Agency (2013) ‘How to set gender diversity targets’, </w:t>
      </w:r>
      <w:r w:rsidRPr="0000278A">
        <w:rPr>
          <w:rFonts w:cs="Calibri Light"/>
          <w:i/>
        </w:rPr>
        <w:t>Commonwealth Government of Australia</w:t>
      </w:r>
      <w:r w:rsidRPr="0000278A">
        <w:rPr>
          <w:rFonts w:cs="Calibri Light"/>
        </w:rPr>
        <w:t xml:space="preserve">. </w:t>
      </w:r>
      <w:hyperlink r:id="rId240" w:history="1">
        <w:r w:rsidRPr="0000278A">
          <w:rPr>
            <w:rFonts w:cs="Calibri Light"/>
          </w:rPr>
          <w:t>https://www.wgea.gov.au/sites/default/files/documents/SETTING-GENDER-TARGETS-Online-accessible_0.pdf </w:t>
        </w:r>
      </w:hyperlink>
    </w:p>
    <w:p w14:paraId="730BE1A5" w14:textId="77777777" w:rsidR="00A07A5A" w:rsidRPr="0000278A" w:rsidRDefault="00A07A5A" w:rsidP="00A07A5A">
      <w:pPr>
        <w:rPr>
          <w:rFonts w:cs="Calibri Light"/>
        </w:rPr>
      </w:pPr>
    </w:p>
    <w:p w14:paraId="29DC689C" w14:textId="77777777" w:rsidR="00A07A5A" w:rsidRPr="0000278A" w:rsidRDefault="00A07A5A" w:rsidP="00A07A5A">
      <w:pPr>
        <w:rPr>
          <w:rFonts w:cs="Calibri Light"/>
        </w:rPr>
      </w:pPr>
    </w:p>
    <w:p w14:paraId="7871AA93" w14:textId="77777777" w:rsidR="00A07A5A" w:rsidRPr="00A07A5A" w:rsidRDefault="00A07A5A" w:rsidP="00A07A5A"/>
    <w:sectPr w:rsidR="00A07A5A" w:rsidRPr="00A07A5A" w:rsidSect="00B340F5">
      <w:headerReference w:type="even" r:id="rId241"/>
      <w:headerReference w:type="default" r:id="rId242"/>
      <w:footerReference w:type="even" r:id="rId243"/>
      <w:footerReference w:type="default" r:id="rId244"/>
      <w:headerReference w:type="first" r:id="rId245"/>
      <w:footerReference w:type="first" r:id="rId246"/>
      <w:pgSz w:w="11906" w:h="16838" w:code="9"/>
      <w:pgMar w:top="1418" w:right="1418" w:bottom="1418" w:left="1418"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6003C" w14:textId="77777777" w:rsidR="00C4577A" w:rsidRDefault="00C4577A">
      <w:pPr>
        <w:spacing w:before="0" w:after="0"/>
      </w:pPr>
      <w:r>
        <w:separator/>
      </w:r>
    </w:p>
  </w:endnote>
  <w:endnote w:type="continuationSeparator" w:id="0">
    <w:p w14:paraId="7CBB1262" w14:textId="77777777" w:rsidR="00C4577A" w:rsidRDefault="00C4577A">
      <w:pPr>
        <w:spacing w:before="0" w:after="0"/>
      </w:pPr>
      <w:r>
        <w:continuationSeparator/>
      </w:r>
    </w:p>
  </w:endnote>
  <w:endnote w:type="continuationNotice" w:id="1">
    <w:p w14:paraId="07FAF59F" w14:textId="77777777" w:rsidR="00C4577A" w:rsidRDefault="00C4577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Gilroy Bold">
    <w:altName w:val="Calibri"/>
    <w:panose1 w:val="000008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21079" w14:textId="5B935175" w:rsidR="00B55B04" w:rsidRDefault="00B55B04" w:rsidP="00EE1447">
    <w:pPr>
      <w:pStyle w:val="FooterEven"/>
    </w:pPr>
    <w:r>
      <w:drawing>
        <wp:anchor distT="0" distB="0" distL="114300" distR="114300" simplePos="0" relativeHeight="251658240" behindDoc="1" locked="0" layoutInCell="1" allowOverlap="0" wp14:anchorId="2DE1F204" wp14:editId="114401F7">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fldSimple w:instr=" STYLEREF  &quot;Heading 1&quot;  \* MERGEFORMAT ">
      <w:r w:rsidR="006D3C17">
        <w:t>Foreword</w:t>
      </w:r>
    </w:fldSimple>
    <w:r>
      <w:t xml:space="preserve"> | </w:t>
    </w:r>
    <w:r>
      <w:rPr>
        <w:noProof w:val="0"/>
      </w:rPr>
      <w:fldChar w:fldCharType="begin"/>
    </w:r>
    <w:r>
      <w:instrText xml:space="preserve"> PAGE   \* MERGEFORMAT </w:instrText>
    </w:r>
    <w:r>
      <w:rPr>
        <w:noProof w:val="0"/>
      </w:rPr>
      <w:fldChar w:fldCharType="separate"/>
    </w:r>
    <w: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7A88A" w14:textId="25E89C26" w:rsidR="00B55B04" w:rsidRDefault="006B0766" w:rsidP="00962ACF">
    <w:pPr>
      <w:pStyle w:val="FooterOdd"/>
    </w:pPr>
    <w:r>
      <w:rPr>
        <w:noProof/>
      </w:rPr>
      <w:drawing>
        <wp:anchor distT="0" distB="0" distL="114300" distR="114300" simplePos="0" relativeHeight="251658241" behindDoc="1" locked="0" layoutInCell="1" allowOverlap="1" wp14:anchorId="51A23D7A" wp14:editId="51F7ACBF">
          <wp:simplePos x="0" y="0"/>
          <wp:positionH relativeFrom="column">
            <wp:posOffset>-897488</wp:posOffset>
          </wp:positionH>
          <wp:positionV relativeFrom="paragraph">
            <wp:posOffset>-222539</wp:posOffset>
          </wp:positionV>
          <wp:extent cx="7554116" cy="828516"/>
          <wp:effectExtent l="0" t="0" r="0"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4116" cy="828516"/>
                  </a:xfrm>
                  <a:prstGeom prst="rect">
                    <a:avLst/>
                  </a:prstGeom>
                </pic:spPr>
              </pic:pic>
            </a:graphicData>
          </a:graphic>
          <wp14:sizeRelH relativeFrom="margin">
            <wp14:pctWidth>0</wp14:pctWidth>
          </wp14:sizeRelH>
          <wp14:sizeRelV relativeFrom="margin">
            <wp14:pctHeight>0</wp14:pctHeight>
          </wp14:sizeRelV>
        </wp:anchor>
      </w:drawing>
    </w:r>
    <w:r w:rsidR="00103F3C">
      <w:tab/>
    </w:r>
    <w:fldSimple w:instr=" STYLEREF  &quot;Heading 1&quot;  \* MERGEFORMAT ">
      <w:r w:rsidR="006D3C17">
        <w:rPr>
          <w:noProof/>
        </w:rPr>
        <w:t>Contents</w:t>
      </w:r>
    </w:fldSimple>
    <w:r w:rsidR="00B55B04">
      <w:rPr>
        <w:noProof/>
      </w:rPr>
      <w:t xml:space="preserve"> </w:t>
    </w:r>
    <w:r w:rsidR="00B55B04">
      <w:t xml:space="preserve">| </w:t>
    </w:r>
    <w:r w:rsidR="00B55B04">
      <w:fldChar w:fldCharType="begin"/>
    </w:r>
    <w:r w:rsidR="00B55B04">
      <w:instrText xml:space="preserve"> PAGE   \* MERGEFORMAT </w:instrText>
    </w:r>
    <w:r w:rsidR="00B55B04">
      <w:fldChar w:fldCharType="separate"/>
    </w:r>
    <w:r w:rsidR="00B55B04">
      <w:t>2</w:t>
    </w:r>
    <w:r w:rsidR="00B55B0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EBB76" w14:textId="402EE3F3" w:rsidR="00D329F1" w:rsidRDefault="006B0766" w:rsidP="00103F3C">
    <w:pPr>
      <w:pStyle w:val="FooterOdd"/>
    </w:pPr>
    <w:r>
      <w:rPr>
        <w:noProof/>
      </w:rPr>
      <w:drawing>
        <wp:anchor distT="0" distB="0" distL="114300" distR="114300" simplePos="0" relativeHeight="251658242" behindDoc="1" locked="0" layoutInCell="1" allowOverlap="1" wp14:anchorId="7A572D58" wp14:editId="7343D201">
          <wp:simplePos x="0" y="0"/>
          <wp:positionH relativeFrom="column">
            <wp:posOffset>-897488</wp:posOffset>
          </wp:positionH>
          <wp:positionV relativeFrom="paragraph">
            <wp:posOffset>-222539</wp:posOffset>
          </wp:positionV>
          <wp:extent cx="7554116" cy="828516"/>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4116" cy="828516"/>
                  </a:xfrm>
                  <a:prstGeom prst="rect">
                    <a:avLst/>
                  </a:prstGeom>
                </pic:spPr>
              </pic:pic>
            </a:graphicData>
          </a:graphic>
          <wp14:sizeRelH relativeFrom="margin">
            <wp14:pctWidth>0</wp14:pctWidth>
          </wp14:sizeRelH>
          <wp14:sizeRelV relativeFrom="margin">
            <wp14:pctHeight>0</wp14:pctHeight>
          </wp14:sizeRelV>
        </wp:anchor>
      </w:drawing>
    </w:r>
    <w:r w:rsidR="00103F3C">
      <w:tab/>
    </w:r>
    <w:fldSimple w:instr=" STYLEREF  &quot;Heading 1&quot;  \* MERGEFORMAT ">
      <w:r w:rsidR="006D3C17">
        <w:rPr>
          <w:noProof/>
        </w:rPr>
        <w:t>Foreword</w:t>
      </w:r>
    </w:fldSimple>
    <w:r w:rsidR="00D329F1">
      <w:t xml:space="preserve"> | </w:t>
    </w:r>
    <w:r w:rsidR="00D329F1">
      <w:fldChar w:fldCharType="begin"/>
    </w:r>
    <w:r w:rsidR="00D329F1">
      <w:instrText xml:space="preserve"> PAGE   \* MERGEFORMAT </w:instrText>
    </w:r>
    <w:r w:rsidR="00D329F1">
      <w:fldChar w:fldCharType="separate"/>
    </w:r>
    <w:r w:rsidR="00D329F1">
      <w:t>1</w:t>
    </w:r>
    <w:r w:rsidR="00D329F1">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2DD72" w14:textId="14576468" w:rsidR="00D020CC" w:rsidRDefault="006B0766" w:rsidP="009E7DAD">
    <w:pPr>
      <w:pStyle w:val="FooterEven"/>
      <w:jc w:val="both"/>
    </w:pPr>
    <w:r>
      <w:drawing>
        <wp:anchor distT="0" distB="0" distL="114300" distR="114300" simplePos="0" relativeHeight="251658243" behindDoc="1" locked="0" layoutInCell="1" allowOverlap="1" wp14:anchorId="51F82A76" wp14:editId="74702A52">
          <wp:simplePos x="0" y="0"/>
          <wp:positionH relativeFrom="column">
            <wp:posOffset>-899795</wp:posOffset>
          </wp:positionH>
          <wp:positionV relativeFrom="paragraph">
            <wp:posOffset>-115875</wp:posOffset>
          </wp:positionV>
          <wp:extent cx="7554116" cy="828515"/>
          <wp:effectExtent l="0" t="0" r="0"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4116" cy="828515"/>
                  </a:xfrm>
                  <a:prstGeom prst="rect">
                    <a:avLst/>
                  </a:prstGeom>
                </pic:spPr>
              </pic:pic>
            </a:graphicData>
          </a:graphic>
          <wp14:sizeRelH relativeFrom="margin">
            <wp14:pctWidth>0</wp14:pctWidth>
          </wp14:sizeRelH>
          <wp14:sizeRelV relativeFrom="margin">
            <wp14:pctHeight>0</wp14:pctHeight>
          </wp14:sizeRelV>
        </wp:anchor>
      </w:drawing>
    </w:r>
    <w:r w:rsidR="00483C3F">
      <w:rPr>
        <w:noProof w:val="0"/>
      </w:rPr>
      <w:fldChar w:fldCharType="begin"/>
    </w:r>
    <w:r w:rsidR="00483C3F">
      <w:instrText xml:space="preserve"> PAGE   \* MERGEFORMAT </w:instrText>
    </w:r>
    <w:r w:rsidR="00483C3F">
      <w:rPr>
        <w:noProof w:val="0"/>
      </w:rPr>
      <w:fldChar w:fldCharType="separate"/>
    </w:r>
    <w:r w:rsidR="00483C3F">
      <w:rPr>
        <w:noProof w:val="0"/>
      </w:rPr>
      <w:t>2</w:t>
    </w:r>
    <w:r w:rsidR="00483C3F">
      <w:fldChar w:fldCharType="end"/>
    </w:r>
    <w:r w:rsidR="00483C3F">
      <w:t xml:space="preserve"> | </w:t>
    </w:r>
    <w:fldSimple w:instr=" STYLEREF  &quot;Heading 1&quot;  \* MERGEFORMAT ">
      <w:r w:rsidR="006D3C17">
        <w:t>Executive summary: an RBA fit for the future</w:t>
      </w:r>
    </w:fldSimple>
    <w:r w:rsidR="00483C3F">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3E9A2" w14:textId="2DBAE573" w:rsidR="00483C3F" w:rsidRDefault="00B340F5" w:rsidP="00103F3C">
    <w:pPr>
      <w:pStyle w:val="FooterOdd"/>
    </w:pPr>
    <w:r>
      <w:rPr>
        <w:noProof/>
      </w:rPr>
      <w:drawing>
        <wp:anchor distT="0" distB="0" distL="114300" distR="114300" simplePos="0" relativeHeight="251658244" behindDoc="1" locked="0" layoutInCell="1" allowOverlap="1" wp14:anchorId="66C8CDBC" wp14:editId="36DDEFFF">
          <wp:simplePos x="0" y="0"/>
          <wp:positionH relativeFrom="column">
            <wp:posOffset>-904240</wp:posOffset>
          </wp:positionH>
          <wp:positionV relativeFrom="paragraph">
            <wp:posOffset>-222250</wp:posOffset>
          </wp:positionV>
          <wp:extent cx="7554116" cy="828516"/>
          <wp:effectExtent l="0" t="0" r="0" b="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4116" cy="828516"/>
                  </a:xfrm>
                  <a:prstGeom prst="rect">
                    <a:avLst/>
                  </a:prstGeom>
                </pic:spPr>
              </pic:pic>
            </a:graphicData>
          </a:graphic>
          <wp14:sizeRelH relativeFrom="margin">
            <wp14:pctWidth>0</wp14:pctWidth>
          </wp14:sizeRelH>
          <wp14:sizeRelV relativeFrom="margin">
            <wp14:pctHeight>0</wp14:pctHeight>
          </wp14:sizeRelV>
        </wp:anchor>
      </w:drawing>
    </w:r>
    <w:r w:rsidR="00483C3F">
      <w:tab/>
    </w:r>
    <w:fldSimple w:instr=" STYLEREF  &quot;Heading 1&quot;  \* MERGEFORMAT ">
      <w:r w:rsidR="006D3C17">
        <w:rPr>
          <w:noProof/>
        </w:rPr>
        <w:t>Executive summary: an RBA fit for the future</w:t>
      </w:r>
    </w:fldSimple>
    <w:r w:rsidR="00483C3F">
      <w:t xml:space="preserve"> | </w:t>
    </w:r>
    <w:r w:rsidR="00483C3F">
      <w:fldChar w:fldCharType="begin"/>
    </w:r>
    <w:r w:rsidR="00483C3F">
      <w:instrText xml:space="preserve"> PAGE   \* MERGEFORMAT </w:instrText>
    </w:r>
    <w:r w:rsidR="00483C3F">
      <w:fldChar w:fldCharType="separate"/>
    </w:r>
    <w:r w:rsidR="00483C3F">
      <w:t>1</w:t>
    </w:r>
    <w:r w:rsidR="00483C3F">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9DB1E" w14:textId="77777777" w:rsidR="00483C3F" w:rsidRPr="00095D88" w:rsidRDefault="00483C3F" w:rsidP="00095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4672D" w14:textId="77777777" w:rsidR="00C4577A" w:rsidRPr="00ED5A20" w:rsidRDefault="00C4577A" w:rsidP="000F6233">
      <w:pPr>
        <w:rPr>
          <w:color w:val="5C7857" w:themeColor="accent2"/>
        </w:rPr>
      </w:pPr>
      <w:r w:rsidRPr="00ED5A20">
        <w:rPr>
          <w:color w:val="5C7857" w:themeColor="accent2"/>
        </w:rPr>
        <w:separator/>
      </w:r>
    </w:p>
  </w:footnote>
  <w:footnote w:type="continuationSeparator" w:id="0">
    <w:p w14:paraId="5DC1D9CB" w14:textId="77777777" w:rsidR="00C4577A" w:rsidRPr="00B737EB" w:rsidRDefault="00C4577A">
      <w:pPr>
        <w:spacing w:before="0" w:after="0"/>
        <w:rPr>
          <w:color w:val="204060" w:themeColor="accent1"/>
        </w:rPr>
      </w:pPr>
      <w:r w:rsidRPr="00B737EB">
        <w:rPr>
          <w:color w:val="204060" w:themeColor="accent1"/>
        </w:rPr>
        <w:continuationSeparator/>
      </w:r>
    </w:p>
  </w:footnote>
  <w:footnote w:type="continuationNotice" w:id="1">
    <w:p w14:paraId="094509DD" w14:textId="77777777" w:rsidR="00C4577A" w:rsidRDefault="00C4577A">
      <w:pPr>
        <w:spacing w:before="0" w:after="0"/>
      </w:pPr>
    </w:p>
  </w:footnote>
  <w:footnote w:id="2">
    <w:p w14:paraId="286D54CA" w14:textId="70CCFF8E" w:rsidR="00084C7E" w:rsidRPr="00084C7E" w:rsidRDefault="00084C7E" w:rsidP="00084C7E">
      <w:pPr>
        <w:pStyle w:val="Note"/>
      </w:pPr>
      <w:r>
        <w:rPr>
          <w:rStyle w:val="FootnoteReference"/>
        </w:rPr>
        <w:footnoteRef/>
      </w:r>
      <w:r>
        <w:t xml:space="preserve"> The RBA had not previously operated an asset purchase program, yield target or term lending facility, nor offered</w:t>
      </w:r>
      <w:r>
        <w:rPr>
          <w:spacing w:val="40"/>
        </w:rPr>
        <w:t xml:space="preserve"> </w:t>
      </w:r>
      <w:r>
        <w:t>either calendar or state-based forward guidance. However, in the Global Financial Crisis it did relax the terms of its</w:t>
      </w:r>
      <w:r>
        <w:rPr>
          <w:spacing w:val="40"/>
        </w:rPr>
        <w:t xml:space="preserve"> </w:t>
      </w:r>
      <w:r>
        <w:t>regular lending operations to provide additional liquidity to the market (see RBA 2008).</w:t>
      </w:r>
    </w:p>
  </w:footnote>
  <w:footnote w:id="3">
    <w:p w14:paraId="38C35108" w14:textId="5E954AB4" w:rsidR="00371496" w:rsidRPr="00B653B9" w:rsidRDefault="005D0611" w:rsidP="00B653B9">
      <w:pPr>
        <w:pStyle w:val="Note"/>
      </w:pPr>
      <w:r>
        <w:rPr>
          <w:rStyle w:val="FootnoteReference"/>
        </w:rPr>
        <w:footnoteRef/>
      </w:r>
      <w:r w:rsidR="00B653B9">
        <w:t xml:space="preserve"> </w:t>
      </w:r>
      <w:r w:rsidR="00371496" w:rsidRPr="00B653B9">
        <w:t>As an example of these tools in action, the Productivity Commission found that government spending and</w:t>
      </w:r>
      <w:r w:rsidR="00371496" w:rsidRPr="00B653B9">
        <w:rPr>
          <w:spacing w:val="40"/>
        </w:rPr>
        <w:t xml:space="preserve"> </w:t>
      </w:r>
      <w:r w:rsidR="00371496" w:rsidRPr="00B653B9">
        <w:t>transfers measurably reduced inequality (Productivity Commission 2018)</w:t>
      </w:r>
      <w:r w:rsidR="00A70BAD">
        <w:rPr>
          <w:spacing w:val="-7"/>
        </w:rPr>
        <w:t>.</w:t>
      </w:r>
      <w:r w:rsidR="00371496" w:rsidRPr="00B653B9">
        <w:rPr>
          <w:w w:val="85"/>
        </w:rPr>
        <w:t xml:space="preserve"> </w:t>
      </w:r>
      <w:r w:rsidR="00371496" w:rsidRPr="00B653B9">
        <w:t>Specifically, Australia’s income Gini</w:t>
      </w:r>
      <w:r w:rsidR="00371496" w:rsidRPr="00B653B9">
        <w:rPr>
          <w:spacing w:val="40"/>
        </w:rPr>
        <w:t xml:space="preserve"> </w:t>
      </w:r>
      <w:r w:rsidR="00371496" w:rsidRPr="00B653B9">
        <w:t>coefficient was reduced by a third, from 0</w:t>
      </w:r>
      <w:r w:rsidR="00A05095">
        <w:rPr>
          <w:spacing w:val="-20"/>
        </w:rPr>
        <w:t>.</w:t>
      </w:r>
      <w:r w:rsidR="00371496" w:rsidRPr="00B653B9">
        <w:rPr>
          <w:w w:val="126"/>
        </w:rPr>
        <w:t>6</w:t>
      </w:r>
      <w:r w:rsidR="00371496" w:rsidRPr="00B653B9">
        <w:rPr>
          <w:w w:val="99"/>
        </w:rPr>
        <w:t xml:space="preserve"> </w:t>
      </w:r>
      <w:r w:rsidR="00371496" w:rsidRPr="00B653B9">
        <w:t>to 0</w:t>
      </w:r>
      <w:r w:rsidR="00A05095">
        <w:rPr>
          <w:spacing w:val="-20"/>
        </w:rPr>
        <w:t>.</w:t>
      </w:r>
      <w:r w:rsidR="00371496" w:rsidRPr="00B653B9">
        <w:rPr>
          <w:w w:val="117"/>
        </w:rPr>
        <w:t>4,</w:t>
      </w:r>
      <w:r w:rsidR="00371496" w:rsidRPr="00B653B9">
        <w:rPr>
          <w:w w:val="99"/>
        </w:rPr>
        <w:t xml:space="preserve"> </w:t>
      </w:r>
      <w:r w:rsidR="00371496" w:rsidRPr="00B653B9">
        <w:t>by the tax and transfer system, and by a further third, to 0</w:t>
      </w:r>
      <w:r w:rsidR="00A05095">
        <w:rPr>
          <w:spacing w:val="-20"/>
        </w:rPr>
        <w:t>.</w:t>
      </w:r>
      <w:r w:rsidR="00371496" w:rsidRPr="00B653B9">
        <w:rPr>
          <w:w w:val="117"/>
        </w:rPr>
        <w:t>2,</w:t>
      </w:r>
      <w:r w:rsidR="00371496" w:rsidRPr="00B653B9">
        <w:rPr>
          <w:spacing w:val="40"/>
        </w:rPr>
        <w:t xml:space="preserve"> </w:t>
      </w:r>
      <w:r w:rsidR="00371496" w:rsidRPr="00B653B9">
        <w:t>by social spending on public health, education and housing.</w:t>
      </w:r>
    </w:p>
    <w:p w14:paraId="5EE589E3" w14:textId="38087194" w:rsidR="005D0611" w:rsidRDefault="005D0611">
      <w:pPr>
        <w:pStyle w:val="FootnoteText"/>
      </w:pPr>
    </w:p>
  </w:footnote>
  <w:footnote w:id="4">
    <w:p w14:paraId="0523308D" w14:textId="211B735E" w:rsidR="0031222A" w:rsidRPr="0031222A" w:rsidRDefault="00D50CA6" w:rsidP="0031222A">
      <w:pPr>
        <w:widowControl w:val="0"/>
        <w:tabs>
          <w:tab w:val="left" w:pos="2785"/>
        </w:tabs>
        <w:autoSpaceDE w:val="0"/>
        <w:autoSpaceDN w:val="0"/>
        <w:spacing w:before="146" w:after="0" w:line="187" w:lineRule="auto"/>
        <w:ind w:right="844"/>
        <w:rPr>
          <w:sz w:val="15"/>
        </w:rPr>
      </w:pPr>
      <w:r>
        <w:rPr>
          <w:rStyle w:val="FootnoteReference"/>
        </w:rPr>
        <w:footnoteRef/>
      </w:r>
      <w:r>
        <w:t xml:space="preserve"> </w:t>
      </w:r>
      <w:r w:rsidR="0031222A" w:rsidRPr="0031222A">
        <w:rPr>
          <w:rStyle w:val="NoteChar"/>
        </w:rPr>
        <w:t>The Review recommends the creation of a Monetary Policy Board with responsibility for monetary policy decisions</w:t>
      </w:r>
      <w:r w:rsidR="0068598E">
        <w:rPr>
          <w:rStyle w:val="NoteChar"/>
        </w:rPr>
        <w:t>.</w:t>
      </w:r>
      <w:r w:rsidR="0031222A" w:rsidRPr="0031222A">
        <w:rPr>
          <w:rStyle w:val="NoteChar"/>
        </w:rPr>
        <w:t xml:space="preserve"> Recommendations in this chapter will refer to the Monetary Policy Board where it concerns responsibility for monetary policy</w:t>
      </w:r>
      <w:r w:rsidR="0068598E">
        <w:rPr>
          <w:rStyle w:val="NoteChar"/>
        </w:rPr>
        <w:t>.</w:t>
      </w:r>
      <w:r w:rsidR="0031222A" w:rsidRPr="0031222A">
        <w:rPr>
          <w:rStyle w:val="NoteChar"/>
        </w:rPr>
        <w:t xml:space="preserve"> See Chapter 3 for further discussion</w:t>
      </w:r>
      <w:r w:rsidR="0068598E">
        <w:rPr>
          <w:rStyle w:val="NoteChar"/>
        </w:rPr>
        <w:t>.</w:t>
      </w:r>
    </w:p>
    <w:p w14:paraId="186DB43C" w14:textId="320A399C" w:rsidR="00D50CA6" w:rsidRDefault="00D50CA6">
      <w:pPr>
        <w:pStyle w:val="FootnoteText"/>
      </w:pPr>
    </w:p>
  </w:footnote>
  <w:footnote w:id="5">
    <w:p w14:paraId="6AE80011" w14:textId="014BEC36" w:rsidR="00D2347B" w:rsidRDefault="00D2347B" w:rsidP="00B62DB4">
      <w:pPr>
        <w:pStyle w:val="Note"/>
      </w:pPr>
      <w:r>
        <w:rPr>
          <w:rStyle w:val="FootnoteReference"/>
        </w:rPr>
        <w:footnoteRef/>
      </w:r>
      <w:r>
        <w:t xml:space="preserve"> </w:t>
      </w:r>
      <w:r w:rsidR="00B62DB4">
        <w:t>Some overseas central banks have been instructed to consider housing prices in their pursuit of their objectives,</w:t>
      </w:r>
      <w:r w:rsidR="00B62DB4">
        <w:rPr>
          <w:spacing w:val="40"/>
        </w:rPr>
        <w:t xml:space="preserve"> </w:t>
      </w:r>
      <w:r w:rsidR="00B62DB4">
        <w:t>though this is not a goal in and of itself for monetary policy. For example in 2021, the Reserve Bank of New Zealand</w:t>
      </w:r>
      <w:r w:rsidR="00B62DB4">
        <w:rPr>
          <w:spacing w:val="40"/>
        </w:rPr>
        <w:t xml:space="preserve"> </w:t>
      </w:r>
      <w:r w:rsidR="00B62DB4">
        <w:t>was directed to consider the government’s housing objectives in setting its financial stability policy. In New Zealand,</w:t>
      </w:r>
      <w:r w:rsidR="00B62DB4">
        <w:rPr>
          <w:spacing w:val="40"/>
        </w:rPr>
        <w:t xml:space="preserve"> </w:t>
      </w:r>
      <w:r w:rsidR="00B62DB4">
        <w:t>the central bank has a broader toolkit than the RBA, including control of macroprudential policy</w:t>
      </w:r>
      <w:r w:rsidR="0068598E">
        <w:rPr>
          <w:spacing w:val="-16"/>
        </w:rPr>
        <w:t>.</w:t>
      </w:r>
      <w:r w:rsidR="00B62DB4">
        <w:t xml:space="preserve"> The Reserve Bank</w:t>
      </w:r>
      <w:r w:rsidR="00B62DB4">
        <w:rPr>
          <w:spacing w:val="40"/>
        </w:rPr>
        <w:t xml:space="preserve"> </w:t>
      </w:r>
      <w:r w:rsidR="00B62DB4">
        <w:t>of New Zealand was also directed to assess how its decisions on monetary policy affect house price sustainability,</w:t>
      </w:r>
      <w:r w:rsidR="00B62DB4">
        <w:rPr>
          <w:spacing w:val="40"/>
        </w:rPr>
        <w:t xml:space="preserve"> </w:t>
      </w:r>
      <w:r w:rsidR="00B62DB4">
        <w:t>though this does not appear to have altered the way that the decisions themselves are made</w:t>
      </w:r>
    </w:p>
  </w:footnote>
  <w:footnote w:id="6">
    <w:p w14:paraId="069BA156" w14:textId="417547C5" w:rsidR="004E3310" w:rsidRPr="00273DE2" w:rsidRDefault="004E3310" w:rsidP="00273DE2">
      <w:pPr>
        <w:pStyle w:val="Note"/>
      </w:pPr>
      <w:r>
        <w:rPr>
          <w:rStyle w:val="FootnoteReference"/>
        </w:rPr>
        <w:footnoteRef/>
      </w:r>
      <w:r>
        <w:t xml:space="preserve"> </w:t>
      </w:r>
      <w:r w:rsidR="00273DE2" w:rsidRPr="00273DE2">
        <w:t>See for example Saunders and Tulip (2019), Svensson (2017), Borio (2016), Gourio, Kashyap and Sim (2017) for a</w:t>
      </w:r>
      <w:r w:rsidR="00273DE2" w:rsidRPr="00273DE2">
        <w:rPr>
          <w:spacing w:val="40"/>
        </w:rPr>
        <w:t xml:space="preserve"> </w:t>
      </w:r>
      <w:r w:rsidR="00273DE2" w:rsidRPr="00273DE2">
        <w:t>range of perspectives</w:t>
      </w:r>
      <w:r w:rsidR="0068598E">
        <w:rPr>
          <w:spacing w:val="-11"/>
        </w:rPr>
        <w:t>.</w:t>
      </w:r>
    </w:p>
  </w:footnote>
  <w:footnote w:id="7">
    <w:p w14:paraId="7584BD4C" w14:textId="0F48DE71" w:rsidR="008F2033" w:rsidRDefault="008F2033" w:rsidP="008F2033">
      <w:pPr>
        <w:pStyle w:val="Note"/>
      </w:pPr>
      <w:r>
        <w:rPr>
          <w:rStyle w:val="FootnoteReference"/>
        </w:rPr>
        <w:footnoteRef/>
      </w:r>
      <w:r>
        <w:t xml:space="preserve"> </w:t>
      </w:r>
      <w:r w:rsidRPr="008F2033">
        <w:t>For instance, Schnabel (2023) discusses the possibility of conflict in the current economic environment between</w:t>
      </w:r>
      <w:r w:rsidRPr="008F2033">
        <w:rPr>
          <w:spacing w:val="40"/>
        </w:rPr>
        <w:t xml:space="preserve"> </w:t>
      </w:r>
      <w:r w:rsidRPr="008F2033">
        <w:t>restoring price stability and supporting the transition to a low carbon economy</w:t>
      </w:r>
      <w:r w:rsidR="0068598E">
        <w:rPr>
          <w:spacing w:val="-14"/>
        </w:rPr>
        <w:t>.</w:t>
      </w:r>
      <w:r w:rsidRPr="008F2033">
        <w:rPr>
          <w:w w:val="85"/>
        </w:rPr>
        <w:t xml:space="preserve"> </w:t>
      </w:r>
      <w:r w:rsidRPr="008F2033">
        <w:t>Higher interest rates may slow</w:t>
      </w:r>
      <w:r w:rsidRPr="008F2033">
        <w:rPr>
          <w:spacing w:val="40"/>
        </w:rPr>
        <w:t xml:space="preserve"> </w:t>
      </w:r>
      <w:r w:rsidRPr="008F2033">
        <w:t>investment</w:t>
      </w:r>
      <w:r w:rsidRPr="008F2033">
        <w:rPr>
          <w:spacing w:val="16"/>
        </w:rPr>
        <w:t xml:space="preserve"> </w:t>
      </w:r>
      <w:r w:rsidRPr="008F2033">
        <w:t>to</w:t>
      </w:r>
      <w:r w:rsidRPr="008F2033">
        <w:rPr>
          <w:spacing w:val="16"/>
        </w:rPr>
        <w:t xml:space="preserve"> </w:t>
      </w:r>
      <w:r w:rsidRPr="008F2033">
        <w:t>support</w:t>
      </w:r>
      <w:r w:rsidRPr="008F2033">
        <w:rPr>
          <w:spacing w:val="16"/>
        </w:rPr>
        <w:t xml:space="preserve"> </w:t>
      </w:r>
      <w:r w:rsidRPr="008F2033">
        <w:t>the</w:t>
      </w:r>
      <w:r w:rsidRPr="008F2033">
        <w:rPr>
          <w:spacing w:val="16"/>
        </w:rPr>
        <w:t xml:space="preserve"> </w:t>
      </w:r>
      <w:r w:rsidRPr="008F2033">
        <w:t>transition,</w:t>
      </w:r>
      <w:r w:rsidRPr="008F2033">
        <w:rPr>
          <w:spacing w:val="16"/>
        </w:rPr>
        <w:t xml:space="preserve"> </w:t>
      </w:r>
      <w:r w:rsidRPr="008F2033">
        <w:t>but</w:t>
      </w:r>
      <w:r w:rsidRPr="008F2033">
        <w:rPr>
          <w:spacing w:val="16"/>
        </w:rPr>
        <w:t xml:space="preserve"> </w:t>
      </w:r>
      <w:r w:rsidRPr="008F2033">
        <w:t>central</w:t>
      </w:r>
      <w:r w:rsidRPr="008F2033">
        <w:rPr>
          <w:spacing w:val="16"/>
        </w:rPr>
        <w:t xml:space="preserve"> </w:t>
      </w:r>
      <w:r w:rsidRPr="008F2033">
        <w:t>bankers</w:t>
      </w:r>
      <w:r w:rsidRPr="008F2033">
        <w:rPr>
          <w:spacing w:val="16"/>
        </w:rPr>
        <w:t xml:space="preserve"> </w:t>
      </w:r>
      <w:r w:rsidRPr="008F2033">
        <w:t>recognise</w:t>
      </w:r>
      <w:r w:rsidRPr="008F2033">
        <w:rPr>
          <w:spacing w:val="16"/>
        </w:rPr>
        <w:t xml:space="preserve"> </w:t>
      </w:r>
      <w:r w:rsidRPr="008F2033">
        <w:t>that</w:t>
      </w:r>
      <w:r w:rsidRPr="008F2033">
        <w:rPr>
          <w:spacing w:val="16"/>
        </w:rPr>
        <w:t xml:space="preserve"> </w:t>
      </w:r>
      <w:r w:rsidRPr="008F2033">
        <w:t>it</w:t>
      </w:r>
      <w:r w:rsidRPr="008F2033">
        <w:rPr>
          <w:spacing w:val="16"/>
        </w:rPr>
        <w:t xml:space="preserve"> </w:t>
      </w:r>
      <w:r w:rsidRPr="008F2033">
        <w:t>is</w:t>
      </w:r>
      <w:r w:rsidRPr="008F2033">
        <w:rPr>
          <w:spacing w:val="16"/>
        </w:rPr>
        <w:t xml:space="preserve"> </w:t>
      </w:r>
      <w:r w:rsidRPr="008F2033">
        <w:t>necessary</w:t>
      </w:r>
      <w:r w:rsidRPr="008F2033">
        <w:rPr>
          <w:spacing w:val="16"/>
        </w:rPr>
        <w:t xml:space="preserve"> </w:t>
      </w:r>
      <w:r w:rsidRPr="008F2033">
        <w:t>to</w:t>
      </w:r>
      <w:r w:rsidRPr="008F2033">
        <w:rPr>
          <w:spacing w:val="16"/>
        </w:rPr>
        <w:t xml:space="preserve"> </w:t>
      </w:r>
      <w:r w:rsidRPr="008F2033">
        <w:t>achieve</w:t>
      </w:r>
      <w:r w:rsidRPr="008F2033">
        <w:rPr>
          <w:spacing w:val="16"/>
        </w:rPr>
        <w:t xml:space="preserve"> </w:t>
      </w:r>
      <w:r w:rsidRPr="008F2033">
        <w:t>low</w:t>
      </w:r>
      <w:r w:rsidRPr="008F2033">
        <w:rPr>
          <w:spacing w:val="16"/>
        </w:rPr>
        <w:t xml:space="preserve"> </w:t>
      </w:r>
      <w:r w:rsidRPr="008F2033">
        <w:t>and</w:t>
      </w:r>
      <w:r w:rsidRPr="008F2033">
        <w:rPr>
          <w:spacing w:val="40"/>
        </w:rPr>
        <w:t xml:space="preserve"> </w:t>
      </w:r>
      <w:r w:rsidRPr="008F2033">
        <w:t>stable inflation, which in the long run is necessary to support the transition</w:t>
      </w:r>
      <w:r w:rsidR="0068598E">
        <w:rPr>
          <w:spacing w:val="-13"/>
        </w:rPr>
        <w:t>.</w:t>
      </w:r>
      <w:r w:rsidRPr="008F2033">
        <w:t xml:space="preserve"> The alternative is a high inflation</w:t>
      </w:r>
      <w:r>
        <w:t xml:space="preserve"> environment, which effectively taxes investment, and requires even higher interest rates to curb and bring about</w:t>
      </w:r>
      <w:r>
        <w:rPr>
          <w:spacing w:val="40"/>
        </w:rPr>
        <w:t xml:space="preserve"> </w:t>
      </w:r>
      <w:r>
        <w:t>price stability</w:t>
      </w:r>
      <w:r w:rsidR="0068598E">
        <w:rPr>
          <w:spacing w:val="-16"/>
        </w:rPr>
        <w:t>.</w:t>
      </w:r>
    </w:p>
    <w:p w14:paraId="1C54D297" w14:textId="005F09E5" w:rsidR="008F2033" w:rsidRDefault="008F2033">
      <w:pPr>
        <w:pStyle w:val="FootnoteText"/>
      </w:pPr>
    </w:p>
  </w:footnote>
  <w:footnote w:id="8">
    <w:p w14:paraId="6E642C4F" w14:textId="77777777" w:rsidR="009E4DBB" w:rsidRPr="009E4DBB" w:rsidRDefault="009E4DBB" w:rsidP="009E4DBB">
      <w:pPr>
        <w:pStyle w:val="Note"/>
      </w:pPr>
      <w:r>
        <w:rPr>
          <w:rStyle w:val="FootnoteReference"/>
        </w:rPr>
        <w:footnoteRef/>
      </w:r>
      <w:r>
        <w:t xml:space="preserve"> </w:t>
      </w:r>
      <w:r w:rsidRPr="009E4DBB">
        <w:t>Throughout this report, external members are the ‘other members’ referred to in s 14(1)(d) of the RBA Act,</w:t>
      </w:r>
      <w:r w:rsidRPr="009E4DBB">
        <w:rPr>
          <w:spacing w:val="40"/>
        </w:rPr>
        <w:t xml:space="preserve"> </w:t>
      </w:r>
      <w:r w:rsidRPr="009E4DBB">
        <w:t>comprising all members of the Reserve Bank Board except for the Governor, Deputy Governor and</w:t>
      </w:r>
      <w:r w:rsidRPr="009E4DBB">
        <w:rPr>
          <w:spacing w:val="40"/>
        </w:rPr>
        <w:t xml:space="preserve"> </w:t>
      </w:r>
      <w:r w:rsidRPr="009E4DBB">
        <w:t>Treasury</w:t>
      </w:r>
      <w:r w:rsidRPr="009E4DBB">
        <w:rPr>
          <w:spacing w:val="-6"/>
        </w:rPr>
        <w:t xml:space="preserve"> </w:t>
      </w:r>
      <w:r w:rsidRPr="009E4DBB">
        <w:t>Secretary.</w:t>
      </w:r>
    </w:p>
    <w:p w14:paraId="34890C2D" w14:textId="1404D201" w:rsidR="009E4DBB" w:rsidRDefault="009E4DBB">
      <w:pPr>
        <w:pStyle w:val="FootnoteText"/>
      </w:pPr>
    </w:p>
  </w:footnote>
  <w:footnote w:id="9">
    <w:p w14:paraId="6A87C55A" w14:textId="2A1D4953" w:rsidR="007E5C74" w:rsidRPr="007E5C74" w:rsidRDefault="007E5C74" w:rsidP="007E5C74">
      <w:pPr>
        <w:pStyle w:val="Default"/>
        <w:rPr>
          <w:rStyle w:val="NoteChar"/>
          <w:rFonts w:eastAsiaTheme="minorHAnsi"/>
        </w:rPr>
      </w:pPr>
      <w:r>
        <w:rPr>
          <w:rStyle w:val="FootnoteReference"/>
        </w:rPr>
        <w:footnoteRef/>
      </w:r>
      <w:r>
        <w:t xml:space="preserve"> </w:t>
      </w:r>
      <w:r w:rsidRPr="007E5C74">
        <w:rPr>
          <w:rStyle w:val="NoteChar"/>
          <w:rFonts w:eastAsiaTheme="minorHAnsi"/>
        </w:rPr>
        <w:t>The Deputy Governor is a member of the Reserve Bank Board under s 14 of the RBA Act. The Deputy Governor may also sit on the Payments System Board as the RBA’s representative under s 25A of the RBA Act. The Review recommends the Deputy Governor is an observer on the Governance Board (see Chapter 5)</w:t>
      </w:r>
    </w:p>
  </w:footnote>
  <w:footnote w:id="10">
    <w:p w14:paraId="635A7658" w14:textId="48B9D877" w:rsidR="00F44204" w:rsidRDefault="00F44204" w:rsidP="0075106B">
      <w:pPr>
        <w:pStyle w:val="Note"/>
      </w:pPr>
      <w:r>
        <w:rPr>
          <w:rStyle w:val="FootnoteReference"/>
        </w:rPr>
        <w:footnoteRef/>
      </w:r>
      <w:r w:rsidR="0075106B">
        <w:t xml:space="preserve"> Throughout this chapter, the terminology of </w:t>
      </w:r>
      <w:r w:rsidR="0075106B">
        <w:rPr>
          <w:i/>
        </w:rPr>
        <w:t xml:space="preserve">executive </w:t>
      </w:r>
      <w:r w:rsidR="0075106B">
        <w:t>is used to distinguish the RBA’s Assistant Governors and</w:t>
      </w:r>
      <w:r w:rsidR="0075106B">
        <w:rPr>
          <w:spacing w:val="40"/>
        </w:rPr>
        <w:t xml:space="preserve"> </w:t>
      </w:r>
      <w:r w:rsidR="0075106B">
        <w:t>above from other leadership positions</w:t>
      </w:r>
      <w:r w:rsidR="0068598E">
        <w:rPr>
          <w:spacing w:val="-7"/>
        </w:rPr>
        <w:t>.</w:t>
      </w:r>
    </w:p>
  </w:footnote>
  <w:footnote w:id="11">
    <w:p w14:paraId="1A778B55" w14:textId="521CF9FA" w:rsidR="00AF7560" w:rsidRDefault="00AF7560" w:rsidP="00AF7560">
      <w:pPr>
        <w:pStyle w:val="Note"/>
      </w:pPr>
      <w:r>
        <w:rPr>
          <w:rStyle w:val="FootnoteReference"/>
        </w:rPr>
        <w:footnoteRef/>
      </w:r>
      <w:r>
        <w:t xml:space="preserve"> Recommendation 15 of the PGPA Act and Rule review noted that the name reinforces the important role of these</w:t>
      </w:r>
      <w:r>
        <w:rPr>
          <w:spacing w:val="40"/>
        </w:rPr>
        <w:t xml:space="preserve"> </w:t>
      </w:r>
      <w:r>
        <w:t>committees in supporting accountable authorities to manage and engage with risk</w:t>
      </w:r>
      <w:r w:rsidR="0068598E">
        <w:rPr>
          <w:spacing w:val="-10"/>
        </w:rPr>
        <w:t>.</w:t>
      </w:r>
      <w:r>
        <w:rPr>
          <w:w w:val="85"/>
        </w:rPr>
        <w:t xml:space="preserve"> </w:t>
      </w:r>
      <w:r>
        <w:t>The Governance Board could</w:t>
      </w:r>
      <w:r>
        <w:rPr>
          <w:spacing w:val="40"/>
        </w:rPr>
        <w:t xml:space="preserve"> </w:t>
      </w:r>
      <w:r>
        <w:t>also consider Recommendation 14, which recommended organisations with particularly complex risks should go</w:t>
      </w:r>
      <w:r>
        <w:rPr>
          <w:spacing w:val="40"/>
        </w:rPr>
        <w:t xml:space="preserve"> </w:t>
      </w:r>
      <w:r>
        <w:t>further and establish a separate Risk Committee</w:t>
      </w:r>
      <w:r w:rsidR="0068598E">
        <w:rPr>
          <w:spacing w:val="-6"/>
        </w:rPr>
        <w:t>.</w:t>
      </w:r>
    </w:p>
  </w:footnote>
  <w:footnote w:id="12">
    <w:p w14:paraId="4DE369B5" w14:textId="170FDF83" w:rsidR="00744D1C" w:rsidRPr="00114808" w:rsidRDefault="00744D1C" w:rsidP="00114808">
      <w:pPr>
        <w:pStyle w:val="Note"/>
      </w:pPr>
      <w:r>
        <w:rPr>
          <w:rStyle w:val="FootnoteReference"/>
        </w:rPr>
        <w:footnoteRef/>
      </w:r>
      <w:r>
        <w:t xml:space="preserve"> </w:t>
      </w:r>
      <w:r w:rsidR="00114808">
        <w:t xml:space="preserve">‘Leaders’ refers to the RBA’s management level staff (Level 5) and above. The terminology of </w:t>
      </w:r>
      <w:r w:rsidR="00114808">
        <w:rPr>
          <w:i/>
        </w:rPr>
        <w:t xml:space="preserve">executive </w:t>
      </w:r>
      <w:r w:rsidR="00114808">
        <w:t>is used in this</w:t>
      </w:r>
      <w:r w:rsidR="00114808">
        <w:rPr>
          <w:spacing w:val="40"/>
        </w:rPr>
        <w:t xml:space="preserve"> </w:t>
      </w:r>
      <w:r w:rsidR="00114808">
        <w:t>chapter to distinguish the RBA’s Assistant Governors and above from other leadership positions</w:t>
      </w:r>
      <w:r w:rsidR="0068598E">
        <w:rPr>
          <w:spacing w:val="-1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6ECD2" w14:textId="77777777" w:rsidR="00095D88" w:rsidRPr="00095D88" w:rsidRDefault="00095D88" w:rsidP="00095D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ED586" w14:textId="77777777" w:rsidR="00095D88" w:rsidRPr="00095D88" w:rsidRDefault="00095D88" w:rsidP="00095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042F7" w14:textId="77777777" w:rsidR="00095D88" w:rsidRPr="00095D88" w:rsidRDefault="00095D88" w:rsidP="00095D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B25BD" w14:textId="77777777" w:rsidR="00B55B04" w:rsidRPr="00F60198" w:rsidRDefault="00B55B04" w:rsidP="00A12F62">
    <w:pPr>
      <w:pStyle w:val="HeaderOdd"/>
    </w:pPr>
    <w:r w:rsidRPr="00F60198">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484AB" w14:textId="77777777" w:rsidR="00483C3F" w:rsidRPr="00AC75E2" w:rsidRDefault="00483C3F" w:rsidP="00AC75E2">
    <w:pPr>
      <w:pStyle w:val="HeaderEven"/>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4073A" w14:textId="77658DF6" w:rsidR="00D020CC" w:rsidRDefault="00483C3F" w:rsidP="009E7DAD">
    <w:pPr>
      <w:pStyle w:val="HeaderOdd"/>
    </w:pPr>
    <w:r w:rsidRPr="00F60198">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994F2" w14:textId="77777777" w:rsidR="00483C3F" w:rsidRPr="00095D88" w:rsidRDefault="00483C3F" w:rsidP="00095D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844"/>
        </w:tabs>
        <w:ind w:left="1844"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5"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10D2021"/>
    <w:multiLevelType w:val="multilevel"/>
    <w:tmpl w:val="72F8140E"/>
    <w:numStyleLink w:val="OutlineList"/>
  </w:abstractNum>
  <w:abstractNum w:abstractNumId="8" w15:restartNumberingAfterBreak="0">
    <w:nsid w:val="61774B6E"/>
    <w:multiLevelType w:val="hybridMultilevel"/>
    <w:tmpl w:val="ED02FF1A"/>
    <w:lvl w:ilvl="0" w:tplc="0F24441A">
      <w:numFmt w:val="bullet"/>
      <w:lvlText w:val="■"/>
      <w:lvlJc w:val="left"/>
      <w:pPr>
        <w:ind w:left="457" w:hanging="227"/>
      </w:pPr>
      <w:rPr>
        <w:rFonts w:ascii="Arial" w:eastAsia="Arial" w:hAnsi="Arial" w:cs="Arial" w:hint="default"/>
        <w:b w:val="0"/>
        <w:bCs w:val="0"/>
        <w:i w:val="0"/>
        <w:iCs w:val="0"/>
        <w:color w:val="231F20"/>
        <w:w w:val="75"/>
        <w:sz w:val="18"/>
        <w:szCs w:val="18"/>
        <w:lang w:val="en-US" w:eastAsia="en-US" w:bidi="ar-SA"/>
      </w:rPr>
    </w:lvl>
    <w:lvl w:ilvl="1" w:tplc="1EC00916">
      <w:numFmt w:val="bullet"/>
      <w:lvlText w:val="•"/>
      <w:lvlJc w:val="left"/>
      <w:pPr>
        <w:ind w:left="917" w:hanging="227"/>
      </w:pPr>
      <w:rPr>
        <w:rFonts w:hint="default"/>
        <w:lang w:val="en-US" w:eastAsia="en-US" w:bidi="ar-SA"/>
      </w:rPr>
    </w:lvl>
    <w:lvl w:ilvl="2" w:tplc="FDEAB112">
      <w:numFmt w:val="bullet"/>
      <w:lvlText w:val="•"/>
      <w:lvlJc w:val="left"/>
      <w:pPr>
        <w:ind w:left="1375" w:hanging="227"/>
      </w:pPr>
      <w:rPr>
        <w:rFonts w:hint="default"/>
        <w:lang w:val="en-US" w:eastAsia="en-US" w:bidi="ar-SA"/>
      </w:rPr>
    </w:lvl>
    <w:lvl w:ilvl="3" w:tplc="97A65D16">
      <w:numFmt w:val="bullet"/>
      <w:lvlText w:val="•"/>
      <w:lvlJc w:val="left"/>
      <w:pPr>
        <w:ind w:left="1833" w:hanging="227"/>
      </w:pPr>
      <w:rPr>
        <w:rFonts w:hint="default"/>
        <w:lang w:val="en-US" w:eastAsia="en-US" w:bidi="ar-SA"/>
      </w:rPr>
    </w:lvl>
    <w:lvl w:ilvl="4" w:tplc="9DE28EE4">
      <w:numFmt w:val="bullet"/>
      <w:lvlText w:val="•"/>
      <w:lvlJc w:val="left"/>
      <w:pPr>
        <w:ind w:left="2291" w:hanging="227"/>
      </w:pPr>
      <w:rPr>
        <w:rFonts w:hint="default"/>
        <w:lang w:val="en-US" w:eastAsia="en-US" w:bidi="ar-SA"/>
      </w:rPr>
    </w:lvl>
    <w:lvl w:ilvl="5" w:tplc="3E804632">
      <w:numFmt w:val="bullet"/>
      <w:lvlText w:val="•"/>
      <w:lvlJc w:val="left"/>
      <w:pPr>
        <w:ind w:left="2749" w:hanging="227"/>
      </w:pPr>
      <w:rPr>
        <w:rFonts w:hint="default"/>
        <w:lang w:val="en-US" w:eastAsia="en-US" w:bidi="ar-SA"/>
      </w:rPr>
    </w:lvl>
    <w:lvl w:ilvl="6" w:tplc="58AE636C">
      <w:numFmt w:val="bullet"/>
      <w:lvlText w:val="•"/>
      <w:lvlJc w:val="left"/>
      <w:pPr>
        <w:ind w:left="3206" w:hanging="227"/>
      </w:pPr>
      <w:rPr>
        <w:rFonts w:hint="default"/>
        <w:lang w:val="en-US" w:eastAsia="en-US" w:bidi="ar-SA"/>
      </w:rPr>
    </w:lvl>
    <w:lvl w:ilvl="7" w:tplc="ABF8F254">
      <w:numFmt w:val="bullet"/>
      <w:lvlText w:val="•"/>
      <w:lvlJc w:val="left"/>
      <w:pPr>
        <w:ind w:left="3664" w:hanging="227"/>
      </w:pPr>
      <w:rPr>
        <w:rFonts w:hint="default"/>
        <w:lang w:val="en-US" w:eastAsia="en-US" w:bidi="ar-SA"/>
      </w:rPr>
    </w:lvl>
    <w:lvl w:ilvl="8" w:tplc="260E2F72">
      <w:numFmt w:val="bullet"/>
      <w:lvlText w:val="•"/>
      <w:lvlJc w:val="left"/>
      <w:pPr>
        <w:ind w:left="4122" w:hanging="227"/>
      </w:pPr>
      <w:rPr>
        <w:rFonts w:hint="default"/>
        <w:lang w:val="en-US" w:eastAsia="en-US" w:bidi="ar-SA"/>
      </w:rPr>
    </w:lvl>
  </w:abstractNum>
  <w:abstractNum w:abstractNumId="9" w15:restartNumberingAfterBreak="0">
    <w:nsid w:val="67AF783C"/>
    <w:multiLevelType w:val="hybridMultilevel"/>
    <w:tmpl w:val="E63658F8"/>
    <w:lvl w:ilvl="0" w:tplc="8EE441CA">
      <w:numFmt w:val="bullet"/>
      <w:lvlText w:val="■"/>
      <w:lvlJc w:val="left"/>
      <w:pPr>
        <w:ind w:left="386" w:hanging="227"/>
      </w:pPr>
      <w:rPr>
        <w:rFonts w:ascii="Arial" w:eastAsia="Arial" w:hAnsi="Arial" w:cs="Arial" w:hint="default"/>
        <w:b w:val="0"/>
        <w:bCs w:val="0"/>
        <w:i w:val="0"/>
        <w:iCs w:val="0"/>
        <w:w w:val="75"/>
        <w:sz w:val="18"/>
        <w:szCs w:val="18"/>
        <w:lang w:val="en-US" w:eastAsia="en-US" w:bidi="ar-SA"/>
      </w:rPr>
    </w:lvl>
    <w:lvl w:ilvl="1" w:tplc="3DBCE498">
      <w:numFmt w:val="bullet"/>
      <w:lvlText w:val="•"/>
      <w:lvlJc w:val="left"/>
      <w:pPr>
        <w:ind w:left="1418" w:hanging="227"/>
      </w:pPr>
      <w:rPr>
        <w:rFonts w:hint="default"/>
        <w:lang w:val="en-US" w:eastAsia="en-US" w:bidi="ar-SA"/>
      </w:rPr>
    </w:lvl>
    <w:lvl w:ilvl="2" w:tplc="22B02730">
      <w:numFmt w:val="bullet"/>
      <w:lvlText w:val="•"/>
      <w:lvlJc w:val="left"/>
      <w:pPr>
        <w:ind w:left="2457" w:hanging="227"/>
      </w:pPr>
      <w:rPr>
        <w:rFonts w:hint="default"/>
        <w:lang w:val="en-US" w:eastAsia="en-US" w:bidi="ar-SA"/>
      </w:rPr>
    </w:lvl>
    <w:lvl w:ilvl="3" w:tplc="D624CF66">
      <w:numFmt w:val="bullet"/>
      <w:lvlText w:val="•"/>
      <w:lvlJc w:val="left"/>
      <w:pPr>
        <w:ind w:left="3495" w:hanging="227"/>
      </w:pPr>
      <w:rPr>
        <w:rFonts w:hint="default"/>
        <w:lang w:val="en-US" w:eastAsia="en-US" w:bidi="ar-SA"/>
      </w:rPr>
    </w:lvl>
    <w:lvl w:ilvl="4" w:tplc="3B8CDA5C">
      <w:numFmt w:val="bullet"/>
      <w:lvlText w:val="•"/>
      <w:lvlJc w:val="left"/>
      <w:pPr>
        <w:ind w:left="4534" w:hanging="227"/>
      </w:pPr>
      <w:rPr>
        <w:rFonts w:hint="default"/>
        <w:lang w:val="en-US" w:eastAsia="en-US" w:bidi="ar-SA"/>
      </w:rPr>
    </w:lvl>
    <w:lvl w:ilvl="5" w:tplc="A0685976">
      <w:numFmt w:val="bullet"/>
      <w:lvlText w:val="•"/>
      <w:lvlJc w:val="left"/>
      <w:pPr>
        <w:ind w:left="5572" w:hanging="227"/>
      </w:pPr>
      <w:rPr>
        <w:rFonts w:hint="default"/>
        <w:lang w:val="en-US" w:eastAsia="en-US" w:bidi="ar-SA"/>
      </w:rPr>
    </w:lvl>
    <w:lvl w:ilvl="6" w:tplc="A1444212">
      <w:numFmt w:val="bullet"/>
      <w:lvlText w:val="•"/>
      <w:lvlJc w:val="left"/>
      <w:pPr>
        <w:ind w:left="6611" w:hanging="227"/>
      </w:pPr>
      <w:rPr>
        <w:rFonts w:hint="default"/>
        <w:lang w:val="en-US" w:eastAsia="en-US" w:bidi="ar-SA"/>
      </w:rPr>
    </w:lvl>
    <w:lvl w:ilvl="7" w:tplc="1CBA8A4A">
      <w:numFmt w:val="bullet"/>
      <w:lvlText w:val="•"/>
      <w:lvlJc w:val="left"/>
      <w:pPr>
        <w:ind w:left="7649" w:hanging="227"/>
      </w:pPr>
      <w:rPr>
        <w:rFonts w:hint="default"/>
        <w:lang w:val="en-US" w:eastAsia="en-US" w:bidi="ar-SA"/>
      </w:rPr>
    </w:lvl>
    <w:lvl w:ilvl="8" w:tplc="D4F09FFA">
      <w:numFmt w:val="bullet"/>
      <w:lvlText w:val="•"/>
      <w:lvlJc w:val="left"/>
      <w:pPr>
        <w:ind w:left="8688" w:hanging="227"/>
      </w:pPr>
      <w:rPr>
        <w:rFonts w:hint="default"/>
        <w:lang w:val="en-US" w:eastAsia="en-US" w:bidi="ar-SA"/>
      </w:rPr>
    </w:lvl>
  </w:abstractNum>
  <w:abstractNum w:abstractNumId="10" w15:restartNumberingAfterBreak="0">
    <w:nsid w:val="7BF35A27"/>
    <w:multiLevelType w:val="hybridMultilevel"/>
    <w:tmpl w:val="C164CC0E"/>
    <w:lvl w:ilvl="0" w:tplc="A8EA8A54">
      <w:start w:val="1"/>
      <w:numFmt w:val="lowerLetter"/>
      <w:lvlText w:val="%1)"/>
      <w:lvlJc w:val="left"/>
      <w:pPr>
        <w:ind w:left="395" w:hanging="227"/>
      </w:pPr>
      <w:rPr>
        <w:rFonts w:ascii="Open Sans Light" w:eastAsia="Open Sans Light" w:hAnsi="Open Sans Light" w:cs="Open Sans Light" w:hint="default"/>
        <w:b w:val="0"/>
        <w:bCs w:val="0"/>
        <w:i w:val="0"/>
        <w:iCs w:val="0"/>
        <w:color w:val="231F20"/>
        <w:spacing w:val="-6"/>
        <w:w w:val="100"/>
        <w:sz w:val="18"/>
        <w:szCs w:val="18"/>
        <w:lang w:val="en-US" w:eastAsia="en-US" w:bidi="ar-SA"/>
      </w:rPr>
    </w:lvl>
    <w:lvl w:ilvl="1" w:tplc="36DCE46E">
      <w:numFmt w:val="bullet"/>
      <w:lvlText w:val="•"/>
      <w:lvlJc w:val="left"/>
      <w:pPr>
        <w:ind w:left="590" w:hanging="227"/>
      </w:pPr>
      <w:rPr>
        <w:rFonts w:hint="default"/>
        <w:lang w:val="en-US" w:eastAsia="en-US" w:bidi="ar-SA"/>
      </w:rPr>
    </w:lvl>
    <w:lvl w:ilvl="2" w:tplc="E8A48596">
      <w:numFmt w:val="bullet"/>
      <w:lvlText w:val="•"/>
      <w:lvlJc w:val="left"/>
      <w:pPr>
        <w:ind w:left="781" w:hanging="227"/>
      </w:pPr>
      <w:rPr>
        <w:rFonts w:hint="default"/>
        <w:lang w:val="en-US" w:eastAsia="en-US" w:bidi="ar-SA"/>
      </w:rPr>
    </w:lvl>
    <w:lvl w:ilvl="3" w:tplc="33383E9E">
      <w:numFmt w:val="bullet"/>
      <w:lvlText w:val="•"/>
      <w:lvlJc w:val="left"/>
      <w:pPr>
        <w:ind w:left="972" w:hanging="227"/>
      </w:pPr>
      <w:rPr>
        <w:rFonts w:hint="default"/>
        <w:lang w:val="en-US" w:eastAsia="en-US" w:bidi="ar-SA"/>
      </w:rPr>
    </w:lvl>
    <w:lvl w:ilvl="4" w:tplc="9DFEBDE0">
      <w:numFmt w:val="bullet"/>
      <w:lvlText w:val="•"/>
      <w:lvlJc w:val="left"/>
      <w:pPr>
        <w:ind w:left="1163" w:hanging="227"/>
      </w:pPr>
      <w:rPr>
        <w:rFonts w:hint="default"/>
        <w:lang w:val="en-US" w:eastAsia="en-US" w:bidi="ar-SA"/>
      </w:rPr>
    </w:lvl>
    <w:lvl w:ilvl="5" w:tplc="C9CEA03A">
      <w:numFmt w:val="bullet"/>
      <w:lvlText w:val="•"/>
      <w:lvlJc w:val="left"/>
      <w:pPr>
        <w:ind w:left="1354" w:hanging="227"/>
      </w:pPr>
      <w:rPr>
        <w:rFonts w:hint="default"/>
        <w:lang w:val="en-US" w:eastAsia="en-US" w:bidi="ar-SA"/>
      </w:rPr>
    </w:lvl>
    <w:lvl w:ilvl="6" w:tplc="6BC83B1A">
      <w:numFmt w:val="bullet"/>
      <w:lvlText w:val="•"/>
      <w:lvlJc w:val="left"/>
      <w:pPr>
        <w:ind w:left="1544" w:hanging="227"/>
      </w:pPr>
      <w:rPr>
        <w:rFonts w:hint="default"/>
        <w:lang w:val="en-US" w:eastAsia="en-US" w:bidi="ar-SA"/>
      </w:rPr>
    </w:lvl>
    <w:lvl w:ilvl="7" w:tplc="C22C8632">
      <w:numFmt w:val="bullet"/>
      <w:lvlText w:val="•"/>
      <w:lvlJc w:val="left"/>
      <w:pPr>
        <w:ind w:left="1735" w:hanging="227"/>
      </w:pPr>
      <w:rPr>
        <w:rFonts w:hint="default"/>
        <w:lang w:val="en-US" w:eastAsia="en-US" w:bidi="ar-SA"/>
      </w:rPr>
    </w:lvl>
    <w:lvl w:ilvl="8" w:tplc="CC0C8D58">
      <w:numFmt w:val="bullet"/>
      <w:lvlText w:val="•"/>
      <w:lvlJc w:val="left"/>
      <w:pPr>
        <w:ind w:left="1926" w:hanging="227"/>
      </w:pPr>
      <w:rPr>
        <w:rFonts w:hint="default"/>
        <w:lang w:val="en-US" w:eastAsia="en-US" w:bidi="ar-SA"/>
      </w:rPr>
    </w:lvl>
  </w:abstractNum>
  <w:abstractNum w:abstractNumId="11" w15:restartNumberingAfterBreak="0">
    <w:nsid w:val="7D6B5224"/>
    <w:multiLevelType w:val="multilevel"/>
    <w:tmpl w:val="93C8D8DA"/>
    <w:name w:val="StandardBulletedList"/>
    <w:lvl w:ilvl="0">
      <w:start w:val="1"/>
      <w:numFmt w:val="bullet"/>
      <w:pStyle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96630145">
    <w:abstractNumId w:val="4"/>
  </w:num>
  <w:num w:numId="2" w16cid:durableId="47152131">
    <w:abstractNumId w:val="0"/>
  </w:num>
  <w:num w:numId="3" w16cid:durableId="1308051474">
    <w:abstractNumId w:val="6"/>
  </w:num>
  <w:num w:numId="4" w16cid:durableId="421298113">
    <w:abstractNumId w:val="1"/>
  </w:num>
  <w:num w:numId="5" w16cid:durableId="952515126">
    <w:abstractNumId w:val="7"/>
  </w:num>
  <w:num w:numId="6" w16cid:durableId="242836482">
    <w:abstractNumId w:val="5"/>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16cid:durableId="1562015352">
    <w:abstractNumId w:val="2"/>
  </w:num>
  <w:num w:numId="8" w16cid:durableId="2118792917">
    <w:abstractNumId w:val="3"/>
  </w:num>
  <w:num w:numId="9" w16cid:durableId="630553116">
    <w:abstractNumId w:val="5"/>
  </w:num>
  <w:num w:numId="10" w16cid:durableId="988632630">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35902939">
    <w:abstractNumId w:val="9"/>
  </w:num>
  <w:num w:numId="12" w16cid:durableId="14288885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81212302">
    <w:abstractNumId w:val="8"/>
  </w:num>
  <w:num w:numId="14" w16cid:durableId="1255094631">
    <w:abstractNumId w:val="10"/>
  </w:num>
  <w:num w:numId="15" w16cid:durableId="17785974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5996370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BD01C5"/>
    <w:rsid w:val="0000278A"/>
    <w:rsid w:val="00003660"/>
    <w:rsid w:val="00006335"/>
    <w:rsid w:val="00006963"/>
    <w:rsid w:val="000078A2"/>
    <w:rsid w:val="0001054A"/>
    <w:rsid w:val="00011204"/>
    <w:rsid w:val="00011725"/>
    <w:rsid w:val="00012C62"/>
    <w:rsid w:val="0001396A"/>
    <w:rsid w:val="00023103"/>
    <w:rsid w:val="0002544D"/>
    <w:rsid w:val="00030AC7"/>
    <w:rsid w:val="0003484B"/>
    <w:rsid w:val="0003532C"/>
    <w:rsid w:val="0003765F"/>
    <w:rsid w:val="00041306"/>
    <w:rsid w:val="00041357"/>
    <w:rsid w:val="00042330"/>
    <w:rsid w:val="000423BD"/>
    <w:rsid w:val="00042445"/>
    <w:rsid w:val="0004274D"/>
    <w:rsid w:val="00043348"/>
    <w:rsid w:val="00044420"/>
    <w:rsid w:val="0004483F"/>
    <w:rsid w:val="00045E12"/>
    <w:rsid w:val="00046CB4"/>
    <w:rsid w:val="0004713D"/>
    <w:rsid w:val="0005138B"/>
    <w:rsid w:val="00052180"/>
    <w:rsid w:val="000522B7"/>
    <w:rsid w:val="00053717"/>
    <w:rsid w:val="00056880"/>
    <w:rsid w:val="000604F5"/>
    <w:rsid w:val="0006067D"/>
    <w:rsid w:val="000607E7"/>
    <w:rsid w:val="000622F1"/>
    <w:rsid w:val="000667B6"/>
    <w:rsid w:val="000675D1"/>
    <w:rsid w:val="00073521"/>
    <w:rsid w:val="000769F8"/>
    <w:rsid w:val="000775DE"/>
    <w:rsid w:val="00077984"/>
    <w:rsid w:val="00077C01"/>
    <w:rsid w:val="00084899"/>
    <w:rsid w:val="00084A35"/>
    <w:rsid w:val="00084C7E"/>
    <w:rsid w:val="00085E50"/>
    <w:rsid w:val="00087033"/>
    <w:rsid w:val="00087FAF"/>
    <w:rsid w:val="0009241D"/>
    <w:rsid w:val="00095167"/>
    <w:rsid w:val="00095D88"/>
    <w:rsid w:val="000A4511"/>
    <w:rsid w:val="000A4B82"/>
    <w:rsid w:val="000A5634"/>
    <w:rsid w:val="000A5917"/>
    <w:rsid w:val="000A641B"/>
    <w:rsid w:val="000B093F"/>
    <w:rsid w:val="000B2041"/>
    <w:rsid w:val="000B2429"/>
    <w:rsid w:val="000B302A"/>
    <w:rsid w:val="000C078D"/>
    <w:rsid w:val="000C141C"/>
    <w:rsid w:val="000C543F"/>
    <w:rsid w:val="000C571D"/>
    <w:rsid w:val="000C5F40"/>
    <w:rsid w:val="000C7D75"/>
    <w:rsid w:val="000D2DA0"/>
    <w:rsid w:val="000D346F"/>
    <w:rsid w:val="000D3DD4"/>
    <w:rsid w:val="000D4025"/>
    <w:rsid w:val="000D56D9"/>
    <w:rsid w:val="000D5DDD"/>
    <w:rsid w:val="000E0B74"/>
    <w:rsid w:val="000E0EDE"/>
    <w:rsid w:val="000E236B"/>
    <w:rsid w:val="000E55B6"/>
    <w:rsid w:val="000E7901"/>
    <w:rsid w:val="000E7E95"/>
    <w:rsid w:val="000F0CF4"/>
    <w:rsid w:val="000F0FF0"/>
    <w:rsid w:val="000F4231"/>
    <w:rsid w:val="000F518F"/>
    <w:rsid w:val="000F6233"/>
    <w:rsid w:val="000F7002"/>
    <w:rsid w:val="001005AF"/>
    <w:rsid w:val="001006C8"/>
    <w:rsid w:val="00101378"/>
    <w:rsid w:val="00101BBA"/>
    <w:rsid w:val="00103F3C"/>
    <w:rsid w:val="00105058"/>
    <w:rsid w:val="0011179B"/>
    <w:rsid w:val="001117BB"/>
    <w:rsid w:val="001118CB"/>
    <w:rsid w:val="00113CB0"/>
    <w:rsid w:val="00114577"/>
    <w:rsid w:val="00114808"/>
    <w:rsid w:val="001213E9"/>
    <w:rsid w:val="0012764E"/>
    <w:rsid w:val="00131DC3"/>
    <w:rsid w:val="00135E4C"/>
    <w:rsid w:val="001373F5"/>
    <w:rsid w:val="00147AB6"/>
    <w:rsid w:val="0015096A"/>
    <w:rsid w:val="00151CA1"/>
    <w:rsid w:val="00155DCB"/>
    <w:rsid w:val="001574C0"/>
    <w:rsid w:val="001577E0"/>
    <w:rsid w:val="001606CF"/>
    <w:rsid w:val="0016128D"/>
    <w:rsid w:val="00161F85"/>
    <w:rsid w:val="00164599"/>
    <w:rsid w:val="001673CF"/>
    <w:rsid w:val="00167DA7"/>
    <w:rsid w:val="0017062B"/>
    <w:rsid w:val="0017089D"/>
    <w:rsid w:val="00171462"/>
    <w:rsid w:val="00172C24"/>
    <w:rsid w:val="0017374A"/>
    <w:rsid w:val="00174B85"/>
    <w:rsid w:val="001755C6"/>
    <w:rsid w:val="00175A7F"/>
    <w:rsid w:val="001805A8"/>
    <w:rsid w:val="00181A85"/>
    <w:rsid w:val="001837D6"/>
    <w:rsid w:val="00183B8D"/>
    <w:rsid w:val="00184758"/>
    <w:rsid w:val="00186409"/>
    <w:rsid w:val="00190939"/>
    <w:rsid w:val="0019101A"/>
    <w:rsid w:val="001947C4"/>
    <w:rsid w:val="0019504E"/>
    <w:rsid w:val="0019573C"/>
    <w:rsid w:val="00195C8E"/>
    <w:rsid w:val="001972D2"/>
    <w:rsid w:val="001A115B"/>
    <w:rsid w:val="001A2544"/>
    <w:rsid w:val="001A304A"/>
    <w:rsid w:val="001A5FED"/>
    <w:rsid w:val="001B3758"/>
    <w:rsid w:val="001C16FA"/>
    <w:rsid w:val="001C2523"/>
    <w:rsid w:val="001C358D"/>
    <w:rsid w:val="001C40A0"/>
    <w:rsid w:val="001C42D8"/>
    <w:rsid w:val="001C6AE1"/>
    <w:rsid w:val="001D0CDA"/>
    <w:rsid w:val="001D0ED3"/>
    <w:rsid w:val="001D2D61"/>
    <w:rsid w:val="001D3A49"/>
    <w:rsid w:val="001D5BFC"/>
    <w:rsid w:val="001D70C4"/>
    <w:rsid w:val="001D710C"/>
    <w:rsid w:val="001D75F6"/>
    <w:rsid w:val="001E1723"/>
    <w:rsid w:val="001E4BE4"/>
    <w:rsid w:val="001E6BDA"/>
    <w:rsid w:val="001E7608"/>
    <w:rsid w:val="001E7873"/>
    <w:rsid w:val="001E7B26"/>
    <w:rsid w:val="001F0C93"/>
    <w:rsid w:val="001F102C"/>
    <w:rsid w:val="001F1B27"/>
    <w:rsid w:val="001F7967"/>
    <w:rsid w:val="00200297"/>
    <w:rsid w:val="002050F5"/>
    <w:rsid w:val="00207B25"/>
    <w:rsid w:val="00212482"/>
    <w:rsid w:val="00213A78"/>
    <w:rsid w:val="00214127"/>
    <w:rsid w:val="00216ABC"/>
    <w:rsid w:val="00220C3E"/>
    <w:rsid w:val="00221383"/>
    <w:rsid w:val="00221EC0"/>
    <w:rsid w:val="00222CD4"/>
    <w:rsid w:val="00223137"/>
    <w:rsid w:val="00226263"/>
    <w:rsid w:val="00231049"/>
    <w:rsid w:val="002314D2"/>
    <w:rsid w:val="0023305C"/>
    <w:rsid w:val="00235F68"/>
    <w:rsid w:val="00237778"/>
    <w:rsid w:val="00240947"/>
    <w:rsid w:val="00241881"/>
    <w:rsid w:val="002420AB"/>
    <w:rsid w:val="0024294C"/>
    <w:rsid w:val="00246197"/>
    <w:rsid w:val="002461BA"/>
    <w:rsid w:val="00246B5A"/>
    <w:rsid w:val="00251D3C"/>
    <w:rsid w:val="00252088"/>
    <w:rsid w:val="00253CE0"/>
    <w:rsid w:val="002541A8"/>
    <w:rsid w:val="002543D8"/>
    <w:rsid w:val="0025652F"/>
    <w:rsid w:val="00260BDD"/>
    <w:rsid w:val="00263B6C"/>
    <w:rsid w:val="0026410B"/>
    <w:rsid w:val="00266B8C"/>
    <w:rsid w:val="002674C7"/>
    <w:rsid w:val="002703D5"/>
    <w:rsid w:val="002715E1"/>
    <w:rsid w:val="00272939"/>
    <w:rsid w:val="0027392A"/>
    <w:rsid w:val="00273DE2"/>
    <w:rsid w:val="00273F85"/>
    <w:rsid w:val="00274A19"/>
    <w:rsid w:val="00274E92"/>
    <w:rsid w:val="002756D7"/>
    <w:rsid w:val="0027590B"/>
    <w:rsid w:val="00283EA7"/>
    <w:rsid w:val="00285969"/>
    <w:rsid w:val="002911C4"/>
    <w:rsid w:val="00295B30"/>
    <w:rsid w:val="002A153F"/>
    <w:rsid w:val="002A1E1F"/>
    <w:rsid w:val="002A74EF"/>
    <w:rsid w:val="002A7A31"/>
    <w:rsid w:val="002B0F9A"/>
    <w:rsid w:val="002B2790"/>
    <w:rsid w:val="002B3829"/>
    <w:rsid w:val="002B526D"/>
    <w:rsid w:val="002C02DE"/>
    <w:rsid w:val="002C0562"/>
    <w:rsid w:val="002C22EF"/>
    <w:rsid w:val="002C2D94"/>
    <w:rsid w:val="002C62E4"/>
    <w:rsid w:val="002D1087"/>
    <w:rsid w:val="002D17C0"/>
    <w:rsid w:val="002D1AE2"/>
    <w:rsid w:val="002D4C67"/>
    <w:rsid w:val="002E01EB"/>
    <w:rsid w:val="002E1FB6"/>
    <w:rsid w:val="002E454C"/>
    <w:rsid w:val="002E5E18"/>
    <w:rsid w:val="002E6D04"/>
    <w:rsid w:val="002E7A69"/>
    <w:rsid w:val="002E7E2A"/>
    <w:rsid w:val="002F2AA3"/>
    <w:rsid w:val="002F3C72"/>
    <w:rsid w:val="002F4E0F"/>
    <w:rsid w:val="002F617F"/>
    <w:rsid w:val="00300109"/>
    <w:rsid w:val="00301755"/>
    <w:rsid w:val="00301C04"/>
    <w:rsid w:val="003037C5"/>
    <w:rsid w:val="00304609"/>
    <w:rsid w:val="0030665E"/>
    <w:rsid w:val="00306894"/>
    <w:rsid w:val="0031222A"/>
    <w:rsid w:val="003122F4"/>
    <w:rsid w:val="00312514"/>
    <w:rsid w:val="0031581A"/>
    <w:rsid w:val="00316826"/>
    <w:rsid w:val="00316E10"/>
    <w:rsid w:val="0031735C"/>
    <w:rsid w:val="003177DF"/>
    <w:rsid w:val="00320003"/>
    <w:rsid w:val="0032261D"/>
    <w:rsid w:val="00322BDD"/>
    <w:rsid w:val="003268D5"/>
    <w:rsid w:val="00332D9F"/>
    <w:rsid w:val="00333B58"/>
    <w:rsid w:val="003351A2"/>
    <w:rsid w:val="00335249"/>
    <w:rsid w:val="003353F3"/>
    <w:rsid w:val="0033755F"/>
    <w:rsid w:val="00337752"/>
    <w:rsid w:val="003401D4"/>
    <w:rsid w:val="00340798"/>
    <w:rsid w:val="00342013"/>
    <w:rsid w:val="003422E9"/>
    <w:rsid w:val="00342DBC"/>
    <w:rsid w:val="00343EF8"/>
    <w:rsid w:val="00344657"/>
    <w:rsid w:val="003448F6"/>
    <w:rsid w:val="003458BD"/>
    <w:rsid w:val="00345EF6"/>
    <w:rsid w:val="00350759"/>
    <w:rsid w:val="00354D27"/>
    <w:rsid w:val="003563F7"/>
    <w:rsid w:val="0035738A"/>
    <w:rsid w:val="0036486A"/>
    <w:rsid w:val="00364AEC"/>
    <w:rsid w:val="00371496"/>
    <w:rsid w:val="0037155D"/>
    <w:rsid w:val="00373993"/>
    <w:rsid w:val="00375655"/>
    <w:rsid w:val="003770E7"/>
    <w:rsid w:val="003858A6"/>
    <w:rsid w:val="003864BE"/>
    <w:rsid w:val="00392DCC"/>
    <w:rsid w:val="00393BBE"/>
    <w:rsid w:val="00394625"/>
    <w:rsid w:val="00396817"/>
    <w:rsid w:val="00397BB5"/>
    <w:rsid w:val="003A0F8F"/>
    <w:rsid w:val="003A0FB5"/>
    <w:rsid w:val="003A3415"/>
    <w:rsid w:val="003A476B"/>
    <w:rsid w:val="003A5B36"/>
    <w:rsid w:val="003B0BC8"/>
    <w:rsid w:val="003B0F61"/>
    <w:rsid w:val="003B1622"/>
    <w:rsid w:val="003B4215"/>
    <w:rsid w:val="003B4C22"/>
    <w:rsid w:val="003B70FD"/>
    <w:rsid w:val="003B7540"/>
    <w:rsid w:val="003C004C"/>
    <w:rsid w:val="003C0BF7"/>
    <w:rsid w:val="003C24B4"/>
    <w:rsid w:val="003C2737"/>
    <w:rsid w:val="003C7085"/>
    <w:rsid w:val="003C77BF"/>
    <w:rsid w:val="003D03FC"/>
    <w:rsid w:val="003D0F3B"/>
    <w:rsid w:val="003D35BC"/>
    <w:rsid w:val="003D3B7F"/>
    <w:rsid w:val="003D5699"/>
    <w:rsid w:val="003D61B7"/>
    <w:rsid w:val="003D666B"/>
    <w:rsid w:val="003D6A28"/>
    <w:rsid w:val="003E1B2F"/>
    <w:rsid w:val="003E20D6"/>
    <w:rsid w:val="003E3A78"/>
    <w:rsid w:val="003E40BC"/>
    <w:rsid w:val="003E4D87"/>
    <w:rsid w:val="003E4E00"/>
    <w:rsid w:val="003F0C01"/>
    <w:rsid w:val="003F1986"/>
    <w:rsid w:val="003F19F0"/>
    <w:rsid w:val="003F1B0D"/>
    <w:rsid w:val="003F56DA"/>
    <w:rsid w:val="0040059A"/>
    <w:rsid w:val="00401082"/>
    <w:rsid w:val="00402950"/>
    <w:rsid w:val="00403540"/>
    <w:rsid w:val="0040355F"/>
    <w:rsid w:val="004052C0"/>
    <w:rsid w:val="00405613"/>
    <w:rsid w:val="00405E6C"/>
    <w:rsid w:val="004063EA"/>
    <w:rsid w:val="0040654B"/>
    <w:rsid w:val="004078B4"/>
    <w:rsid w:val="00410819"/>
    <w:rsid w:val="00414768"/>
    <w:rsid w:val="00415203"/>
    <w:rsid w:val="00416762"/>
    <w:rsid w:val="00416E55"/>
    <w:rsid w:val="00421955"/>
    <w:rsid w:val="0042518A"/>
    <w:rsid w:val="004276A0"/>
    <w:rsid w:val="00430E6D"/>
    <w:rsid w:val="00444A63"/>
    <w:rsid w:val="00445265"/>
    <w:rsid w:val="0044563E"/>
    <w:rsid w:val="00447C75"/>
    <w:rsid w:val="00450FBC"/>
    <w:rsid w:val="00454535"/>
    <w:rsid w:val="004559CE"/>
    <w:rsid w:val="00456720"/>
    <w:rsid w:val="00456856"/>
    <w:rsid w:val="00460E1A"/>
    <w:rsid w:val="004612BD"/>
    <w:rsid w:val="00463DF8"/>
    <w:rsid w:val="00464713"/>
    <w:rsid w:val="00465226"/>
    <w:rsid w:val="00465342"/>
    <w:rsid w:val="00475085"/>
    <w:rsid w:val="00476CF6"/>
    <w:rsid w:val="00477AA8"/>
    <w:rsid w:val="00480025"/>
    <w:rsid w:val="00480DE8"/>
    <w:rsid w:val="004811DB"/>
    <w:rsid w:val="0048381D"/>
    <w:rsid w:val="00483C3F"/>
    <w:rsid w:val="00492826"/>
    <w:rsid w:val="00492FCB"/>
    <w:rsid w:val="004933F5"/>
    <w:rsid w:val="00495B39"/>
    <w:rsid w:val="004A0F11"/>
    <w:rsid w:val="004A1D7A"/>
    <w:rsid w:val="004A3EAA"/>
    <w:rsid w:val="004A7D97"/>
    <w:rsid w:val="004B0982"/>
    <w:rsid w:val="004B5133"/>
    <w:rsid w:val="004C08EA"/>
    <w:rsid w:val="004C2902"/>
    <w:rsid w:val="004C327F"/>
    <w:rsid w:val="004C41B6"/>
    <w:rsid w:val="004C56C8"/>
    <w:rsid w:val="004C66B9"/>
    <w:rsid w:val="004C7D9B"/>
    <w:rsid w:val="004D06E9"/>
    <w:rsid w:val="004D6E37"/>
    <w:rsid w:val="004D732E"/>
    <w:rsid w:val="004E00EA"/>
    <w:rsid w:val="004E2A11"/>
    <w:rsid w:val="004E3310"/>
    <w:rsid w:val="004E356E"/>
    <w:rsid w:val="004E5894"/>
    <w:rsid w:val="004E6B14"/>
    <w:rsid w:val="004E740D"/>
    <w:rsid w:val="004F03CB"/>
    <w:rsid w:val="004F1C35"/>
    <w:rsid w:val="004F48EE"/>
    <w:rsid w:val="004F4B92"/>
    <w:rsid w:val="004F542F"/>
    <w:rsid w:val="004F5A1A"/>
    <w:rsid w:val="004F5C27"/>
    <w:rsid w:val="004F6D01"/>
    <w:rsid w:val="00500019"/>
    <w:rsid w:val="00500849"/>
    <w:rsid w:val="00501B6C"/>
    <w:rsid w:val="00502A9D"/>
    <w:rsid w:val="00504D9F"/>
    <w:rsid w:val="00505F66"/>
    <w:rsid w:val="005073DA"/>
    <w:rsid w:val="0051043A"/>
    <w:rsid w:val="005118AB"/>
    <w:rsid w:val="00516785"/>
    <w:rsid w:val="00520591"/>
    <w:rsid w:val="0052089D"/>
    <w:rsid w:val="00521B0D"/>
    <w:rsid w:val="00523E3C"/>
    <w:rsid w:val="0052419D"/>
    <w:rsid w:val="00524F8D"/>
    <w:rsid w:val="005301F8"/>
    <w:rsid w:val="005312FC"/>
    <w:rsid w:val="00532C6D"/>
    <w:rsid w:val="005340B0"/>
    <w:rsid w:val="005344CE"/>
    <w:rsid w:val="0053569E"/>
    <w:rsid w:val="0053603D"/>
    <w:rsid w:val="00536457"/>
    <w:rsid w:val="0053742A"/>
    <w:rsid w:val="005374A8"/>
    <w:rsid w:val="00537C85"/>
    <w:rsid w:val="00541D29"/>
    <w:rsid w:val="00542BBA"/>
    <w:rsid w:val="00543F23"/>
    <w:rsid w:val="00545C77"/>
    <w:rsid w:val="00553206"/>
    <w:rsid w:val="00555C73"/>
    <w:rsid w:val="005600BD"/>
    <w:rsid w:val="00562009"/>
    <w:rsid w:val="00562F17"/>
    <w:rsid w:val="00564DA4"/>
    <w:rsid w:val="00564ECE"/>
    <w:rsid w:val="0056582C"/>
    <w:rsid w:val="00575128"/>
    <w:rsid w:val="00575CA8"/>
    <w:rsid w:val="0057604C"/>
    <w:rsid w:val="00576709"/>
    <w:rsid w:val="005776B2"/>
    <w:rsid w:val="00577F88"/>
    <w:rsid w:val="005816AE"/>
    <w:rsid w:val="00586605"/>
    <w:rsid w:val="005868DE"/>
    <w:rsid w:val="005877AC"/>
    <w:rsid w:val="00592E70"/>
    <w:rsid w:val="005958F6"/>
    <w:rsid w:val="005966B7"/>
    <w:rsid w:val="0059702D"/>
    <w:rsid w:val="005978DE"/>
    <w:rsid w:val="005A3A71"/>
    <w:rsid w:val="005A74A9"/>
    <w:rsid w:val="005A759B"/>
    <w:rsid w:val="005A7871"/>
    <w:rsid w:val="005B08C8"/>
    <w:rsid w:val="005B3F66"/>
    <w:rsid w:val="005B40BC"/>
    <w:rsid w:val="005B58A4"/>
    <w:rsid w:val="005B5E2A"/>
    <w:rsid w:val="005B7152"/>
    <w:rsid w:val="005C02A4"/>
    <w:rsid w:val="005C07C0"/>
    <w:rsid w:val="005C1EB7"/>
    <w:rsid w:val="005C20D2"/>
    <w:rsid w:val="005C2A13"/>
    <w:rsid w:val="005C32FE"/>
    <w:rsid w:val="005C503A"/>
    <w:rsid w:val="005C6277"/>
    <w:rsid w:val="005C66F0"/>
    <w:rsid w:val="005D024A"/>
    <w:rsid w:val="005D0611"/>
    <w:rsid w:val="005D20BE"/>
    <w:rsid w:val="005D2150"/>
    <w:rsid w:val="005D4486"/>
    <w:rsid w:val="005D4FD4"/>
    <w:rsid w:val="005D5BD3"/>
    <w:rsid w:val="005D6D64"/>
    <w:rsid w:val="005E0438"/>
    <w:rsid w:val="005E15D7"/>
    <w:rsid w:val="005E2009"/>
    <w:rsid w:val="005E2359"/>
    <w:rsid w:val="005E4800"/>
    <w:rsid w:val="005E5B3C"/>
    <w:rsid w:val="005E7378"/>
    <w:rsid w:val="005F19F2"/>
    <w:rsid w:val="005F5D56"/>
    <w:rsid w:val="006003D3"/>
    <w:rsid w:val="00600DDD"/>
    <w:rsid w:val="00601650"/>
    <w:rsid w:val="00604EEF"/>
    <w:rsid w:val="00605AFD"/>
    <w:rsid w:val="00611753"/>
    <w:rsid w:val="00611DB1"/>
    <w:rsid w:val="006123D4"/>
    <w:rsid w:val="0061445B"/>
    <w:rsid w:val="006147C1"/>
    <w:rsid w:val="006159D2"/>
    <w:rsid w:val="00624C4B"/>
    <w:rsid w:val="00625649"/>
    <w:rsid w:val="0062587F"/>
    <w:rsid w:val="00626BD3"/>
    <w:rsid w:val="0062773E"/>
    <w:rsid w:val="00631002"/>
    <w:rsid w:val="0063427E"/>
    <w:rsid w:val="00634496"/>
    <w:rsid w:val="006469CC"/>
    <w:rsid w:val="006469FA"/>
    <w:rsid w:val="006529D5"/>
    <w:rsid w:val="00653E21"/>
    <w:rsid w:val="00657E71"/>
    <w:rsid w:val="006648DD"/>
    <w:rsid w:val="00666EAC"/>
    <w:rsid w:val="00667D25"/>
    <w:rsid w:val="006710FA"/>
    <w:rsid w:val="00671AE1"/>
    <w:rsid w:val="006724F4"/>
    <w:rsid w:val="00672B5D"/>
    <w:rsid w:val="006748ED"/>
    <w:rsid w:val="00674BCF"/>
    <w:rsid w:val="006751E9"/>
    <w:rsid w:val="0067622C"/>
    <w:rsid w:val="00677DEF"/>
    <w:rsid w:val="00681C3F"/>
    <w:rsid w:val="00682249"/>
    <w:rsid w:val="0068598E"/>
    <w:rsid w:val="00685CF7"/>
    <w:rsid w:val="00685FA7"/>
    <w:rsid w:val="00686165"/>
    <w:rsid w:val="00686268"/>
    <w:rsid w:val="0068692B"/>
    <w:rsid w:val="00690FC3"/>
    <w:rsid w:val="00691CB5"/>
    <w:rsid w:val="006923DF"/>
    <w:rsid w:val="006A08A1"/>
    <w:rsid w:val="006A0C47"/>
    <w:rsid w:val="006A37F5"/>
    <w:rsid w:val="006A543B"/>
    <w:rsid w:val="006A7DBE"/>
    <w:rsid w:val="006B0766"/>
    <w:rsid w:val="006B1EB8"/>
    <w:rsid w:val="006B2A13"/>
    <w:rsid w:val="006B361A"/>
    <w:rsid w:val="006B38FF"/>
    <w:rsid w:val="006B7EA4"/>
    <w:rsid w:val="006C1892"/>
    <w:rsid w:val="006C5B73"/>
    <w:rsid w:val="006C645D"/>
    <w:rsid w:val="006D0D6D"/>
    <w:rsid w:val="006D302D"/>
    <w:rsid w:val="006D397E"/>
    <w:rsid w:val="006D3C17"/>
    <w:rsid w:val="006D596F"/>
    <w:rsid w:val="006D61D7"/>
    <w:rsid w:val="006D6D55"/>
    <w:rsid w:val="006E0F1F"/>
    <w:rsid w:val="006E19D5"/>
    <w:rsid w:val="006E1A81"/>
    <w:rsid w:val="006E2D2A"/>
    <w:rsid w:val="006E3CC3"/>
    <w:rsid w:val="006E3F01"/>
    <w:rsid w:val="006E6766"/>
    <w:rsid w:val="006F5896"/>
    <w:rsid w:val="006F5ABE"/>
    <w:rsid w:val="00704E43"/>
    <w:rsid w:val="00706E8E"/>
    <w:rsid w:val="00713BC7"/>
    <w:rsid w:val="007167E7"/>
    <w:rsid w:val="00720821"/>
    <w:rsid w:val="00720B18"/>
    <w:rsid w:val="00722B53"/>
    <w:rsid w:val="00724BB0"/>
    <w:rsid w:val="00724C4C"/>
    <w:rsid w:val="00724FE3"/>
    <w:rsid w:val="00730C92"/>
    <w:rsid w:val="0073134A"/>
    <w:rsid w:val="00732676"/>
    <w:rsid w:val="00734E07"/>
    <w:rsid w:val="00735D6E"/>
    <w:rsid w:val="00736B6A"/>
    <w:rsid w:val="007410A9"/>
    <w:rsid w:val="00742366"/>
    <w:rsid w:val="00743DBA"/>
    <w:rsid w:val="00744484"/>
    <w:rsid w:val="00744D1C"/>
    <w:rsid w:val="0074553C"/>
    <w:rsid w:val="00745BA9"/>
    <w:rsid w:val="007509DD"/>
    <w:rsid w:val="00750B89"/>
    <w:rsid w:val="0075106B"/>
    <w:rsid w:val="00751747"/>
    <w:rsid w:val="00751A91"/>
    <w:rsid w:val="00752446"/>
    <w:rsid w:val="00754FFE"/>
    <w:rsid w:val="007601E8"/>
    <w:rsid w:val="007602EF"/>
    <w:rsid w:val="00760A50"/>
    <w:rsid w:val="00763474"/>
    <w:rsid w:val="00766184"/>
    <w:rsid w:val="007666BF"/>
    <w:rsid w:val="00770272"/>
    <w:rsid w:val="00771EA6"/>
    <w:rsid w:val="00774D19"/>
    <w:rsid w:val="0077542A"/>
    <w:rsid w:val="007763C9"/>
    <w:rsid w:val="0078257B"/>
    <w:rsid w:val="00783D75"/>
    <w:rsid w:val="00784C0A"/>
    <w:rsid w:val="00785EAA"/>
    <w:rsid w:val="0078665A"/>
    <w:rsid w:val="00787C6E"/>
    <w:rsid w:val="00794B40"/>
    <w:rsid w:val="00794DB8"/>
    <w:rsid w:val="00796E26"/>
    <w:rsid w:val="00797922"/>
    <w:rsid w:val="00797C02"/>
    <w:rsid w:val="007A1079"/>
    <w:rsid w:val="007A59A5"/>
    <w:rsid w:val="007B0B34"/>
    <w:rsid w:val="007B2677"/>
    <w:rsid w:val="007B3CFD"/>
    <w:rsid w:val="007B76AB"/>
    <w:rsid w:val="007C1F32"/>
    <w:rsid w:val="007C33D7"/>
    <w:rsid w:val="007D1866"/>
    <w:rsid w:val="007D564F"/>
    <w:rsid w:val="007D56B5"/>
    <w:rsid w:val="007D592B"/>
    <w:rsid w:val="007D5AA6"/>
    <w:rsid w:val="007D65FE"/>
    <w:rsid w:val="007D7A91"/>
    <w:rsid w:val="007E06CF"/>
    <w:rsid w:val="007E5466"/>
    <w:rsid w:val="007E5C74"/>
    <w:rsid w:val="007E6456"/>
    <w:rsid w:val="007E7781"/>
    <w:rsid w:val="007F12F3"/>
    <w:rsid w:val="007F235C"/>
    <w:rsid w:val="007F2F76"/>
    <w:rsid w:val="007F429D"/>
    <w:rsid w:val="007F44B1"/>
    <w:rsid w:val="007F4D36"/>
    <w:rsid w:val="007F5EC7"/>
    <w:rsid w:val="007F74F9"/>
    <w:rsid w:val="00810497"/>
    <w:rsid w:val="00810594"/>
    <w:rsid w:val="00811943"/>
    <w:rsid w:val="00811A4B"/>
    <w:rsid w:val="00811E33"/>
    <w:rsid w:val="008121ED"/>
    <w:rsid w:val="00815C81"/>
    <w:rsid w:val="00816C62"/>
    <w:rsid w:val="00817330"/>
    <w:rsid w:val="0081749A"/>
    <w:rsid w:val="00820A83"/>
    <w:rsid w:val="00820C8A"/>
    <w:rsid w:val="008229EF"/>
    <w:rsid w:val="0082554B"/>
    <w:rsid w:val="008275B1"/>
    <w:rsid w:val="008311B8"/>
    <w:rsid w:val="00831D09"/>
    <w:rsid w:val="00832916"/>
    <w:rsid w:val="00834243"/>
    <w:rsid w:val="008374C4"/>
    <w:rsid w:val="008434D4"/>
    <w:rsid w:val="00843FCA"/>
    <w:rsid w:val="00851C4E"/>
    <w:rsid w:val="008525BF"/>
    <w:rsid w:val="00853687"/>
    <w:rsid w:val="00857670"/>
    <w:rsid w:val="00857786"/>
    <w:rsid w:val="00857969"/>
    <w:rsid w:val="00857A0A"/>
    <w:rsid w:val="00863053"/>
    <w:rsid w:val="00864035"/>
    <w:rsid w:val="008669E7"/>
    <w:rsid w:val="008709A2"/>
    <w:rsid w:val="00871449"/>
    <w:rsid w:val="0087193B"/>
    <w:rsid w:val="008721E8"/>
    <w:rsid w:val="008769E0"/>
    <w:rsid w:val="00881325"/>
    <w:rsid w:val="00882CC4"/>
    <w:rsid w:val="00882F9C"/>
    <w:rsid w:val="008844AC"/>
    <w:rsid w:val="00884708"/>
    <w:rsid w:val="0088682F"/>
    <w:rsid w:val="00891BB3"/>
    <w:rsid w:val="00897F46"/>
    <w:rsid w:val="008A04A6"/>
    <w:rsid w:val="008A3A3F"/>
    <w:rsid w:val="008A7B5D"/>
    <w:rsid w:val="008B1969"/>
    <w:rsid w:val="008B2E20"/>
    <w:rsid w:val="008B3CC8"/>
    <w:rsid w:val="008B4756"/>
    <w:rsid w:val="008C1CB9"/>
    <w:rsid w:val="008C37B9"/>
    <w:rsid w:val="008C5BD7"/>
    <w:rsid w:val="008C7F71"/>
    <w:rsid w:val="008D157E"/>
    <w:rsid w:val="008D339F"/>
    <w:rsid w:val="008D4E16"/>
    <w:rsid w:val="008D50C5"/>
    <w:rsid w:val="008D5C6A"/>
    <w:rsid w:val="008E24D2"/>
    <w:rsid w:val="008E263C"/>
    <w:rsid w:val="008E2BEE"/>
    <w:rsid w:val="008E5272"/>
    <w:rsid w:val="008E616B"/>
    <w:rsid w:val="008E6292"/>
    <w:rsid w:val="008E6E3F"/>
    <w:rsid w:val="008F03AF"/>
    <w:rsid w:val="008F2033"/>
    <w:rsid w:val="008F23EB"/>
    <w:rsid w:val="008F29D9"/>
    <w:rsid w:val="008F7978"/>
    <w:rsid w:val="00906E61"/>
    <w:rsid w:val="00907468"/>
    <w:rsid w:val="00910530"/>
    <w:rsid w:val="00910B52"/>
    <w:rsid w:val="00914222"/>
    <w:rsid w:val="00914BEB"/>
    <w:rsid w:val="00916FFF"/>
    <w:rsid w:val="00917E28"/>
    <w:rsid w:val="00921292"/>
    <w:rsid w:val="00923649"/>
    <w:rsid w:val="009240D7"/>
    <w:rsid w:val="00925554"/>
    <w:rsid w:val="00925AA5"/>
    <w:rsid w:val="00926FB6"/>
    <w:rsid w:val="009273B9"/>
    <w:rsid w:val="00931B34"/>
    <w:rsid w:val="009326AD"/>
    <w:rsid w:val="0093526B"/>
    <w:rsid w:val="0093540D"/>
    <w:rsid w:val="0094019D"/>
    <w:rsid w:val="00942C11"/>
    <w:rsid w:val="009434C3"/>
    <w:rsid w:val="0094351F"/>
    <w:rsid w:val="009457C2"/>
    <w:rsid w:val="00946C0F"/>
    <w:rsid w:val="0094797A"/>
    <w:rsid w:val="00951F9B"/>
    <w:rsid w:val="00953183"/>
    <w:rsid w:val="009547F8"/>
    <w:rsid w:val="0095488C"/>
    <w:rsid w:val="00955E33"/>
    <w:rsid w:val="00956321"/>
    <w:rsid w:val="00956DA5"/>
    <w:rsid w:val="00960B72"/>
    <w:rsid w:val="00962ACF"/>
    <w:rsid w:val="00970047"/>
    <w:rsid w:val="009714E5"/>
    <w:rsid w:val="009717B2"/>
    <w:rsid w:val="00971D02"/>
    <w:rsid w:val="009729D4"/>
    <w:rsid w:val="00975895"/>
    <w:rsid w:val="00976924"/>
    <w:rsid w:val="009774A4"/>
    <w:rsid w:val="00980222"/>
    <w:rsid w:val="00980759"/>
    <w:rsid w:val="009817B0"/>
    <w:rsid w:val="009821CE"/>
    <w:rsid w:val="009822D9"/>
    <w:rsid w:val="00982EEE"/>
    <w:rsid w:val="009833C9"/>
    <w:rsid w:val="00984C5C"/>
    <w:rsid w:val="00986A77"/>
    <w:rsid w:val="00987634"/>
    <w:rsid w:val="00990EAC"/>
    <w:rsid w:val="00992D21"/>
    <w:rsid w:val="009930F1"/>
    <w:rsid w:val="00993CC7"/>
    <w:rsid w:val="00994436"/>
    <w:rsid w:val="00994571"/>
    <w:rsid w:val="009A19CA"/>
    <w:rsid w:val="009A277C"/>
    <w:rsid w:val="009A371B"/>
    <w:rsid w:val="009A5907"/>
    <w:rsid w:val="009A5DD3"/>
    <w:rsid w:val="009A658F"/>
    <w:rsid w:val="009A7330"/>
    <w:rsid w:val="009B07D5"/>
    <w:rsid w:val="009B088F"/>
    <w:rsid w:val="009B222D"/>
    <w:rsid w:val="009B2249"/>
    <w:rsid w:val="009B5A16"/>
    <w:rsid w:val="009B5DFE"/>
    <w:rsid w:val="009C32D6"/>
    <w:rsid w:val="009C7656"/>
    <w:rsid w:val="009D0167"/>
    <w:rsid w:val="009D2CFF"/>
    <w:rsid w:val="009D41C4"/>
    <w:rsid w:val="009D6DE6"/>
    <w:rsid w:val="009E0CA5"/>
    <w:rsid w:val="009E171B"/>
    <w:rsid w:val="009E4DBB"/>
    <w:rsid w:val="009E4F37"/>
    <w:rsid w:val="009E5E9F"/>
    <w:rsid w:val="009E657B"/>
    <w:rsid w:val="009E6923"/>
    <w:rsid w:val="009E6A21"/>
    <w:rsid w:val="009E75A0"/>
    <w:rsid w:val="009E7DAD"/>
    <w:rsid w:val="009E7E3C"/>
    <w:rsid w:val="009F2BC0"/>
    <w:rsid w:val="009F4ED3"/>
    <w:rsid w:val="00A00693"/>
    <w:rsid w:val="00A0071A"/>
    <w:rsid w:val="00A015E8"/>
    <w:rsid w:val="00A05095"/>
    <w:rsid w:val="00A0633B"/>
    <w:rsid w:val="00A0730C"/>
    <w:rsid w:val="00A07A5A"/>
    <w:rsid w:val="00A07D47"/>
    <w:rsid w:val="00A10593"/>
    <w:rsid w:val="00A1102C"/>
    <w:rsid w:val="00A117B8"/>
    <w:rsid w:val="00A12133"/>
    <w:rsid w:val="00A12F62"/>
    <w:rsid w:val="00A14FE9"/>
    <w:rsid w:val="00A15166"/>
    <w:rsid w:val="00A15BD8"/>
    <w:rsid w:val="00A17B82"/>
    <w:rsid w:val="00A300AF"/>
    <w:rsid w:val="00A30E7D"/>
    <w:rsid w:val="00A31B02"/>
    <w:rsid w:val="00A34BCC"/>
    <w:rsid w:val="00A368CD"/>
    <w:rsid w:val="00A3749B"/>
    <w:rsid w:val="00A37D87"/>
    <w:rsid w:val="00A400B3"/>
    <w:rsid w:val="00A416B8"/>
    <w:rsid w:val="00A42768"/>
    <w:rsid w:val="00A4673D"/>
    <w:rsid w:val="00A50D88"/>
    <w:rsid w:val="00A50F6F"/>
    <w:rsid w:val="00A50FD7"/>
    <w:rsid w:val="00A50FDE"/>
    <w:rsid w:val="00A527F0"/>
    <w:rsid w:val="00A54654"/>
    <w:rsid w:val="00A56923"/>
    <w:rsid w:val="00A62E42"/>
    <w:rsid w:val="00A64A71"/>
    <w:rsid w:val="00A66229"/>
    <w:rsid w:val="00A669BB"/>
    <w:rsid w:val="00A70BAD"/>
    <w:rsid w:val="00A722C6"/>
    <w:rsid w:val="00A7236C"/>
    <w:rsid w:val="00A72960"/>
    <w:rsid w:val="00A72C05"/>
    <w:rsid w:val="00A72D8F"/>
    <w:rsid w:val="00A73647"/>
    <w:rsid w:val="00A74645"/>
    <w:rsid w:val="00A74815"/>
    <w:rsid w:val="00A80AA5"/>
    <w:rsid w:val="00A8114E"/>
    <w:rsid w:val="00A817F8"/>
    <w:rsid w:val="00A8593F"/>
    <w:rsid w:val="00A879F9"/>
    <w:rsid w:val="00A919D8"/>
    <w:rsid w:val="00A926DF"/>
    <w:rsid w:val="00A92F1A"/>
    <w:rsid w:val="00A93401"/>
    <w:rsid w:val="00A950AC"/>
    <w:rsid w:val="00A969F9"/>
    <w:rsid w:val="00A97160"/>
    <w:rsid w:val="00AA2532"/>
    <w:rsid w:val="00AA5043"/>
    <w:rsid w:val="00AA6A0C"/>
    <w:rsid w:val="00AA74FE"/>
    <w:rsid w:val="00AB0B60"/>
    <w:rsid w:val="00AB2CE9"/>
    <w:rsid w:val="00AB4C45"/>
    <w:rsid w:val="00AB78D4"/>
    <w:rsid w:val="00AC3196"/>
    <w:rsid w:val="00AC4065"/>
    <w:rsid w:val="00AC655B"/>
    <w:rsid w:val="00AC75E2"/>
    <w:rsid w:val="00AC7EFC"/>
    <w:rsid w:val="00AD6EA1"/>
    <w:rsid w:val="00AE1D74"/>
    <w:rsid w:val="00AE2188"/>
    <w:rsid w:val="00AE2F90"/>
    <w:rsid w:val="00AE6C45"/>
    <w:rsid w:val="00AF3347"/>
    <w:rsid w:val="00AF7560"/>
    <w:rsid w:val="00AF7EE9"/>
    <w:rsid w:val="00AF7F9D"/>
    <w:rsid w:val="00B03DD6"/>
    <w:rsid w:val="00B046C1"/>
    <w:rsid w:val="00B06E5A"/>
    <w:rsid w:val="00B10913"/>
    <w:rsid w:val="00B11622"/>
    <w:rsid w:val="00B214C6"/>
    <w:rsid w:val="00B22788"/>
    <w:rsid w:val="00B23B06"/>
    <w:rsid w:val="00B25AFF"/>
    <w:rsid w:val="00B27670"/>
    <w:rsid w:val="00B30242"/>
    <w:rsid w:val="00B30FF0"/>
    <w:rsid w:val="00B32A3E"/>
    <w:rsid w:val="00B32B33"/>
    <w:rsid w:val="00B32B7C"/>
    <w:rsid w:val="00B34064"/>
    <w:rsid w:val="00B340F5"/>
    <w:rsid w:val="00B3583B"/>
    <w:rsid w:val="00B36F87"/>
    <w:rsid w:val="00B37090"/>
    <w:rsid w:val="00B37A8F"/>
    <w:rsid w:val="00B43BA5"/>
    <w:rsid w:val="00B446EF"/>
    <w:rsid w:val="00B44F3C"/>
    <w:rsid w:val="00B454B5"/>
    <w:rsid w:val="00B4650C"/>
    <w:rsid w:val="00B508CA"/>
    <w:rsid w:val="00B5100B"/>
    <w:rsid w:val="00B55B04"/>
    <w:rsid w:val="00B61BEE"/>
    <w:rsid w:val="00B62DB4"/>
    <w:rsid w:val="00B62E83"/>
    <w:rsid w:val="00B63061"/>
    <w:rsid w:val="00B65347"/>
    <w:rsid w:val="00B653B9"/>
    <w:rsid w:val="00B65600"/>
    <w:rsid w:val="00B65DE1"/>
    <w:rsid w:val="00B67357"/>
    <w:rsid w:val="00B7138D"/>
    <w:rsid w:val="00B71852"/>
    <w:rsid w:val="00B72AF0"/>
    <w:rsid w:val="00B737EB"/>
    <w:rsid w:val="00B775EE"/>
    <w:rsid w:val="00B77DD0"/>
    <w:rsid w:val="00B832A8"/>
    <w:rsid w:val="00B860A8"/>
    <w:rsid w:val="00B86BDB"/>
    <w:rsid w:val="00B87927"/>
    <w:rsid w:val="00B93B2B"/>
    <w:rsid w:val="00B97F6F"/>
    <w:rsid w:val="00BA23B5"/>
    <w:rsid w:val="00BA2533"/>
    <w:rsid w:val="00BA306E"/>
    <w:rsid w:val="00BA4485"/>
    <w:rsid w:val="00BA70AB"/>
    <w:rsid w:val="00BA7C8E"/>
    <w:rsid w:val="00BA7F35"/>
    <w:rsid w:val="00BB00F3"/>
    <w:rsid w:val="00BB27A3"/>
    <w:rsid w:val="00BB3B14"/>
    <w:rsid w:val="00BB5435"/>
    <w:rsid w:val="00BC3305"/>
    <w:rsid w:val="00BC6E69"/>
    <w:rsid w:val="00BD01C5"/>
    <w:rsid w:val="00BD0580"/>
    <w:rsid w:val="00BD067F"/>
    <w:rsid w:val="00BD1232"/>
    <w:rsid w:val="00BD19D5"/>
    <w:rsid w:val="00BD26AA"/>
    <w:rsid w:val="00BD2B12"/>
    <w:rsid w:val="00BD37F8"/>
    <w:rsid w:val="00BD454F"/>
    <w:rsid w:val="00BD4BBB"/>
    <w:rsid w:val="00BE5216"/>
    <w:rsid w:val="00BE61BA"/>
    <w:rsid w:val="00BE75FB"/>
    <w:rsid w:val="00BE7EA5"/>
    <w:rsid w:val="00BF03A5"/>
    <w:rsid w:val="00BF0B6A"/>
    <w:rsid w:val="00BF24F1"/>
    <w:rsid w:val="00BF3D0B"/>
    <w:rsid w:val="00BF53C3"/>
    <w:rsid w:val="00BF7851"/>
    <w:rsid w:val="00C005B4"/>
    <w:rsid w:val="00C01DCC"/>
    <w:rsid w:val="00C023A1"/>
    <w:rsid w:val="00C0319C"/>
    <w:rsid w:val="00C03FBB"/>
    <w:rsid w:val="00C07C50"/>
    <w:rsid w:val="00C16E86"/>
    <w:rsid w:val="00C202B3"/>
    <w:rsid w:val="00C20840"/>
    <w:rsid w:val="00C21EE0"/>
    <w:rsid w:val="00C30297"/>
    <w:rsid w:val="00C36063"/>
    <w:rsid w:val="00C37F41"/>
    <w:rsid w:val="00C4050C"/>
    <w:rsid w:val="00C40FA4"/>
    <w:rsid w:val="00C425FE"/>
    <w:rsid w:val="00C43619"/>
    <w:rsid w:val="00C4577A"/>
    <w:rsid w:val="00C4598F"/>
    <w:rsid w:val="00C47607"/>
    <w:rsid w:val="00C50B48"/>
    <w:rsid w:val="00C51F06"/>
    <w:rsid w:val="00C549F4"/>
    <w:rsid w:val="00C555AC"/>
    <w:rsid w:val="00C5603B"/>
    <w:rsid w:val="00C61091"/>
    <w:rsid w:val="00C611D2"/>
    <w:rsid w:val="00C62083"/>
    <w:rsid w:val="00C62428"/>
    <w:rsid w:val="00C64646"/>
    <w:rsid w:val="00C65233"/>
    <w:rsid w:val="00C656E7"/>
    <w:rsid w:val="00C65A2C"/>
    <w:rsid w:val="00C6628D"/>
    <w:rsid w:val="00C6672B"/>
    <w:rsid w:val="00C713ED"/>
    <w:rsid w:val="00C7208E"/>
    <w:rsid w:val="00C72318"/>
    <w:rsid w:val="00C724E6"/>
    <w:rsid w:val="00C747A5"/>
    <w:rsid w:val="00C75B4F"/>
    <w:rsid w:val="00C775EE"/>
    <w:rsid w:val="00C82193"/>
    <w:rsid w:val="00C82CDD"/>
    <w:rsid w:val="00C85314"/>
    <w:rsid w:val="00C855C5"/>
    <w:rsid w:val="00C925B5"/>
    <w:rsid w:val="00C964E0"/>
    <w:rsid w:val="00C9749A"/>
    <w:rsid w:val="00C97819"/>
    <w:rsid w:val="00C97998"/>
    <w:rsid w:val="00CA0116"/>
    <w:rsid w:val="00CA0871"/>
    <w:rsid w:val="00CA15A9"/>
    <w:rsid w:val="00CA4BC0"/>
    <w:rsid w:val="00CA5CA8"/>
    <w:rsid w:val="00CA6662"/>
    <w:rsid w:val="00CA69DF"/>
    <w:rsid w:val="00CA7A95"/>
    <w:rsid w:val="00CB0157"/>
    <w:rsid w:val="00CB078C"/>
    <w:rsid w:val="00CB28E9"/>
    <w:rsid w:val="00CB51F7"/>
    <w:rsid w:val="00CB5205"/>
    <w:rsid w:val="00CB53AE"/>
    <w:rsid w:val="00CB5E65"/>
    <w:rsid w:val="00CC034C"/>
    <w:rsid w:val="00CC1ACD"/>
    <w:rsid w:val="00CC2409"/>
    <w:rsid w:val="00CC3154"/>
    <w:rsid w:val="00CC38AC"/>
    <w:rsid w:val="00CC3AD8"/>
    <w:rsid w:val="00CC4A9C"/>
    <w:rsid w:val="00CC559D"/>
    <w:rsid w:val="00CD0C13"/>
    <w:rsid w:val="00CD1195"/>
    <w:rsid w:val="00CD34DD"/>
    <w:rsid w:val="00CD3AD8"/>
    <w:rsid w:val="00CD654B"/>
    <w:rsid w:val="00CD76E3"/>
    <w:rsid w:val="00CD7977"/>
    <w:rsid w:val="00CE223E"/>
    <w:rsid w:val="00CE49D7"/>
    <w:rsid w:val="00CE6AF7"/>
    <w:rsid w:val="00CF00E8"/>
    <w:rsid w:val="00CF134F"/>
    <w:rsid w:val="00CF260C"/>
    <w:rsid w:val="00CF3F0D"/>
    <w:rsid w:val="00CF6E33"/>
    <w:rsid w:val="00CF7315"/>
    <w:rsid w:val="00D020CC"/>
    <w:rsid w:val="00D06F87"/>
    <w:rsid w:val="00D07016"/>
    <w:rsid w:val="00D101F7"/>
    <w:rsid w:val="00D110E7"/>
    <w:rsid w:val="00D12C1B"/>
    <w:rsid w:val="00D145F5"/>
    <w:rsid w:val="00D1483B"/>
    <w:rsid w:val="00D170D2"/>
    <w:rsid w:val="00D20A82"/>
    <w:rsid w:val="00D21F4B"/>
    <w:rsid w:val="00D2347B"/>
    <w:rsid w:val="00D238EE"/>
    <w:rsid w:val="00D26650"/>
    <w:rsid w:val="00D31262"/>
    <w:rsid w:val="00D316A1"/>
    <w:rsid w:val="00D329F1"/>
    <w:rsid w:val="00D33629"/>
    <w:rsid w:val="00D355F0"/>
    <w:rsid w:val="00D364B8"/>
    <w:rsid w:val="00D43AC8"/>
    <w:rsid w:val="00D46BD5"/>
    <w:rsid w:val="00D47EFD"/>
    <w:rsid w:val="00D502B5"/>
    <w:rsid w:val="00D50879"/>
    <w:rsid w:val="00D50CA6"/>
    <w:rsid w:val="00D51610"/>
    <w:rsid w:val="00D52BD8"/>
    <w:rsid w:val="00D5302F"/>
    <w:rsid w:val="00D54963"/>
    <w:rsid w:val="00D56113"/>
    <w:rsid w:val="00D5723B"/>
    <w:rsid w:val="00D57A77"/>
    <w:rsid w:val="00D63FFE"/>
    <w:rsid w:val="00D643F4"/>
    <w:rsid w:val="00D650AF"/>
    <w:rsid w:val="00D7043B"/>
    <w:rsid w:val="00D70E95"/>
    <w:rsid w:val="00D73ADF"/>
    <w:rsid w:val="00D74A66"/>
    <w:rsid w:val="00D76C1D"/>
    <w:rsid w:val="00D833D9"/>
    <w:rsid w:val="00D83B1A"/>
    <w:rsid w:val="00D83BD9"/>
    <w:rsid w:val="00D86CC8"/>
    <w:rsid w:val="00D923C1"/>
    <w:rsid w:val="00D92F8F"/>
    <w:rsid w:val="00D94DCF"/>
    <w:rsid w:val="00D94EAE"/>
    <w:rsid w:val="00D95ABF"/>
    <w:rsid w:val="00D97B2A"/>
    <w:rsid w:val="00DA050A"/>
    <w:rsid w:val="00DA586F"/>
    <w:rsid w:val="00DA612D"/>
    <w:rsid w:val="00DA7CCB"/>
    <w:rsid w:val="00DB08DA"/>
    <w:rsid w:val="00DB2E7B"/>
    <w:rsid w:val="00DB3D7D"/>
    <w:rsid w:val="00DB5F6B"/>
    <w:rsid w:val="00DB7F09"/>
    <w:rsid w:val="00DC00E8"/>
    <w:rsid w:val="00DC0D9C"/>
    <w:rsid w:val="00DC1C56"/>
    <w:rsid w:val="00DC2094"/>
    <w:rsid w:val="00DC39FA"/>
    <w:rsid w:val="00DC3DB5"/>
    <w:rsid w:val="00DC4756"/>
    <w:rsid w:val="00DC6379"/>
    <w:rsid w:val="00DC66D1"/>
    <w:rsid w:val="00DC6AAD"/>
    <w:rsid w:val="00DC7D3B"/>
    <w:rsid w:val="00DC7FF7"/>
    <w:rsid w:val="00DD2C16"/>
    <w:rsid w:val="00DE0AC9"/>
    <w:rsid w:val="00DE2763"/>
    <w:rsid w:val="00DE3A53"/>
    <w:rsid w:val="00DE3C77"/>
    <w:rsid w:val="00DE447D"/>
    <w:rsid w:val="00DE5060"/>
    <w:rsid w:val="00DE70F1"/>
    <w:rsid w:val="00DE7B89"/>
    <w:rsid w:val="00DF15CA"/>
    <w:rsid w:val="00DF15DA"/>
    <w:rsid w:val="00DF3E94"/>
    <w:rsid w:val="00DF6F61"/>
    <w:rsid w:val="00E000AA"/>
    <w:rsid w:val="00E01102"/>
    <w:rsid w:val="00E01B82"/>
    <w:rsid w:val="00E025B3"/>
    <w:rsid w:val="00E059D6"/>
    <w:rsid w:val="00E05C63"/>
    <w:rsid w:val="00E100F9"/>
    <w:rsid w:val="00E101C6"/>
    <w:rsid w:val="00E1708D"/>
    <w:rsid w:val="00E17FC8"/>
    <w:rsid w:val="00E22D51"/>
    <w:rsid w:val="00E232F2"/>
    <w:rsid w:val="00E233C1"/>
    <w:rsid w:val="00E2380A"/>
    <w:rsid w:val="00E24EB5"/>
    <w:rsid w:val="00E25982"/>
    <w:rsid w:val="00E349A7"/>
    <w:rsid w:val="00E3625C"/>
    <w:rsid w:val="00E36661"/>
    <w:rsid w:val="00E37F96"/>
    <w:rsid w:val="00E40E0F"/>
    <w:rsid w:val="00E4144B"/>
    <w:rsid w:val="00E4316D"/>
    <w:rsid w:val="00E44967"/>
    <w:rsid w:val="00E454C1"/>
    <w:rsid w:val="00E46B75"/>
    <w:rsid w:val="00E50E7C"/>
    <w:rsid w:val="00E51545"/>
    <w:rsid w:val="00E51D9E"/>
    <w:rsid w:val="00E537D1"/>
    <w:rsid w:val="00E567E6"/>
    <w:rsid w:val="00E56971"/>
    <w:rsid w:val="00E61484"/>
    <w:rsid w:val="00E614DD"/>
    <w:rsid w:val="00E631D1"/>
    <w:rsid w:val="00E7017C"/>
    <w:rsid w:val="00E711D7"/>
    <w:rsid w:val="00E733E0"/>
    <w:rsid w:val="00E741EF"/>
    <w:rsid w:val="00E808A6"/>
    <w:rsid w:val="00E815E1"/>
    <w:rsid w:val="00E828BA"/>
    <w:rsid w:val="00E84054"/>
    <w:rsid w:val="00E849CB"/>
    <w:rsid w:val="00E85372"/>
    <w:rsid w:val="00E902B0"/>
    <w:rsid w:val="00E902E8"/>
    <w:rsid w:val="00E9296B"/>
    <w:rsid w:val="00E95949"/>
    <w:rsid w:val="00E95A09"/>
    <w:rsid w:val="00E97C19"/>
    <w:rsid w:val="00E97D25"/>
    <w:rsid w:val="00EA0164"/>
    <w:rsid w:val="00EA1884"/>
    <w:rsid w:val="00EA23AC"/>
    <w:rsid w:val="00EA398F"/>
    <w:rsid w:val="00EA46DA"/>
    <w:rsid w:val="00EA48D8"/>
    <w:rsid w:val="00EA5969"/>
    <w:rsid w:val="00EA7C3D"/>
    <w:rsid w:val="00EB00C4"/>
    <w:rsid w:val="00EB061C"/>
    <w:rsid w:val="00EB0F7A"/>
    <w:rsid w:val="00EB4B0B"/>
    <w:rsid w:val="00EB5EBA"/>
    <w:rsid w:val="00EB6878"/>
    <w:rsid w:val="00EB7400"/>
    <w:rsid w:val="00EC1DEA"/>
    <w:rsid w:val="00EC1E0E"/>
    <w:rsid w:val="00EC236D"/>
    <w:rsid w:val="00EC247E"/>
    <w:rsid w:val="00EC5EA8"/>
    <w:rsid w:val="00EC6B16"/>
    <w:rsid w:val="00ED1792"/>
    <w:rsid w:val="00ED1A75"/>
    <w:rsid w:val="00ED2665"/>
    <w:rsid w:val="00ED2BB7"/>
    <w:rsid w:val="00ED4340"/>
    <w:rsid w:val="00ED572F"/>
    <w:rsid w:val="00ED5A20"/>
    <w:rsid w:val="00ED5F89"/>
    <w:rsid w:val="00ED7744"/>
    <w:rsid w:val="00EE08F1"/>
    <w:rsid w:val="00EE1447"/>
    <w:rsid w:val="00EE1BF1"/>
    <w:rsid w:val="00EE3B1B"/>
    <w:rsid w:val="00EE4864"/>
    <w:rsid w:val="00EE6D65"/>
    <w:rsid w:val="00EE7744"/>
    <w:rsid w:val="00EF03E1"/>
    <w:rsid w:val="00EF0C88"/>
    <w:rsid w:val="00EF1295"/>
    <w:rsid w:val="00EF145E"/>
    <w:rsid w:val="00EF2BBB"/>
    <w:rsid w:val="00EF6DA7"/>
    <w:rsid w:val="00F00219"/>
    <w:rsid w:val="00F0082D"/>
    <w:rsid w:val="00F01120"/>
    <w:rsid w:val="00F015AB"/>
    <w:rsid w:val="00F02426"/>
    <w:rsid w:val="00F02F24"/>
    <w:rsid w:val="00F044D1"/>
    <w:rsid w:val="00F045E0"/>
    <w:rsid w:val="00F07B14"/>
    <w:rsid w:val="00F07B56"/>
    <w:rsid w:val="00F07C90"/>
    <w:rsid w:val="00F163E5"/>
    <w:rsid w:val="00F1766E"/>
    <w:rsid w:val="00F20F8A"/>
    <w:rsid w:val="00F21DCD"/>
    <w:rsid w:val="00F22AE5"/>
    <w:rsid w:val="00F23ED0"/>
    <w:rsid w:val="00F2402F"/>
    <w:rsid w:val="00F25B38"/>
    <w:rsid w:val="00F26703"/>
    <w:rsid w:val="00F26E01"/>
    <w:rsid w:val="00F304A4"/>
    <w:rsid w:val="00F3091C"/>
    <w:rsid w:val="00F33DB8"/>
    <w:rsid w:val="00F33EEB"/>
    <w:rsid w:val="00F3484C"/>
    <w:rsid w:val="00F362FA"/>
    <w:rsid w:val="00F37B47"/>
    <w:rsid w:val="00F41D21"/>
    <w:rsid w:val="00F44138"/>
    <w:rsid w:val="00F44204"/>
    <w:rsid w:val="00F44C71"/>
    <w:rsid w:val="00F51D7F"/>
    <w:rsid w:val="00F5365A"/>
    <w:rsid w:val="00F55362"/>
    <w:rsid w:val="00F57BED"/>
    <w:rsid w:val="00F60198"/>
    <w:rsid w:val="00F6341D"/>
    <w:rsid w:val="00F669CD"/>
    <w:rsid w:val="00F67968"/>
    <w:rsid w:val="00F67B56"/>
    <w:rsid w:val="00F72C09"/>
    <w:rsid w:val="00F737DB"/>
    <w:rsid w:val="00F73D94"/>
    <w:rsid w:val="00F7613A"/>
    <w:rsid w:val="00F814A8"/>
    <w:rsid w:val="00F82746"/>
    <w:rsid w:val="00F836F9"/>
    <w:rsid w:val="00F845D7"/>
    <w:rsid w:val="00F84E6E"/>
    <w:rsid w:val="00F90CA2"/>
    <w:rsid w:val="00F913A5"/>
    <w:rsid w:val="00F92279"/>
    <w:rsid w:val="00F959B4"/>
    <w:rsid w:val="00F97356"/>
    <w:rsid w:val="00FA2541"/>
    <w:rsid w:val="00FA2A57"/>
    <w:rsid w:val="00FA47DB"/>
    <w:rsid w:val="00FA4DE9"/>
    <w:rsid w:val="00FA551A"/>
    <w:rsid w:val="00FA6275"/>
    <w:rsid w:val="00FB2493"/>
    <w:rsid w:val="00FB25F9"/>
    <w:rsid w:val="00FB4D21"/>
    <w:rsid w:val="00FB657D"/>
    <w:rsid w:val="00FB762B"/>
    <w:rsid w:val="00FC0177"/>
    <w:rsid w:val="00FC0D65"/>
    <w:rsid w:val="00FC1A9B"/>
    <w:rsid w:val="00FC6ADA"/>
    <w:rsid w:val="00FC7202"/>
    <w:rsid w:val="00FD0B69"/>
    <w:rsid w:val="00FD109B"/>
    <w:rsid w:val="00FD1FA0"/>
    <w:rsid w:val="00FD2001"/>
    <w:rsid w:val="00FD4B77"/>
    <w:rsid w:val="00FE159E"/>
    <w:rsid w:val="00FE414B"/>
    <w:rsid w:val="00FE44EE"/>
    <w:rsid w:val="00FE6F84"/>
    <w:rsid w:val="00FF565D"/>
    <w:rsid w:val="00FF658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EA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9A7"/>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uiPriority w:val="9"/>
    <w:qFormat/>
    <w:rsid w:val="00CC034C"/>
    <w:pPr>
      <w:spacing w:before="600" w:line="460" w:lineRule="exact"/>
      <w:outlineLvl w:val="0"/>
    </w:pPr>
    <w:rPr>
      <w:b/>
      <w:bCs w:val="0"/>
      <w:color w:val="204060" w:themeColor="accent1"/>
      <w:sz w:val="44"/>
    </w:rPr>
  </w:style>
  <w:style w:type="paragraph" w:styleId="Heading2">
    <w:name w:val="heading 2"/>
    <w:basedOn w:val="HeadingBase"/>
    <w:next w:val="Normal"/>
    <w:link w:val="Heading2Char"/>
    <w:uiPriority w:val="9"/>
    <w:qFormat/>
    <w:rsid w:val="00ED5A20"/>
    <w:pPr>
      <w:spacing w:before="360" w:line="460" w:lineRule="exact"/>
      <w:outlineLvl w:val="1"/>
    </w:pPr>
    <w:rPr>
      <w:bCs w:val="0"/>
      <w:iCs/>
      <w:color w:val="2C384A"/>
      <w:sz w:val="36"/>
      <w:szCs w:val="28"/>
    </w:rPr>
  </w:style>
  <w:style w:type="paragraph" w:styleId="Heading3">
    <w:name w:val="heading 3"/>
    <w:basedOn w:val="HeadingBase"/>
    <w:next w:val="Normal"/>
    <w:link w:val="Heading3Char"/>
    <w:qFormat/>
    <w:rsid w:val="00ED5A20"/>
    <w:pPr>
      <w:spacing w:before="320" w:after="0" w:line="276" w:lineRule="auto"/>
      <w:outlineLvl w:val="2"/>
    </w:pPr>
    <w:rPr>
      <w:b/>
      <w:bCs w:val="0"/>
      <w:color w:val="5C7857" w:themeColor="accent2"/>
      <w:sz w:val="28"/>
      <w:szCs w:val="26"/>
    </w:rPr>
  </w:style>
  <w:style w:type="paragraph" w:styleId="Heading4">
    <w:name w:val="heading 4"/>
    <w:basedOn w:val="HeadingBase"/>
    <w:next w:val="Normal"/>
    <w:link w:val="Heading4Char"/>
    <w:qFormat/>
    <w:rsid w:val="00ED5A20"/>
    <w:pPr>
      <w:spacing w:before="280" w:after="0" w:line="276" w:lineRule="auto"/>
      <w:outlineLvl w:val="3"/>
    </w:pPr>
    <w:rPr>
      <w:rFonts w:ascii="Calibri Light" w:hAnsi="Calibri Light"/>
      <w:bCs w:val="0"/>
      <w:color w:val="5C7857" w:themeColor="accent2"/>
      <w:sz w:val="24"/>
      <w:szCs w:val="26"/>
    </w:rPr>
  </w:style>
  <w:style w:type="paragraph" w:styleId="Heading5">
    <w:name w:val="heading 5"/>
    <w:basedOn w:val="HeadingBase"/>
    <w:next w:val="Normal"/>
    <w:link w:val="Heading5Char"/>
    <w:rsid w:val="00E349A7"/>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E349A7"/>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34C"/>
    <w:rPr>
      <w:rFonts w:ascii="Calibri" w:eastAsia="Times New Roman" w:hAnsi="Calibri" w:cs="Arial"/>
      <w:b/>
      <w:color w:val="204060" w:themeColor="accent1"/>
      <w:kern w:val="32"/>
      <w:sz w:val="44"/>
      <w:szCs w:val="36"/>
      <w:lang w:eastAsia="en-AU"/>
    </w:rPr>
  </w:style>
  <w:style w:type="character" w:customStyle="1" w:styleId="Heading2Char">
    <w:name w:val="Heading 2 Char"/>
    <w:basedOn w:val="DefaultParagraphFont"/>
    <w:link w:val="Heading2"/>
    <w:uiPriority w:val="9"/>
    <w:rsid w:val="00ED5A20"/>
    <w:rPr>
      <w:rFonts w:ascii="Calibri" w:eastAsia="Times New Roman" w:hAnsi="Calibri" w:cs="Arial"/>
      <w:iCs/>
      <w:color w:val="2C384A"/>
      <w:kern w:val="32"/>
      <w:sz w:val="36"/>
      <w:szCs w:val="28"/>
      <w:lang w:eastAsia="en-AU"/>
    </w:rPr>
  </w:style>
  <w:style w:type="character" w:customStyle="1" w:styleId="Heading3Char">
    <w:name w:val="Heading 3 Char"/>
    <w:basedOn w:val="DefaultParagraphFont"/>
    <w:link w:val="Heading3"/>
    <w:rsid w:val="00ED5A20"/>
    <w:rPr>
      <w:rFonts w:ascii="Calibri" w:eastAsia="Times New Roman" w:hAnsi="Calibri" w:cs="Arial"/>
      <w:b/>
      <w:color w:val="5C7857" w:themeColor="accent2"/>
      <w:kern w:val="32"/>
      <w:sz w:val="28"/>
      <w:szCs w:val="26"/>
      <w:lang w:eastAsia="en-AU"/>
    </w:rPr>
  </w:style>
  <w:style w:type="character" w:customStyle="1" w:styleId="Heading4Char">
    <w:name w:val="Heading 4 Char"/>
    <w:basedOn w:val="DefaultParagraphFont"/>
    <w:link w:val="Heading4"/>
    <w:rsid w:val="00ED5A20"/>
    <w:rPr>
      <w:rFonts w:ascii="Calibri Light" w:eastAsia="Times New Roman" w:hAnsi="Calibri Light" w:cs="Arial"/>
      <w:color w:val="5C7857" w:themeColor="accent2"/>
      <w:kern w:val="32"/>
      <w:sz w:val="24"/>
      <w:szCs w:val="26"/>
      <w:lang w:eastAsia="en-AU"/>
    </w:rPr>
  </w:style>
  <w:style w:type="character" w:customStyle="1" w:styleId="Heading5Char">
    <w:name w:val="Heading 5 Char"/>
    <w:basedOn w:val="DefaultParagraphFont"/>
    <w:link w:val="Heading5"/>
    <w:rsid w:val="00E349A7"/>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E349A7"/>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8"/>
      </w:numPr>
      <w:spacing w:before="0"/>
    </w:pPr>
  </w:style>
  <w:style w:type="character" w:customStyle="1" w:styleId="DashChar">
    <w:name w:val="Dash Char"/>
    <w:basedOn w:val="DefaultParagraphFont"/>
    <w:link w:val="Dash"/>
    <w:locked/>
    <w:rsid w:val="00E349A7"/>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locked/>
    <w:rsid w:val="00E349A7"/>
    <w:rPr>
      <w:rFonts w:ascii="Calibri Light" w:eastAsia="Times New Roman" w:hAnsi="Calibri Light" w:cs="Times New Roman"/>
      <w:szCs w:val="20"/>
      <w:lang w:eastAsia="en-AU"/>
    </w:rPr>
  </w:style>
  <w:style w:type="character" w:customStyle="1" w:styleId="BulletChar">
    <w:name w:val="Bullet Char"/>
    <w:aliases w:val="Body Char,Bullet + line Char,Bullets Char,L Char,List Paragraph1 Char,List Paragraph11 Char,List Paragraph2 Char,Number Char,Recommendation Char,b + line Char,b + line Char Char,b Char,b Char Char,b1 Char,level 1 Char"/>
    <w:basedOn w:val="DefaultParagraphFont"/>
    <w:link w:val="Bullet"/>
    <w:qFormat/>
    <w:locked/>
    <w:rsid w:val="009774A4"/>
    <w:rPr>
      <w:rFonts w:ascii="Calibri Light" w:eastAsia="Times New Roman" w:hAnsi="Calibri Light" w:cs="Times New Roman"/>
      <w:szCs w:val="20"/>
      <w:lang w:eastAsia="en-AU"/>
    </w:rPr>
  </w:style>
  <w:style w:type="paragraph" w:customStyle="1" w:styleId="BoxHeading">
    <w:name w:val="Box Heading"/>
    <w:basedOn w:val="Normal"/>
    <w:next w:val="Normal"/>
    <w:qFormat/>
    <w:rsid w:val="005073DA"/>
    <w:pPr>
      <w:keepNext/>
    </w:pPr>
    <w:rPr>
      <w:b/>
      <w:color w:val="204060" w:themeColor="accent1"/>
      <w:sz w:val="26"/>
      <w:szCs w:val="26"/>
    </w:rPr>
  </w:style>
  <w:style w:type="paragraph" w:customStyle="1" w:styleId="BoxText">
    <w:name w:val="Box Text"/>
    <w:basedOn w:val="Normal"/>
    <w:link w:val="BoxTextChar"/>
    <w:qFormat/>
    <w:rsid w:val="005073DA"/>
  </w:style>
  <w:style w:type="paragraph" w:customStyle="1" w:styleId="Bullet">
    <w:name w:val="Bullet"/>
    <w:aliases w:val="Body,Bullet + line,b,b + line,b1,level 1,bulleted,BodyNum,Bullet Char1,Bullet Char1 Char Char Char,Bullet Char1 Char Char Char Char,Bullet Char1 Char Char Char Char Char,b1 Char Char Char"/>
    <w:basedOn w:val="Normal"/>
    <w:link w:val="BulletChar"/>
    <w:qFormat/>
    <w:rsid w:val="009774A4"/>
    <w:pPr>
      <w:numPr>
        <w:numId w:val="10"/>
      </w:numPr>
      <w:tabs>
        <w:tab w:val="clear" w:pos="520"/>
        <w:tab w:val="left" w:pos="720"/>
      </w:tabs>
      <w:spacing w:before="0"/>
      <w:ind w:left="284" w:hanging="284"/>
    </w:pPr>
  </w:style>
  <w:style w:type="paragraph" w:customStyle="1" w:styleId="ChartandTableFootnoteAlpha">
    <w:name w:val="Chart and Table Footnote Alpha"/>
    <w:rsid w:val="0023305C"/>
    <w:pPr>
      <w:numPr>
        <w:numId w:val="6"/>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qFormat/>
    <w:rsid w:val="00E97C19"/>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9D2CFF"/>
    <w:pPr>
      <w:jc w:val="center"/>
    </w:pPr>
    <w:rPr>
      <w:b w:val="0"/>
      <w:bCs/>
    </w:rPr>
  </w:style>
  <w:style w:type="paragraph" w:customStyle="1" w:styleId="ReportDate">
    <w:name w:val="Report Date"/>
    <w:basedOn w:val="Normal"/>
    <w:link w:val="ReportDateChar"/>
    <w:rsid w:val="005C2A13"/>
    <w:pPr>
      <w:keepNext/>
      <w:spacing w:before="0" w:after="360"/>
    </w:pPr>
    <w:rPr>
      <w:color w:val="204060" w:themeColor="accent1"/>
      <w:sz w:val="32"/>
    </w:rPr>
  </w:style>
  <w:style w:type="paragraph" w:customStyle="1" w:styleId="Dash">
    <w:name w:val="Dash"/>
    <w:basedOn w:val="Normal"/>
    <w:link w:val="DashChar"/>
    <w:qFormat/>
    <w:rsid w:val="000E0B74"/>
    <w:pPr>
      <w:numPr>
        <w:ilvl w:val="1"/>
        <w:numId w:val="1"/>
      </w:numPr>
      <w:spacing w:before="0"/>
      <w:ind w:left="568"/>
    </w:pPr>
  </w:style>
  <w:style w:type="paragraph" w:customStyle="1" w:styleId="DoubleDot">
    <w:name w:val="Double Dot"/>
    <w:basedOn w:val="Normal"/>
    <w:link w:val="DoubleDotChar"/>
    <w:qFormat/>
    <w:rsid w:val="000E0B74"/>
    <w:pPr>
      <w:numPr>
        <w:ilvl w:val="2"/>
        <w:numId w:val="1"/>
      </w:numPr>
      <w:spacing w:before="0"/>
      <w:ind w:left="851" w:hanging="284"/>
    </w:pPr>
  </w:style>
  <w:style w:type="paragraph" w:customStyle="1" w:styleId="TableMainHeading">
    <w:name w:val="Table Main Heading"/>
    <w:basedOn w:val="Heading3"/>
    <w:next w:val="Normal"/>
    <w:qFormat/>
    <w:rsid w:val="00E97C19"/>
    <w:pPr>
      <w:spacing w:before="120"/>
    </w:pPr>
    <w:rPr>
      <w:b w:val="0"/>
      <w:sz w:val="26"/>
    </w:rPr>
  </w:style>
  <w:style w:type="paragraph" w:customStyle="1" w:styleId="FooterEven">
    <w:name w:val="Footer Even"/>
    <w:basedOn w:val="Footer"/>
    <w:rsid w:val="00103F3C"/>
    <w:pPr>
      <w:keepNext/>
      <w:tabs>
        <w:tab w:val="clear" w:pos="4513"/>
        <w:tab w:val="clear" w:pos="9026"/>
        <w:tab w:val="right" w:pos="9072"/>
      </w:tabs>
      <w:jc w:val="left"/>
    </w:pPr>
    <w:rPr>
      <w:noProof/>
      <w:color w:val="204060" w:themeColor="accent1"/>
    </w:rPr>
  </w:style>
  <w:style w:type="paragraph" w:customStyle="1" w:styleId="FooterOdd">
    <w:name w:val="Footer Odd"/>
    <w:basedOn w:val="Footer"/>
    <w:rsid w:val="00103F3C"/>
    <w:pPr>
      <w:keepNext/>
      <w:tabs>
        <w:tab w:val="clear" w:pos="4513"/>
        <w:tab w:val="clear" w:pos="9026"/>
        <w:tab w:val="right" w:pos="9072"/>
      </w:tabs>
      <w:jc w:val="right"/>
    </w:pPr>
    <w:rPr>
      <w:color w:val="204060" w:themeColor="accent1"/>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5"/>
      </w:numPr>
      <w:spacing w:before="0"/>
    </w:pPr>
  </w:style>
  <w:style w:type="paragraph" w:customStyle="1" w:styleId="OutlineNumbered2">
    <w:name w:val="Outline Numbered 2"/>
    <w:basedOn w:val="Normal"/>
    <w:rsid w:val="000E0B74"/>
    <w:pPr>
      <w:numPr>
        <w:ilvl w:val="1"/>
        <w:numId w:val="5"/>
      </w:numPr>
      <w:spacing w:before="0"/>
    </w:pPr>
  </w:style>
  <w:style w:type="paragraph" w:customStyle="1" w:styleId="OutlineNumbered3">
    <w:name w:val="Outline Numbered 3"/>
    <w:basedOn w:val="Normal"/>
    <w:rsid w:val="000E0B74"/>
    <w:pPr>
      <w:numPr>
        <w:ilvl w:val="2"/>
        <w:numId w:val="5"/>
      </w:numPr>
      <w:tabs>
        <w:tab w:val="clear" w:pos="1844"/>
        <w:tab w:val="num" w:pos="1418"/>
      </w:tabs>
      <w:spacing w:before="0"/>
      <w:ind w:left="1418"/>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A7236C"/>
    <w:pPr>
      <w:jc w:val="center"/>
    </w:pPr>
    <w:rPr>
      <w:b/>
      <w:color w:val="204060" w:themeColor="accent1"/>
      <w:sz w:val="20"/>
    </w:rPr>
  </w:style>
  <w:style w:type="paragraph" w:customStyle="1" w:styleId="TableColumnHeadingLeft">
    <w:name w:val="Table Column Heading Left"/>
    <w:basedOn w:val="TableTextLeft"/>
    <w:rsid w:val="00A7236C"/>
    <w:rPr>
      <w:b/>
      <w:color w:val="204060" w:themeColor="accent1"/>
      <w:sz w:val="20"/>
    </w:rPr>
  </w:style>
  <w:style w:type="paragraph" w:customStyle="1" w:styleId="TableColumnHeadingRight">
    <w:name w:val="Table Column Heading Right"/>
    <w:basedOn w:val="TableTextLeft"/>
    <w:rsid w:val="00A7236C"/>
    <w:pPr>
      <w:jc w:val="right"/>
    </w:pPr>
    <w:rPr>
      <w:b/>
      <w:color w:val="204060" w:themeColor="accent1"/>
      <w:sz w:val="20"/>
    </w:rPr>
  </w:style>
  <w:style w:type="table" w:styleId="TableGrid">
    <w:name w:val="Table Grid"/>
    <w:basedOn w:val="TableNormal"/>
    <w:uiPriority w:val="39"/>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04060" w:themeColor="accent1"/>
        <w:sz w:val="20"/>
      </w:rPr>
      <w:tblPr/>
      <w:tcPr>
        <w:shd w:val="clear" w:color="auto" w:fill="EEEEEE" w:themeFill="background2"/>
      </w:tcPr>
    </w:tblStyle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rsid w:val="00A7236C"/>
    <w:pPr>
      <w:keepNext/>
      <w:tabs>
        <w:tab w:val="right" w:leader="dot" w:pos="9072"/>
      </w:tabs>
      <w:spacing w:before="180" w:after="0"/>
      <w:ind w:right="-2"/>
    </w:pPr>
    <w:rPr>
      <w:b/>
      <w:noProof/>
      <w:color w:val="204060" w:themeColor="accent1"/>
      <w:szCs w:val="22"/>
    </w:rPr>
  </w:style>
  <w:style w:type="paragraph" w:styleId="TOC2">
    <w:name w:val="toc 2"/>
    <w:basedOn w:val="Normal"/>
    <w:next w:val="Normal"/>
    <w:uiPriority w:val="39"/>
    <w:rsid w:val="00A7236C"/>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9"/>
      </w:numPr>
    </w:pPr>
  </w:style>
  <w:style w:type="paragraph" w:customStyle="1" w:styleId="Heading1Numbered">
    <w:name w:val="Heading 1 Numbered"/>
    <w:basedOn w:val="Heading1"/>
    <w:next w:val="Normal"/>
    <w:rsid w:val="00EE1BF1"/>
    <w:pPr>
      <w:numPr>
        <w:numId w:val="7"/>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7"/>
      </w:numPr>
      <w:ind w:left="284" w:hanging="284"/>
    </w:pPr>
  </w:style>
  <w:style w:type="paragraph" w:customStyle="1" w:styleId="Heading3Numbered">
    <w:name w:val="Heading 3 Numbered"/>
    <w:basedOn w:val="Heading3"/>
    <w:rsid w:val="00EE1BF1"/>
    <w:pPr>
      <w:numPr>
        <w:ilvl w:val="2"/>
        <w:numId w:val="7"/>
      </w:numPr>
      <w:ind w:left="284" w:hanging="284"/>
    </w:pPr>
  </w:style>
  <w:style w:type="paragraph" w:styleId="Title">
    <w:name w:val="Title"/>
    <w:basedOn w:val="Normal"/>
    <w:next w:val="Normal"/>
    <w:link w:val="TitleChar"/>
    <w:uiPriority w:val="10"/>
    <w:qFormat/>
    <w:rsid w:val="005C2A13"/>
    <w:pPr>
      <w:tabs>
        <w:tab w:val="left" w:pos="6379"/>
      </w:tabs>
      <w:spacing w:before="0" w:line="720" w:lineRule="exact"/>
      <w:ind w:right="1982"/>
      <w:contextualSpacing/>
    </w:pPr>
    <w:rPr>
      <w:rFonts w:asciiTheme="majorHAnsi" w:eastAsiaTheme="majorEastAsia" w:hAnsiTheme="majorHAnsi" w:cstheme="majorHAnsi"/>
      <w:b/>
      <w:color w:val="204060" w:themeColor="accent1"/>
      <w:spacing w:val="5"/>
      <w:kern w:val="28"/>
      <w:sz w:val="72"/>
      <w:szCs w:val="52"/>
    </w:rPr>
  </w:style>
  <w:style w:type="character" w:customStyle="1" w:styleId="TitleChar">
    <w:name w:val="Title Char"/>
    <w:basedOn w:val="DefaultParagraphFont"/>
    <w:link w:val="Title"/>
    <w:uiPriority w:val="10"/>
    <w:rsid w:val="005C2A13"/>
    <w:rPr>
      <w:rFonts w:asciiTheme="majorHAnsi" w:eastAsiaTheme="majorEastAsia" w:hAnsiTheme="majorHAnsi" w:cstheme="majorHAnsi"/>
      <w:b/>
      <w:color w:val="204060" w:themeColor="accent1"/>
      <w:spacing w:val="5"/>
      <w:kern w:val="28"/>
      <w:sz w:val="72"/>
      <w:szCs w:val="52"/>
      <w:lang w:eastAsia="en-AU"/>
    </w:rPr>
  </w:style>
  <w:style w:type="paragraph" w:styleId="Subtitle">
    <w:name w:val="Subtitle"/>
    <w:basedOn w:val="Normal"/>
    <w:next w:val="Normal"/>
    <w:link w:val="SubtitleChar"/>
    <w:uiPriority w:val="11"/>
    <w:rsid w:val="005C2A13"/>
    <w:pPr>
      <w:numPr>
        <w:ilvl w:val="1"/>
      </w:numPr>
    </w:pPr>
    <w:rPr>
      <w:rFonts w:eastAsiaTheme="majorEastAsia" w:cstheme="majorBidi"/>
      <w:iCs/>
      <w:color w:val="5D779D" w:themeColor="accent3"/>
      <w:sz w:val="44"/>
      <w:szCs w:val="44"/>
    </w:rPr>
  </w:style>
  <w:style w:type="character" w:customStyle="1" w:styleId="SubtitleChar">
    <w:name w:val="Subtitle Char"/>
    <w:basedOn w:val="DefaultParagraphFont"/>
    <w:link w:val="Subtitle"/>
    <w:uiPriority w:val="11"/>
    <w:rsid w:val="005C2A13"/>
    <w:rPr>
      <w:rFonts w:ascii="Calibri Light" w:eastAsiaTheme="majorEastAsia" w:hAnsi="Calibri Light" w:cstheme="majorBidi"/>
      <w:iCs/>
      <w:color w:val="5D779D" w:themeColor="accent3"/>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iPriority w:val="99"/>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uiPriority w:val="99"/>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6923DF"/>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5C2A13"/>
    <w:rPr>
      <w:rFonts w:ascii="Calibri Light" w:eastAsia="Times New Roman" w:hAnsi="Calibri Light" w:cs="Times New Roman"/>
      <w:color w:val="204060" w:themeColor="accent1"/>
      <w:sz w:val="32"/>
      <w:szCs w:val="20"/>
      <w:lang w:eastAsia="en-AU"/>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styleId="ListParagraph">
    <w:name w:val="List Paragraph"/>
    <w:basedOn w:val="Normal"/>
    <w:uiPriority w:val="1"/>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5073DA"/>
    <w:rPr>
      <w:rFonts w:ascii="Calibri Light" w:eastAsia="Times New Roman" w:hAnsi="Calibri Light" w:cs="Times New Roman"/>
      <w:szCs w:val="20"/>
      <w:lang w:eastAsia="en-AU"/>
    </w:rPr>
  </w:style>
  <w:style w:type="paragraph" w:customStyle="1" w:styleId="Boxbullet">
    <w:name w:val="Box bullet"/>
    <w:basedOn w:val="Bullet"/>
    <w:qFormat/>
    <w:rsid w:val="00E349A7"/>
    <w:pPr>
      <w:tabs>
        <w:tab w:val="num" w:pos="284"/>
        <w:tab w:val="num" w:pos="520"/>
      </w:tabs>
      <w:spacing w:before="60"/>
      <w:ind w:left="170" w:hanging="170"/>
    </w:pPr>
    <w:rPr>
      <w:color w:val="0D0D0D" w:themeColor="text1" w:themeTint="F2"/>
    </w:rPr>
  </w:style>
  <w:style w:type="paragraph" w:customStyle="1" w:styleId="Boxdash">
    <w:name w:val="Box dash"/>
    <w:basedOn w:val="Dash"/>
    <w:rsid w:val="00E349A7"/>
    <w:pPr>
      <w:tabs>
        <w:tab w:val="clear" w:pos="567"/>
        <w:tab w:val="num" w:pos="1040"/>
      </w:tabs>
      <w:spacing w:before="60" w:after="0" w:line="276" w:lineRule="auto"/>
      <w:ind w:left="454" w:hanging="170"/>
    </w:pPr>
    <w:rPr>
      <w:rFonts w:eastAsiaTheme="minorHAnsi"/>
      <w:color w:val="0D0D0D" w:themeColor="text1" w:themeTint="F2"/>
      <w:lang w:eastAsia="en-US"/>
    </w:rPr>
  </w:style>
  <w:style w:type="paragraph" w:customStyle="1" w:styleId="Boxdoubledot">
    <w:name w:val="Box double dot"/>
    <w:basedOn w:val="DoubleDot"/>
    <w:rsid w:val="00E349A7"/>
    <w:pPr>
      <w:tabs>
        <w:tab w:val="clear" w:pos="850"/>
        <w:tab w:val="left" w:pos="567"/>
        <w:tab w:val="num" w:pos="1560"/>
      </w:tabs>
      <w:spacing w:before="60" w:after="0" w:line="276" w:lineRule="auto"/>
      <w:ind w:left="567" w:hanging="142"/>
    </w:pPr>
    <w:rPr>
      <w:rFonts w:eastAsiaTheme="minorHAnsi"/>
      <w:color w:val="0D0D0D" w:themeColor="text1" w:themeTint="F2"/>
      <w:lang w:eastAsia="en-US"/>
    </w:rPr>
  </w:style>
  <w:style w:type="paragraph" w:customStyle="1" w:styleId="Instructions">
    <w:name w:val="Instructions"/>
    <w:basedOn w:val="Normal"/>
    <w:uiPriority w:val="1"/>
    <w:qFormat/>
    <w:rsid w:val="00BE7EA5"/>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F5365A"/>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F5365A"/>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F5365A"/>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F5365A"/>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F5365A"/>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F5365A"/>
    <w:rPr>
      <w:rFonts w:ascii="Calibri" w:eastAsia="Times New Roman" w:hAnsi="Calibri" w:cs="Calibri"/>
      <w:b/>
      <w:color w:val="FF0000"/>
      <w:sz w:val="24"/>
      <w:szCs w:val="20"/>
      <w:lang w:eastAsia="en-AU"/>
    </w:rPr>
  </w:style>
  <w:style w:type="character" w:styleId="FollowedHyperlink">
    <w:name w:val="FollowedHyperlink"/>
    <w:basedOn w:val="DefaultParagraphFont"/>
    <w:uiPriority w:val="99"/>
    <w:semiHidden/>
    <w:unhideWhenUsed/>
    <w:rsid w:val="00720821"/>
    <w:rPr>
      <w:color w:val="844D9E" w:themeColor="followedHyperlink"/>
      <w:u w:val="single"/>
    </w:rPr>
  </w:style>
  <w:style w:type="table" w:styleId="TableGridLight">
    <w:name w:val="Grid Table Light"/>
    <w:basedOn w:val="TableNormal"/>
    <w:uiPriority w:val="40"/>
    <w:rsid w:val="005073D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1213E9"/>
    <w:pPr>
      <w:widowControl w:val="0"/>
      <w:autoSpaceDE w:val="0"/>
      <w:autoSpaceDN w:val="0"/>
      <w:spacing w:before="0" w:after="0"/>
    </w:pPr>
    <w:rPr>
      <w:rFonts w:ascii="Open Sans Light" w:eastAsia="Open Sans Light" w:hAnsi="Open Sans Light" w:cs="Open Sans Light"/>
      <w:sz w:val="18"/>
      <w:szCs w:val="18"/>
      <w:lang w:val="en-US" w:eastAsia="en-US"/>
    </w:rPr>
  </w:style>
  <w:style w:type="character" w:customStyle="1" w:styleId="BodyTextChar">
    <w:name w:val="Body Text Char"/>
    <w:basedOn w:val="DefaultParagraphFont"/>
    <w:link w:val="BodyText"/>
    <w:uiPriority w:val="1"/>
    <w:rsid w:val="001213E9"/>
    <w:rPr>
      <w:rFonts w:ascii="Open Sans Light" w:eastAsia="Open Sans Light" w:hAnsi="Open Sans Light" w:cs="Open Sans Light"/>
      <w:sz w:val="18"/>
      <w:szCs w:val="18"/>
      <w:lang w:val="en-US"/>
    </w:rPr>
  </w:style>
  <w:style w:type="paragraph" w:customStyle="1" w:styleId="TableParagraph">
    <w:name w:val="Table Paragraph"/>
    <w:basedOn w:val="Normal"/>
    <w:uiPriority w:val="1"/>
    <w:qFormat/>
    <w:rsid w:val="005D20BE"/>
    <w:pPr>
      <w:widowControl w:val="0"/>
      <w:autoSpaceDE w:val="0"/>
      <w:autoSpaceDN w:val="0"/>
      <w:spacing w:before="0" w:after="0"/>
    </w:pPr>
    <w:rPr>
      <w:rFonts w:ascii="Open Sans Light" w:eastAsia="Open Sans Light" w:hAnsi="Open Sans Light" w:cs="Open Sans Light"/>
      <w:szCs w:val="22"/>
      <w:lang w:val="en-US" w:eastAsia="en-US"/>
    </w:rPr>
  </w:style>
  <w:style w:type="paragraph" w:styleId="CommentSubject">
    <w:name w:val="annotation subject"/>
    <w:basedOn w:val="CommentText"/>
    <w:next w:val="CommentText"/>
    <w:link w:val="CommentSubjectChar"/>
    <w:uiPriority w:val="99"/>
    <w:semiHidden/>
    <w:unhideWhenUsed/>
    <w:rsid w:val="008669E7"/>
    <w:rPr>
      <w:rFonts w:ascii="Calibri Light" w:hAnsi="Calibri Light"/>
      <w:b/>
      <w:bCs/>
    </w:rPr>
  </w:style>
  <w:style w:type="character" w:customStyle="1" w:styleId="CommentSubjectChar">
    <w:name w:val="Comment Subject Char"/>
    <w:basedOn w:val="CommentTextChar"/>
    <w:link w:val="CommentSubject"/>
    <w:uiPriority w:val="99"/>
    <w:semiHidden/>
    <w:rsid w:val="008669E7"/>
    <w:rPr>
      <w:rFonts w:ascii="Calibri Light" w:eastAsia="Times New Roman" w:hAnsi="Calibri Light" w:cs="Times New Roman"/>
      <w:b/>
      <w:bCs/>
      <w:sz w:val="20"/>
      <w:szCs w:val="20"/>
      <w:lang w:eastAsia="en-AU"/>
    </w:rPr>
  </w:style>
  <w:style w:type="character" w:styleId="Strong">
    <w:name w:val="Strong"/>
    <w:basedOn w:val="DefaultParagraphFont"/>
    <w:qFormat/>
    <w:rsid w:val="008A7B5D"/>
    <w:rPr>
      <w:b/>
      <w:bCs/>
    </w:rPr>
  </w:style>
  <w:style w:type="paragraph" w:customStyle="1" w:styleId="Note">
    <w:name w:val="Note"/>
    <w:basedOn w:val="Normal"/>
    <w:link w:val="NoteChar"/>
    <w:qFormat/>
    <w:rsid w:val="009D6DE6"/>
    <w:rPr>
      <w:sz w:val="16"/>
      <w:szCs w:val="14"/>
    </w:rPr>
  </w:style>
  <w:style w:type="paragraph" w:customStyle="1" w:styleId="italicquote">
    <w:name w:val="italic quote"/>
    <w:basedOn w:val="Normal"/>
    <w:link w:val="italicquoteChar"/>
    <w:qFormat/>
    <w:rsid w:val="00E95949"/>
    <w:pPr>
      <w:ind w:left="567" w:right="521"/>
    </w:pPr>
    <w:rPr>
      <w:i/>
      <w:iCs/>
    </w:rPr>
  </w:style>
  <w:style w:type="character" w:customStyle="1" w:styleId="NoteChar">
    <w:name w:val="Note Char"/>
    <w:basedOn w:val="DefaultParagraphFont"/>
    <w:link w:val="Note"/>
    <w:rsid w:val="009D6DE6"/>
    <w:rPr>
      <w:rFonts w:ascii="Calibri Light" w:eastAsia="Times New Roman" w:hAnsi="Calibri Light" w:cs="Times New Roman"/>
      <w:sz w:val="16"/>
      <w:szCs w:val="14"/>
      <w:lang w:eastAsia="en-AU"/>
    </w:rPr>
  </w:style>
  <w:style w:type="character" w:styleId="UnresolvedMention">
    <w:name w:val="Unresolved Mention"/>
    <w:basedOn w:val="DefaultParagraphFont"/>
    <w:uiPriority w:val="99"/>
    <w:unhideWhenUsed/>
    <w:rsid w:val="00A07A5A"/>
    <w:rPr>
      <w:color w:val="605E5C"/>
      <w:shd w:val="clear" w:color="auto" w:fill="E1DFDD"/>
    </w:rPr>
  </w:style>
  <w:style w:type="character" w:customStyle="1" w:styleId="italicquoteChar">
    <w:name w:val="italic quote Char"/>
    <w:basedOn w:val="DefaultParagraphFont"/>
    <w:link w:val="italicquote"/>
    <w:rsid w:val="00E95949"/>
    <w:rPr>
      <w:rFonts w:ascii="Calibri Light" w:eastAsia="Times New Roman" w:hAnsi="Calibri Light" w:cs="Times New Roman"/>
      <w:i/>
      <w:iCs/>
      <w:szCs w:val="20"/>
      <w:lang w:eastAsia="en-AU"/>
    </w:rPr>
  </w:style>
  <w:style w:type="character" w:customStyle="1" w:styleId="contributor">
    <w:name w:val="contributor"/>
    <w:basedOn w:val="DefaultParagraphFont"/>
    <w:rsid w:val="00A07A5A"/>
  </w:style>
  <w:style w:type="character" w:customStyle="1" w:styleId="displayname">
    <w:name w:val="displayname"/>
    <w:basedOn w:val="DefaultParagraphFont"/>
    <w:rsid w:val="00A07A5A"/>
  </w:style>
  <w:style w:type="character" w:customStyle="1" w:styleId="comma">
    <w:name w:val="comma"/>
    <w:basedOn w:val="DefaultParagraphFont"/>
    <w:rsid w:val="00A07A5A"/>
  </w:style>
  <w:style w:type="character" w:customStyle="1" w:styleId="normaltextrun">
    <w:name w:val="normaltextrun"/>
    <w:basedOn w:val="DefaultParagraphFont"/>
    <w:rsid w:val="00A07A5A"/>
  </w:style>
  <w:style w:type="paragraph" w:customStyle="1" w:styleId="paragraph">
    <w:name w:val="paragraph"/>
    <w:basedOn w:val="Normal"/>
    <w:rsid w:val="00A07A5A"/>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A07A5A"/>
  </w:style>
  <w:style w:type="paragraph" w:styleId="Revision">
    <w:name w:val="Revision"/>
    <w:hidden/>
    <w:uiPriority w:val="99"/>
    <w:semiHidden/>
    <w:rsid w:val="00A07A5A"/>
    <w:pPr>
      <w:spacing w:after="0" w:line="240" w:lineRule="auto"/>
    </w:pPr>
  </w:style>
  <w:style w:type="character" w:styleId="Mention">
    <w:name w:val="Mention"/>
    <w:basedOn w:val="DefaultParagraphFont"/>
    <w:uiPriority w:val="99"/>
    <w:unhideWhenUsed/>
    <w:rsid w:val="00A07A5A"/>
    <w:rPr>
      <w:color w:val="2B579A"/>
      <w:shd w:val="clear" w:color="auto" w:fill="E1DFDD"/>
    </w:rPr>
  </w:style>
  <w:style w:type="character" w:styleId="Emphasis">
    <w:name w:val="Emphasis"/>
    <w:basedOn w:val="DefaultParagraphFont"/>
    <w:uiPriority w:val="20"/>
    <w:qFormat/>
    <w:rsid w:val="00A07A5A"/>
    <w:rPr>
      <w:i/>
      <w:iCs/>
    </w:rPr>
  </w:style>
  <w:style w:type="character" w:customStyle="1" w:styleId="ui-provider">
    <w:name w:val="ui-provider"/>
    <w:basedOn w:val="DefaultParagraphFont"/>
    <w:rsid w:val="00A07A5A"/>
  </w:style>
  <w:style w:type="paragraph" w:styleId="TOC4">
    <w:name w:val="toc 4"/>
    <w:basedOn w:val="Normal"/>
    <w:next w:val="Normal"/>
    <w:autoRedefine/>
    <w:uiPriority w:val="39"/>
    <w:unhideWhenUsed/>
    <w:rsid w:val="00052180"/>
    <w:pPr>
      <w:spacing w:before="0"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52180"/>
    <w:pPr>
      <w:spacing w:before="0"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52180"/>
    <w:pPr>
      <w:spacing w:before="0"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52180"/>
    <w:pPr>
      <w:spacing w:before="0"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52180"/>
    <w:pPr>
      <w:spacing w:before="0"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52180"/>
    <w:pPr>
      <w:spacing w:before="0" w:after="100" w:line="259" w:lineRule="auto"/>
      <w:ind w:left="1760"/>
    </w:pPr>
    <w:rPr>
      <w:rFonts w:asciiTheme="minorHAnsi" w:eastAsiaTheme="minorEastAsia" w:hAnsiTheme="minorHAnsi" w:cstheme="minorBidi"/>
      <w:szCs w:val="22"/>
    </w:rPr>
  </w:style>
  <w:style w:type="paragraph" w:customStyle="1" w:styleId="Default">
    <w:name w:val="Default"/>
    <w:rsid w:val="007E5C74"/>
    <w:pPr>
      <w:autoSpaceDE w:val="0"/>
      <w:autoSpaceDN w:val="0"/>
      <w:adjustRightInd w:val="0"/>
      <w:spacing w:after="0" w:line="240" w:lineRule="auto"/>
    </w:pPr>
    <w:rPr>
      <w:rFonts w:ascii="Open Sans Light" w:hAnsi="Open Sans Light" w:cs="Open Sans Light"/>
      <w:color w:val="000000"/>
      <w:sz w:val="24"/>
      <w:szCs w:val="24"/>
    </w:rPr>
  </w:style>
  <w:style w:type="paragraph" w:customStyle="1" w:styleId="Pa3">
    <w:name w:val="Pa3"/>
    <w:basedOn w:val="Default"/>
    <w:next w:val="Default"/>
    <w:uiPriority w:val="99"/>
    <w:rsid w:val="007E5C74"/>
    <w:pPr>
      <w:spacing w:line="181" w:lineRule="atLeast"/>
    </w:pPr>
    <w:rPr>
      <w:rFonts w:cs="Times New Roman"/>
      <w:color w:val="auto"/>
    </w:rPr>
  </w:style>
  <w:style w:type="paragraph" w:styleId="NoSpacing">
    <w:name w:val="No Spacing"/>
    <w:uiPriority w:val="1"/>
    <w:rsid w:val="00523E3C"/>
    <w:pPr>
      <w:spacing w:after="0" w:line="240" w:lineRule="auto"/>
    </w:pPr>
    <w:rPr>
      <w:rFonts w:ascii="Calibri Light" w:eastAsia="Times New Roman" w:hAnsi="Calibri Light"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inance.gov.au/sites/default/files/2019-10/Model-charter-for-audit-committees.pdf" TargetMode="External"/><Relationship Id="rId21" Type="http://schemas.openxmlformats.org/officeDocument/2006/relationships/footer" Target="footer3.xml"/><Relationship Id="rId42" Type="http://schemas.openxmlformats.org/officeDocument/2006/relationships/image" Target="media/image25.png"/><Relationship Id="rId63" Type="http://schemas.openxmlformats.org/officeDocument/2006/relationships/hyperlink" Target="https://parlinfo.aph.gov.au/parlInfo/search/display/display.w3p;query=Id%3A%22committees%2Fcommrep%2Feea5d0b8-72e9-4b5e-acf8-52ed46888ced%2F0000%22" TargetMode="External"/><Relationship Id="rId84" Type="http://schemas.openxmlformats.org/officeDocument/2006/relationships/hyperlink" Target="https://www.mercatus.org/media/70431/download" TargetMode="External"/><Relationship Id="rId138" Type="http://schemas.openxmlformats.org/officeDocument/2006/relationships/hyperlink" Target="http://archive.riksbank.se/Upload/Dokument_riksbank/Kat_publicerat/WorkingPapers/2008/wp221.pdf" TargetMode="External"/><Relationship Id="rId159" Type="http://schemas.openxmlformats.org/officeDocument/2006/relationships/hyperlink" Target="https://agcommtheory.pbworks.com/f/GroupThink.pdf" TargetMode="External"/><Relationship Id="rId170" Type="http://schemas.openxmlformats.org/officeDocument/2006/relationships/hyperlink" Target="https://theconversation.com/price-level-targeting-how-inflation-focused-central-banks-can-squeeze-more-from-interest-rates-127100" TargetMode="External"/><Relationship Id="rId191" Type="http://schemas.openxmlformats.org/officeDocument/2006/relationships/hyperlink" Target="https://www.norgesbank.no/contentassets/3f090d4a86624533beba0eb029b5a5c0/nb_papers_1_22_handbook.pdf?v=02/22/2022155625" TargetMode="External"/><Relationship Id="rId205" Type="http://schemas.openxmlformats.org/officeDocument/2006/relationships/hyperlink" Target="https://www.rba.gov.au/media-releases/2008/mr-08-21.html" TargetMode="External"/><Relationship Id="rId226" Type="http://schemas.openxmlformats.org/officeDocument/2006/relationships/hyperlink" Target="https://www.ecb.europa.eu/press/key/date/2022/html/ecb.sp220827~93f7d07535.en.html" TargetMode="External"/><Relationship Id="rId247" Type="http://schemas.openxmlformats.org/officeDocument/2006/relationships/fontTable" Target="fontTable.xml"/><Relationship Id="rId107" Type="http://schemas.openxmlformats.org/officeDocument/2006/relationships/hyperlink" Target="https://www.rba.gov.au/publications/confs/1997/pdf/de-brouwer-oregan.pdf" TargetMode="External"/><Relationship Id="rId11" Type="http://schemas.openxmlformats.org/officeDocument/2006/relationships/image" Target="media/image2.wmf"/><Relationship Id="rId32" Type="http://schemas.openxmlformats.org/officeDocument/2006/relationships/image" Target="media/image15.png"/><Relationship Id="rId53" Type="http://schemas.openxmlformats.org/officeDocument/2006/relationships/image" Target="media/image35.png"/><Relationship Id="rId74" Type="http://schemas.openxmlformats.org/officeDocument/2006/relationships/hyperlink" Target="https://www.asx.com.au/documents/asx-compliance/cgc-principles-and-recommendations-fourth-edn.pdf&#160;&#160;" TargetMode="External"/><Relationship Id="rId128" Type="http://schemas.openxmlformats.org/officeDocument/2006/relationships/hyperlink" Target="https://www.bis.org/publ/bppdf/bispap31b.pdf" TargetMode="External"/><Relationship Id="rId149" Type="http://schemas.openxmlformats.org/officeDocument/2006/relationships/hyperlink" Target="https://sekhansen.github.io/pdf_files/jme_2014.pdf" TargetMode="External"/><Relationship Id="rId5" Type="http://schemas.openxmlformats.org/officeDocument/2006/relationships/webSettings" Target="webSettings.xml"/><Relationship Id="rId95" Type="http://schemas.openxmlformats.org/officeDocument/2006/relationships/hyperlink" Target="https://www.rba.gov.au/speeches/2022/sp-dg-2022-09-21-q-and-a-transcript.html" TargetMode="External"/><Relationship Id="rId160" Type="http://schemas.openxmlformats.org/officeDocument/2006/relationships/hyperlink" Target="https://www.clevelandfed.org/-/media/project/clevelandfedtenant/clevelandfedsite/publications/working-papers/2021/wp-2119-average-inflation-targeting-pdf.pdf?sc_lang=en" TargetMode="External"/><Relationship Id="rId181" Type="http://schemas.openxmlformats.org/officeDocument/2006/relationships/hyperlink" Target="https://www.rba.gov.au/speeches/2022/sp-gov-2022-11-22.html" TargetMode="External"/><Relationship Id="rId216" Type="http://schemas.openxmlformats.org/officeDocument/2006/relationships/hyperlink" Target="https://www.rba.gov.au/monetary-policy/reviews/approach-to-forward-guidance/index.html" TargetMode="External"/><Relationship Id="rId237" Type="http://schemas.openxmlformats.org/officeDocument/2006/relationships/hyperlink" Target="https://journals.sagepub.com/doi/abs/10.1177/0022185607074921" TargetMode="External"/><Relationship Id="rId22" Type="http://schemas.openxmlformats.org/officeDocument/2006/relationships/image" Target="media/image5.png"/><Relationship Id="rId43" Type="http://schemas.openxmlformats.org/officeDocument/2006/relationships/image" Target="media/image26.png"/><Relationship Id="rId64" Type="http://schemas.openxmlformats.org/officeDocument/2006/relationships/hyperlink" Target="https://parlinfo.aph.gov.au/parlInfo/download/committees/commrep/26038/toc_pdf/Economics%20Committee_2022_09_16_Official.pdf" TargetMode="External"/><Relationship Id="rId118" Type="http://schemas.openxmlformats.org/officeDocument/2006/relationships/hyperlink" Target="https://www.finance.gov.au/sites/default/files/2019-10/Model-charter-for-audit-committees.pdf%23:~:text=This%20model%20audit%20committee%20charter%20%28model%20charter%29%20is,may%20wish%20to%20consider%20when%20developing%20the%20charter." TargetMode="External"/><Relationship Id="rId139" Type="http://schemas.openxmlformats.org/officeDocument/2006/relationships/hyperlink" Target="https://rbareview.gov.au/resources" TargetMode="External"/><Relationship Id="rId85" Type="http://schemas.openxmlformats.org/officeDocument/2006/relationships/hyperlink" Target="https://onlinelibrary.wiley.com/doi/abs/10.1111/j.1467-8462.2004.00340.x" TargetMode="External"/><Relationship Id="rId150" Type="http://schemas.openxmlformats.org/officeDocument/2006/relationships/hyperlink" Target="https://www.rba.gov.au/publications/confs/2018/pdf/rba-conference-volume-2018.pdf" TargetMode="External"/><Relationship Id="rId171" Type="http://schemas.openxmlformats.org/officeDocument/2006/relationships/hyperlink" Target="https://rbareview.gov.au/resources" TargetMode="External"/><Relationship Id="rId192" Type="http://schemas.openxmlformats.org/officeDocument/2006/relationships/hyperlink" Target="https://read.oecd-ilibrary.org/economics/oecd-economic-surveys-australia-2010/assessment-and-recommendations_eco_surveys-aus-2010-3-en%23page1" TargetMode="External"/><Relationship Id="rId206" Type="http://schemas.openxmlformats.org/officeDocument/2006/relationships/hyperlink" Target="https://www.rba.gov.au/monetary-policy/rba-board-minutes/2017/2017-09-05.html" TargetMode="External"/><Relationship Id="rId227" Type="http://schemas.openxmlformats.org/officeDocument/2006/relationships/hyperlink" Target="https://www.bis.org/review/r230110k.htm" TargetMode="External"/><Relationship Id="rId248" Type="http://schemas.openxmlformats.org/officeDocument/2006/relationships/theme" Target="theme/theme1.xml"/><Relationship Id="rId12" Type="http://schemas.openxmlformats.org/officeDocument/2006/relationships/hyperlink" Target="http://creativecommons.org/licenses/by/3.0/au/deed.en" TargetMode="External"/><Relationship Id="rId33" Type="http://schemas.openxmlformats.org/officeDocument/2006/relationships/image" Target="media/image16.png"/><Relationship Id="rId108" Type="http://schemas.openxmlformats.org/officeDocument/2006/relationships/hyperlink" Target="https://www.rba.gov.au/speeches/2009/sp-ag-150509.html" TargetMode="External"/><Relationship Id="rId129" Type="http://schemas.openxmlformats.org/officeDocument/2006/relationships/hyperlink" Target="https://www.rba.gov.au/speeches/2019/sp-ag-2019-06-12-2.html" TargetMode="External"/><Relationship Id="rId54" Type="http://schemas.openxmlformats.org/officeDocument/2006/relationships/hyperlink" Target="https://www.boj.or.jp/en/about/press/koen_2022/data/ko221127a.pdf" TargetMode="External"/><Relationship Id="rId75" Type="http://schemas.openxmlformats.org/officeDocument/2006/relationships/hyperlink" Target="https://www.rba.gov.au/publications/rdp/2019/2019-07.html" TargetMode="External"/><Relationship Id="rId96" Type="http://schemas.openxmlformats.org/officeDocument/2006/relationships/hyperlink" Target="https://www.bankofengland.co.uk/-/media/boe/files/speech/2020/a-framework-for-all-seasons-speech-by-mark-carney.pdf" TargetMode="External"/><Relationship Id="rId140" Type="http://schemas.openxmlformats.org/officeDocument/2006/relationships/hyperlink" Target="https://ministers.pmc.gov.au/gallagher/2022/albanese-governments-aps-reform-agenda" TargetMode="External"/><Relationship Id="rId161" Type="http://schemas.openxmlformats.org/officeDocument/2006/relationships/hyperlink" Target="https://www.riksbank.se/globalassets/media/riksbanken/lagar-regler--policy/the-sveriges-riksbank-act-2022_1568.pdf" TargetMode="External"/><Relationship Id="rId182" Type="http://schemas.openxmlformats.org/officeDocument/2006/relationships/hyperlink" Target="https://www.rba.gov.au/speeches/2022/sp-gov-2022-09-08-q-and-a-transcript.html" TargetMode="External"/><Relationship Id="rId217" Type="http://schemas.openxmlformats.org/officeDocument/2006/relationships/hyperlink" Target="https://www.rba.gov.au/media-releases/2022/mr-22-25.html" TargetMode="External"/><Relationship Id="rId6" Type="http://schemas.openxmlformats.org/officeDocument/2006/relationships/footnotes" Target="footnotes.xml"/><Relationship Id="rId238" Type="http://schemas.openxmlformats.org/officeDocument/2006/relationships/hyperlink" Target="https://grattan.edu.au/report/new-politics-public-appointments" TargetMode="External"/><Relationship Id="rId23" Type="http://schemas.openxmlformats.org/officeDocument/2006/relationships/image" Target="media/image6.png"/><Relationship Id="rId119" Type="http://schemas.openxmlformats.org/officeDocument/2006/relationships/hyperlink" Target="https://www.pmc.gov.au/sites/default/files/resource/download/independent-review-aps.pdf&#160;&#160;" TargetMode="External"/><Relationship Id="rId44" Type="http://schemas.openxmlformats.org/officeDocument/2006/relationships/image" Target="media/image27.png"/><Relationship Id="rId65" Type="http://schemas.openxmlformats.org/officeDocument/2006/relationships/hyperlink" Target="https://parlinfo.aph.gov.au/parlInfo/search/display/display.w3p;query=Id%3A%22committees%2Fcommrep%2F26560%2F0000%22" TargetMode="External"/><Relationship Id="rId86" Type="http://schemas.openxmlformats.org/officeDocument/2006/relationships/hyperlink" Target="https://press-files.anu.edu.au/downloads/press/n5314/pdf/ch12.pdf" TargetMode="External"/><Relationship Id="rId130" Type="http://schemas.openxmlformats.org/officeDocument/2006/relationships/hyperlink" Target="https://www.ecb.europa.eu/ecb/pdf/orga/ECB_organisational_chart.pdf" TargetMode="External"/><Relationship Id="rId151" Type="http://schemas.openxmlformats.org/officeDocument/2006/relationships/hyperlink" Target="https://www.federalreserve.gov/econres/feds/how-robust-are-makeup-strategies-to-key-alternative-assumptions.htm" TargetMode="External"/><Relationship Id="rId172" Type="http://schemas.openxmlformats.org/officeDocument/2006/relationships/hyperlink" Target="https://rbareview.gov.au/resources" TargetMode="External"/><Relationship Id="rId193" Type="http://schemas.openxmlformats.org/officeDocument/2006/relationships/hyperlink" Target="https://read.oecd-ilibrary.org/economics/oecd-economic-surveys-australia-2018/key-policy-insights_eco_surveys-aus-2018-3-en%23page1" TargetMode="External"/><Relationship Id="rId207" Type="http://schemas.openxmlformats.org/officeDocument/2006/relationships/hyperlink" Target="https://www.rba.gov.au/monetary-policy/rba-board-minutes/2018/2018-02-06.html" TargetMode="External"/><Relationship Id="rId228" Type="http://schemas.openxmlformats.org/officeDocument/2006/relationships/hyperlink" Target="https://www.aph.gov.au/Parliamentary_Business/Committees/Senate/Economics/Completed_inquiries/2008-10/eco_stimulus_09/report/index" TargetMode="External"/><Relationship Id="rId13" Type="http://schemas.openxmlformats.org/officeDocument/2006/relationships/hyperlink" Target="http://www.pmc.gov.au/government/commonwealth-coat-arms" TargetMode="External"/><Relationship Id="rId109" Type="http://schemas.openxmlformats.org/officeDocument/2006/relationships/hyperlink" Target="https://www.rba.gov.au/speeches/2018/sp-dg-2018-10-22-q-and-a-transcript.html" TargetMode="External"/><Relationship Id="rId34" Type="http://schemas.openxmlformats.org/officeDocument/2006/relationships/image" Target="media/image17.png"/><Relationship Id="rId55" Type="http://schemas.openxmlformats.org/officeDocument/2006/relationships/hyperlink" Target="https://www.frbsf.org/economic-research/publications/working-papers/2020/21/" TargetMode="External"/><Relationship Id="rId76" Type="http://schemas.openxmlformats.org/officeDocument/2006/relationships/hyperlink" Target="https://www.hks.harvard.edu/sites/default/files/centers/mrcbg/files/67_central.bank.v.2.pdf" TargetMode="External"/><Relationship Id="rId97" Type="http://schemas.openxmlformats.org/officeDocument/2006/relationships/hyperlink" Target="https://www.bis.org/speeches/sp220405.htm" TargetMode="External"/><Relationship Id="rId120" Type="http://schemas.openxmlformats.org/officeDocument/2006/relationships/hyperlink" Target="https://treasury.gov.au/publication/p1981-afs" TargetMode="External"/><Relationship Id="rId141" Type="http://schemas.openxmlformats.org/officeDocument/2006/relationships/hyperlink" Target="https://www.rba.gov.au/publications/rdp/2021/pdf/rdp2021-07.pdf" TargetMode="External"/><Relationship Id="rId7" Type="http://schemas.openxmlformats.org/officeDocument/2006/relationships/endnotes" Target="endnotes.xml"/><Relationship Id="rId162" Type="http://schemas.openxmlformats.org/officeDocument/2006/relationships/hyperlink" Target="https://parlinfo.aph.gov.au/parlInfo/download/publications/tabledpapers/19869/upload_pdf/HPP042016000816.pdf;fileType=application%2Fpdf%23search=%22publications/tabledpapers/19869%22" TargetMode="External"/><Relationship Id="rId183" Type="http://schemas.openxmlformats.org/officeDocument/2006/relationships/hyperlink" Target="https://www.newyorkfed.org/medialibrary/media/research/staff_reports/sr1013.pdf" TargetMode="External"/><Relationship Id="rId218" Type="http://schemas.openxmlformats.org/officeDocument/2006/relationships/hyperlink" Target="https://www.rba.gov.au/monetary-policy/rba-board-minutes/2022/2022-12-06.html" TargetMode="External"/><Relationship Id="rId239" Type="http://schemas.openxmlformats.org/officeDocument/2006/relationships/hyperlink" Target="https://www.legislation.gov.au/Details/C2022C00082" TargetMode="External"/><Relationship Id="rId24" Type="http://schemas.openxmlformats.org/officeDocument/2006/relationships/image" Target="media/image7.png"/><Relationship Id="rId45" Type="http://schemas.openxmlformats.org/officeDocument/2006/relationships/image" Target="media/image28.png"/><Relationship Id="rId66" Type="http://schemas.openxmlformats.org/officeDocument/2006/relationships/hyperlink" Target="https://www.aicd.com.au/content/dam/aicd/pdf/tools-resources/director-tools/board/board-size-director-tool.pdf" TargetMode="External"/><Relationship Id="rId87" Type="http://schemas.openxmlformats.org/officeDocument/2006/relationships/hyperlink" Target="https://www.federalreserve.gov/newsevents/speech/bernanke20100525a.htm" TargetMode="External"/><Relationship Id="rId110" Type="http://schemas.openxmlformats.org/officeDocument/2006/relationships/hyperlink" Target="https://www.rba.gov.au/publications/confs/2018/pdf/rba-conference-volume-2018.pdf" TargetMode="External"/><Relationship Id="rId131" Type="http://schemas.openxmlformats.org/officeDocument/2006/relationships/hyperlink" Target="https://www.federalreserve.gov/monetarypolicy/files/FOMC20101013memo08.pdf" TargetMode="External"/><Relationship Id="rId152" Type="http://schemas.openxmlformats.org/officeDocument/2006/relationships/hyperlink" Target="https://www.ijcb.org/journal/ijcb12q4a1.pdf" TargetMode="External"/><Relationship Id="rId173" Type="http://schemas.openxmlformats.org/officeDocument/2006/relationships/hyperlink" Target="https://www.nber.org/papers/w30749" TargetMode="External"/><Relationship Id="rId194" Type="http://schemas.openxmlformats.org/officeDocument/2006/relationships/hyperlink" Target="https://www.oecd.org/economy/surveys/Australia-2021-OECD-economic-survey-overview.pdf" TargetMode="External"/><Relationship Id="rId208" Type="http://schemas.openxmlformats.org/officeDocument/2006/relationships/hyperlink" Target="https://www.rba.gov.au/monetary-policy/rba-board-minutes/2018/2018-05-01.html" TargetMode="External"/><Relationship Id="rId229" Type="http://schemas.openxmlformats.org/officeDocument/2006/relationships/hyperlink" Target="https://www.aeaweb.org/conference/2023/program/1512" TargetMode="External"/><Relationship Id="rId240" Type="http://schemas.openxmlformats.org/officeDocument/2006/relationships/hyperlink" Target="https://www.wgea.gov.au/sites/default/files/documents/SETTING-GENDER-TARGETS-Online-accessible_0.pdf&#160;" TargetMode="External"/><Relationship Id="rId14" Type="http://schemas.openxmlformats.org/officeDocument/2006/relationships/hyperlink" Target="mailto:media@treasury.gov.au" TargetMode="External"/><Relationship Id="rId35" Type="http://schemas.openxmlformats.org/officeDocument/2006/relationships/image" Target="media/image18.png"/><Relationship Id="rId56" Type="http://schemas.openxmlformats.org/officeDocument/2006/relationships/hyperlink" Target="https://www.apra.gov.au/sites/default/files/information-paper-risk-culture1.pdf" TargetMode="External"/><Relationship Id="rId77" Type="http://schemas.openxmlformats.org/officeDocument/2006/relationships/hyperlink" Target="https://www.bis.org/publ/arpdf/ar2014_ec.pdf" TargetMode="External"/><Relationship Id="rId100" Type="http://schemas.openxmlformats.org/officeDocument/2006/relationships/hyperlink" Target="https://hbr.org/2021/06/the-hazards-of-a-nice-company-culture&#160;" TargetMode="External"/><Relationship Id="rId8" Type="http://schemas.openxmlformats.org/officeDocument/2006/relationships/image" Target="media/image1.png"/><Relationship Id="rId98" Type="http://schemas.openxmlformats.org/officeDocument/2006/relationships/hyperlink" Target="https://www.cfr.gov.au/publications/policy-statements-and-other-reports/2021/council-of-financial-regulators-climate-change-activity-stocktake-2021/" TargetMode="External"/><Relationship Id="rId121" Type="http://schemas.openxmlformats.org/officeDocument/2006/relationships/hyperlink" Target="https://treasury.gov.au/publication/p1996-fsi-fr" TargetMode="External"/><Relationship Id="rId142" Type="http://schemas.openxmlformats.org/officeDocument/2006/relationships/hyperlink" Target="https://www.rba.gov.au/publications/rdp/2015/pdf/rdp2015-09.pdf" TargetMode="External"/><Relationship Id="rId163" Type="http://schemas.openxmlformats.org/officeDocument/2006/relationships/hyperlink" Target="https://rbareview.gov.au/resources" TargetMode="External"/><Relationship Id="rId184" Type="http://schemas.openxmlformats.org/officeDocument/2006/relationships/hyperlink" Target="https://cdn.tspace.gov.au/uploads/sites/99/2016/10/The-Effectiveness-of-Federal-Fiscal-Policy.pdf" TargetMode="External"/><Relationship Id="rId219" Type="http://schemas.openxmlformats.org/officeDocument/2006/relationships/hyperlink" Target="https://rbareview.gov.au/sites/rbareview.gov.au/files/2022-12/rba-review-requests-for-information-from-the-reserve-bank-september-october-2022.pdf" TargetMode="External"/><Relationship Id="rId230" Type="http://schemas.openxmlformats.org/officeDocument/2006/relationships/hyperlink" Target="https://www.imf.org/external/pubs/ft/wp/2016/wp1603.pdf" TargetMode="Externa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hyperlink" Target="https://www.aicd.com.au/content/dam/aicd/pdf/tools-resources/director-tools/board/board-size-director-tool.pdf" TargetMode="External"/><Relationship Id="rId88" Type="http://schemas.openxmlformats.org/officeDocument/2006/relationships/hyperlink" Target="https://www.rba.gov.au/publications/rdp/2021/2021-09.html" TargetMode="External"/><Relationship Id="rId111" Type="http://schemas.openxmlformats.org/officeDocument/2006/relationships/hyperlink" Target="https://www.rba.gov.au/speeches/2019/sp-dg-2019-03-12.html" TargetMode="External"/><Relationship Id="rId132" Type="http://schemas.openxmlformats.org/officeDocument/2006/relationships/hyperlink" Target="https://www.federalreserve.gov/monetarypolicy/files/monetary20200916a1.pdf" TargetMode="External"/><Relationship Id="rId153" Type="http://schemas.openxmlformats.org/officeDocument/2006/relationships/hyperlink" Target="https://www.imf.org/external/pubs/ft/fandd/1998/06/imfstaff.htm" TargetMode="External"/><Relationship Id="rId174" Type="http://schemas.openxmlformats.org/officeDocument/2006/relationships/hyperlink" Target="https://www.rbnz.govt.nz/-/media/project/sites/rbnz/files/monetary-policy/about-monetary-policy/optimal-level-of-the-inflation-target.pdf" TargetMode="External"/><Relationship Id="rId195" Type="http://schemas.openxmlformats.org/officeDocument/2006/relationships/hyperlink" Target="https://rbareview.gov.au/resources" TargetMode="External"/><Relationship Id="rId209" Type="http://schemas.openxmlformats.org/officeDocument/2006/relationships/hyperlink" Target="https://www.rba.gov.au/monetary-policy/rba-board-minutes/2019/2019-04-02.html" TargetMode="External"/><Relationship Id="rId220" Type="http://schemas.openxmlformats.org/officeDocument/2006/relationships/hyperlink" Target="https://www.rba.gov.au/publications/smp/2023/feb/" TargetMode="External"/><Relationship Id="rId241" Type="http://schemas.openxmlformats.org/officeDocument/2006/relationships/header" Target="header5.xml"/><Relationship Id="rId15" Type="http://schemas.openxmlformats.org/officeDocument/2006/relationships/header" Target="header1.xml"/><Relationship Id="rId36" Type="http://schemas.openxmlformats.org/officeDocument/2006/relationships/image" Target="media/image19.png"/><Relationship Id="rId57" Type="http://schemas.openxmlformats.org/officeDocument/2006/relationships/hyperlink" Target="https://www.rba.gov.au/publications/confs/2018/pdf/rba-conference-volume-2018-archer-levin.pdf" TargetMode="External"/><Relationship Id="rId10" Type="http://schemas.openxmlformats.org/officeDocument/2006/relationships/hyperlink" Target="http://creativecommons.org/licenses/by/3.0/au/legalcode" TargetMode="External"/><Relationship Id="rId31" Type="http://schemas.openxmlformats.org/officeDocument/2006/relationships/image" Target="media/image14.png"/><Relationship Id="rId52" Type="http://schemas.openxmlformats.org/officeDocument/2006/relationships/image" Target="media/image34.png"/><Relationship Id="rId73" Type="http://schemas.openxmlformats.org/officeDocument/2006/relationships/hyperlink" Target="https://www.legislation.gov.au/Details/C2022C00254" TargetMode="External"/><Relationship Id="rId78" Type="http://schemas.openxmlformats.org/officeDocument/2006/relationships/hyperlink" Target="https://www.bankofcanada.ca/wp-content/uploads/2021/12/Monetary-Policy-Framework-Renewal-December-2021.pdf" TargetMode="External"/><Relationship Id="rId94" Type="http://schemas.openxmlformats.org/officeDocument/2006/relationships/hyperlink" Target="https://www.rba.gov.au/speeches/2022/sp-dg-2022-10-18.html" TargetMode="External"/><Relationship Id="rId99" Type="http://schemas.openxmlformats.org/officeDocument/2006/relationships/hyperlink" Target="https://championsofchangecoalition.org/wp-content/uploads/2021/08/Leadership-Shadow-Implementation-Guide.pdf" TargetMode="External"/><Relationship Id="rId101" Type="http://schemas.openxmlformats.org/officeDocument/2006/relationships/hyperlink" Target="https://www.bis.org/publ/cgfs63.htm" TargetMode="External"/><Relationship Id="rId122" Type="http://schemas.openxmlformats.org/officeDocument/2006/relationships/hyperlink" Target="https://treasury.gov.au/publication/c2014-fsi-final-report" TargetMode="External"/><Relationship Id="rId143" Type="http://schemas.openxmlformats.org/officeDocument/2006/relationships/hyperlink" Target="https://www.federalreserve.gov/econres/feds/monetary-policy-strategies-and-tools-financial-stability-considerations.htm" TargetMode="External"/><Relationship Id="rId148" Type="http://schemas.openxmlformats.org/officeDocument/2006/relationships/hyperlink" Target="https://www.rba.gov.au/publications/rdp/2002/pdf/rdp2002-06.pdf" TargetMode="External"/><Relationship Id="rId164" Type="http://schemas.openxmlformats.org/officeDocument/2006/relationships/hyperlink" Target="http://www.rba.gov.au/publications/rdp/2020/pdf/rdp2020-05.pdf" TargetMode="External"/><Relationship Id="rId169" Type="http://schemas.openxmlformats.org/officeDocument/2006/relationships/hyperlink" Target="https://www.aeaweb.org/articles/pdf/doi/10.1257/aer.102.3.594" TargetMode="External"/><Relationship Id="rId185" Type="http://schemas.openxmlformats.org/officeDocument/2006/relationships/hyperlink" Target="https://www.rba.gov.au/publications/bulletin/2017/sep/2.html" TargetMode="External"/><Relationship Id="rId4" Type="http://schemas.openxmlformats.org/officeDocument/2006/relationships/settings" Target="settings.xml"/><Relationship Id="rId9" Type="http://schemas.openxmlformats.org/officeDocument/2006/relationships/hyperlink" Target="http://creativecommons.org/licenses/by/3.0/au/deed.en" TargetMode="External"/><Relationship Id="rId180" Type="http://schemas.openxmlformats.org/officeDocument/2006/relationships/hyperlink" Target="https://www.rba.gov.au/speeches/2021/sp-gov-2021-11-16-q-and-a-transcript.html" TargetMode="External"/><Relationship Id="rId210" Type="http://schemas.openxmlformats.org/officeDocument/2006/relationships/hyperlink" Target="https://www.rba.gov.au/monetary-policy/rba-board-minutes/2019/2019-11-05.html" TargetMode="External"/><Relationship Id="rId215" Type="http://schemas.openxmlformats.org/officeDocument/2006/relationships/hyperlink" Target="https://www.rba.gov.au/monetary-policy/reviews/yield-target/index.html" TargetMode="External"/><Relationship Id="rId236" Type="http://schemas.openxmlformats.org/officeDocument/2006/relationships/hyperlink" Target="https://www.hoover.org/sites/default/files/transparency_and_the_bank_of_englands_monetary_policy_committee.pdf" TargetMode="External"/><Relationship Id="rId26" Type="http://schemas.openxmlformats.org/officeDocument/2006/relationships/image" Target="media/image9.png"/><Relationship Id="rId231" Type="http://schemas.openxmlformats.org/officeDocument/2006/relationships/hyperlink" Target="https://www.riksbank.se/globalassets/media/riksbanken/organisation/organisationschema-engelsk.pdf" TargetMode="External"/><Relationship Id="rId47" Type="http://schemas.openxmlformats.org/officeDocument/2006/relationships/image" Target="media/image30.png"/><Relationship Id="rId68" Type="http://schemas.openxmlformats.org/officeDocument/2006/relationships/hyperlink" Target="https://www.apra.gov.au/sites/default/files/2021-11/Macroprudential%20Policy%20Framework.pdf" TargetMode="External"/><Relationship Id="rId89" Type="http://schemas.openxmlformats.org/officeDocument/2006/relationships/hyperlink" Target="https://www.rba.gov.au/publications/bulletin/2021/sep/an-assessment-of-the-term-funding-facility.html" TargetMode="External"/><Relationship Id="rId112" Type="http://schemas.openxmlformats.org/officeDocument/2006/relationships/hyperlink" Target="https://www.rba.gov.au/speeches/2021/sp-dg-2021-05-06.html" TargetMode="External"/><Relationship Id="rId133" Type="http://schemas.openxmlformats.org/officeDocument/2006/relationships/hyperlink" Target="https://www.federalreserve.gov/faqs/economy_14400.htm" TargetMode="External"/><Relationship Id="rId154" Type="http://schemas.openxmlformats.org/officeDocument/2006/relationships/hyperlink" Target="https://www.imf.org/en/Publications/CR/Issues/2016/12/31/Australia-2009-Article-IV-Consultation-Staff-Report-and-Public-Information-Notice-on-the-23179" TargetMode="External"/><Relationship Id="rId175" Type="http://schemas.openxmlformats.org/officeDocument/2006/relationships/hyperlink" Target="https://www.rba.gov.au/speeches/2017/sp-gov-2017-05-04.html" TargetMode="External"/><Relationship Id="rId196" Type="http://schemas.openxmlformats.org/officeDocument/2006/relationships/hyperlink" Target="https://www.jstor.org/stable/3211719" TargetMode="External"/><Relationship Id="rId200" Type="http://schemas.openxmlformats.org/officeDocument/2006/relationships/hyperlink" Target="https://www.pc.gov.au/research/completed/rising-inequality/rising-inequality.pdf" TargetMode="External"/><Relationship Id="rId16" Type="http://schemas.openxmlformats.org/officeDocument/2006/relationships/header" Target="header2.xml"/><Relationship Id="rId221" Type="http://schemas.openxmlformats.org/officeDocument/2006/relationships/hyperlink" Target="https://www.rba.gov.au/about-rba/history/" TargetMode="External"/><Relationship Id="rId242" Type="http://schemas.openxmlformats.org/officeDocument/2006/relationships/header" Target="header6.xml"/><Relationship Id="rId37" Type="http://schemas.openxmlformats.org/officeDocument/2006/relationships/image" Target="media/image20.png"/><Relationship Id="rId58" Type="http://schemas.openxmlformats.org/officeDocument/2006/relationships/hyperlink" Target="https://www.federalreserve.gov/econres/feds/alternative-strategies-how-do-they-work-how-might-they-help.htm" TargetMode="External"/><Relationship Id="rId79" Type="http://schemas.openxmlformats.org/officeDocument/2006/relationships/hyperlink" Target="https://www.bankofengland.co.uk/report/2021/court-review-of-ethnic-diversity-and-inclusion&#160;" TargetMode="External"/><Relationship Id="rId102" Type="http://schemas.openxmlformats.org/officeDocument/2006/relationships/hyperlink" Target="https://www.tandfonline.com/doi/abs/10.1080/10370196.2019.1615401" TargetMode="External"/><Relationship Id="rId123" Type="http://schemas.openxmlformats.org/officeDocument/2006/relationships/hyperlink" Target="https://www.bankofcanada.ca/wp-content/uploads/2021/08/sdp2021-13.pdf" TargetMode="External"/><Relationship Id="rId144" Type="http://schemas.openxmlformats.org/officeDocument/2006/relationships/hyperlink" Target="https://www.imf.org/en/News/Articles/2022/08/26/sp-gita-gopinath-remarks-at-the-jackson-hole-symposium" TargetMode="External"/><Relationship Id="rId90" Type="http://schemas.openxmlformats.org/officeDocument/2006/relationships/hyperlink" Target="https://www.piie.com/blogs/realtime-economics/secular-stagnation-not-over" TargetMode="External"/><Relationship Id="rId165" Type="http://schemas.openxmlformats.org/officeDocument/2006/relationships/hyperlink" Target="http://www.rba.gov.au/publications/rdp/2020/pdf/rdp2020-05.pdf" TargetMode="External"/><Relationship Id="rId186" Type="http://schemas.openxmlformats.org/officeDocument/2006/relationships/hyperlink" Target="https://www.rba.gov.au/publications/confs/1997/pdf/conf-vol-1997.pdf" TargetMode="External"/><Relationship Id="rId211" Type="http://schemas.openxmlformats.org/officeDocument/2006/relationships/hyperlink" Target="https://www.rba.gov.au/monetary-policy/rba-board-minutes/2019/2019-10-01.html" TargetMode="External"/><Relationship Id="rId232" Type="http://schemas.openxmlformats.org/officeDocument/2006/relationships/hyperlink" Target="https://www.riksbank.se/globalassets/media/riksbanken/lagar-regler--policy/the-sveriges-riksbank-act-2022_1568.pdf" TargetMode="External"/><Relationship Id="rId27" Type="http://schemas.openxmlformats.org/officeDocument/2006/relationships/image" Target="media/image10.png"/><Relationship Id="rId48" Type="http://schemas.openxmlformats.org/officeDocument/2006/relationships/image" Target="media/image31.png"/><Relationship Id="rId69" Type="http://schemas.openxmlformats.org/officeDocument/2006/relationships/hyperlink" Target="https://www.apsc.gov.au/employment-data" TargetMode="External"/><Relationship Id="rId113" Type="http://schemas.openxmlformats.org/officeDocument/2006/relationships/hyperlink" Target="https://www.rba.gov.au/speeches/2021/sp-dg-2021-10-14.html" TargetMode="External"/><Relationship Id="rId134" Type="http://schemas.openxmlformats.org/officeDocument/2006/relationships/hyperlink" Target="https://www.federalreserve.gov/aboutthefed/files/the-fed-explained.pdf" TargetMode="External"/><Relationship Id="rId80" Type="http://schemas.openxmlformats.org/officeDocument/2006/relationships/hyperlink" Target="https://www.bankofengland.co.uk/-/media/boe/files/about/people/orgchart.pdf" TargetMode="External"/><Relationship Id="rId155" Type="http://schemas.openxmlformats.org/officeDocument/2006/relationships/hyperlink" Target="https://www.imf.org/external/np/pp/eng/2015/082815a.pdf" TargetMode="External"/><Relationship Id="rId176" Type="http://schemas.openxmlformats.org/officeDocument/2006/relationships/hyperlink" Target="https://www.rba.gov.au/speeches/2019/sp-gov-2019-07-25.html" TargetMode="External"/><Relationship Id="rId197" Type="http://schemas.openxmlformats.org/officeDocument/2006/relationships/hyperlink" Target="https://www.rba.gov.au/speeches/2016/pdf/sp-ag-2016-04-06-external-forecast-review-final-report.pdf" TargetMode="External"/><Relationship Id="rId201" Type="http://schemas.openxmlformats.org/officeDocument/2006/relationships/hyperlink" Target="https://www.legislation.gov.au/Details/C2017C00269" TargetMode="External"/><Relationship Id="rId222" Type="http://schemas.openxmlformats.org/officeDocument/2006/relationships/hyperlink" Target="https://www.rbnz.govt.nz/monetary-policy/about-monetary-policy/history-of-the-remit-and-policy-targets-agreement" TargetMode="External"/><Relationship Id="rId243" Type="http://schemas.openxmlformats.org/officeDocument/2006/relationships/footer" Target="footer4.xml"/><Relationship Id="rId17" Type="http://schemas.openxmlformats.org/officeDocument/2006/relationships/footer" Target="footer1.xml"/><Relationship Id="rId38" Type="http://schemas.openxmlformats.org/officeDocument/2006/relationships/image" Target="media/image21.png"/><Relationship Id="rId59" Type="http://schemas.openxmlformats.org/officeDocument/2006/relationships/hyperlink" Target="https://www.rba.gov.au/publications/bulletin/2017/sep/pdf/bu-0917-1-the-transmission-of-monetary-policy-how-does-it-work.pdf" TargetMode="External"/><Relationship Id="rId103" Type="http://schemas.openxmlformats.org/officeDocument/2006/relationships/hyperlink" Target="https://theconversation.com/the-rba-has-got-a-lot-right-but-theres-still-a-case-for-an-inquiry-184314" TargetMode="External"/><Relationship Id="rId124" Type="http://schemas.openxmlformats.org/officeDocument/2006/relationships/hyperlink" Target="https://www.rba.gov.au/speeches/2022/sp-so-2022-09-28.html" TargetMode="External"/><Relationship Id="rId70" Type="http://schemas.openxmlformats.org/officeDocument/2006/relationships/hyperlink" Target="https://www.apsc.gov.au/sites/default/files/2022-08/APS%20Hierarchy%20and%20Classification%20Review%20&#8211;%20Accessible.pdf" TargetMode="External"/><Relationship Id="rId91" Type="http://schemas.openxmlformats.org/officeDocument/2006/relationships/hyperlink" Target="https://www.imf.org/en/Publications/fandd/issues/2023/03/diverse-views-in-monetary-policy-blanchflower-levin" TargetMode="External"/><Relationship Id="rId145" Type="http://schemas.openxmlformats.org/officeDocument/2006/relationships/hyperlink" Target="https://www.asx.com.au/documents/asx-compliance/creating-disclosing-board-skills-matrix.pdf" TargetMode="External"/><Relationship Id="rId166" Type="http://schemas.openxmlformats.org/officeDocument/2006/relationships/hyperlink" Target="https://cbe.anu.edu.au/events/public-lecture-recordings/steven-kennedy-sir-leslie-melville-lecture-2022" TargetMode="External"/><Relationship Id="rId187" Type="http://schemas.openxmlformats.org/officeDocument/2006/relationships/hyperlink" Target="https://www.rba.gov.au/publications/confs/2018/pdf/rba-conference-volume-2018.pdf" TargetMode="External"/><Relationship Id="rId1" Type="http://schemas.openxmlformats.org/officeDocument/2006/relationships/customXml" Target="../customXml/item1.xml"/><Relationship Id="rId212" Type="http://schemas.openxmlformats.org/officeDocument/2006/relationships/hyperlink" Target="https://www.rba.gov.au/publications/annual-reports/rba/2020/" TargetMode="External"/><Relationship Id="rId233" Type="http://schemas.openxmlformats.org/officeDocument/2006/relationships/hyperlink" Target="https://www.ecb.europa.eu/home/search/review/html/ecb.strategyreview_monpol_strategy_statement.en.html" TargetMode="External"/><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hyperlink" Target="https://ideas.repec.org/a/fip/fedbcp/y1994p195-225n38.html" TargetMode="External"/><Relationship Id="rId60" Type="http://schemas.openxmlformats.org/officeDocument/2006/relationships/hyperlink" Target="https://www.sciencedirect.com/science/article/abs/pii/S0014292121002397" TargetMode="External"/><Relationship Id="rId81" Type="http://schemas.openxmlformats.org/officeDocument/2006/relationships/hyperlink" Target="https://www.bok.or.kr/eng/main/contents.do?menuNo=400015" TargetMode="External"/><Relationship Id="rId135" Type="http://schemas.openxmlformats.org/officeDocument/2006/relationships/hyperlink" Target="https://www.newyorkfed.org/medialibrary/media/research/advisory_panel/eap/eap_minutes_october%202022_final.pdf" TargetMode="External"/><Relationship Id="rId156" Type="http://schemas.openxmlformats.org/officeDocument/2006/relationships/hyperlink" Target="https://www.imf.org//media/Files/Publications/CR/2019/1AUSEA2019003.ashx" TargetMode="External"/><Relationship Id="rId177" Type="http://schemas.openxmlformats.org/officeDocument/2006/relationships/hyperlink" Target="https://www.rba.gov.au/speeches/2020/sp-gov-2020-03-19-q-and-a-transcript.html" TargetMode="External"/><Relationship Id="rId198" Type="http://schemas.openxmlformats.org/officeDocument/2006/relationships/hyperlink" Target="https://www.bis.org/review/r230111a.pdf" TargetMode="External"/><Relationship Id="rId202" Type="http://schemas.openxmlformats.org/officeDocument/2006/relationships/hyperlink" Target="https://ideas.repec.org/p/ags/uqsers/156935.html" TargetMode="External"/><Relationship Id="rId223" Type="http://schemas.openxmlformats.org/officeDocument/2006/relationships/hyperlink" Target="https://www.legislation.gov.au/Details/C2019C00081" TargetMode="External"/><Relationship Id="rId244" Type="http://schemas.openxmlformats.org/officeDocument/2006/relationships/footer" Target="footer5.xml"/><Relationship Id="rId18" Type="http://schemas.openxmlformats.org/officeDocument/2006/relationships/header" Target="header3.xml"/><Relationship Id="rId39" Type="http://schemas.openxmlformats.org/officeDocument/2006/relationships/image" Target="media/image22.png"/><Relationship Id="rId50" Type="http://schemas.openxmlformats.org/officeDocument/2006/relationships/image" Target="media/image33.png"/><Relationship Id="rId104" Type="http://schemas.openxmlformats.org/officeDocument/2006/relationships/hyperlink" Target="https://www.rba.gov.au/publications/bulletin/2017/jun/2.html" TargetMode="External"/><Relationship Id="rId125" Type="http://schemas.openxmlformats.org/officeDocument/2006/relationships/hyperlink" Target="https://www.ecb.europa.eu/press/pr/date/2021/html/ecb.pr210708_1~f104919225.en.html" TargetMode="External"/><Relationship Id="rId146" Type="http://schemas.openxmlformats.org/officeDocument/2006/relationships/hyperlink" Target="https://isaacgrossnet.files.wordpress.com/2023/01/omp_australia_jan2023-1.pdf" TargetMode="External"/><Relationship Id="rId167" Type="http://schemas.openxmlformats.org/officeDocument/2006/relationships/hyperlink" Target="https://papers.ssrn.com/sol3/Delivery.cfm/SSRN_ID3777444_code2715209.pdf?abstractid=3777444&amp;mirid=1" TargetMode="External"/><Relationship Id="rId188" Type="http://schemas.openxmlformats.org/officeDocument/2006/relationships/hyperlink" Target="https://papers.ssrn.com/sol3/Delivery.cfm/8210.pdf?abstractid=3576287&amp;mirid=1&amp;type=2" TargetMode="External"/><Relationship Id="rId71" Type="http://schemas.openxmlformats.org/officeDocument/2006/relationships/hyperlink" Target="https://www.apsc.gov.au/initiatives-and-programs/workforce-information/research-analysis-and-publications/capability-review-program" TargetMode="External"/><Relationship Id="rId92" Type="http://schemas.openxmlformats.org/officeDocument/2006/relationships/hyperlink" Target="https://oar.princeton.edu/jspui/bitstream/88435/pr14b4j/1/pandp.20181080.pdf" TargetMode="External"/><Relationship Id="rId213" Type="http://schemas.openxmlformats.org/officeDocument/2006/relationships/hyperlink" Target="https://www.rba.gov.au/monetary-policy/reviews/bond-purchase-program/" TargetMode="External"/><Relationship Id="rId234" Type="http://schemas.openxmlformats.org/officeDocument/2006/relationships/hyperlink" Target="https://treasury.gov.au/sites/default/files/2021-06/p2021_182464.pdf" TargetMode="External"/><Relationship Id="rId2" Type="http://schemas.openxmlformats.org/officeDocument/2006/relationships/numbering" Target="numbering.xml"/><Relationship Id="rId29" Type="http://schemas.openxmlformats.org/officeDocument/2006/relationships/image" Target="media/image12.png"/><Relationship Id="rId40" Type="http://schemas.openxmlformats.org/officeDocument/2006/relationships/image" Target="media/image23.png"/><Relationship Id="rId115" Type="http://schemas.openxmlformats.org/officeDocument/2006/relationships/hyperlink" Target="https://www.rba.gov.au/publications/rdp/1995/pdf/rdp9503.pdf" TargetMode="External"/><Relationship Id="rId136" Type="http://schemas.openxmlformats.org/officeDocument/2006/relationships/hyperlink" Target="https://theconversation.com/group-think-what-it-is-and-how-to-avoid-it-161697&#160;&#160;" TargetMode="External"/><Relationship Id="rId157" Type="http://schemas.openxmlformats.org/officeDocument/2006/relationships/hyperlink" Target="https://www.imf.org/en/Publications/CR/Issues/2021/12/02/Australia-2021-Article-IV-Consultation-Press-Release-Staff-Report-and-Statement-by-the-510754" TargetMode="External"/><Relationship Id="rId178" Type="http://schemas.openxmlformats.org/officeDocument/2006/relationships/hyperlink" Target="https://www.rba.gov.au/speeches/2020/sp-gov-2020-10-15.html" TargetMode="External"/><Relationship Id="rId61" Type="http://schemas.openxmlformats.org/officeDocument/2006/relationships/hyperlink" Target="https://www.abs.gov.au/methodologies/monthly-consumer-price-index-indicator-methodology/jan-2023" TargetMode="External"/><Relationship Id="rId82" Type="http://schemas.openxmlformats.org/officeDocument/2006/relationships/hyperlink" Target="https://www.ecb.europa.eu/press/blog/date/2022/html/ecb.blog220810~78357be60b.en.html" TargetMode="External"/><Relationship Id="rId199" Type="http://schemas.openxmlformats.org/officeDocument/2006/relationships/hyperlink" Target="https://cama.crawford.anu.edu.au/sites/default/files/publication/cama_crawford_anu_edu_au/2020-01/3_2020_preston.pdf" TargetMode="External"/><Relationship Id="rId203" Type="http://schemas.openxmlformats.org/officeDocument/2006/relationships/hyperlink" Target="https://www.bankofengland.co.uk/working-paper/2015/secular-drivers-of-the-global-real-interest-rate" TargetMode="External"/><Relationship Id="rId19" Type="http://schemas.openxmlformats.org/officeDocument/2006/relationships/footer" Target="footer2.xml"/><Relationship Id="rId224" Type="http://schemas.openxmlformats.org/officeDocument/2006/relationships/hyperlink" Target="https://www.legislation.gov.au/Details/C2020C00322" TargetMode="External"/><Relationship Id="rId245" Type="http://schemas.openxmlformats.org/officeDocument/2006/relationships/header" Target="header7.xml"/><Relationship Id="rId30" Type="http://schemas.openxmlformats.org/officeDocument/2006/relationships/image" Target="media/image13.png"/><Relationship Id="rId105" Type="http://schemas.openxmlformats.org/officeDocument/2006/relationships/hyperlink" Target="https://www.bis.org/speeches/sp210416.pdf" TargetMode="External"/><Relationship Id="rId126" Type="http://schemas.openxmlformats.org/officeDocument/2006/relationships/hyperlink" Target="https://www.ecb.europa.eu/pub/pdf/scpops/ecb.op269~3f2619ac7a.en.pdf" TargetMode="External"/><Relationship Id="rId147" Type="http://schemas.openxmlformats.org/officeDocument/2006/relationships/hyperlink" Target="https://onlinelibrary.wiley.com/doi/epdf/10.1111/1475-4932.12689" TargetMode="External"/><Relationship Id="rId168" Type="http://schemas.openxmlformats.org/officeDocument/2006/relationships/hyperlink" Target="https://ideas.repec.org/p/bca/bocawp/22-33.html" TargetMode="External"/><Relationship Id="rId51" Type="http://schemas.openxmlformats.org/officeDocument/2006/relationships/hyperlink" Target="https://www.bankofcanada.ca/core-functions/monetary-policy/inflation/" TargetMode="External"/><Relationship Id="rId72" Type="http://schemas.openxmlformats.org/officeDocument/2006/relationships/hyperlink" Target="https://www.legislation.gov.au/Details/C2022C00254" TargetMode="External"/><Relationship Id="rId93" Type="http://schemas.openxmlformats.org/officeDocument/2006/relationships/hyperlink" Target="https://www.imf.org/en/Publications/WP/Issues/2019/12/27/The-Role-of-Board-Oversight-in-Central-Bank-Governance-Key-Legal-Design-Issues-48906" TargetMode="External"/><Relationship Id="rId189" Type="http://schemas.openxmlformats.org/officeDocument/2006/relationships/hyperlink" Target="https://onlinelibrary.wiley.com/doi/10.1111/1759-3441.12382" TargetMode="External"/><Relationship Id="rId3" Type="http://schemas.openxmlformats.org/officeDocument/2006/relationships/styles" Target="styles.xml"/><Relationship Id="rId214" Type="http://schemas.openxmlformats.org/officeDocument/2006/relationships/hyperlink" Target="https://www.rba.gov.au/publications/annual-reports/rba/2022/" TargetMode="External"/><Relationship Id="rId235" Type="http://schemas.openxmlformats.org/officeDocument/2006/relationships/hyperlink" Target="https://www.bankofcanada.ca/wp-content/uploads/2022/02/sdp2022-4.pdf" TargetMode="External"/><Relationship Id="rId116" Type="http://schemas.openxmlformats.org/officeDocument/2006/relationships/hyperlink" Target="https://www2.deloitte.com/content/dam/Deloitte/au/Documents/human-capital/deloitte-au-hc-diversity-inclusion-soup-0513.pdf&#160;&#160;" TargetMode="External"/><Relationship Id="rId137" Type="http://schemas.openxmlformats.org/officeDocument/2006/relationships/hyperlink" Target="https://www.rba.gov.au/speeches/1994/sp-gov-291194.html" TargetMode="External"/><Relationship Id="rId158" Type="http://schemas.openxmlformats.org/officeDocument/2006/relationships/hyperlink" Target="https://www.imf.org/-/media/Files/Publications/GFSR/2022/October/English/text.ashx" TargetMode="External"/><Relationship Id="rId20" Type="http://schemas.openxmlformats.org/officeDocument/2006/relationships/header" Target="header4.xml"/><Relationship Id="rId41" Type="http://schemas.openxmlformats.org/officeDocument/2006/relationships/image" Target="media/image24.png"/><Relationship Id="rId62" Type="http://schemas.openxmlformats.org/officeDocument/2006/relationships/hyperlink" Target="https://parlinfo.aph.gov.au/parlInfo/search/display/display.w3p;query=Id:%22committees/commrep/812fc9ed-0f02-4247-b58b-9fea2e1c7669/0000%22" TargetMode="External"/><Relationship Id="rId83" Type="http://schemas.openxmlformats.org/officeDocument/2006/relationships/hyperlink" Target="https://www.rba.gov.au/publications/confs/2000/pdf/bean.pdf" TargetMode="External"/><Relationship Id="rId179" Type="http://schemas.openxmlformats.org/officeDocument/2006/relationships/hyperlink" Target="https://www.rba.gov.au/speeches/2021/sp-gov-2021-11-02-q-and-a-transcript.html" TargetMode="External"/><Relationship Id="rId190" Type="http://schemas.openxmlformats.org/officeDocument/2006/relationships/hyperlink" Target="https://www.aicd.com.au/content/dam/aicd/pdf/tools-resources/bookstore/previews/Setting-Tone-from-top-preview.pdf" TargetMode="External"/><Relationship Id="rId204" Type="http://schemas.openxmlformats.org/officeDocument/2006/relationships/hyperlink" Target="https://www.bis.org/review/r221222a.pdf" TargetMode="External"/><Relationship Id="rId225" Type="http://schemas.openxmlformats.org/officeDocument/2006/relationships/hyperlink" Target="https://www.rbnz.govt.nz/-/media/project/sites/rbnz/files/monetary-policy/about-monetary-policy/remit-for-monetary-policy-committee-order-feb-2021.pdf?sc_lang=en" TargetMode="External"/><Relationship Id="rId246" Type="http://schemas.openxmlformats.org/officeDocument/2006/relationships/footer" Target="footer6.xml"/><Relationship Id="rId106" Type="http://schemas.openxmlformats.org/officeDocument/2006/relationships/hyperlink" Target="https://www.rba.gov.au/publications/confs/2011/davis.html" TargetMode="External"/><Relationship Id="rId127" Type="http://schemas.openxmlformats.org/officeDocument/2006/relationships/hyperlink" Target="https://www.rba.gov.au/publications/confs/1997/pdf/edey.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36.jpg"/></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SYBrand">
  <a:themeElements>
    <a:clrScheme name="Custom 1">
      <a:dk1>
        <a:sysClr val="windowText" lastClr="000000"/>
      </a:dk1>
      <a:lt1>
        <a:sysClr val="window" lastClr="FFFFFF"/>
      </a:lt1>
      <a:dk2>
        <a:srgbClr val="5F5F5F"/>
      </a:dk2>
      <a:lt2>
        <a:srgbClr val="EEEEEE"/>
      </a:lt2>
      <a:accent1>
        <a:srgbClr val="204060"/>
      </a:accent1>
      <a:accent2>
        <a:srgbClr val="5C7857"/>
      </a:accent2>
      <a:accent3>
        <a:srgbClr val="5D779D"/>
      </a:accent3>
      <a:accent4>
        <a:srgbClr val="F4DEB8"/>
      </a:accent4>
      <a:accent5>
        <a:srgbClr val="87BFFF"/>
      </a:accent5>
      <a:accent6>
        <a:srgbClr val="F9EEDB"/>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BCD6A-1610-4941-85A0-67C15314C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245</Pages>
  <Words>105144</Words>
  <Characters>599321</Characters>
  <Application>Microsoft Office Word</Application>
  <DocSecurity>0</DocSecurity>
  <Lines>4994</Lines>
  <Paragraphs>1406</Paragraphs>
  <ScaleCrop>false</ScaleCrop>
  <HeadingPairs>
    <vt:vector size="2" baseType="variant">
      <vt:variant>
        <vt:lpstr>Title</vt:lpstr>
      </vt:variant>
      <vt:variant>
        <vt:i4>1</vt:i4>
      </vt:variant>
    </vt:vector>
  </HeadingPairs>
  <TitlesOfParts>
    <vt:vector size="1" baseType="lpstr">
      <vt:lpstr>Review of the Reserve Bank of Australia - An RBA fit for the future</vt:lpstr>
    </vt:vector>
  </TitlesOfParts>
  <Company/>
  <LinksUpToDate>false</LinksUpToDate>
  <CharactersWithSpaces>703059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Reserve Bank of Australia - An RBA fit for the future</dc:title>
  <dc:subject>RBA Review</dc:subject>
  <dc:creator>Australian Government</dc:creator>
  <cp:keywords/>
  <cp:lastModifiedBy/>
  <cp:revision>1</cp:revision>
  <dcterms:created xsi:type="dcterms:W3CDTF">2025-07-30T07:14:00Z</dcterms:created>
  <dcterms:modified xsi:type="dcterms:W3CDTF">2025-07-30T07:15:00Z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2025-07-30T07:15:06Z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6e91bfb4-b603-4972-9417-2dc15523801b</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