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F3C0" w14:textId="4826C02C" w:rsidR="000E0B74" w:rsidRPr="006D0240" w:rsidRDefault="000E0B74" w:rsidP="00C72318">
      <w:pPr>
        <w:pStyle w:val="Crest"/>
        <w:spacing w:after="3000"/>
        <w:jc w:val="right"/>
      </w:pPr>
    </w:p>
    <w:p w14:paraId="30B6097D" w14:textId="697D8EC7" w:rsidR="00FE1D21" w:rsidRPr="001F39D5" w:rsidRDefault="00D8620B" w:rsidP="001F39D5">
      <w:pPr>
        <w:pStyle w:val="Title"/>
        <w:rPr>
          <w:iCs/>
        </w:rPr>
      </w:pPr>
      <w:r w:rsidRPr="00D8620B">
        <w:t>Government Response</w:t>
      </w:r>
      <w:r w:rsidR="00316104">
        <w:t xml:space="preserve"> </w:t>
      </w:r>
      <w:r w:rsidRPr="00D8620B">
        <w:t>to the</w:t>
      </w:r>
      <w:r w:rsidR="00316104">
        <w:t xml:space="preserve"> </w:t>
      </w:r>
      <w:r w:rsidR="001B33D6">
        <w:t>Review of the tax practitioners board</w:t>
      </w:r>
      <w:r w:rsidRPr="00D8620B">
        <w:t xml:space="preserve"> 201</w:t>
      </w:r>
      <w:r w:rsidR="004D2D30">
        <w:t>9</w:t>
      </w:r>
    </w:p>
    <w:p w14:paraId="747706DF" w14:textId="34ED6DE0" w:rsidR="002F617F" w:rsidRDefault="0049507A" w:rsidP="008B76C6">
      <w:pPr>
        <w:pStyle w:val="ReportDate"/>
      </w:pPr>
      <w:r>
        <w:rPr>
          <w:rStyle w:val="ReportDateChar"/>
          <w:rFonts w:eastAsiaTheme="minorHAnsi"/>
        </w:rPr>
        <w:t>November</w:t>
      </w:r>
      <w:r w:rsidR="006A362C">
        <w:rPr>
          <w:rStyle w:val="ReportDateChar"/>
          <w:rFonts w:eastAsiaTheme="minorHAnsi"/>
        </w:rPr>
        <w:t xml:space="preserve"> </w:t>
      </w:r>
      <w:r w:rsidR="00B83734" w:rsidRPr="00C067E2">
        <w:rPr>
          <w:rStyle w:val="ReportDateChar"/>
          <w:rFonts w:eastAsiaTheme="minorHAnsi"/>
        </w:rPr>
        <w:t>20</w:t>
      </w:r>
      <w:r w:rsidR="0079735A">
        <w:rPr>
          <w:rStyle w:val="ReportDateChar"/>
          <w:rFonts w:eastAsiaTheme="majorEastAsia"/>
        </w:rPr>
        <w:t>20</w:t>
      </w:r>
    </w:p>
    <w:p w14:paraId="154F862F" w14:textId="77777777" w:rsidR="000E0B74" w:rsidRDefault="000E0B74" w:rsidP="000E0B74">
      <w:pPr>
        <w:rPr>
          <w:rFonts w:cs="Calibri"/>
          <w:sz w:val="20"/>
        </w:rPr>
      </w:pPr>
    </w:p>
    <w:p w14:paraId="26DB8594" w14:textId="77777777" w:rsidR="000E0B74" w:rsidRDefault="000E0B74" w:rsidP="000E0B74">
      <w:pPr>
        <w:sectPr w:rsidR="000E0B74" w:rsidSect="00EB457C">
          <w:headerReference w:type="default" r:id="rId8"/>
          <w:footerReference w:type="even" r:id="rId9"/>
          <w:pgSz w:w="11906" w:h="16838"/>
          <w:pgMar w:top="1418" w:right="1418" w:bottom="1418" w:left="1418" w:header="709" w:footer="709" w:gutter="0"/>
          <w:cols w:space="720"/>
        </w:sectPr>
      </w:pPr>
    </w:p>
    <w:p w14:paraId="4EA043B3" w14:textId="70ABD096" w:rsidR="000E0B74" w:rsidRDefault="000E0B74" w:rsidP="000E0B74">
      <w:pPr>
        <w:spacing w:before="240"/>
      </w:pPr>
      <w:r w:rsidRPr="00661BF0">
        <w:lastRenderedPageBreak/>
        <w:t xml:space="preserve">© Commonwealth of Australia </w:t>
      </w:r>
      <w:r w:rsidR="00CB01C8">
        <w:t>2020</w:t>
      </w:r>
    </w:p>
    <w:p w14:paraId="7552080F" w14:textId="1B385CDC" w:rsidR="000E0B74" w:rsidRPr="00086F82" w:rsidRDefault="000E0B74" w:rsidP="000E0B74">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BD511A">
        <w:t>and where otherwise stated</w:t>
      </w:r>
      <w:r w:rsidRPr="002F1BC2">
        <w:t>. The full licence terms are available from</w:t>
      </w:r>
      <w:r w:rsidRPr="00476F09">
        <w:rPr>
          <w:rFonts w:cstheme="minorHAnsi"/>
          <w:sz w:val="24"/>
          <w:szCs w:val="24"/>
        </w:rPr>
        <w:t xml:space="preserve"> </w:t>
      </w:r>
      <w:hyperlink r:id="rId11" w:history="1">
        <w:r w:rsidRPr="001932B2">
          <w:rPr>
            <w:rStyle w:val="Hyperlink"/>
          </w:rPr>
          <w:t>http://creativecommons.org/licenses/by/3.0/au/legalcode</w:t>
        </w:r>
      </w:hyperlink>
      <w:r w:rsidRPr="006627B4">
        <w:rPr>
          <w:rStyle w:val="Hyperlink"/>
        </w:rPr>
        <w:t>.</w:t>
      </w:r>
    </w:p>
    <w:p w14:paraId="670C2613" w14:textId="77777777" w:rsidR="000E0B74" w:rsidRDefault="000E0B74" w:rsidP="000E0B74">
      <w:pPr>
        <w:pStyle w:val="ChartGraphic"/>
        <w:jc w:val="left"/>
      </w:pPr>
      <w:r w:rsidRPr="00E56DFB">
        <w:rPr>
          <w:noProof/>
          <w:lang w:eastAsia="en-AU"/>
        </w:rPr>
        <w:drawing>
          <wp:inline distT="0" distB="0" distL="0" distR="0" wp14:anchorId="0DC0C550" wp14:editId="375E52D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81DA60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4784A4C"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15C6E59B"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A63344B" w14:textId="02A12774"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1AD9D19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149D450"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862C7B7" w14:textId="4573E028" w:rsidR="000E0B74" w:rsidRPr="006627B4" w:rsidRDefault="000E0B74" w:rsidP="000E0B74">
      <w:pPr>
        <w:ind w:firstLine="720"/>
      </w:pPr>
      <w:r w:rsidRPr="002F1BC2">
        <w:rPr>
          <w:i/>
        </w:rPr>
        <w:t>Based on The Australian Government the Treasury data</w:t>
      </w:r>
      <w:r w:rsidRPr="006627B4">
        <w:t xml:space="preserve"> </w:t>
      </w:r>
    </w:p>
    <w:p w14:paraId="0094C2B4" w14:textId="77777777" w:rsidR="000E0B74" w:rsidRPr="006627B4" w:rsidRDefault="000E0B74" w:rsidP="000E0B74">
      <w:pPr>
        <w:spacing w:before="240"/>
        <w:rPr>
          <w:b/>
        </w:rPr>
      </w:pPr>
      <w:r w:rsidRPr="006627B4">
        <w:rPr>
          <w:b/>
        </w:rPr>
        <w:t>Use of the Coat of Arms</w:t>
      </w:r>
    </w:p>
    <w:p w14:paraId="65FE133C" w14:textId="77777777" w:rsidR="000E0B74" w:rsidRPr="006627B4" w:rsidRDefault="000E0B74" w:rsidP="000E0B74">
      <w:r w:rsidRPr="006627B4">
        <w:t xml:space="preserve">The terms under which the Coat of Arms can be used are set out on the It’s an Honour website (see </w:t>
      </w:r>
      <w:hyperlink r:id="rId14" w:history="1">
        <w:r w:rsidRPr="001932B2">
          <w:rPr>
            <w:rStyle w:val="Hyperlink"/>
          </w:rPr>
          <w:t>www.itsanhonour.gov.au</w:t>
        </w:r>
      </w:hyperlink>
      <w:r w:rsidRPr="006627B4">
        <w:t>)</w:t>
      </w:r>
      <w:r>
        <w:t>.</w:t>
      </w:r>
    </w:p>
    <w:p w14:paraId="5F34C634" w14:textId="77777777" w:rsidR="000E0B74" w:rsidRPr="006627B4" w:rsidRDefault="000E0B74" w:rsidP="000E0B74">
      <w:pPr>
        <w:spacing w:before="240"/>
        <w:rPr>
          <w:b/>
        </w:rPr>
      </w:pPr>
      <w:r>
        <w:rPr>
          <w:b/>
        </w:rPr>
        <w:t>Other u</w:t>
      </w:r>
      <w:r w:rsidRPr="006627B4">
        <w:rPr>
          <w:b/>
        </w:rPr>
        <w:t>ses</w:t>
      </w:r>
    </w:p>
    <w:p w14:paraId="06A4A34B" w14:textId="77777777" w:rsidR="000E0B74" w:rsidRPr="006627B4" w:rsidRDefault="000E0B74" w:rsidP="000E0B74">
      <w:r>
        <w:t>E</w:t>
      </w:r>
      <w:r w:rsidRPr="006627B4">
        <w:t>nquiries regarding this licence and any other use of this document are welcome at:</w:t>
      </w:r>
    </w:p>
    <w:p w14:paraId="75192506"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5" w:history="1">
        <w:r w:rsidRPr="00B31CFB">
          <w:rPr>
            <w:rStyle w:val="Hyperlink"/>
          </w:rPr>
          <w:t>medialiaison@treasury.gov.au</w:t>
        </w:r>
      </w:hyperlink>
    </w:p>
    <w:p w14:paraId="60AE3A88" w14:textId="77777777" w:rsidR="00F836F9" w:rsidRDefault="00F836F9" w:rsidP="00FC4C5D">
      <w:pPr>
        <w:pStyle w:val="Heading1"/>
        <w:sectPr w:rsidR="00F836F9" w:rsidSect="00EB457C">
          <w:headerReference w:type="default" r:id="rId16"/>
          <w:footerReference w:type="default" r:id="rId17"/>
          <w:pgSz w:w="11906" w:h="16838" w:code="9"/>
          <w:pgMar w:top="1418" w:right="1418" w:bottom="1418" w:left="1418" w:header="709" w:footer="709" w:gutter="0"/>
          <w:pgNumType w:fmt="lowerRoman"/>
          <w:cols w:space="708"/>
          <w:docGrid w:linePitch="360"/>
        </w:sectPr>
      </w:pPr>
    </w:p>
    <w:p w14:paraId="17086E11" w14:textId="77777777" w:rsidR="000E0B74" w:rsidRDefault="000E0B74" w:rsidP="00FC4C5D">
      <w:pPr>
        <w:pStyle w:val="Heading1"/>
      </w:pPr>
      <w:bookmarkStart w:id="0" w:name="_Toc511308202"/>
      <w:bookmarkStart w:id="1" w:name="_Toc56511741"/>
      <w:r w:rsidRPr="001F1B27">
        <w:lastRenderedPageBreak/>
        <w:t>Contents</w:t>
      </w:r>
      <w:bookmarkEnd w:id="0"/>
      <w:bookmarkEnd w:id="1"/>
    </w:p>
    <w:bookmarkStart w:id="2" w:name="_Toc432067103"/>
    <w:bookmarkStart w:id="3" w:name="_Toc452635030"/>
    <w:p w14:paraId="0D8D09D7" w14:textId="0A69FFE5" w:rsidR="00D67C61" w:rsidRDefault="00DA03A2">
      <w:pPr>
        <w:pStyle w:val="TOC1"/>
        <w:rPr>
          <w:rFonts w:eastAsiaTheme="minorEastAsia"/>
          <w:b w:val="0"/>
          <w:color w:val="auto"/>
          <w:lang w:eastAsia="en-AU"/>
        </w:rPr>
      </w:pPr>
      <w:r>
        <w:rPr>
          <w:b w:val="0"/>
        </w:rPr>
        <w:fldChar w:fldCharType="begin"/>
      </w:r>
      <w:r>
        <w:rPr>
          <w:b w:val="0"/>
        </w:rPr>
        <w:instrText xml:space="preserve"> TOC \o "1-1" \h \z </w:instrText>
      </w:r>
      <w:r>
        <w:rPr>
          <w:b w:val="0"/>
        </w:rPr>
        <w:fldChar w:fldCharType="separate"/>
      </w:r>
      <w:hyperlink w:anchor="_Toc56511741" w:history="1"/>
    </w:p>
    <w:p w14:paraId="76BF2723" w14:textId="299FBA32" w:rsidR="00D67C61" w:rsidRDefault="00A84E4E">
      <w:pPr>
        <w:pStyle w:val="TOC1"/>
        <w:rPr>
          <w:rFonts w:eastAsiaTheme="minorEastAsia"/>
          <w:b w:val="0"/>
          <w:color w:val="auto"/>
          <w:lang w:eastAsia="en-AU"/>
        </w:rPr>
      </w:pPr>
      <w:hyperlink w:anchor="_Toc56511742" w:history="1">
        <w:r w:rsidR="00D67C61" w:rsidRPr="008003BB">
          <w:rPr>
            <w:rStyle w:val="Hyperlink"/>
          </w:rPr>
          <w:t>Foreword</w:t>
        </w:r>
        <w:r w:rsidR="00D67C61">
          <w:rPr>
            <w:webHidden/>
          </w:rPr>
          <w:tab/>
        </w:r>
        <w:r w:rsidR="00D67C61">
          <w:rPr>
            <w:webHidden/>
          </w:rPr>
          <w:fldChar w:fldCharType="begin"/>
        </w:r>
        <w:r w:rsidR="00D67C61">
          <w:rPr>
            <w:webHidden/>
          </w:rPr>
          <w:instrText xml:space="preserve"> PAGEREF _Toc56511742 \h </w:instrText>
        </w:r>
        <w:r w:rsidR="00D67C61">
          <w:rPr>
            <w:webHidden/>
          </w:rPr>
        </w:r>
        <w:r w:rsidR="00D67C61">
          <w:rPr>
            <w:webHidden/>
          </w:rPr>
          <w:fldChar w:fldCharType="separate"/>
        </w:r>
        <w:r w:rsidR="00A658A4">
          <w:rPr>
            <w:webHidden/>
          </w:rPr>
          <w:t>4</w:t>
        </w:r>
        <w:r w:rsidR="00D67C61">
          <w:rPr>
            <w:webHidden/>
          </w:rPr>
          <w:fldChar w:fldCharType="end"/>
        </w:r>
      </w:hyperlink>
    </w:p>
    <w:p w14:paraId="1E4D6619" w14:textId="08732402" w:rsidR="00D67C61" w:rsidRDefault="00A84E4E">
      <w:pPr>
        <w:pStyle w:val="TOC1"/>
        <w:rPr>
          <w:rFonts w:eastAsiaTheme="minorEastAsia"/>
          <w:b w:val="0"/>
          <w:color w:val="auto"/>
          <w:lang w:eastAsia="en-AU"/>
        </w:rPr>
      </w:pPr>
      <w:hyperlink w:anchor="_Toc56511743" w:history="1">
        <w:r w:rsidR="00D67C61" w:rsidRPr="008003BB">
          <w:rPr>
            <w:rStyle w:val="Hyperlink"/>
          </w:rPr>
          <w:t>Overview</w:t>
        </w:r>
        <w:r w:rsidR="00D67C61">
          <w:rPr>
            <w:webHidden/>
          </w:rPr>
          <w:tab/>
        </w:r>
        <w:r w:rsidR="00D67C61">
          <w:rPr>
            <w:webHidden/>
          </w:rPr>
          <w:fldChar w:fldCharType="begin"/>
        </w:r>
        <w:r w:rsidR="00D67C61">
          <w:rPr>
            <w:webHidden/>
          </w:rPr>
          <w:instrText xml:space="preserve"> PAGEREF _Toc56511743 \h </w:instrText>
        </w:r>
        <w:r w:rsidR="00D67C61">
          <w:rPr>
            <w:webHidden/>
          </w:rPr>
        </w:r>
        <w:r w:rsidR="00D67C61">
          <w:rPr>
            <w:webHidden/>
          </w:rPr>
          <w:fldChar w:fldCharType="separate"/>
        </w:r>
        <w:r w:rsidR="00A658A4">
          <w:rPr>
            <w:webHidden/>
          </w:rPr>
          <w:t>5</w:t>
        </w:r>
        <w:r w:rsidR="00D67C61">
          <w:rPr>
            <w:webHidden/>
          </w:rPr>
          <w:fldChar w:fldCharType="end"/>
        </w:r>
      </w:hyperlink>
    </w:p>
    <w:p w14:paraId="1A5294A4" w14:textId="5E7DCCE7" w:rsidR="00D67C61" w:rsidRDefault="00A84E4E">
      <w:pPr>
        <w:pStyle w:val="TOC1"/>
        <w:rPr>
          <w:rFonts w:eastAsiaTheme="minorEastAsia"/>
          <w:b w:val="0"/>
          <w:color w:val="auto"/>
          <w:lang w:eastAsia="en-AU"/>
        </w:rPr>
      </w:pPr>
      <w:hyperlink w:anchor="_Toc56511744" w:history="1">
        <w:r w:rsidR="00D67C61" w:rsidRPr="008003BB">
          <w:rPr>
            <w:rStyle w:val="Hyperlink"/>
          </w:rPr>
          <w:t>Government response</w:t>
        </w:r>
        <w:r w:rsidR="00D67C61">
          <w:rPr>
            <w:webHidden/>
          </w:rPr>
          <w:tab/>
        </w:r>
        <w:r w:rsidR="00D67C61">
          <w:rPr>
            <w:webHidden/>
          </w:rPr>
          <w:fldChar w:fldCharType="begin"/>
        </w:r>
        <w:r w:rsidR="00D67C61">
          <w:rPr>
            <w:webHidden/>
          </w:rPr>
          <w:instrText xml:space="preserve"> PAGEREF _Toc56511744 \h </w:instrText>
        </w:r>
        <w:r w:rsidR="00D67C61">
          <w:rPr>
            <w:webHidden/>
          </w:rPr>
        </w:r>
        <w:r w:rsidR="00D67C61">
          <w:rPr>
            <w:webHidden/>
          </w:rPr>
          <w:fldChar w:fldCharType="separate"/>
        </w:r>
        <w:r w:rsidR="00A658A4">
          <w:rPr>
            <w:webHidden/>
          </w:rPr>
          <w:t>6</w:t>
        </w:r>
        <w:r w:rsidR="00D67C61">
          <w:rPr>
            <w:webHidden/>
          </w:rPr>
          <w:fldChar w:fldCharType="end"/>
        </w:r>
      </w:hyperlink>
    </w:p>
    <w:p w14:paraId="1429BCD0" w14:textId="17A8DEAB" w:rsidR="006A4472" w:rsidRPr="006A4472" w:rsidRDefault="00DA03A2" w:rsidP="00047C72">
      <w:pPr>
        <w:pStyle w:val="SingleParagraph"/>
        <w:ind w:right="-2"/>
      </w:pPr>
      <w:r>
        <w:rPr>
          <w:b/>
          <w:noProof/>
          <w:color w:val="004A7F"/>
        </w:rPr>
        <w:fldChar w:fldCharType="end"/>
      </w:r>
    </w:p>
    <w:p w14:paraId="3C8197E6" w14:textId="0B1A89EB" w:rsidR="00F836F9" w:rsidRPr="006A4472" w:rsidRDefault="00F836F9" w:rsidP="006A4472">
      <w:pPr>
        <w:sectPr w:rsidR="00F836F9" w:rsidRPr="006A4472" w:rsidSect="00EB457C">
          <w:headerReference w:type="even" r:id="rId18"/>
          <w:headerReference w:type="default" r:id="rId19"/>
          <w:footerReference w:type="even" r:id="rId20"/>
          <w:headerReference w:type="first" r:id="rId21"/>
          <w:footerReference w:type="first" r:id="rId22"/>
          <w:pgSz w:w="11906" w:h="16838" w:code="9"/>
          <w:pgMar w:top="1418" w:right="1418" w:bottom="1418" w:left="1418" w:header="709" w:footer="709" w:gutter="0"/>
          <w:pgNumType w:fmt="lowerRoman"/>
          <w:cols w:space="708"/>
          <w:docGrid w:linePitch="360"/>
        </w:sectPr>
      </w:pPr>
    </w:p>
    <w:p w14:paraId="7F9CA97D" w14:textId="02373230" w:rsidR="00946E41" w:rsidRPr="00024ECD" w:rsidRDefault="00152D64" w:rsidP="00EF4B56">
      <w:pPr>
        <w:pStyle w:val="Heading1"/>
        <w:tabs>
          <w:tab w:val="left" w:pos="6027"/>
        </w:tabs>
        <w:spacing w:after="0"/>
        <w:rPr>
          <w:color w:val="F2F2F2" w:themeColor="background1" w:themeShade="F2"/>
        </w:rPr>
      </w:pPr>
      <w:bookmarkStart w:id="4" w:name="_Toc56511742"/>
      <w:bookmarkEnd w:id="2"/>
      <w:bookmarkEnd w:id="3"/>
      <w:r>
        <w:rPr>
          <w:noProof/>
          <w:color w:val="F2F2F2" w:themeColor="background1" w:themeShade="F2"/>
        </w:rPr>
        <w:lastRenderedPageBreak/>
        <w:drawing>
          <wp:anchor distT="0" distB="0" distL="114300" distR="114300" simplePos="0" relativeHeight="251658240" behindDoc="0" locked="0" layoutInCell="1" allowOverlap="1" wp14:anchorId="77CDCB54" wp14:editId="1A81A827">
            <wp:simplePos x="0" y="0"/>
            <wp:positionH relativeFrom="column">
              <wp:posOffset>-38950</wp:posOffset>
            </wp:positionH>
            <wp:positionV relativeFrom="paragraph">
              <wp:posOffset>-1898135</wp:posOffset>
            </wp:positionV>
            <wp:extent cx="1889125" cy="188023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ficial Headshot Michael_4722_HS - portal.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89125" cy="1880235"/>
                    </a:xfrm>
                    <a:prstGeom prst="rect">
                      <a:avLst/>
                    </a:prstGeom>
                  </pic:spPr>
                </pic:pic>
              </a:graphicData>
            </a:graphic>
          </wp:anchor>
        </w:drawing>
      </w:r>
      <w:r w:rsidR="00946E41" w:rsidRPr="00024ECD">
        <w:rPr>
          <w:color w:val="F2F2F2" w:themeColor="background1" w:themeShade="F2"/>
        </w:rPr>
        <w:t>Foreword</w:t>
      </w:r>
      <w:bookmarkEnd w:id="4"/>
    </w:p>
    <w:p w14:paraId="6DA2B773" w14:textId="68305C65" w:rsidR="00354CA7" w:rsidRPr="00354CA7" w:rsidRDefault="00946E41" w:rsidP="00DB706A">
      <w:pPr>
        <w:spacing w:after="480"/>
      </w:pPr>
      <w:r w:rsidRPr="00024ECD">
        <w:rPr>
          <w:rFonts w:ascii="Calibri Light" w:hAnsi="Calibri Light"/>
          <w:color w:val="F2F2F2" w:themeColor="background1" w:themeShade="F2"/>
          <w:sz w:val="36"/>
        </w:rPr>
        <w:t>I am pleased to rel</w:t>
      </w:r>
      <w:r w:rsidR="003A1666">
        <w:rPr>
          <w:rFonts w:ascii="Calibri Light" w:hAnsi="Calibri Light"/>
          <w:color w:val="F2F2F2" w:themeColor="background1" w:themeShade="F2"/>
          <w:sz w:val="36"/>
        </w:rPr>
        <w:t xml:space="preserve">ease </w:t>
      </w:r>
      <w:r w:rsidR="00677A65">
        <w:rPr>
          <w:rFonts w:ascii="Calibri Light" w:hAnsi="Calibri Light"/>
          <w:color w:val="F2F2F2" w:themeColor="background1" w:themeShade="F2"/>
          <w:sz w:val="36"/>
        </w:rPr>
        <w:t xml:space="preserve">the </w:t>
      </w:r>
      <w:r w:rsidRPr="00024ECD">
        <w:rPr>
          <w:rFonts w:ascii="Calibri Light" w:hAnsi="Calibri Light"/>
          <w:color w:val="F2F2F2" w:themeColor="background1" w:themeShade="F2"/>
          <w:sz w:val="36"/>
        </w:rPr>
        <w:t>Australian</w:t>
      </w:r>
      <w:r w:rsidR="00D9099B">
        <w:rPr>
          <w:rFonts w:ascii="Calibri Light" w:hAnsi="Calibri Light"/>
          <w:color w:val="F2F2F2" w:themeColor="background1" w:themeShade="F2"/>
          <w:sz w:val="36"/>
        </w:rPr>
        <w:t xml:space="preserve"> Government</w:t>
      </w:r>
      <w:r w:rsidR="00D33AAA">
        <w:rPr>
          <w:rFonts w:ascii="Calibri Light" w:hAnsi="Calibri Light"/>
          <w:color w:val="F2F2F2" w:themeColor="background1" w:themeShade="F2"/>
          <w:sz w:val="36"/>
        </w:rPr>
        <w:t>’s</w:t>
      </w:r>
      <w:r w:rsidR="00D9099B">
        <w:rPr>
          <w:rFonts w:ascii="Calibri Light" w:hAnsi="Calibri Light"/>
          <w:color w:val="F2F2F2" w:themeColor="background1" w:themeShade="F2"/>
          <w:sz w:val="36"/>
        </w:rPr>
        <w:t xml:space="preserve"> response to the</w:t>
      </w:r>
      <w:r w:rsidRPr="00024ECD">
        <w:rPr>
          <w:rFonts w:ascii="Calibri Light" w:hAnsi="Calibri Light"/>
          <w:color w:val="F2F2F2" w:themeColor="background1" w:themeShade="F2"/>
          <w:sz w:val="36"/>
        </w:rPr>
        <w:t xml:space="preserve"> </w:t>
      </w:r>
      <w:r w:rsidR="0020584B">
        <w:rPr>
          <w:rFonts w:ascii="Calibri Light" w:hAnsi="Calibri Light"/>
          <w:color w:val="F2F2F2" w:themeColor="background1" w:themeShade="F2"/>
          <w:sz w:val="36"/>
        </w:rPr>
        <w:t xml:space="preserve">Tax Practitioners </w:t>
      </w:r>
      <w:r w:rsidR="008D396D">
        <w:rPr>
          <w:rFonts w:ascii="Calibri Light" w:hAnsi="Calibri Light"/>
          <w:color w:val="F2F2F2" w:themeColor="background1" w:themeShade="F2"/>
          <w:sz w:val="36"/>
        </w:rPr>
        <w:t>Board (TPB)</w:t>
      </w:r>
      <w:r w:rsidRPr="00024ECD">
        <w:rPr>
          <w:rFonts w:ascii="Calibri Light" w:hAnsi="Calibri Light"/>
          <w:color w:val="F2F2F2" w:themeColor="background1" w:themeShade="F2"/>
          <w:sz w:val="36"/>
        </w:rPr>
        <w:t xml:space="preserve"> Review 201</w:t>
      </w:r>
      <w:r w:rsidR="00FD2A37">
        <w:rPr>
          <w:rFonts w:ascii="Calibri Light" w:hAnsi="Calibri Light"/>
          <w:color w:val="F2F2F2" w:themeColor="background1" w:themeShade="F2"/>
          <w:sz w:val="36"/>
        </w:rPr>
        <w:t>9</w:t>
      </w:r>
    </w:p>
    <w:p w14:paraId="3B8C7B3E" w14:textId="77777777" w:rsidR="00854E9C" w:rsidRPr="00354CA7" w:rsidRDefault="00854E9C" w:rsidP="00354CA7">
      <w:pPr>
        <w:sectPr w:rsidR="00854E9C" w:rsidRPr="00354CA7" w:rsidSect="00316319">
          <w:headerReference w:type="default" r:id="rId24"/>
          <w:pgSz w:w="11906" w:h="16838" w:code="9"/>
          <w:pgMar w:top="4931" w:right="1134" w:bottom="1418" w:left="1134" w:header="709" w:footer="709" w:gutter="0"/>
          <w:cols w:space="340"/>
          <w:docGrid w:linePitch="360"/>
        </w:sectPr>
      </w:pPr>
    </w:p>
    <w:p w14:paraId="0342D310" w14:textId="3116216D" w:rsidR="006954AB" w:rsidRDefault="00C23A2E" w:rsidP="00DB706A">
      <w:pPr>
        <w:spacing w:after="120"/>
      </w:pPr>
      <w:r w:rsidRPr="008F6D6C">
        <w:rPr>
          <w:color w:val="F2F2F2" w:themeColor="background1" w:themeShade="F2"/>
          <w:sz w:val="21"/>
          <w:szCs w:val="21"/>
        </w:rPr>
        <w:t>Our respons</w:t>
      </w:r>
      <w:r w:rsidR="003A1666" w:rsidRPr="008F6D6C">
        <w:rPr>
          <w:color w:val="F2F2F2" w:themeColor="background1" w:themeShade="F2"/>
          <w:sz w:val="21"/>
          <w:szCs w:val="21"/>
        </w:rPr>
        <w:t>e forms part of the Government</w:t>
      </w:r>
      <w:r w:rsidR="00BE2F55" w:rsidRPr="008F6D6C">
        <w:rPr>
          <w:color w:val="F2F2F2" w:themeColor="background1" w:themeShade="F2"/>
          <w:sz w:val="21"/>
          <w:szCs w:val="21"/>
        </w:rPr>
        <w:t>’s</w:t>
      </w:r>
      <w:r w:rsidRPr="008F6D6C">
        <w:rPr>
          <w:color w:val="F2F2F2" w:themeColor="background1" w:themeShade="F2"/>
          <w:sz w:val="21"/>
          <w:szCs w:val="21"/>
        </w:rPr>
        <w:t xml:space="preserve"> wider commitment to </w:t>
      </w:r>
      <w:r w:rsidR="00F13EDD">
        <w:rPr>
          <w:color w:val="F2F2F2" w:themeColor="background1" w:themeShade="F2"/>
          <w:sz w:val="21"/>
          <w:szCs w:val="21"/>
        </w:rPr>
        <w:t>improve the ef</w:t>
      </w:r>
      <w:r w:rsidR="00842161">
        <w:rPr>
          <w:color w:val="F2F2F2" w:themeColor="background1" w:themeShade="F2"/>
          <w:sz w:val="21"/>
          <w:szCs w:val="21"/>
        </w:rPr>
        <w:t xml:space="preserve">fectiveness of the </w:t>
      </w:r>
      <w:r w:rsidR="005F117F">
        <w:rPr>
          <w:color w:val="F2F2F2" w:themeColor="background1" w:themeShade="F2"/>
          <w:sz w:val="21"/>
          <w:szCs w:val="21"/>
        </w:rPr>
        <w:t>TPB</w:t>
      </w:r>
      <w:r w:rsidR="009A5EF8">
        <w:rPr>
          <w:color w:val="F2F2F2" w:themeColor="background1" w:themeShade="F2"/>
          <w:sz w:val="21"/>
          <w:szCs w:val="21"/>
        </w:rPr>
        <w:t xml:space="preserve">, who </w:t>
      </w:r>
      <w:r w:rsidR="0064664D">
        <w:rPr>
          <w:color w:val="F2F2F2" w:themeColor="background1" w:themeShade="F2"/>
          <w:sz w:val="21"/>
          <w:szCs w:val="21"/>
        </w:rPr>
        <w:t xml:space="preserve">is </w:t>
      </w:r>
      <w:r w:rsidR="009A5EF8">
        <w:rPr>
          <w:color w:val="F2F2F2" w:themeColor="background1" w:themeShade="F2"/>
          <w:sz w:val="21"/>
          <w:szCs w:val="21"/>
        </w:rPr>
        <w:t xml:space="preserve">responsible for </w:t>
      </w:r>
      <w:r w:rsidR="00C92AED">
        <w:rPr>
          <w:color w:val="F2F2F2" w:themeColor="background1" w:themeShade="F2"/>
          <w:sz w:val="21"/>
          <w:szCs w:val="21"/>
        </w:rPr>
        <w:t xml:space="preserve">the </w:t>
      </w:r>
      <w:r w:rsidR="009A5EF8">
        <w:rPr>
          <w:color w:val="F2F2F2" w:themeColor="background1" w:themeShade="F2"/>
          <w:sz w:val="21"/>
          <w:szCs w:val="21"/>
        </w:rPr>
        <w:t>regulation of tax practitioners</w:t>
      </w:r>
      <w:r w:rsidRPr="008F6D6C">
        <w:rPr>
          <w:color w:val="F2F2F2" w:themeColor="background1" w:themeShade="F2"/>
          <w:sz w:val="21"/>
          <w:szCs w:val="21"/>
        </w:rPr>
        <w:t>.</w:t>
      </w:r>
      <w:r w:rsidR="009A5EF8" w:rsidRPr="009A5EF8">
        <w:t xml:space="preserve"> </w:t>
      </w:r>
    </w:p>
    <w:p w14:paraId="603C794F" w14:textId="4C9F545A" w:rsidR="00C23A2E" w:rsidRPr="008F6D6C" w:rsidRDefault="009A5EF8" w:rsidP="00DB706A">
      <w:pPr>
        <w:spacing w:before="120" w:after="120"/>
        <w:rPr>
          <w:color w:val="F2F2F2" w:themeColor="background1" w:themeShade="F2"/>
          <w:sz w:val="21"/>
          <w:szCs w:val="21"/>
        </w:rPr>
      </w:pPr>
      <w:r w:rsidRPr="009A5EF8">
        <w:rPr>
          <w:color w:val="F2F2F2" w:themeColor="background1" w:themeShade="F2"/>
          <w:sz w:val="21"/>
          <w:szCs w:val="21"/>
        </w:rPr>
        <w:t xml:space="preserve">Tax practitioners play a vital role in the tax system. Around 17 million taxpayers use a tax agent to prepare their returns.  </w:t>
      </w:r>
    </w:p>
    <w:p w14:paraId="1E227618" w14:textId="63E466B5" w:rsidR="00C23A2E" w:rsidRPr="008F6D6C" w:rsidRDefault="00590548" w:rsidP="00DB706A">
      <w:pPr>
        <w:spacing w:before="120" w:after="120"/>
        <w:rPr>
          <w:color w:val="F2F2F2" w:themeColor="background1" w:themeShade="F2"/>
          <w:sz w:val="21"/>
          <w:szCs w:val="21"/>
        </w:rPr>
      </w:pPr>
      <w:r>
        <w:rPr>
          <w:color w:val="F2F2F2" w:themeColor="background1" w:themeShade="F2"/>
          <w:sz w:val="21"/>
          <w:szCs w:val="21"/>
        </w:rPr>
        <w:t>T</w:t>
      </w:r>
      <w:r w:rsidRPr="00387D94">
        <w:rPr>
          <w:color w:val="F2F2F2" w:themeColor="background1" w:themeShade="F2"/>
          <w:sz w:val="21"/>
          <w:szCs w:val="21"/>
        </w:rPr>
        <w:t xml:space="preserve">he panel received more than </w:t>
      </w:r>
      <w:r w:rsidR="005F117F">
        <w:rPr>
          <w:color w:val="F2F2F2" w:themeColor="background1" w:themeShade="F2"/>
          <w:sz w:val="21"/>
          <w:szCs w:val="21"/>
        </w:rPr>
        <w:t>9</w:t>
      </w:r>
      <w:r>
        <w:rPr>
          <w:color w:val="F2F2F2" w:themeColor="background1" w:themeShade="F2"/>
          <w:sz w:val="21"/>
          <w:szCs w:val="21"/>
        </w:rPr>
        <w:t>0</w:t>
      </w:r>
      <w:r w:rsidRPr="00387D94">
        <w:rPr>
          <w:color w:val="F2F2F2" w:themeColor="background1" w:themeShade="F2"/>
          <w:sz w:val="21"/>
          <w:szCs w:val="21"/>
        </w:rPr>
        <w:t xml:space="preserve"> submissions and met with </w:t>
      </w:r>
      <w:r>
        <w:rPr>
          <w:color w:val="F2F2F2" w:themeColor="background1" w:themeShade="F2"/>
          <w:sz w:val="21"/>
          <w:szCs w:val="21"/>
        </w:rPr>
        <w:t xml:space="preserve">multiple </w:t>
      </w:r>
      <w:r w:rsidRPr="00387D94">
        <w:rPr>
          <w:color w:val="F2F2F2" w:themeColor="background1" w:themeShade="F2"/>
          <w:sz w:val="21"/>
          <w:szCs w:val="21"/>
        </w:rPr>
        <w:t xml:space="preserve">stakeholders to </w:t>
      </w:r>
      <w:r w:rsidR="00387D94" w:rsidRPr="00387D94">
        <w:rPr>
          <w:color w:val="F2F2F2" w:themeColor="background1" w:themeShade="F2"/>
          <w:sz w:val="21"/>
          <w:szCs w:val="21"/>
        </w:rPr>
        <w:t>gauge the effectiveness of the</w:t>
      </w:r>
      <w:r w:rsidR="00A47286">
        <w:rPr>
          <w:color w:val="F2F2F2" w:themeColor="background1" w:themeShade="F2"/>
          <w:sz w:val="21"/>
          <w:szCs w:val="21"/>
        </w:rPr>
        <w:t xml:space="preserve"> TPB and </w:t>
      </w:r>
      <w:r w:rsidR="005F117F">
        <w:rPr>
          <w:color w:val="F2F2F2" w:themeColor="background1" w:themeShade="F2"/>
          <w:sz w:val="21"/>
          <w:szCs w:val="21"/>
        </w:rPr>
        <w:t>Tax Agent Services Act 2009 (TASA)</w:t>
      </w:r>
      <w:r w:rsidR="00CD5FA8">
        <w:rPr>
          <w:color w:val="F2F2F2" w:themeColor="background1" w:themeShade="F2"/>
          <w:sz w:val="21"/>
          <w:szCs w:val="21"/>
        </w:rPr>
        <w:t>.</w:t>
      </w:r>
      <w:r w:rsidR="009E247E">
        <w:rPr>
          <w:color w:val="F2F2F2" w:themeColor="background1" w:themeShade="F2"/>
          <w:sz w:val="21"/>
          <w:szCs w:val="21"/>
        </w:rPr>
        <w:t xml:space="preserve"> </w:t>
      </w:r>
      <w:r w:rsidR="006026AF">
        <w:rPr>
          <w:color w:val="F2F2F2" w:themeColor="background1" w:themeShade="F2"/>
          <w:sz w:val="21"/>
          <w:szCs w:val="21"/>
        </w:rPr>
        <w:t>Overall</w:t>
      </w:r>
      <w:r w:rsidR="00C23A2E" w:rsidRPr="008F6D6C">
        <w:rPr>
          <w:color w:val="F2F2F2" w:themeColor="background1" w:themeShade="F2"/>
          <w:sz w:val="21"/>
          <w:szCs w:val="21"/>
        </w:rPr>
        <w:t>,</w:t>
      </w:r>
      <w:r w:rsidR="006026AF">
        <w:rPr>
          <w:color w:val="F2F2F2" w:themeColor="background1" w:themeShade="F2"/>
          <w:sz w:val="21"/>
          <w:szCs w:val="21"/>
        </w:rPr>
        <w:t xml:space="preserve"> of the 28 </w:t>
      </w:r>
      <w:r w:rsidR="005F117F">
        <w:rPr>
          <w:color w:val="F2F2F2" w:themeColor="background1" w:themeShade="F2"/>
          <w:sz w:val="21"/>
          <w:szCs w:val="21"/>
        </w:rPr>
        <w:t>recommendations in the Review,</w:t>
      </w:r>
      <w:r w:rsidR="006026AF">
        <w:rPr>
          <w:color w:val="F2F2F2" w:themeColor="background1" w:themeShade="F2"/>
          <w:sz w:val="21"/>
          <w:szCs w:val="21"/>
        </w:rPr>
        <w:t xml:space="preserve"> the </w:t>
      </w:r>
      <w:r w:rsidR="002009F5">
        <w:rPr>
          <w:color w:val="F2F2F2" w:themeColor="background1" w:themeShade="F2"/>
          <w:sz w:val="21"/>
          <w:szCs w:val="21"/>
        </w:rPr>
        <w:t>G</w:t>
      </w:r>
      <w:r w:rsidR="006026AF">
        <w:rPr>
          <w:color w:val="F2F2F2" w:themeColor="background1" w:themeShade="F2"/>
          <w:sz w:val="21"/>
          <w:szCs w:val="21"/>
        </w:rPr>
        <w:t xml:space="preserve">overnment </w:t>
      </w:r>
      <w:r w:rsidR="0064664D">
        <w:rPr>
          <w:color w:val="F2F2F2" w:themeColor="background1" w:themeShade="F2"/>
          <w:sz w:val="21"/>
          <w:szCs w:val="21"/>
        </w:rPr>
        <w:t xml:space="preserve">supports </w:t>
      </w:r>
      <w:r w:rsidR="006026AF">
        <w:rPr>
          <w:color w:val="F2F2F2" w:themeColor="background1" w:themeShade="F2"/>
          <w:sz w:val="21"/>
          <w:szCs w:val="21"/>
        </w:rPr>
        <w:t xml:space="preserve">in full or in-part with </w:t>
      </w:r>
      <w:r w:rsidR="00F621BC">
        <w:rPr>
          <w:color w:val="F2F2F2" w:themeColor="background1" w:themeShade="F2"/>
          <w:sz w:val="21"/>
          <w:szCs w:val="21"/>
        </w:rPr>
        <w:t>10</w:t>
      </w:r>
      <w:r w:rsidR="006026AF">
        <w:rPr>
          <w:color w:val="F2F2F2" w:themeColor="background1" w:themeShade="F2"/>
          <w:sz w:val="21"/>
          <w:szCs w:val="21"/>
        </w:rPr>
        <w:t xml:space="preserve"> recommendations and </w:t>
      </w:r>
      <w:r w:rsidR="0064664D">
        <w:rPr>
          <w:color w:val="F2F2F2" w:themeColor="background1" w:themeShade="F2"/>
          <w:sz w:val="21"/>
          <w:szCs w:val="21"/>
        </w:rPr>
        <w:t xml:space="preserve">supports </w:t>
      </w:r>
      <w:r w:rsidR="006026AF">
        <w:rPr>
          <w:color w:val="F2F2F2" w:themeColor="background1" w:themeShade="F2"/>
          <w:sz w:val="21"/>
          <w:szCs w:val="21"/>
        </w:rPr>
        <w:t xml:space="preserve">in </w:t>
      </w:r>
      <w:r w:rsidR="006954AB">
        <w:rPr>
          <w:color w:val="F2F2F2" w:themeColor="background1" w:themeShade="F2"/>
          <w:sz w:val="21"/>
          <w:szCs w:val="21"/>
        </w:rPr>
        <w:t>principle</w:t>
      </w:r>
      <w:r w:rsidR="006026AF">
        <w:rPr>
          <w:color w:val="F2F2F2" w:themeColor="background1" w:themeShade="F2"/>
          <w:sz w:val="21"/>
          <w:szCs w:val="21"/>
        </w:rPr>
        <w:t xml:space="preserve"> with another 10 recommendations.</w:t>
      </w:r>
    </w:p>
    <w:p w14:paraId="418C7A73" w14:textId="6112546F" w:rsidR="008C658A" w:rsidRDefault="00387D94" w:rsidP="00DB706A">
      <w:pPr>
        <w:spacing w:before="120" w:after="120"/>
        <w:rPr>
          <w:color w:val="F2F2F2" w:themeColor="background1" w:themeShade="F2"/>
          <w:sz w:val="21"/>
          <w:szCs w:val="21"/>
        </w:rPr>
      </w:pPr>
      <w:r>
        <w:rPr>
          <w:color w:val="F2F2F2" w:themeColor="background1" w:themeShade="F2"/>
          <w:sz w:val="21"/>
          <w:szCs w:val="21"/>
        </w:rPr>
        <w:t xml:space="preserve">I </w:t>
      </w:r>
      <w:r w:rsidR="00C23A2E" w:rsidRPr="008F6D6C">
        <w:rPr>
          <w:color w:val="F2F2F2" w:themeColor="background1" w:themeShade="F2"/>
          <w:sz w:val="21"/>
          <w:szCs w:val="21"/>
        </w:rPr>
        <w:t xml:space="preserve">believe our response to the recommendations </w:t>
      </w:r>
      <w:r w:rsidR="002D68FC" w:rsidRPr="008F6D6C">
        <w:rPr>
          <w:color w:val="F2F2F2" w:themeColor="background1" w:themeShade="F2"/>
          <w:sz w:val="21"/>
          <w:szCs w:val="21"/>
        </w:rPr>
        <w:t xml:space="preserve">will result in a </w:t>
      </w:r>
      <w:r w:rsidR="006954AB">
        <w:rPr>
          <w:color w:val="F2F2F2" w:themeColor="background1" w:themeShade="F2"/>
          <w:sz w:val="21"/>
          <w:szCs w:val="21"/>
        </w:rPr>
        <w:t>more effective and independent</w:t>
      </w:r>
      <w:r w:rsidR="005C1F44">
        <w:rPr>
          <w:color w:val="F2F2F2" w:themeColor="background1" w:themeShade="F2"/>
          <w:sz w:val="21"/>
          <w:szCs w:val="21"/>
        </w:rPr>
        <w:t xml:space="preserve"> TPB</w:t>
      </w:r>
      <w:r w:rsidR="005C1337">
        <w:rPr>
          <w:color w:val="F2F2F2" w:themeColor="background1" w:themeShade="F2"/>
          <w:sz w:val="21"/>
          <w:szCs w:val="21"/>
        </w:rPr>
        <w:t xml:space="preserve"> and</w:t>
      </w:r>
      <w:r w:rsidR="00E65E4A">
        <w:rPr>
          <w:color w:val="F2F2F2" w:themeColor="background1" w:themeShade="F2"/>
          <w:sz w:val="21"/>
          <w:szCs w:val="21"/>
        </w:rPr>
        <w:t xml:space="preserve"> </w:t>
      </w:r>
      <w:r w:rsidR="00F621BC">
        <w:rPr>
          <w:color w:val="F2F2F2" w:themeColor="background1" w:themeShade="F2"/>
          <w:sz w:val="21"/>
          <w:szCs w:val="21"/>
        </w:rPr>
        <w:t xml:space="preserve">a </w:t>
      </w:r>
      <w:r w:rsidR="006954AB">
        <w:rPr>
          <w:color w:val="F2F2F2" w:themeColor="background1" w:themeShade="F2"/>
          <w:sz w:val="21"/>
          <w:szCs w:val="21"/>
        </w:rPr>
        <w:t>reduction in red tape for</w:t>
      </w:r>
      <w:r w:rsidR="005C1337">
        <w:rPr>
          <w:color w:val="F2F2F2" w:themeColor="background1" w:themeShade="F2"/>
          <w:sz w:val="21"/>
          <w:szCs w:val="21"/>
        </w:rPr>
        <w:t xml:space="preserve"> tax practitioners.</w:t>
      </w:r>
      <w:r w:rsidR="00E65E4A" w:rsidRPr="00E65E4A">
        <w:rPr>
          <w:color w:val="F2F2F2" w:themeColor="background1" w:themeShade="F2"/>
          <w:sz w:val="21"/>
          <w:szCs w:val="21"/>
        </w:rPr>
        <w:t xml:space="preserve"> </w:t>
      </w:r>
      <w:r w:rsidR="005C1337">
        <w:rPr>
          <w:color w:val="F2F2F2" w:themeColor="background1" w:themeShade="F2"/>
          <w:sz w:val="21"/>
          <w:szCs w:val="21"/>
        </w:rPr>
        <w:t xml:space="preserve">Implementation of these recommendations will enhance community </w:t>
      </w:r>
      <w:proofErr w:type="gramStart"/>
      <w:r w:rsidR="005C1337">
        <w:rPr>
          <w:color w:val="F2F2F2" w:themeColor="background1" w:themeShade="F2"/>
          <w:sz w:val="21"/>
          <w:szCs w:val="21"/>
        </w:rPr>
        <w:t>confidence</w:t>
      </w:r>
      <w:r w:rsidR="009D4552">
        <w:rPr>
          <w:color w:val="F2F2F2" w:themeColor="background1" w:themeShade="F2"/>
          <w:sz w:val="21"/>
          <w:szCs w:val="21"/>
        </w:rPr>
        <w:t>, and</w:t>
      </w:r>
      <w:proofErr w:type="gramEnd"/>
      <w:r w:rsidR="009D4552">
        <w:rPr>
          <w:color w:val="F2F2F2" w:themeColor="background1" w:themeShade="F2"/>
          <w:sz w:val="21"/>
          <w:szCs w:val="21"/>
        </w:rPr>
        <w:t xml:space="preserve"> support high standards in </w:t>
      </w:r>
      <w:r w:rsidR="005C1337">
        <w:rPr>
          <w:color w:val="F2F2F2" w:themeColor="background1" w:themeShade="F2"/>
          <w:sz w:val="21"/>
          <w:szCs w:val="21"/>
        </w:rPr>
        <w:t xml:space="preserve">the tax profession. </w:t>
      </w:r>
    </w:p>
    <w:p w14:paraId="25E6658A" w14:textId="297CAA76" w:rsidR="003A5753" w:rsidRDefault="00C23A2E" w:rsidP="00DB706A">
      <w:pPr>
        <w:spacing w:before="120" w:after="120"/>
        <w:rPr>
          <w:color w:val="F2F2F2" w:themeColor="background1" w:themeShade="F2"/>
          <w:sz w:val="21"/>
          <w:szCs w:val="21"/>
        </w:rPr>
      </w:pPr>
      <w:r w:rsidRPr="008F6D6C">
        <w:rPr>
          <w:color w:val="F2F2F2" w:themeColor="background1" w:themeShade="F2"/>
          <w:sz w:val="21"/>
          <w:szCs w:val="21"/>
        </w:rPr>
        <w:t xml:space="preserve">I note </w:t>
      </w:r>
      <w:r w:rsidR="005F117F">
        <w:rPr>
          <w:color w:val="F2F2F2" w:themeColor="background1" w:themeShade="F2"/>
          <w:sz w:val="21"/>
          <w:szCs w:val="21"/>
        </w:rPr>
        <w:t xml:space="preserve">that </w:t>
      </w:r>
      <w:r w:rsidRPr="008F6D6C">
        <w:rPr>
          <w:color w:val="F2F2F2" w:themeColor="background1" w:themeShade="F2"/>
          <w:sz w:val="21"/>
          <w:szCs w:val="21"/>
        </w:rPr>
        <w:t xml:space="preserve">some of the recommendations require consultation to </w:t>
      </w:r>
      <w:r w:rsidR="008C0027">
        <w:rPr>
          <w:color w:val="F2F2F2" w:themeColor="background1" w:themeShade="F2"/>
          <w:sz w:val="21"/>
          <w:szCs w:val="21"/>
        </w:rPr>
        <w:t xml:space="preserve">further </w:t>
      </w:r>
      <w:r w:rsidR="00E75058">
        <w:rPr>
          <w:color w:val="F2F2F2" w:themeColor="background1" w:themeShade="F2"/>
          <w:sz w:val="21"/>
          <w:szCs w:val="21"/>
        </w:rPr>
        <w:t xml:space="preserve">develop </w:t>
      </w:r>
      <w:r w:rsidR="008C0027">
        <w:rPr>
          <w:color w:val="F2F2F2" w:themeColor="background1" w:themeShade="F2"/>
          <w:sz w:val="21"/>
          <w:szCs w:val="21"/>
        </w:rPr>
        <w:t>options for implementation.</w:t>
      </w:r>
      <w:r w:rsidRPr="008F6D6C">
        <w:rPr>
          <w:color w:val="F2F2F2" w:themeColor="background1" w:themeShade="F2"/>
          <w:sz w:val="21"/>
          <w:szCs w:val="21"/>
        </w:rPr>
        <w:t xml:space="preserve"> </w:t>
      </w:r>
      <w:r w:rsidR="00CE6D8E">
        <w:rPr>
          <w:color w:val="F2F2F2" w:themeColor="background1" w:themeShade="F2"/>
          <w:sz w:val="21"/>
          <w:szCs w:val="21"/>
        </w:rPr>
        <w:t xml:space="preserve">I look forward to engaging with you over coming months on these issues.  </w:t>
      </w:r>
    </w:p>
    <w:p w14:paraId="53DE4206" w14:textId="4C451B4C" w:rsidR="00D45F27" w:rsidRPr="008F6D6C" w:rsidRDefault="00D45F27" w:rsidP="00DB706A">
      <w:pPr>
        <w:spacing w:before="120" w:after="120"/>
        <w:rPr>
          <w:color w:val="F2F2F2" w:themeColor="background1" w:themeShade="F2"/>
          <w:sz w:val="21"/>
          <w:szCs w:val="21"/>
        </w:rPr>
      </w:pPr>
      <w:r w:rsidRPr="008F6D6C">
        <w:rPr>
          <w:color w:val="F2F2F2" w:themeColor="background1" w:themeShade="F2"/>
          <w:sz w:val="21"/>
          <w:szCs w:val="21"/>
        </w:rPr>
        <w:t xml:space="preserve">I would like to acknowledge the </w:t>
      </w:r>
      <w:r w:rsidR="008E0EF9">
        <w:rPr>
          <w:color w:val="F2F2F2" w:themeColor="background1" w:themeShade="F2"/>
          <w:sz w:val="21"/>
          <w:szCs w:val="21"/>
        </w:rPr>
        <w:t>head of the Review</w:t>
      </w:r>
      <w:r w:rsidR="004B4001">
        <w:rPr>
          <w:color w:val="F2F2F2" w:themeColor="background1" w:themeShade="F2"/>
          <w:sz w:val="21"/>
          <w:szCs w:val="21"/>
        </w:rPr>
        <w:t>,</w:t>
      </w:r>
      <w:r w:rsidR="008E0EF9">
        <w:rPr>
          <w:color w:val="F2F2F2" w:themeColor="background1" w:themeShade="F2"/>
          <w:sz w:val="21"/>
          <w:szCs w:val="21"/>
        </w:rPr>
        <w:t xml:space="preserve"> </w:t>
      </w:r>
      <w:r w:rsidRPr="008F6D6C">
        <w:rPr>
          <w:color w:val="F2F2F2" w:themeColor="background1" w:themeShade="F2"/>
          <w:sz w:val="21"/>
          <w:szCs w:val="21"/>
        </w:rPr>
        <w:t>Mr </w:t>
      </w:r>
      <w:r>
        <w:rPr>
          <w:color w:val="F2F2F2" w:themeColor="background1" w:themeShade="F2"/>
          <w:sz w:val="21"/>
          <w:szCs w:val="21"/>
        </w:rPr>
        <w:t>Keith James</w:t>
      </w:r>
      <w:r w:rsidR="008F5FA5">
        <w:rPr>
          <w:color w:val="F2F2F2" w:themeColor="background1" w:themeShade="F2"/>
          <w:sz w:val="21"/>
          <w:szCs w:val="21"/>
        </w:rPr>
        <w:t xml:space="preserve"> (</w:t>
      </w:r>
      <w:r w:rsidR="0064664D">
        <w:rPr>
          <w:color w:val="F2F2F2" w:themeColor="background1" w:themeShade="F2"/>
          <w:sz w:val="21"/>
          <w:szCs w:val="21"/>
        </w:rPr>
        <w:t>C</w:t>
      </w:r>
      <w:r w:rsidR="008F5FA5">
        <w:rPr>
          <w:color w:val="F2F2F2" w:themeColor="background1" w:themeShade="F2"/>
          <w:sz w:val="21"/>
          <w:szCs w:val="21"/>
        </w:rPr>
        <w:t>hair</w:t>
      </w:r>
      <w:r>
        <w:rPr>
          <w:color w:val="F2F2F2" w:themeColor="background1" w:themeShade="F2"/>
          <w:sz w:val="21"/>
          <w:szCs w:val="21"/>
        </w:rPr>
        <w:t>)</w:t>
      </w:r>
      <w:r w:rsidR="008E0EF9">
        <w:rPr>
          <w:color w:val="F2F2F2" w:themeColor="background1" w:themeShade="F2"/>
          <w:sz w:val="21"/>
          <w:szCs w:val="21"/>
        </w:rPr>
        <w:t>, who was assisted by</w:t>
      </w:r>
      <w:r w:rsidR="008F5FA5">
        <w:rPr>
          <w:color w:val="F2F2F2" w:themeColor="background1" w:themeShade="F2"/>
          <w:sz w:val="21"/>
          <w:szCs w:val="21"/>
        </w:rPr>
        <w:t xml:space="preserve"> Mr Neil Earle</w:t>
      </w:r>
      <w:r w:rsidR="008E0EF9">
        <w:rPr>
          <w:color w:val="F2F2F2" w:themeColor="background1" w:themeShade="F2"/>
          <w:sz w:val="21"/>
          <w:szCs w:val="21"/>
        </w:rPr>
        <w:t xml:space="preserve">. I would like to thank them for </w:t>
      </w:r>
      <w:r w:rsidRPr="008F6D6C">
        <w:rPr>
          <w:color w:val="F2F2F2" w:themeColor="background1" w:themeShade="F2"/>
          <w:sz w:val="21"/>
          <w:szCs w:val="21"/>
        </w:rPr>
        <w:t xml:space="preserve">their outstanding work and thank </w:t>
      </w:r>
      <w:r w:rsidR="00E61D84">
        <w:rPr>
          <w:color w:val="F2F2F2" w:themeColor="background1" w:themeShade="F2"/>
          <w:sz w:val="21"/>
          <w:szCs w:val="21"/>
        </w:rPr>
        <w:t>all parties that</w:t>
      </w:r>
      <w:r w:rsidRPr="008F6D6C">
        <w:rPr>
          <w:color w:val="F2F2F2" w:themeColor="background1" w:themeShade="F2"/>
          <w:sz w:val="21"/>
          <w:szCs w:val="21"/>
        </w:rPr>
        <w:t xml:space="preserve"> </w:t>
      </w:r>
      <w:r>
        <w:rPr>
          <w:color w:val="F2F2F2" w:themeColor="background1" w:themeShade="F2"/>
          <w:sz w:val="21"/>
          <w:szCs w:val="21"/>
        </w:rPr>
        <w:t>made submissions</w:t>
      </w:r>
      <w:r w:rsidRPr="008F6D6C">
        <w:rPr>
          <w:color w:val="F2F2F2" w:themeColor="background1" w:themeShade="F2"/>
          <w:sz w:val="21"/>
          <w:szCs w:val="21"/>
        </w:rPr>
        <w:t xml:space="preserve">. The </w:t>
      </w:r>
      <w:r w:rsidRPr="008F6D6C">
        <w:rPr>
          <w:color w:val="F2F2F2" w:themeColor="background1" w:themeShade="F2"/>
          <w:sz w:val="21"/>
          <w:szCs w:val="21"/>
        </w:rPr>
        <w:t xml:space="preserve">Government is </w:t>
      </w:r>
      <w:r w:rsidR="00E61D84">
        <w:rPr>
          <w:color w:val="F2F2F2" w:themeColor="background1" w:themeShade="F2"/>
          <w:sz w:val="21"/>
          <w:szCs w:val="21"/>
        </w:rPr>
        <w:t>well positioned to take</w:t>
      </w:r>
      <w:r w:rsidRPr="008F6D6C">
        <w:rPr>
          <w:color w:val="F2F2F2" w:themeColor="background1" w:themeShade="F2"/>
          <w:sz w:val="21"/>
          <w:szCs w:val="21"/>
        </w:rPr>
        <w:t xml:space="preserve"> clear and decisive action </w:t>
      </w:r>
      <w:r w:rsidR="00057185">
        <w:rPr>
          <w:color w:val="F2F2F2" w:themeColor="background1" w:themeShade="F2"/>
          <w:sz w:val="21"/>
          <w:szCs w:val="21"/>
        </w:rPr>
        <w:t>due</w:t>
      </w:r>
      <w:r w:rsidRPr="008F6D6C">
        <w:rPr>
          <w:color w:val="F2F2F2" w:themeColor="background1" w:themeShade="F2"/>
          <w:sz w:val="21"/>
          <w:szCs w:val="21"/>
        </w:rPr>
        <w:t xml:space="preserve"> to the</w:t>
      </w:r>
      <w:r w:rsidR="008E0EF9">
        <w:rPr>
          <w:color w:val="F2F2F2" w:themeColor="background1" w:themeShade="F2"/>
          <w:sz w:val="21"/>
          <w:szCs w:val="21"/>
        </w:rPr>
        <w:t>ir</w:t>
      </w:r>
      <w:r w:rsidRPr="008F6D6C">
        <w:rPr>
          <w:color w:val="F2F2F2" w:themeColor="background1" w:themeShade="F2"/>
          <w:sz w:val="21"/>
          <w:szCs w:val="21"/>
        </w:rPr>
        <w:t xml:space="preserve"> thorough review and comprehensive report.</w:t>
      </w:r>
    </w:p>
    <w:p w14:paraId="06897D9E" w14:textId="731BF575" w:rsidR="00374D27" w:rsidRPr="008F6D6C" w:rsidRDefault="008E0EF9" w:rsidP="00DB706A">
      <w:pPr>
        <w:spacing w:before="120" w:after="120"/>
        <w:rPr>
          <w:color w:val="F2F2F2" w:themeColor="background1" w:themeShade="F2"/>
          <w:sz w:val="21"/>
          <w:szCs w:val="21"/>
        </w:rPr>
      </w:pPr>
      <w:r>
        <w:rPr>
          <w:color w:val="F2F2F2" w:themeColor="background1" w:themeShade="F2"/>
          <w:sz w:val="21"/>
          <w:szCs w:val="21"/>
        </w:rPr>
        <w:t>A</w:t>
      </w:r>
      <w:r w:rsidR="00374D27" w:rsidRPr="008F6D6C">
        <w:rPr>
          <w:color w:val="F2F2F2" w:themeColor="background1" w:themeShade="F2"/>
          <w:sz w:val="21"/>
          <w:szCs w:val="21"/>
        </w:rPr>
        <w:t xml:space="preserve">s evident in this response, the Government will continue to </w:t>
      </w:r>
      <w:r w:rsidR="00374D27">
        <w:rPr>
          <w:color w:val="F2F2F2" w:themeColor="background1" w:themeShade="F2"/>
          <w:sz w:val="21"/>
          <w:szCs w:val="21"/>
        </w:rPr>
        <w:t xml:space="preserve">strongly </w:t>
      </w:r>
      <w:r w:rsidR="00374D27" w:rsidRPr="008F6D6C">
        <w:rPr>
          <w:color w:val="F2F2F2" w:themeColor="background1" w:themeShade="F2"/>
          <w:sz w:val="21"/>
          <w:szCs w:val="21"/>
        </w:rPr>
        <w:t xml:space="preserve">support </w:t>
      </w:r>
      <w:r w:rsidR="00E61D84">
        <w:rPr>
          <w:color w:val="F2F2F2" w:themeColor="background1" w:themeShade="F2"/>
          <w:sz w:val="21"/>
          <w:szCs w:val="21"/>
        </w:rPr>
        <w:t>effective regulation of tax practitioners</w:t>
      </w:r>
      <w:r w:rsidR="00F96593">
        <w:rPr>
          <w:color w:val="F2F2F2" w:themeColor="background1" w:themeShade="F2"/>
          <w:sz w:val="21"/>
          <w:szCs w:val="21"/>
        </w:rPr>
        <w:t xml:space="preserve"> via</w:t>
      </w:r>
      <w:r w:rsidR="00E61D84">
        <w:rPr>
          <w:color w:val="F2F2F2" w:themeColor="background1" w:themeShade="F2"/>
          <w:sz w:val="21"/>
          <w:szCs w:val="21"/>
        </w:rPr>
        <w:t xml:space="preserve"> </w:t>
      </w:r>
      <w:r w:rsidR="00F96593">
        <w:rPr>
          <w:color w:val="F2F2F2" w:themeColor="background1" w:themeShade="F2"/>
          <w:sz w:val="21"/>
          <w:szCs w:val="21"/>
        </w:rPr>
        <w:t>an effective Tax Practitioners Board</w:t>
      </w:r>
      <w:r w:rsidR="00374D27" w:rsidRPr="008F6D6C">
        <w:rPr>
          <w:color w:val="F2F2F2" w:themeColor="background1" w:themeShade="F2"/>
          <w:sz w:val="21"/>
          <w:szCs w:val="21"/>
        </w:rPr>
        <w:t>.</w:t>
      </w:r>
    </w:p>
    <w:p w14:paraId="5C96FC9E" w14:textId="233E5877" w:rsidR="00946E41" w:rsidRPr="00F85B5E" w:rsidRDefault="00781130" w:rsidP="00DB706A">
      <w:pPr>
        <w:spacing w:before="120" w:after="120"/>
        <w:rPr>
          <w:b/>
          <w:color w:val="F2F2F2" w:themeColor="background1" w:themeShade="F2"/>
          <w:sz w:val="21"/>
          <w:szCs w:val="21"/>
        </w:rPr>
      </w:pPr>
      <w:r>
        <w:rPr>
          <w:b/>
          <w:color w:val="F2F2F2" w:themeColor="background1" w:themeShade="F2"/>
          <w:sz w:val="21"/>
          <w:szCs w:val="21"/>
        </w:rPr>
        <w:t>T</w:t>
      </w:r>
      <w:r w:rsidR="00C23A2E" w:rsidRPr="008F6D6C">
        <w:rPr>
          <w:b/>
          <w:color w:val="F2F2F2" w:themeColor="background1" w:themeShade="F2"/>
          <w:sz w:val="21"/>
          <w:szCs w:val="21"/>
        </w:rPr>
        <w:t xml:space="preserve">he Hon </w:t>
      </w:r>
      <w:r w:rsidR="0020584B">
        <w:rPr>
          <w:b/>
          <w:color w:val="F2F2F2" w:themeColor="background1" w:themeShade="F2"/>
          <w:sz w:val="21"/>
          <w:szCs w:val="21"/>
        </w:rPr>
        <w:t>Michael Sukkar</w:t>
      </w:r>
      <w:r>
        <w:rPr>
          <w:b/>
          <w:color w:val="F2F2F2" w:themeColor="background1" w:themeShade="F2"/>
          <w:sz w:val="21"/>
          <w:szCs w:val="21"/>
        </w:rPr>
        <w:t xml:space="preserve"> MP</w:t>
      </w:r>
      <w:r w:rsidR="00DB706A">
        <w:rPr>
          <w:b/>
          <w:color w:val="F2F2F2" w:themeColor="background1" w:themeShade="F2"/>
          <w:sz w:val="21"/>
          <w:szCs w:val="21"/>
        </w:rPr>
        <w:br/>
      </w:r>
      <w:r>
        <w:rPr>
          <w:b/>
          <w:color w:val="F2F2F2" w:themeColor="background1" w:themeShade="F2"/>
          <w:sz w:val="21"/>
          <w:szCs w:val="21"/>
        </w:rPr>
        <w:t>Minister for Housing and</w:t>
      </w:r>
      <w:r w:rsidR="00F85B5E">
        <w:rPr>
          <w:b/>
          <w:color w:val="F2F2F2" w:themeColor="background1" w:themeShade="F2"/>
          <w:sz w:val="21"/>
          <w:szCs w:val="21"/>
        </w:rPr>
        <w:t xml:space="preserve"> </w:t>
      </w:r>
      <w:r w:rsidR="00C23A2E" w:rsidRPr="008F6D6C">
        <w:rPr>
          <w:b/>
          <w:color w:val="F2F2F2" w:themeColor="background1" w:themeShade="F2"/>
          <w:sz w:val="21"/>
          <w:szCs w:val="21"/>
        </w:rPr>
        <w:t xml:space="preserve">Assistant </w:t>
      </w:r>
      <w:r w:rsidR="0020584B">
        <w:rPr>
          <w:b/>
          <w:color w:val="F2F2F2" w:themeColor="background1" w:themeShade="F2"/>
          <w:sz w:val="21"/>
          <w:szCs w:val="21"/>
        </w:rPr>
        <w:t>Treasurer</w:t>
      </w:r>
    </w:p>
    <w:p w14:paraId="6B3EA644" w14:textId="77777777" w:rsidR="00C23A2E" w:rsidRDefault="00C23A2E">
      <w:pPr>
        <w:sectPr w:rsidR="00C23A2E" w:rsidSect="00B10A5F">
          <w:type w:val="continuous"/>
          <w:pgSz w:w="11906" w:h="16838" w:code="9"/>
          <w:pgMar w:top="4931" w:right="1134" w:bottom="426" w:left="1134" w:header="709" w:footer="709" w:gutter="0"/>
          <w:cols w:num="2" w:space="340"/>
          <w:docGrid w:linePitch="360"/>
        </w:sectPr>
      </w:pPr>
    </w:p>
    <w:p w14:paraId="28A2EF3D" w14:textId="77777777" w:rsidR="007F5B01" w:rsidRDefault="0087211C" w:rsidP="0046140F">
      <w:pPr>
        <w:pStyle w:val="Heading1"/>
      </w:pPr>
      <w:bookmarkStart w:id="5" w:name="_Toc56511743"/>
      <w:r>
        <w:lastRenderedPageBreak/>
        <w:t>Overview</w:t>
      </w:r>
      <w:bookmarkEnd w:id="5"/>
    </w:p>
    <w:p w14:paraId="052F7113" w14:textId="249BA6F6" w:rsidR="000C19EB" w:rsidRDefault="000C19EB" w:rsidP="00D017C1">
      <w:pPr>
        <w:pStyle w:val="Heading2"/>
      </w:pPr>
      <w:r w:rsidRPr="000C19EB">
        <w:t>The Government response</w:t>
      </w:r>
    </w:p>
    <w:p w14:paraId="38C10085" w14:textId="3777CAE2" w:rsidR="003A1666" w:rsidRDefault="003A1666" w:rsidP="00DB706A">
      <w:pPr>
        <w:spacing w:after="360"/>
        <w:rPr>
          <w:rFonts w:ascii="Calibri Light" w:hAnsi="Calibri Light"/>
          <w:sz w:val="28"/>
        </w:rPr>
      </w:pPr>
      <w:r w:rsidRPr="003A1666">
        <w:rPr>
          <w:rFonts w:ascii="Calibri Light" w:hAnsi="Calibri Light"/>
          <w:sz w:val="28"/>
        </w:rPr>
        <w:t xml:space="preserve">The Australian Government is committed </w:t>
      </w:r>
      <w:r w:rsidR="008F64F5">
        <w:rPr>
          <w:rFonts w:ascii="Calibri Light" w:hAnsi="Calibri Light"/>
          <w:sz w:val="28"/>
        </w:rPr>
        <w:t xml:space="preserve">to ensuring </w:t>
      </w:r>
      <w:r w:rsidR="00757CC6">
        <w:rPr>
          <w:rFonts w:ascii="Calibri Light" w:hAnsi="Calibri Light"/>
          <w:sz w:val="28"/>
        </w:rPr>
        <w:t>high standards of ethics and competency</w:t>
      </w:r>
      <w:r w:rsidR="00117CB6">
        <w:rPr>
          <w:rFonts w:ascii="Calibri Light" w:hAnsi="Calibri Light"/>
          <w:sz w:val="28"/>
        </w:rPr>
        <w:t xml:space="preserve"> in the </w:t>
      </w:r>
      <w:r w:rsidR="00660274">
        <w:rPr>
          <w:rFonts w:ascii="Calibri Light" w:hAnsi="Calibri Light"/>
          <w:sz w:val="28"/>
        </w:rPr>
        <w:t xml:space="preserve">tax </w:t>
      </w:r>
      <w:r w:rsidR="00117CB6">
        <w:rPr>
          <w:rFonts w:ascii="Calibri Light" w:hAnsi="Calibri Light"/>
          <w:sz w:val="28"/>
        </w:rPr>
        <w:t>profession</w:t>
      </w:r>
      <w:r w:rsidR="00757CC6">
        <w:rPr>
          <w:rFonts w:ascii="Calibri Light" w:hAnsi="Calibri Light"/>
          <w:sz w:val="28"/>
        </w:rPr>
        <w:t xml:space="preserve"> while </w:t>
      </w:r>
      <w:r w:rsidR="00762AF6">
        <w:rPr>
          <w:rFonts w:ascii="Calibri Light" w:hAnsi="Calibri Light"/>
          <w:sz w:val="28"/>
        </w:rPr>
        <w:t>minimising</w:t>
      </w:r>
      <w:r w:rsidR="00757CC6">
        <w:rPr>
          <w:rFonts w:ascii="Calibri Light" w:hAnsi="Calibri Light"/>
          <w:sz w:val="28"/>
        </w:rPr>
        <w:t xml:space="preserve"> the regulatory burden on tax practitioners</w:t>
      </w:r>
      <w:r w:rsidR="00B847AD">
        <w:rPr>
          <w:rFonts w:ascii="Calibri Light" w:hAnsi="Calibri Light"/>
          <w:sz w:val="28"/>
        </w:rPr>
        <w:t xml:space="preserve"> via</w:t>
      </w:r>
      <w:r w:rsidR="008F64F5">
        <w:rPr>
          <w:rFonts w:ascii="Calibri Light" w:hAnsi="Calibri Light"/>
          <w:sz w:val="28"/>
        </w:rPr>
        <w:t xml:space="preserve"> </w:t>
      </w:r>
      <w:r w:rsidR="00660274">
        <w:rPr>
          <w:rFonts w:ascii="Calibri Light" w:hAnsi="Calibri Light"/>
          <w:sz w:val="28"/>
        </w:rPr>
        <w:t xml:space="preserve">a </w:t>
      </w:r>
      <w:r w:rsidR="00757CC6">
        <w:rPr>
          <w:rFonts w:ascii="Calibri Light" w:hAnsi="Calibri Light"/>
          <w:sz w:val="28"/>
        </w:rPr>
        <w:t xml:space="preserve">strong, independent and effective </w:t>
      </w:r>
      <w:r w:rsidR="00D06E65">
        <w:rPr>
          <w:rFonts w:ascii="Calibri Light" w:hAnsi="Calibri Light"/>
          <w:sz w:val="28"/>
        </w:rPr>
        <w:t>Tax Practitioners Board (TPB)</w:t>
      </w:r>
      <w:r w:rsidRPr="003A1666">
        <w:rPr>
          <w:rFonts w:ascii="Calibri Light" w:hAnsi="Calibri Light"/>
          <w:sz w:val="28"/>
        </w:rPr>
        <w:t xml:space="preserve">. </w:t>
      </w:r>
    </w:p>
    <w:p w14:paraId="569511BC" w14:textId="77777777" w:rsidR="00854E9C" w:rsidRPr="00854E9C" w:rsidRDefault="00854E9C" w:rsidP="00854E9C"/>
    <w:p w14:paraId="5DD5845E" w14:textId="77777777" w:rsidR="00EB457C" w:rsidRPr="00854E9C" w:rsidRDefault="00EB457C" w:rsidP="00854E9C">
      <w:pPr>
        <w:sectPr w:rsidR="00EB457C" w:rsidRPr="00854E9C" w:rsidSect="00354CA7">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418" w:left="1134" w:header="709" w:footer="709" w:gutter="0"/>
          <w:cols w:space="708"/>
          <w:docGrid w:linePitch="360"/>
        </w:sectPr>
      </w:pPr>
    </w:p>
    <w:p w14:paraId="5BF1301F" w14:textId="77777777" w:rsidR="00690E6C" w:rsidRPr="00A05C81" w:rsidRDefault="00690E6C" w:rsidP="00690E6C">
      <w:pPr>
        <w:pStyle w:val="Heading3"/>
        <w:spacing w:before="120"/>
        <w:rPr>
          <w:b/>
          <w:color w:val="007635"/>
        </w:rPr>
      </w:pPr>
      <w:r w:rsidRPr="00A05C81">
        <w:rPr>
          <w:b/>
          <w:color w:val="007635"/>
        </w:rPr>
        <w:t xml:space="preserve">Supporting an </w:t>
      </w:r>
      <w:r>
        <w:rPr>
          <w:b/>
          <w:color w:val="007635"/>
        </w:rPr>
        <w:t>independent</w:t>
      </w:r>
      <w:r w:rsidRPr="00A05C81">
        <w:rPr>
          <w:b/>
          <w:color w:val="007635"/>
        </w:rPr>
        <w:t xml:space="preserve"> regulator</w:t>
      </w:r>
    </w:p>
    <w:p w14:paraId="4ECFFED6" w14:textId="6B422EC5" w:rsidR="00690E6C" w:rsidRDefault="00690E6C" w:rsidP="00690E6C">
      <w:r>
        <w:t xml:space="preserve">It is important that the tax profession and wider community have confidence in the regulation of tax practitioners. Greater TPB independence from the ATO will ensure clear accountability and responsibility to the public and </w:t>
      </w:r>
      <w:proofErr w:type="gramStart"/>
      <w:r>
        <w:t>Government, and</w:t>
      </w:r>
      <w:proofErr w:type="gramEnd"/>
      <w:r>
        <w:t xml:space="preserve"> will provide the tax profession with confidence that TPB disciplinary actions are imposed </w:t>
      </w:r>
      <w:r w:rsidR="00D00136">
        <w:t>by an independent regulator</w:t>
      </w:r>
      <w:r>
        <w:t xml:space="preserve">. </w:t>
      </w:r>
    </w:p>
    <w:p w14:paraId="1910F97E" w14:textId="77777777" w:rsidR="00690E6C" w:rsidRDefault="00690E6C" w:rsidP="00EB457C">
      <w:pPr>
        <w:pStyle w:val="Heading3"/>
        <w:spacing w:before="120"/>
        <w:rPr>
          <w:b/>
          <w:color w:val="007635"/>
        </w:rPr>
      </w:pPr>
    </w:p>
    <w:p w14:paraId="165E6D59" w14:textId="6692974C" w:rsidR="00EB457C" w:rsidRPr="007D15AA" w:rsidRDefault="00EB457C" w:rsidP="007D15AA">
      <w:r>
        <w:br w:type="column"/>
      </w:r>
      <w:r w:rsidR="001277D1" w:rsidRPr="00026FFD">
        <w:rPr>
          <w:b/>
          <w:color w:val="007635"/>
          <w:sz w:val="28"/>
          <w:szCs w:val="28"/>
        </w:rPr>
        <w:t>Ensuring high standards in the tax profession</w:t>
      </w:r>
      <w:r w:rsidR="001277D1">
        <w:rPr>
          <w:b/>
          <w:color w:val="007635"/>
        </w:rPr>
        <w:t xml:space="preserve"> </w:t>
      </w:r>
    </w:p>
    <w:p w14:paraId="06BE758F" w14:textId="64972CF4" w:rsidR="00416454" w:rsidRDefault="001277D1" w:rsidP="00EB457C">
      <w:r>
        <w:t xml:space="preserve">Approximately 74 per cent of individual tax returns </w:t>
      </w:r>
      <w:r w:rsidR="00B60AFA">
        <w:t xml:space="preserve">and 54 </w:t>
      </w:r>
      <w:r w:rsidR="002009F5">
        <w:br/>
      </w:r>
      <w:r w:rsidR="00B60AFA">
        <w:t>per cent of BAS</w:t>
      </w:r>
      <w:r w:rsidR="00416454">
        <w:t>s</w:t>
      </w:r>
      <w:r w:rsidR="00B60AFA">
        <w:t xml:space="preserve"> are prepared by tax agents and BAS agents.</w:t>
      </w:r>
    </w:p>
    <w:p w14:paraId="27D88FE2" w14:textId="5A80F6EA" w:rsidR="00416454" w:rsidRDefault="00B60AFA" w:rsidP="00EB457C">
      <w:r>
        <w:t xml:space="preserve">Community confidence in </w:t>
      </w:r>
      <w:r w:rsidR="00CC3A29">
        <w:t xml:space="preserve">the tax profession is </w:t>
      </w:r>
      <w:r>
        <w:t xml:space="preserve">essential to the integrity of the tax system. </w:t>
      </w:r>
    </w:p>
    <w:p w14:paraId="3F95A1E9" w14:textId="39ED7EB6" w:rsidR="00EB457C" w:rsidRDefault="00B60AFA" w:rsidP="00EB457C">
      <w:r>
        <w:t xml:space="preserve">The Government </w:t>
      </w:r>
      <w:r w:rsidR="00416454">
        <w:t>will</w:t>
      </w:r>
      <w:r>
        <w:t xml:space="preserve"> ensure tax practitioners hold appropriate professional qualifications</w:t>
      </w:r>
      <w:r w:rsidR="00BF5A88">
        <w:t xml:space="preserve"> by ensuring that education and experience requirements are set at the right level</w:t>
      </w:r>
      <w:r w:rsidR="00762BCB">
        <w:t xml:space="preserve">. </w:t>
      </w:r>
    </w:p>
    <w:p w14:paraId="23AA02C8" w14:textId="724F7BEE" w:rsidR="00690E6C" w:rsidRPr="00A05C81" w:rsidRDefault="00EB457C" w:rsidP="00690E6C">
      <w:pPr>
        <w:pStyle w:val="Heading3"/>
        <w:spacing w:before="120"/>
        <w:rPr>
          <w:b/>
          <w:color w:val="007635"/>
        </w:rPr>
      </w:pPr>
      <w:r>
        <w:br w:type="column"/>
      </w:r>
      <w:r w:rsidR="00690E6C" w:rsidRPr="00A05C81">
        <w:rPr>
          <w:b/>
          <w:color w:val="007635"/>
        </w:rPr>
        <w:t>Reducing red tape</w:t>
      </w:r>
    </w:p>
    <w:p w14:paraId="2F8D276B" w14:textId="650922AA" w:rsidR="00961A31" w:rsidRDefault="00690E6C" w:rsidP="00EB457C">
      <w:r>
        <w:t>T</w:t>
      </w:r>
      <w:r w:rsidR="00EA2476">
        <w:t>he Government will advance opportunities to reduce red tape without compromising regulatory standards, for example by streamlining the regulation of tax (financial) advisers</w:t>
      </w:r>
      <w:r w:rsidR="00961A31">
        <w:t xml:space="preserve"> and</w:t>
      </w:r>
      <w:r w:rsidR="00331D38">
        <w:t xml:space="preserve"> allowing the TPB to accept different types of experience as being relevant to a practitioner’s registration</w:t>
      </w:r>
      <w:r w:rsidR="00961A31">
        <w:t xml:space="preserve">. </w:t>
      </w:r>
    </w:p>
    <w:p w14:paraId="6D36D778" w14:textId="0BDE8833" w:rsidR="00BF6D5C" w:rsidRDefault="00961A31" w:rsidP="00EB457C">
      <w:pPr>
        <w:sectPr w:rsidR="00BF6D5C" w:rsidSect="00354CA7">
          <w:type w:val="continuous"/>
          <w:pgSz w:w="11906" w:h="16838" w:code="9"/>
          <w:pgMar w:top="1418" w:right="1134" w:bottom="1418" w:left="1134" w:header="709" w:footer="709" w:gutter="0"/>
          <w:cols w:num="3" w:space="340"/>
          <w:docGrid w:linePitch="360"/>
        </w:sectPr>
      </w:pPr>
      <w:r>
        <w:t>The Government will also</w:t>
      </w:r>
      <w:r w:rsidR="00B91E52">
        <w:t xml:space="preserve"> </w:t>
      </w:r>
      <w:r w:rsidR="00331D38">
        <w:t>remov</w:t>
      </w:r>
      <w:r>
        <w:t>e</w:t>
      </w:r>
      <w:r w:rsidR="00331D38">
        <w:t xml:space="preserve"> the requirement for tax practitioners to submit an annual declaration (replacing it with a streamlined annual registration process)</w:t>
      </w:r>
      <w:r w:rsidR="00EA2476">
        <w:t xml:space="preserve">. </w:t>
      </w:r>
      <w:r w:rsidR="00690E6C" w:rsidRPr="003A1666">
        <w:t xml:space="preserve"> </w:t>
      </w:r>
    </w:p>
    <w:p w14:paraId="10B2CB80" w14:textId="46A771A6" w:rsidR="0026320B" w:rsidRDefault="0026320B" w:rsidP="0026320B">
      <w:pPr>
        <w:spacing w:before="1080"/>
        <w:jc w:val="center"/>
      </w:pPr>
      <w:r>
        <w:rPr>
          <w:noProof/>
          <w:lang w:eastAsia="en-AU"/>
        </w:rPr>
        <w:drawing>
          <wp:inline distT="0" distB="0" distL="0" distR="0" wp14:anchorId="20BFD588" wp14:editId="24D8A4EF">
            <wp:extent cx="3011175" cy="180426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hake icon.png"/>
                    <pic:cNvPicPr/>
                  </pic:nvPicPr>
                  <pic:blipFill>
                    <a:blip r:embed="rId31">
                      <a:extLst>
                        <a:ext uri="{28A0092B-C50C-407E-A947-70E740481C1C}">
                          <a14:useLocalDpi xmlns:a14="http://schemas.microsoft.com/office/drawing/2010/main" val="0"/>
                        </a:ext>
                      </a:extLst>
                    </a:blip>
                    <a:stretch>
                      <a:fillRect/>
                    </a:stretch>
                  </pic:blipFill>
                  <pic:spPr>
                    <a:xfrm>
                      <a:off x="0" y="0"/>
                      <a:ext cx="3011175" cy="1804267"/>
                    </a:xfrm>
                    <a:prstGeom prst="rect">
                      <a:avLst/>
                    </a:prstGeom>
                  </pic:spPr>
                </pic:pic>
              </a:graphicData>
            </a:graphic>
          </wp:inline>
        </w:drawing>
      </w:r>
    </w:p>
    <w:p w14:paraId="500B9593" w14:textId="77777777" w:rsidR="00D017C1" w:rsidRDefault="00D017C1" w:rsidP="000C19EB">
      <w:pPr>
        <w:sectPr w:rsidR="00D017C1" w:rsidSect="0026320B">
          <w:type w:val="continuous"/>
          <w:pgSz w:w="11906" w:h="16838" w:code="9"/>
          <w:pgMar w:top="1418" w:right="1134" w:bottom="1418" w:left="1134" w:header="709" w:footer="709" w:gutter="0"/>
          <w:cols w:space="340"/>
          <w:docGrid w:linePitch="360"/>
        </w:sectPr>
      </w:pPr>
    </w:p>
    <w:p w14:paraId="57BEF8DE" w14:textId="50A1675B" w:rsidR="002B09B7" w:rsidRDefault="009D22DC" w:rsidP="002B09B7">
      <w:pPr>
        <w:pStyle w:val="Heading1"/>
      </w:pPr>
      <w:bookmarkStart w:id="6" w:name="_Toc56511744"/>
      <w:r w:rsidRPr="002B09B7">
        <w:lastRenderedPageBreak/>
        <w:t>Government response</w:t>
      </w:r>
      <w:bookmarkEnd w:id="6"/>
    </w:p>
    <w:p w14:paraId="673188ED" w14:textId="290F0C3B" w:rsidR="002B09B7" w:rsidRPr="00E23D55" w:rsidRDefault="00E23D55" w:rsidP="00E23D55">
      <w:pPr>
        <w:pStyle w:val="Heading2"/>
        <w:spacing w:before="240" w:after="240"/>
        <w:rPr>
          <w:sz w:val="26"/>
          <w:szCs w:val="26"/>
        </w:rPr>
      </w:pPr>
      <w:r w:rsidRPr="00E23D55">
        <w:rPr>
          <w:sz w:val="26"/>
          <w:szCs w:val="26"/>
        </w:rPr>
        <w:t>Government r</w:t>
      </w:r>
      <w:r w:rsidR="002B09B7" w:rsidRPr="00E23D55">
        <w:rPr>
          <w:sz w:val="26"/>
          <w:szCs w:val="26"/>
        </w:rPr>
        <w:t xml:space="preserve">esponse to the recommendations in the </w:t>
      </w:r>
      <w:r w:rsidR="007A5D59">
        <w:rPr>
          <w:sz w:val="26"/>
          <w:szCs w:val="26"/>
        </w:rPr>
        <w:t>Review of the</w:t>
      </w:r>
      <w:r w:rsidR="002B09B7" w:rsidRPr="00E23D55">
        <w:rPr>
          <w:sz w:val="26"/>
          <w:szCs w:val="26"/>
        </w:rPr>
        <w:t xml:space="preserve"> </w:t>
      </w:r>
      <w:r w:rsidR="007A5D59">
        <w:rPr>
          <w:sz w:val="26"/>
          <w:szCs w:val="26"/>
        </w:rPr>
        <w:t xml:space="preserve">Tax Practitioners Board </w:t>
      </w:r>
      <w:r w:rsidR="002B09B7" w:rsidRPr="00E23D55">
        <w:rPr>
          <w:sz w:val="26"/>
          <w:szCs w:val="26"/>
        </w:rPr>
        <w:t>201</w:t>
      </w:r>
      <w:r w:rsidR="007A5D59">
        <w:rPr>
          <w:sz w:val="26"/>
          <w:szCs w:val="26"/>
        </w:rPr>
        <w:t>9</w:t>
      </w:r>
    </w:p>
    <w:tbl>
      <w:tblPr>
        <w:tblStyle w:val="TableGrid"/>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8930"/>
      </w:tblGrid>
      <w:tr w:rsidR="002B09B7" w14:paraId="48539354" w14:textId="77777777" w:rsidTr="009632F2">
        <w:trPr>
          <w:cnfStyle w:val="100000000000" w:firstRow="1" w:lastRow="0" w:firstColumn="0" w:lastColumn="0" w:oddVBand="0" w:evenVBand="0" w:oddHBand="0" w:evenHBand="0" w:firstRowFirstColumn="0" w:firstRowLastColumn="0" w:lastRowFirstColumn="0" w:lastRowLastColumn="0"/>
          <w:cantSplit/>
          <w:tblHeader/>
        </w:trPr>
        <w:tc>
          <w:tcPr>
            <w:tcW w:w="5353" w:type="dxa"/>
            <w:shd w:val="clear" w:color="auto" w:fill="0072BB" w:themeFill="accent3" w:themeFillTint="BF"/>
          </w:tcPr>
          <w:p w14:paraId="0835D0A0" w14:textId="77777777" w:rsidR="002B09B7" w:rsidRPr="00BB0214" w:rsidRDefault="002B09B7" w:rsidP="00021ECE">
            <w:pPr>
              <w:jc w:val="center"/>
              <w:rPr>
                <w:b w:val="0"/>
              </w:rPr>
            </w:pPr>
            <w:r w:rsidRPr="00BB0214">
              <w:t>Recommendation</w:t>
            </w:r>
          </w:p>
        </w:tc>
        <w:tc>
          <w:tcPr>
            <w:tcW w:w="8930" w:type="dxa"/>
            <w:shd w:val="clear" w:color="auto" w:fill="003150" w:themeFill="accent3"/>
          </w:tcPr>
          <w:p w14:paraId="13914D6A" w14:textId="5A1B4F0F" w:rsidR="002B09B7" w:rsidRPr="00BB0214" w:rsidRDefault="0095580B" w:rsidP="00021ECE">
            <w:pPr>
              <w:jc w:val="center"/>
              <w:rPr>
                <w:b w:val="0"/>
              </w:rPr>
            </w:pPr>
            <w:r>
              <w:t>Government r</w:t>
            </w:r>
            <w:r w:rsidR="002B09B7" w:rsidRPr="00BB0214">
              <w:t>esponse</w:t>
            </w:r>
          </w:p>
        </w:tc>
      </w:tr>
      <w:tr w:rsidR="002918F9" w14:paraId="5BBE4382" w14:textId="77777777" w:rsidTr="009632F2">
        <w:trPr>
          <w:cantSplit/>
        </w:trPr>
        <w:tc>
          <w:tcPr>
            <w:tcW w:w="5353" w:type="dxa"/>
            <w:tcBorders>
              <w:bottom w:val="single" w:sz="4" w:space="0" w:color="B2B3B5" w:themeColor="accent4" w:themeTint="99"/>
            </w:tcBorders>
          </w:tcPr>
          <w:p w14:paraId="422B8CF3" w14:textId="1C028A1D" w:rsidR="002918F9" w:rsidRPr="00A57D9C" w:rsidRDefault="002918F9" w:rsidP="001F00CF">
            <w:pPr>
              <w:pStyle w:val="RecommendationHeading"/>
            </w:pPr>
            <w:r>
              <w:t>1</w:t>
            </w:r>
            <w:r w:rsidR="002452CF">
              <w:t>.1</w:t>
            </w:r>
            <w:r w:rsidR="007A5D59">
              <w:t xml:space="preserve"> </w:t>
            </w:r>
            <w:r w:rsidR="007A5D59" w:rsidRPr="001F00CF">
              <w:rPr>
                <w:szCs w:val="22"/>
              </w:rPr>
              <w:t>The Review recommends the Government retain the TPB as the statutory authority r</w:t>
            </w:r>
            <w:r w:rsidR="009968A5" w:rsidRPr="001F00CF">
              <w:rPr>
                <w:szCs w:val="22"/>
              </w:rPr>
              <w:t>esponsible for regulating tax pr</w:t>
            </w:r>
            <w:r w:rsidR="007A5D59" w:rsidRPr="001F00CF">
              <w:rPr>
                <w:szCs w:val="22"/>
              </w:rPr>
              <w:t>actitioners, noting that the disciplinary model for tax (financial) advisers may be reviewed, with effect from 2021, as part of the process of establishing a new central disciplinary body further to Recommendation 2.10 of the Final Report of the Financial Services Royal Commission (FSRC) (see also Recommendation 7.1 in Chapter 7).</w:t>
            </w:r>
          </w:p>
        </w:tc>
        <w:tc>
          <w:tcPr>
            <w:tcW w:w="8930" w:type="dxa"/>
            <w:tcBorders>
              <w:bottom w:val="single" w:sz="4" w:space="0" w:color="B2B3B5" w:themeColor="accent4" w:themeTint="99"/>
            </w:tcBorders>
          </w:tcPr>
          <w:p w14:paraId="2AEF7B04" w14:textId="78802C35" w:rsidR="0083768F" w:rsidRPr="0083768F" w:rsidRDefault="0083768F" w:rsidP="0083768F">
            <w:pPr>
              <w:pStyle w:val="Contact"/>
              <w:spacing w:before="240"/>
              <w:rPr>
                <w:b w:val="0"/>
                <w:color w:val="002060"/>
                <w:szCs w:val="22"/>
              </w:rPr>
            </w:pPr>
            <w:r w:rsidRPr="0083768F">
              <w:rPr>
                <w:b w:val="0"/>
                <w:color w:val="002060"/>
                <w:szCs w:val="22"/>
              </w:rPr>
              <w:t>The Governme</w:t>
            </w:r>
            <w:r>
              <w:rPr>
                <w:b w:val="0"/>
                <w:color w:val="002060"/>
                <w:szCs w:val="22"/>
              </w:rPr>
              <w:t>nt supports the recommendation.</w:t>
            </w:r>
          </w:p>
          <w:p w14:paraId="1BCB27B0" w14:textId="2AC97C80" w:rsidR="002918F9" w:rsidRPr="00B35FBA" w:rsidRDefault="0083768F" w:rsidP="0008433F">
            <w:pPr>
              <w:spacing w:before="240"/>
              <w:rPr>
                <w:color w:val="002060"/>
              </w:rPr>
            </w:pPr>
            <w:r w:rsidRPr="0083768F">
              <w:rPr>
                <w:color w:val="002060"/>
                <w:szCs w:val="22"/>
              </w:rPr>
              <w:t>The TPB remains the most appropriate statutory body to regulate tax practitioners (noting that tax (financial) advisers will be subject</w:t>
            </w:r>
            <w:r w:rsidR="0008433F">
              <w:rPr>
                <w:color w:val="002060"/>
                <w:szCs w:val="22"/>
              </w:rPr>
              <w:t xml:space="preserve"> to a revised statutory regime – see </w:t>
            </w:r>
            <w:r w:rsidRPr="0083768F">
              <w:rPr>
                <w:color w:val="002060"/>
                <w:szCs w:val="22"/>
              </w:rPr>
              <w:t>recommendation 7.1).</w:t>
            </w:r>
          </w:p>
        </w:tc>
      </w:tr>
      <w:tr w:rsidR="002918F9" w14:paraId="46BB1E5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CB9FC04" w14:textId="3AC6B628" w:rsidR="009968A5" w:rsidRPr="001F00CF" w:rsidRDefault="002918F9" w:rsidP="001F00CF">
            <w:pPr>
              <w:pStyle w:val="RecommendationHeading"/>
              <w:rPr>
                <w:b/>
                <w:szCs w:val="22"/>
              </w:rPr>
            </w:pPr>
            <w:r>
              <w:t>2.</w:t>
            </w:r>
            <w:r w:rsidR="002452CF">
              <w:t>1</w:t>
            </w:r>
            <w:r>
              <w:t xml:space="preserve"> </w:t>
            </w:r>
            <w:r w:rsidR="009968A5" w:rsidRPr="001F00CF">
              <w:rPr>
                <w:szCs w:val="22"/>
              </w:rPr>
              <w:t>The Review recommends the object clause of the TASA (section 2 5) should be updated to:</w:t>
            </w:r>
          </w:p>
          <w:p w14:paraId="0922D0C9" w14:textId="77777777" w:rsidR="009968A5" w:rsidRPr="001F00CF" w:rsidRDefault="009968A5" w:rsidP="00B1355E">
            <w:pPr>
              <w:pStyle w:val="Contact"/>
              <w:numPr>
                <w:ilvl w:val="0"/>
                <w:numId w:val="18"/>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Include wording to the effect that there should be community confidence in the integrity of the tax system.</w:t>
            </w:r>
          </w:p>
          <w:p w14:paraId="2EC45A65" w14:textId="77777777" w:rsidR="009968A5" w:rsidRPr="001F00CF" w:rsidRDefault="009968A5" w:rsidP="00B1355E">
            <w:pPr>
              <w:pStyle w:val="Contact"/>
              <w:numPr>
                <w:ilvl w:val="0"/>
                <w:numId w:val="18"/>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Remove reference to tax (financial) advisers, subject to the adoption of Rec 7.1 in Chapter 7.</w:t>
            </w:r>
          </w:p>
          <w:p w14:paraId="0E9233E3" w14:textId="18B69023" w:rsidR="009968A5" w:rsidRPr="001F00CF" w:rsidRDefault="009968A5" w:rsidP="00B1355E">
            <w:pPr>
              <w:pStyle w:val="Contact"/>
              <w:numPr>
                <w:ilvl w:val="0"/>
                <w:numId w:val="18"/>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Include reference to unregistered agents.</w:t>
            </w:r>
          </w:p>
          <w:p w14:paraId="4011F0AA" w14:textId="01283D98" w:rsidR="002918F9" w:rsidRPr="00A57D9C" w:rsidRDefault="009968A5" w:rsidP="009968A5">
            <w:pPr>
              <w:pStyle w:val="Contact"/>
              <w:rPr>
                <w:i/>
                <w:szCs w:val="22"/>
              </w:rPr>
            </w:pPr>
            <w:r w:rsidRPr="001F00CF">
              <w:rPr>
                <w:rFonts w:ascii="Calibri" w:hAnsi="Calibri" w:cs="Arial"/>
                <w:b w:val="0"/>
                <w:color w:val="0072BB" w:themeColor="accent3" w:themeTint="BF"/>
                <w:kern w:val="32"/>
              </w:rPr>
              <w:t xml:space="preserve">Rephrase the wording to reflect that the TPB is a more mature organisation that is no longer in a </w:t>
            </w:r>
            <w:proofErr w:type="spellStart"/>
            <w:r w:rsidRPr="001F00CF">
              <w:rPr>
                <w:rFonts w:ascii="Calibri" w:hAnsi="Calibri" w:cs="Arial"/>
                <w:b w:val="0"/>
                <w:color w:val="0072BB" w:themeColor="accent3" w:themeTint="BF"/>
                <w:kern w:val="32"/>
              </w:rPr>
              <w:t>start up</w:t>
            </w:r>
            <w:proofErr w:type="spellEnd"/>
            <w:r w:rsidRPr="001F00CF">
              <w:rPr>
                <w:rFonts w:ascii="Calibri" w:hAnsi="Calibri" w:cs="Arial"/>
                <w:b w:val="0"/>
                <w:color w:val="0072BB" w:themeColor="accent3" w:themeTint="BF"/>
                <w:kern w:val="32"/>
              </w:rPr>
              <w:t xml:space="preserve"> phase.</w:t>
            </w:r>
          </w:p>
        </w:tc>
        <w:tc>
          <w:tcPr>
            <w:tcW w:w="8930" w:type="dxa"/>
            <w:tcBorders>
              <w:top w:val="single" w:sz="4" w:space="0" w:color="B2B3B5" w:themeColor="accent4" w:themeTint="99"/>
              <w:bottom w:val="single" w:sz="4" w:space="0" w:color="B2B3B5" w:themeColor="accent4" w:themeTint="99"/>
            </w:tcBorders>
          </w:tcPr>
          <w:p w14:paraId="6B240BBD" w14:textId="2904D098" w:rsidR="0083768F" w:rsidRPr="0083768F" w:rsidRDefault="0083768F" w:rsidP="0083768F">
            <w:pPr>
              <w:pStyle w:val="Contact"/>
              <w:spacing w:before="240"/>
              <w:rPr>
                <w:b w:val="0"/>
                <w:color w:val="002060"/>
                <w:szCs w:val="22"/>
              </w:rPr>
            </w:pPr>
            <w:r w:rsidRPr="0083768F">
              <w:rPr>
                <w:b w:val="0"/>
                <w:color w:val="002060"/>
                <w:szCs w:val="22"/>
              </w:rPr>
              <w:t>The Government</w:t>
            </w:r>
            <w:r>
              <w:rPr>
                <w:b w:val="0"/>
                <w:color w:val="002060"/>
                <w:szCs w:val="22"/>
              </w:rPr>
              <w:t xml:space="preserve"> supports the recommendation.  </w:t>
            </w:r>
          </w:p>
          <w:p w14:paraId="0B4A9176" w14:textId="45F7387F" w:rsidR="002918F9" w:rsidRPr="00B35FBA" w:rsidRDefault="0083768F" w:rsidP="00D20783">
            <w:pPr>
              <w:spacing w:before="240"/>
              <w:rPr>
                <w:color w:val="002060"/>
              </w:rPr>
            </w:pPr>
            <w:r w:rsidRPr="0083768F">
              <w:rPr>
                <w:color w:val="002060"/>
                <w:szCs w:val="22"/>
              </w:rPr>
              <w:t xml:space="preserve">These changes will make the Tax Agent Services Act 2009 (TASA) more </w:t>
            </w:r>
            <w:proofErr w:type="gramStart"/>
            <w:r w:rsidRPr="0083768F">
              <w:rPr>
                <w:color w:val="002060"/>
                <w:szCs w:val="22"/>
              </w:rPr>
              <w:t>contemporary, and</w:t>
            </w:r>
            <w:proofErr w:type="gramEnd"/>
            <w:r w:rsidRPr="0083768F">
              <w:rPr>
                <w:color w:val="002060"/>
                <w:szCs w:val="22"/>
              </w:rPr>
              <w:t xml:space="preserve"> align more closely with the TPB’s role and responsibilities.  </w:t>
            </w:r>
          </w:p>
        </w:tc>
      </w:tr>
      <w:tr w:rsidR="002918F9" w14:paraId="26E07F5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AB24B1A" w14:textId="6076EB87" w:rsidR="002918F9" w:rsidRPr="00A57D9C" w:rsidRDefault="002918F9" w:rsidP="001F00CF">
            <w:pPr>
              <w:pStyle w:val="RecommendationHeading"/>
              <w:rPr>
                <w:szCs w:val="22"/>
              </w:rPr>
            </w:pPr>
            <w:r>
              <w:lastRenderedPageBreak/>
              <w:t>3.</w:t>
            </w:r>
            <w:r w:rsidR="006B6C52">
              <w:t>1</w:t>
            </w:r>
            <w:r>
              <w:t xml:space="preserve"> </w:t>
            </w:r>
            <w:r w:rsidR="006B6C52" w:rsidRPr="001F00CF">
              <w:rPr>
                <w:szCs w:val="22"/>
              </w:rPr>
              <w:t>The Review recommends the TPB should become a separate agency and receive its own specific appropriation from the Government rather than as an allocated proportion of a broader ATO budget (which will require accompanying law changes). This will represent a TPB that is independent from the ATO.</w:t>
            </w:r>
          </w:p>
        </w:tc>
        <w:tc>
          <w:tcPr>
            <w:tcW w:w="8930" w:type="dxa"/>
            <w:tcBorders>
              <w:top w:val="single" w:sz="4" w:space="0" w:color="B2B3B5" w:themeColor="accent4" w:themeTint="99"/>
              <w:bottom w:val="single" w:sz="4" w:space="0" w:color="B2B3B5" w:themeColor="accent4" w:themeTint="99"/>
            </w:tcBorders>
          </w:tcPr>
          <w:p w14:paraId="2A132A0F" w14:textId="77777777" w:rsidR="0083768F" w:rsidRPr="0083768F" w:rsidRDefault="0083768F" w:rsidP="0083768F">
            <w:pPr>
              <w:pStyle w:val="Contact"/>
              <w:spacing w:before="240"/>
              <w:rPr>
                <w:b w:val="0"/>
                <w:color w:val="002060"/>
                <w:szCs w:val="22"/>
              </w:rPr>
            </w:pPr>
            <w:r w:rsidRPr="0083768F">
              <w:rPr>
                <w:b w:val="0"/>
                <w:color w:val="002060"/>
                <w:szCs w:val="22"/>
              </w:rPr>
              <w:t>The Government supports the recommendation in principle.</w:t>
            </w:r>
          </w:p>
          <w:p w14:paraId="34F7F0E0" w14:textId="2077B74E" w:rsidR="0011608E" w:rsidRPr="00B67026" w:rsidRDefault="001674FF" w:rsidP="009422BF">
            <w:pPr>
              <w:spacing w:before="240"/>
              <w:rPr>
                <w:color w:val="002060"/>
                <w:szCs w:val="22"/>
              </w:rPr>
            </w:pPr>
            <w:r w:rsidRPr="001674FF">
              <w:rPr>
                <w:color w:val="002060"/>
                <w:szCs w:val="22"/>
              </w:rPr>
              <w:t>The Government agrees that the TPB</w:t>
            </w:r>
            <w:r w:rsidR="009D420D">
              <w:rPr>
                <w:color w:val="002060"/>
                <w:szCs w:val="22"/>
              </w:rPr>
              <w:t>’s independence</w:t>
            </w:r>
            <w:r w:rsidRPr="001674FF">
              <w:rPr>
                <w:color w:val="002060"/>
                <w:szCs w:val="22"/>
              </w:rPr>
              <w:t xml:space="preserve"> should </w:t>
            </w:r>
            <w:r w:rsidR="009422BF">
              <w:rPr>
                <w:color w:val="002060"/>
                <w:szCs w:val="22"/>
              </w:rPr>
              <w:t xml:space="preserve">be enhanced. After the TPB Charging </w:t>
            </w:r>
            <w:proofErr w:type="gramStart"/>
            <w:r w:rsidR="009422BF">
              <w:rPr>
                <w:color w:val="002060"/>
                <w:szCs w:val="22"/>
              </w:rPr>
              <w:t>Arrangement</w:t>
            </w:r>
            <w:r w:rsidR="008A4332">
              <w:rPr>
                <w:color w:val="002060"/>
                <w:szCs w:val="22"/>
              </w:rPr>
              <w:t>s</w:t>
            </w:r>
            <w:proofErr w:type="gramEnd"/>
            <w:r w:rsidR="009422BF">
              <w:rPr>
                <w:color w:val="002060"/>
                <w:szCs w:val="22"/>
              </w:rPr>
              <w:t xml:space="preserve"> Review has concluded, the Government will take steps to increase the TPB’s financial independence from the ATO.</w:t>
            </w:r>
            <w:r w:rsidR="0011608E">
              <w:rPr>
                <w:color w:val="002060"/>
                <w:szCs w:val="22"/>
              </w:rPr>
              <w:t xml:space="preserve"> </w:t>
            </w:r>
          </w:p>
        </w:tc>
      </w:tr>
      <w:tr w:rsidR="002918F9" w14:paraId="4943B03F"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130AE4C3" w14:textId="55504A96" w:rsidR="00CB2324" w:rsidRPr="001F00CF" w:rsidRDefault="00CB2324" w:rsidP="001F00CF">
            <w:pPr>
              <w:pStyle w:val="RecommendationHeading"/>
              <w:rPr>
                <w:szCs w:val="22"/>
              </w:rPr>
            </w:pPr>
            <w:r>
              <w:t>3</w:t>
            </w:r>
            <w:r w:rsidR="002918F9">
              <w:t>.</w:t>
            </w:r>
            <w:r>
              <w:t>2</w:t>
            </w:r>
            <w:r w:rsidR="002918F9">
              <w:t xml:space="preserve"> </w:t>
            </w:r>
            <w:r w:rsidRPr="001F00CF">
              <w:rPr>
                <w:szCs w:val="22"/>
              </w:rPr>
              <w:t>The Review recommends, in addition to Recommendation 3.1, the following changes should be made to improve the level of independence the TPB has from the ATO:</w:t>
            </w:r>
          </w:p>
          <w:p w14:paraId="01D8DCE8" w14:textId="77777777" w:rsidR="00CB2324" w:rsidRPr="001F00CF" w:rsidRDefault="00CB2324" w:rsidP="00B1355E">
            <w:pPr>
              <w:pStyle w:val="ListParagraph"/>
              <w:numPr>
                <w:ilvl w:val="0"/>
                <w:numId w:val="17"/>
              </w:numPr>
              <w:rPr>
                <w:rFonts w:ascii="Calibri" w:hAnsi="Calibri" w:cs="Arial"/>
                <w:color w:val="0072BB" w:themeColor="accent3" w:themeTint="BF"/>
                <w:kern w:val="32"/>
                <w:szCs w:val="22"/>
              </w:rPr>
            </w:pPr>
            <w:r w:rsidRPr="001F00CF">
              <w:rPr>
                <w:rFonts w:ascii="Calibri" w:hAnsi="Calibri" w:cs="Arial"/>
                <w:color w:val="0072BB" w:themeColor="accent3" w:themeTint="BF"/>
                <w:kern w:val="32"/>
              </w:rPr>
              <w:t xml:space="preserve">The position of the CEO of the TPB should be accountable to the Board and become a statutory appointment rather than, as at present, an ATO employee on secondment to the TPB. </w:t>
            </w:r>
          </w:p>
          <w:p w14:paraId="0D820EC4" w14:textId="29382834" w:rsidR="002918F9" w:rsidRPr="00CB2324" w:rsidRDefault="00CB2324" w:rsidP="00B1355E">
            <w:pPr>
              <w:pStyle w:val="ListParagraph"/>
              <w:numPr>
                <w:ilvl w:val="0"/>
                <w:numId w:val="17"/>
              </w:numPr>
            </w:pPr>
            <w:r w:rsidRPr="001F00CF">
              <w:rPr>
                <w:rFonts w:ascii="Calibri" w:hAnsi="Calibri" w:cs="Arial"/>
                <w:color w:val="0072BB" w:themeColor="accent3" w:themeTint="BF"/>
                <w:kern w:val="32"/>
              </w:rPr>
              <w:t>If the TPB seconds staff from the ATO, there should be formal secondment arrangements put in place for those ATO staff on secondment to the TPB.</w:t>
            </w:r>
          </w:p>
        </w:tc>
        <w:tc>
          <w:tcPr>
            <w:tcW w:w="8930" w:type="dxa"/>
            <w:tcBorders>
              <w:top w:val="single" w:sz="4" w:space="0" w:color="B2B3B5" w:themeColor="accent4" w:themeTint="99"/>
              <w:bottom w:val="single" w:sz="4" w:space="0" w:color="B2B3B5" w:themeColor="accent4" w:themeTint="99"/>
            </w:tcBorders>
          </w:tcPr>
          <w:p w14:paraId="11708620" w14:textId="06BFBC39" w:rsidR="0083768F" w:rsidRPr="0083768F" w:rsidRDefault="0083768F" w:rsidP="0083768F">
            <w:pPr>
              <w:pStyle w:val="Contact"/>
              <w:spacing w:before="240"/>
              <w:rPr>
                <w:b w:val="0"/>
                <w:color w:val="002060"/>
                <w:szCs w:val="22"/>
              </w:rPr>
            </w:pPr>
            <w:r w:rsidRPr="0083768F">
              <w:rPr>
                <w:b w:val="0"/>
                <w:color w:val="002060"/>
                <w:szCs w:val="22"/>
              </w:rPr>
              <w:t xml:space="preserve">The Government supports the recommendation in part.  </w:t>
            </w:r>
          </w:p>
          <w:p w14:paraId="4833C89E" w14:textId="1D568A29" w:rsidR="0083768F" w:rsidRPr="0083768F" w:rsidRDefault="0083768F" w:rsidP="0083768F">
            <w:pPr>
              <w:pStyle w:val="Contact"/>
              <w:spacing w:before="240"/>
              <w:rPr>
                <w:b w:val="0"/>
                <w:color w:val="002060"/>
                <w:szCs w:val="22"/>
              </w:rPr>
            </w:pPr>
            <w:r w:rsidRPr="0083768F">
              <w:rPr>
                <w:b w:val="0"/>
                <w:color w:val="002060"/>
                <w:szCs w:val="22"/>
              </w:rPr>
              <w:t>a) The position of CEO will be made accountable to the Board, administratively. The Government does not support the CEO becoming a statutory appointment.</w:t>
            </w:r>
          </w:p>
          <w:p w14:paraId="517D26BB" w14:textId="5B6BBA52" w:rsidR="002918F9" w:rsidRPr="001F00CF" w:rsidRDefault="0083768F" w:rsidP="00A128F9">
            <w:pPr>
              <w:pStyle w:val="Contact"/>
              <w:spacing w:before="240"/>
              <w:rPr>
                <w:color w:val="002060"/>
                <w:szCs w:val="22"/>
              </w:rPr>
            </w:pPr>
            <w:r w:rsidRPr="0083768F">
              <w:rPr>
                <w:b w:val="0"/>
                <w:color w:val="002060"/>
                <w:szCs w:val="22"/>
              </w:rPr>
              <w:t>b) A formal MOU will clarify the role, responsibilities and accountability of ATO secondees that have been allocated to the TPB.</w:t>
            </w:r>
          </w:p>
        </w:tc>
      </w:tr>
      <w:tr w:rsidR="002918F9" w14:paraId="2B5BB25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651BC182" w14:textId="60B42393" w:rsidR="006D3CF6" w:rsidRPr="001F00CF" w:rsidRDefault="00843DFD" w:rsidP="001F00CF">
            <w:pPr>
              <w:pStyle w:val="RecommendationHeading"/>
              <w:rPr>
                <w:b/>
                <w:szCs w:val="22"/>
              </w:rPr>
            </w:pPr>
            <w:r>
              <w:lastRenderedPageBreak/>
              <w:t>3.3</w:t>
            </w:r>
            <w:r w:rsidR="002918F9">
              <w:t xml:space="preserve"> </w:t>
            </w:r>
            <w:r w:rsidR="006D3CF6" w:rsidRPr="001F00CF">
              <w:rPr>
                <w:szCs w:val="22"/>
              </w:rPr>
              <w:t>The Review recommends:</w:t>
            </w:r>
          </w:p>
          <w:p w14:paraId="7EB74832" w14:textId="77777777" w:rsidR="006D3CF6" w:rsidRPr="001F00CF" w:rsidRDefault="006D3CF6" w:rsidP="00B1355E">
            <w:pPr>
              <w:pStyle w:val="Contact"/>
              <w:numPr>
                <w:ilvl w:val="0"/>
                <w:numId w:val="16"/>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The TPB and ATO should maintain and publish a plan that sets out how they will work together, encouraging early engagement, strengthening information sharing, providing clear responsibilities and accountabilities and setting agreed strategic goals.</w:t>
            </w:r>
          </w:p>
          <w:p w14:paraId="7A7F20C4" w14:textId="2FB2CE90" w:rsidR="002918F9" w:rsidRPr="006D3CF6" w:rsidRDefault="006D3CF6" w:rsidP="00B1355E">
            <w:pPr>
              <w:pStyle w:val="Contact"/>
              <w:numPr>
                <w:ilvl w:val="0"/>
                <w:numId w:val="16"/>
              </w:numPr>
              <w:rPr>
                <w:b w:val="0"/>
                <w:szCs w:val="22"/>
              </w:rPr>
            </w:pPr>
            <w:r w:rsidRPr="001F00CF">
              <w:rPr>
                <w:rFonts w:ascii="Calibri" w:hAnsi="Calibri" w:cs="Arial"/>
                <w:b w:val="0"/>
                <w:color w:val="0072BB" w:themeColor="accent3" w:themeTint="BF"/>
                <w:kern w:val="32"/>
              </w:rPr>
              <w:t>The creation of a Tax Practitioner Governance and Standards Forum and corresponding Charter of Tax Practitioner Governance.</w:t>
            </w:r>
          </w:p>
        </w:tc>
        <w:tc>
          <w:tcPr>
            <w:tcW w:w="8930" w:type="dxa"/>
            <w:tcBorders>
              <w:top w:val="single" w:sz="4" w:space="0" w:color="B2B3B5" w:themeColor="accent4" w:themeTint="99"/>
              <w:bottom w:val="single" w:sz="4" w:space="0" w:color="B2B3B5" w:themeColor="accent4" w:themeTint="99"/>
            </w:tcBorders>
          </w:tcPr>
          <w:p w14:paraId="700E9FBE" w14:textId="11A5057B" w:rsidR="0083768F" w:rsidRPr="0083768F" w:rsidRDefault="0083768F" w:rsidP="0083768F">
            <w:pPr>
              <w:pStyle w:val="Contact"/>
              <w:spacing w:before="240"/>
              <w:rPr>
                <w:b w:val="0"/>
                <w:color w:val="002060"/>
                <w:szCs w:val="22"/>
              </w:rPr>
            </w:pPr>
            <w:r w:rsidRPr="0083768F">
              <w:rPr>
                <w:b w:val="0"/>
                <w:color w:val="002060"/>
                <w:szCs w:val="22"/>
              </w:rPr>
              <w:t>The Government supports the recommendation.</w:t>
            </w:r>
          </w:p>
          <w:p w14:paraId="085F15CE" w14:textId="4515A5BA" w:rsidR="0083768F" w:rsidRPr="0083768F" w:rsidRDefault="0083768F" w:rsidP="0083768F">
            <w:pPr>
              <w:pStyle w:val="Contact"/>
              <w:spacing w:before="240"/>
              <w:rPr>
                <w:b w:val="0"/>
                <w:color w:val="002060"/>
                <w:szCs w:val="22"/>
              </w:rPr>
            </w:pPr>
            <w:r w:rsidRPr="0083768F">
              <w:rPr>
                <w:b w:val="0"/>
                <w:color w:val="002060"/>
                <w:szCs w:val="22"/>
              </w:rPr>
              <w:t>The Government agrees that a published plan outlining working arrangements between the ATO and the TPB would provide transparency to the community.  The Government notes that the ATO and the TPB are already in the process of preparing this plan.</w:t>
            </w:r>
          </w:p>
          <w:p w14:paraId="42D43243" w14:textId="77777777" w:rsidR="0083768F" w:rsidRPr="0083768F" w:rsidRDefault="0083768F" w:rsidP="0083768F">
            <w:pPr>
              <w:pStyle w:val="Contact"/>
              <w:spacing w:before="240"/>
              <w:rPr>
                <w:b w:val="0"/>
                <w:color w:val="002060"/>
                <w:szCs w:val="22"/>
              </w:rPr>
            </w:pPr>
            <w:r w:rsidRPr="0083768F">
              <w:rPr>
                <w:b w:val="0"/>
                <w:color w:val="002060"/>
                <w:szCs w:val="22"/>
              </w:rPr>
              <w:t>In addition to the proposed members of the Tax Practitioner Governance and Standards Forum, the Government considers that a BAS agent association member should also be a member.</w:t>
            </w:r>
          </w:p>
          <w:p w14:paraId="7A18FAD5" w14:textId="7E1E86ED" w:rsidR="002918F9" w:rsidRPr="00E31AC2" w:rsidRDefault="002918F9" w:rsidP="00010BCC">
            <w:pPr>
              <w:pStyle w:val="Contact"/>
              <w:spacing w:before="240"/>
              <w:rPr>
                <w:b w:val="0"/>
                <w:color w:val="002060"/>
              </w:rPr>
            </w:pPr>
          </w:p>
        </w:tc>
      </w:tr>
      <w:tr w:rsidR="002918F9" w14:paraId="5F5D2351"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1EE67694" w14:textId="503A3891" w:rsidR="00DB6A13" w:rsidRPr="001F00CF" w:rsidRDefault="00DB6A13" w:rsidP="00DB6A13">
            <w:pPr>
              <w:pStyle w:val="RecommendationHeading"/>
              <w:rPr>
                <w:szCs w:val="22"/>
              </w:rPr>
            </w:pPr>
            <w:r>
              <w:lastRenderedPageBreak/>
              <w:t>3</w:t>
            </w:r>
            <w:r w:rsidR="002918F9">
              <w:t>.</w:t>
            </w:r>
            <w:r>
              <w:t>4</w:t>
            </w:r>
            <w:r w:rsidR="002918F9" w:rsidRPr="001F00CF">
              <w:rPr>
                <w:szCs w:val="22"/>
              </w:rPr>
              <w:t xml:space="preserve"> </w:t>
            </w:r>
            <w:r w:rsidRPr="001F00CF">
              <w:rPr>
                <w:szCs w:val="22"/>
              </w:rPr>
              <w:t>The Review recommends:</w:t>
            </w:r>
          </w:p>
          <w:p w14:paraId="368947B8" w14:textId="77777777" w:rsidR="00DB6A13" w:rsidRPr="001F00CF" w:rsidRDefault="00DB6A13" w:rsidP="00B1355E">
            <w:pPr>
              <w:pStyle w:val="RecommendationHeading"/>
              <w:numPr>
                <w:ilvl w:val="0"/>
                <w:numId w:val="11"/>
              </w:numPr>
              <w:rPr>
                <w:szCs w:val="22"/>
              </w:rPr>
            </w:pPr>
            <w:r w:rsidRPr="001F00CF">
              <w:rPr>
                <w:szCs w:val="22"/>
              </w:rPr>
              <w:t>The law should be amended to oblige each of the TPB and ATO to:</w:t>
            </w:r>
          </w:p>
          <w:p w14:paraId="2AC1B5BB" w14:textId="77777777" w:rsidR="00DB6A13" w:rsidRPr="001F00CF" w:rsidRDefault="00DB6A13" w:rsidP="00B1355E">
            <w:pPr>
              <w:pStyle w:val="RecommendationHeading"/>
              <w:numPr>
                <w:ilvl w:val="1"/>
                <w:numId w:val="15"/>
              </w:numPr>
              <w:rPr>
                <w:szCs w:val="22"/>
              </w:rPr>
            </w:pPr>
            <w:proofErr w:type="spellStart"/>
            <w:r w:rsidRPr="001F00CF">
              <w:rPr>
                <w:szCs w:val="22"/>
              </w:rPr>
              <w:t>co operate</w:t>
            </w:r>
            <w:proofErr w:type="spellEnd"/>
            <w:r w:rsidRPr="001F00CF">
              <w:rPr>
                <w:szCs w:val="22"/>
              </w:rPr>
              <w:t xml:space="preserve"> with the </w:t>
            </w:r>
            <w:proofErr w:type="gramStart"/>
            <w:r w:rsidRPr="001F00CF">
              <w:rPr>
                <w:szCs w:val="22"/>
              </w:rPr>
              <w:t>other;</w:t>
            </w:r>
            <w:proofErr w:type="gramEnd"/>
          </w:p>
          <w:p w14:paraId="0339F49E" w14:textId="77777777" w:rsidR="00DB6A13" w:rsidRPr="001F00CF" w:rsidRDefault="00DB6A13" w:rsidP="00B1355E">
            <w:pPr>
              <w:pStyle w:val="RecommendationHeading"/>
              <w:numPr>
                <w:ilvl w:val="1"/>
                <w:numId w:val="15"/>
              </w:numPr>
              <w:rPr>
                <w:szCs w:val="22"/>
              </w:rPr>
            </w:pPr>
            <w:r w:rsidRPr="001F00CF">
              <w:rPr>
                <w:szCs w:val="22"/>
              </w:rPr>
              <w:t xml:space="preserve">share information to the maximum extent practicable; and </w:t>
            </w:r>
          </w:p>
          <w:p w14:paraId="431BB0CB" w14:textId="77777777" w:rsidR="00DA745B" w:rsidRPr="001F00CF" w:rsidRDefault="00DB6A13" w:rsidP="00B1355E">
            <w:pPr>
              <w:pStyle w:val="RecommendationHeading"/>
              <w:numPr>
                <w:ilvl w:val="1"/>
                <w:numId w:val="15"/>
              </w:numPr>
              <w:rPr>
                <w:szCs w:val="22"/>
              </w:rPr>
            </w:pPr>
            <w:r w:rsidRPr="001F00CF">
              <w:rPr>
                <w:szCs w:val="22"/>
              </w:rPr>
              <w:t>notify the other whenever it forms the belief that a breach in respect of which the other has enforcement responsibility may have occurred.</w:t>
            </w:r>
          </w:p>
          <w:p w14:paraId="4B32EA67" w14:textId="77777777" w:rsidR="00DA745B" w:rsidRPr="001F00CF" w:rsidRDefault="00DB6A13" w:rsidP="00B1355E">
            <w:pPr>
              <w:pStyle w:val="RecommendationHeading"/>
              <w:numPr>
                <w:ilvl w:val="0"/>
                <w:numId w:val="11"/>
              </w:numPr>
              <w:rPr>
                <w:szCs w:val="22"/>
              </w:rPr>
            </w:pPr>
            <w:r w:rsidRPr="001F00CF">
              <w:rPr>
                <w:szCs w:val="22"/>
              </w:rPr>
              <w:t xml:space="preserve">The law should be amended to oblige each of the TPB and ASIC to: </w:t>
            </w:r>
          </w:p>
          <w:p w14:paraId="6533A099" w14:textId="5B086E50" w:rsidR="00DA745B" w:rsidRPr="001F00CF" w:rsidRDefault="00DB6A13" w:rsidP="00B1355E">
            <w:pPr>
              <w:pStyle w:val="RecommendationHeading"/>
              <w:numPr>
                <w:ilvl w:val="1"/>
                <w:numId w:val="14"/>
              </w:numPr>
              <w:rPr>
                <w:szCs w:val="22"/>
              </w:rPr>
            </w:pPr>
            <w:proofErr w:type="spellStart"/>
            <w:r w:rsidRPr="001F00CF">
              <w:rPr>
                <w:szCs w:val="22"/>
              </w:rPr>
              <w:t>co operate</w:t>
            </w:r>
            <w:proofErr w:type="spellEnd"/>
            <w:r w:rsidRPr="001F00CF">
              <w:rPr>
                <w:szCs w:val="22"/>
              </w:rPr>
              <w:t xml:space="preserve"> with the </w:t>
            </w:r>
            <w:proofErr w:type="gramStart"/>
            <w:r w:rsidRPr="001F00CF">
              <w:rPr>
                <w:szCs w:val="22"/>
              </w:rPr>
              <w:t>other;</w:t>
            </w:r>
            <w:proofErr w:type="gramEnd"/>
          </w:p>
          <w:p w14:paraId="6D7CCBED" w14:textId="04944351" w:rsidR="00DA745B" w:rsidRPr="001F00CF" w:rsidRDefault="00DA745B" w:rsidP="00B1355E">
            <w:pPr>
              <w:pStyle w:val="RecommendationHeading"/>
              <w:numPr>
                <w:ilvl w:val="1"/>
                <w:numId w:val="14"/>
              </w:numPr>
              <w:rPr>
                <w:szCs w:val="22"/>
              </w:rPr>
            </w:pPr>
            <w:r w:rsidRPr="001F00CF">
              <w:rPr>
                <w:szCs w:val="22"/>
              </w:rPr>
              <w:t>share information to the maximum extent practicable; and</w:t>
            </w:r>
          </w:p>
          <w:p w14:paraId="46E73C96" w14:textId="40DFCF4E" w:rsidR="00DA745B" w:rsidRPr="001F00CF" w:rsidRDefault="00DA745B" w:rsidP="00B1355E">
            <w:pPr>
              <w:pStyle w:val="RecommendationHeading"/>
              <w:numPr>
                <w:ilvl w:val="1"/>
                <w:numId w:val="14"/>
              </w:numPr>
              <w:rPr>
                <w:szCs w:val="22"/>
              </w:rPr>
            </w:pPr>
            <w:r w:rsidRPr="001F00CF">
              <w:rPr>
                <w:szCs w:val="22"/>
              </w:rPr>
              <w:t>notify the other whenever it forms the belief that a breach in respect of which the other has enforcement responsibility may have occurred.</w:t>
            </w:r>
          </w:p>
          <w:p w14:paraId="2B7F875A" w14:textId="66DD21A5" w:rsidR="002918F9" w:rsidRDefault="002918F9" w:rsidP="001F00CF">
            <w:pPr>
              <w:pStyle w:val="RecommendationHeading"/>
            </w:pPr>
          </w:p>
        </w:tc>
        <w:tc>
          <w:tcPr>
            <w:tcW w:w="8930" w:type="dxa"/>
            <w:tcBorders>
              <w:top w:val="single" w:sz="4" w:space="0" w:color="B2B3B5" w:themeColor="accent4" w:themeTint="99"/>
              <w:bottom w:val="single" w:sz="4" w:space="0" w:color="B2B3B5" w:themeColor="accent4" w:themeTint="99"/>
            </w:tcBorders>
          </w:tcPr>
          <w:p w14:paraId="184852BA" w14:textId="2302A8B4" w:rsidR="0083768F" w:rsidRPr="0083768F" w:rsidRDefault="0083768F" w:rsidP="0083768F">
            <w:pPr>
              <w:spacing w:before="240"/>
              <w:rPr>
                <w:color w:val="002060"/>
              </w:rPr>
            </w:pPr>
            <w:r w:rsidRPr="0083768F">
              <w:rPr>
                <w:color w:val="002060"/>
              </w:rPr>
              <w:t>The Government supports the recommendation in principle.</w:t>
            </w:r>
          </w:p>
          <w:p w14:paraId="169B4B75" w14:textId="36C46F1D" w:rsidR="00330F1A" w:rsidRPr="00330F1A" w:rsidRDefault="0083768F" w:rsidP="00330F1A">
            <w:pPr>
              <w:spacing w:before="240"/>
              <w:rPr>
                <w:color w:val="002060"/>
              </w:rPr>
            </w:pPr>
            <w:r w:rsidRPr="0083768F">
              <w:rPr>
                <w:color w:val="002060"/>
              </w:rPr>
              <w:t xml:space="preserve">The Government agrees that the TPB should work in co-operation with both the ATO and ASIC, sharing information and notifying each other where there are breaches where the other has enforcement responsibility. </w:t>
            </w:r>
          </w:p>
          <w:p w14:paraId="56784788" w14:textId="23CF74FE" w:rsidR="002918F9" w:rsidRPr="00B35FBA" w:rsidRDefault="002918F9" w:rsidP="002918F9">
            <w:pPr>
              <w:spacing w:before="240"/>
              <w:rPr>
                <w:color w:val="002060"/>
              </w:rPr>
            </w:pPr>
          </w:p>
        </w:tc>
      </w:tr>
      <w:tr w:rsidR="002918F9" w14:paraId="4A07A1A1"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1601D707" w14:textId="7939818D" w:rsidR="00C705FA" w:rsidRPr="001F00CF" w:rsidRDefault="00C705FA" w:rsidP="00C705FA">
            <w:pPr>
              <w:pStyle w:val="RecommendationHeading"/>
              <w:rPr>
                <w:szCs w:val="22"/>
              </w:rPr>
            </w:pPr>
            <w:r>
              <w:lastRenderedPageBreak/>
              <w:t>3</w:t>
            </w:r>
            <w:r w:rsidR="002918F9">
              <w:t>.</w:t>
            </w:r>
            <w:r>
              <w:t>5</w:t>
            </w:r>
            <w:r w:rsidR="002918F9">
              <w:t xml:space="preserve"> </w:t>
            </w:r>
            <w:r w:rsidRPr="001F00CF">
              <w:rPr>
                <w:szCs w:val="22"/>
              </w:rPr>
              <w:t>The Review recommends that the whistleblower laws be amended such that the TPB is legislatively defined as an ‘eligible recipient’. This would ensure that the TPB is able to:</w:t>
            </w:r>
          </w:p>
          <w:p w14:paraId="18AA612F" w14:textId="77777777" w:rsidR="004A5C04" w:rsidRPr="001F00CF" w:rsidRDefault="00C705FA" w:rsidP="00B1355E">
            <w:pPr>
              <w:pStyle w:val="RecommendationHeading"/>
              <w:numPr>
                <w:ilvl w:val="0"/>
                <w:numId w:val="13"/>
              </w:numPr>
            </w:pPr>
            <w:r w:rsidRPr="001F00CF">
              <w:t xml:space="preserve">receive information from an eligible whistleblower and eligible </w:t>
            </w:r>
            <w:proofErr w:type="gramStart"/>
            <w:r w:rsidRPr="001F00CF">
              <w:t>recipient;</w:t>
            </w:r>
            <w:proofErr w:type="gramEnd"/>
            <w:r w:rsidRPr="001F00CF">
              <w:t xml:space="preserve"> </w:t>
            </w:r>
          </w:p>
          <w:p w14:paraId="6FE0691A" w14:textId="53DE3F3A" w:rsidR="002918F9" w:rsidRPr="00A57D9C" w:rsidRDefault="00C705FA" w:rsidP="00B1355E">
            <w:pPr>
              <w:pStyle w:val="RecommendationHeading"/>
              <w:numPr>
                <w:ilvl w:val="0"/>
                <w:numId w:val="13"/>
              </w:numPr>
              <w:rPr>
                <w:rFonts w:eastAsiaTheme="minorHAnsi" w:cstheme="minorBidi"/>
                <w:lang w:eastAsia="en-US"/>
              </w:rPr>
            </w:pPr>
            <w:r w:rsidRPr="001F00CF">
              <w:t>and disclose information received to other eligible recipients.</w:t>
            </w:r>
          </w:p>
        </w:tc>
        <w:tc>
          <w:tcPr>
            <w:tcW w:w="8930" w:type="dxa"/>
            <w:tcBorders>
              <w:top w:val="single" w:sz="4" w:space="0" w:color="B2B3B5" w:themeColor="accent4" w:themeTint="99"/>
              <w:bottom w:val="single" w:sz="4" w:space="0" w:color="B2B3B5" w:themeColor="accent4" w:themeTint="99"/>
            </w:tcBorders>
          </w:tcPr>
          <w:p w14:paraId="2E30F678" w14:textId="03B46367" w:rsidR="0083768F" w:rsidRPr="0083768F" w:rsidRDefault="00C219AF" w:rsidP="0083768F">
            <w:pPr>
              <w:spacing w:before="240"/>
              <w:rPr>
                <w:color w:val="002060"/>
              </w:rPr>
            </w:pPr>
            <w:r>
              <w:rPr>
                <w:color w:val="002060"/>
              </w:rPr>
              <w:t>The Government notes the recommendation.</w:t>
            </w:r>
          </w:p>
          <w:p w14:paraId="0F2CF034" w14:textId="6F7A692C" w:rsidR="002C3AE7" w:rsidRPr="00B35FBA" w:rsidRDefault="0083768F" w:rsidP="001C3725">
            <w:pPr>
              <w:spacing w:before="240"/>
              <w:rPr>
                <w:color w:val="002060"/>
              </w:rPr>
            </w:pPr>
            <w:r w:rsidRPr="0083768F">
              <w:rPr>
                <w:color w:val="002060"/>
              </w:rPr>
              <w:t xml:space="preserve">The Government will consult with key stakeholders on the scope of possible disclosures to the TPB that </w:t>
            </w:r>
            <w:r w:rsidR="001C3725">
              <w:rPr>
                <w:color w:val="002060"/>
              </w:rPr>
              <w:t>w</w:t>
            </w:r>
            <w:r w:rsidRPr="0083768F">
              <w:rPr>
                <w:color w:val="002060"/>
              </w:rPr>
              <w:t>ould benefit from whistleblower protections.</w:t>
            </w:r>
          </w:p>
        </w:tc>
      </w:tr>
      <w:tr w:rsidR="002918F9" w14:paraId="2FF7A831"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465D90CD" w14:textId="32EDAE1A" w:rsidR="002C3AE7" w:rsidRPr="001F00CF" w:rsidRDefault="002C3AE7" w:rsidP="002C3AE7">
            <w:pPr>
              <w:pStyle w:val="RecommendationHeading"/>
              <w:rPr>
                <w:szCs w:val="22"/>
              </w:rPr>
            </w:pPr>
            <w:r>
              <w:t>3</w:t>
            </w:r>
            <w:r w:rsidR="002918F9">
              <w:t>.</w:t>
            </w:r>
            <w:r>
              <w:t>6</w:t>
            </w:r>
            <w:r w:rsidR="002918F9">
              <w:t xml:space="preserve"> </w:t>
            </w:r>
            <w:r w:rsidRPr="001F00CF">
              <w:rPr>
                <w:szCs w:val="22"/>
              </w:rPr>
              <w:t>The Review recommends:</w:t>
            </w:r>
          </w:p>
          <w:p w14:paraId="4CF3E345" w14:textId="37034324" w:rsidR="002C3AE7" w:rsidRPr="001F00CF" w:rsidRDefault="002C3AE7" w:rsidP="00B1355E">
            <w:pPr>
              <w:pStyle w:val="RecommendationHeading"/>
              <w:numPr>
                <w:ilvl w:val="0"/>
                <w:numId w:val="19"/>
              </w:numPr>
              <w:rPr>
                <w:szCs w:val="22"/>
              </w:rPr>
            </w:pPr>
            <w:r w:rsidRPr="001F00CF">
              <w:rPr>
                <w:szCs w:val="22"/>
              </w:rPr>
              <w:t xml:space="preserve">The Tax Agent Services Act 2009 is amended to mandate that at least one member of the Board is a community member. Consideration will need to be given as to how this term is defined but it should be expected they would provide community focused input and have a high level of experience in regulating professional activities outside of the tax profession. </w:t>
            </w:r>
          </w:p>
          <w:p w14:paraId="5880FBEF" w14:textId="4A428141" w:rsidR="002918F9" w:rsidRPr="00A57D9C" w:rsidRDefault="002C3AE7" w:rsidP="00B1355E">
            <w:pPr>
              <w:pStyle w:val="RecommendationHeading"/>
              <w:numPr>
                <w:ilvl w:val="0"/>
                <w:numId w:val="19"/>
              </w:numPr>
              <w:rPr>
                <w:rFonts w:eastAsiaTheme="minorHAnsi" w:cstheme="minorBidi"/>
                <w:szCs w:val="22"/>
                <w:lang w:eastAsia="en-US"/>
              </w:rPr>
            </w:pPr>
            <w:r w:rsidRPr="001F00CF">
              <w:rPr>
                <w:szCs w:val="22"/>
              </w:rPr>
              <w:t xml:space="preserve">Subsection 70 30(2) of the Tax Agent Services Act 2009 is amended so that only two members of a committee, that is making appealable decisions, </w:t>
            </w:r>
            <w:proofErr w:type="gramStart"/>
            <w:r w:rsidRPr="001F00CF">
              <w:rPr>
                <w:szCs w:val="22"/>
              </w:rPr>
              <w:t>have to</w:t>
            </w:r>
            <w:proofErr w:type="gramEnd"/>
            <w:r w:rsidRPr="001F00CF">
              <w:rPr>
                <w:szCs w:val="22"/>
              </w:rPr>
              <w:t xml:space="preserve"> be Board membe</w:t>
            </w:r>
            <w:bookmarkStart w:id="7" w:name="tempbookmark"/>
            <w:bookmarkEnd w:id="7"/>
            <w:r w:rsidRPr="001F00CF">
              <w:rPr>
                <w:szCs w:val="22"/>
              </w:rPr>
              <w:t>rs and the third member can be a person chosen at the Board’s discretion so long as that person has the appropriate skills and knowledge.</w:t>
            </w:r>
          </w:p>
        </w:tc>
        <w:tc>
          <w:tcPr>
            <w:tcW w:w="8930" w:type="dxa"/>
            <w:tcBorders>
              <w:top w:val="single" w:sz="4" w:space="0" w:color="B2B3B5" w:themeColor="accent4" w:themeTint="99"/>
              <w:bottom w:val="single" w:sz="4" w:space="0" w:color="B2B3B5" w:themeColor="accent4" w:themeTint="99"/>
            </w:tcBorders>
          </w:tcPr>
          <w:p w14:paraId="3A75D9EE" w14:textId="6ED4EDB9" w:rsidR="0083768F" w:rsidRPr="0083768F" w:rsidRDefault="0083768F" w:rsidP="0083768F">
            <w:pPr>
              <w:spacing w:before="240"/>
              <w:rPr>
                <w:color w:val="002060"/>
              </w:rPr>
            </w:pPr>
            <w:r w:rsidRPr="0083768F">
              <w:rPr>
                <w:color w:val="002060"/>
              </w:rPr>
              <w:t>The Government supports recommendation part (a) in principle.</w:t>
            </w:r>
          </w:p>
          <w:p w14:paraId="7EB08945" w14:textId="378FF2E9" w:rsidR="0083768F" w:rsidRPr="0083768F" w:rsidRDefault="0083768F" w:rsidP="0083768F">
            <w:pPr>
              <w:spacing w:before="240"/>
              <w:rPr>
                <w:color w:val="002060"/>
              </w:rPr>
            </w:pPr>
            <w:r w:rsidRPr="0083768F">
              <w:rPr>
                <w:color w:val="002060"/>
              </w:rPr>
              <w:t xml:space="preserve">(a)  The Government agrees in principle that Board members should be selected to provide a range of skills and expertise including an understanding of community matters. Under current law, the Government has the capacity to appoint members </w:t>
            </w:r>
            <w:proofErr w:type="gramStart"/>
            <w:r w:rsidRPr="0083768F">
              <w:rPr>
                <w:color w:val="002060"/>
              </w:rPr>
              <w:t>so as to</w:t>
            </w:r>
            <w:proofErr w:type="gramEnd"/>
            <w:r w:rsidRPr="0083768F">
              <w:rPr>
                <w:color w:val="002060"/>
              </w:rPr>
              <w:t xml:space="preserve"> ensure an appropriate mix of skills and expertise is included on the Board. </w:t>
            </w:r>
          </w:p>
          <w:p w14:paraId="558F1719" w14:textId="425F64BD" w:rsidR="0083768F" w:rsidRPr="0083768F" w:rsidRDefault="0083768F" w:rsidP="0083768F">
            <w:pPr>
              <w:spacing w:before="240"/>
              <w:rPr>
                <w:color w:val="002060"/>
              </w:rPr>
            </w:pPr>
            <w:r w:rsidRPr="0083768F">
              <w:rPr>
                <w:color w:val="002060"/>
              </w:rPr>
              <w:t xml:space="preserve">(b)  The Government does not support amending Subsection 70 30(2) of the Tax Agent Services Act 2009 so that only two members of a committee that is making appealable decisions </w:t>
            </w:r>
            <w:proofErr w:type="gramStart"/>
            <w:r w:rsidRPr="0083768F">
              <w:rPr>
                <w:color w:val="002060"/>
              </w:rPr>
              <w:t>have to</w:t>
            </w:r>
            <w:proofErr w:type="gramEnd"/>
            <w:r w:rsidRPr="0083768F">
              <w:rPr>
                <w:color w:val="002060"/>
              </w:rPr>
              <w:t xml:space="preserve"> be Board members. Appealable decisions can have significant impacts and </w:t>
            </w:r>
            <w:r w:rsidR="00B172B5" w:rsidRPr="00B172B5">
              <w:rPr>
                <w:color w:val="002060"/>
              </w:rPr>
              <w:t xml:space="preserve">therefore </w:t>
            </w:r>
            <w:r w:rsidRPr="0083768F">
              <w:rPr>
                <w:color w:val="002060"/>
              </w:rPr>
              <w:t>should be made by members with the relevant accountability standards.</w:t>
            </w:r>
          </w:p>
          <w:p w14:paraId="674DD52A" w14:textId="6D2B0889" w:rsidR="00BB7A98" w:rsidRPr="00B35FBA" w:rsidRDefault="00BB7A98">
            <w:pPr>
              <w:spacing w:before="240"/>
              <w:rPr>
                <w:color w:val="002060"/>
              </w:rPr>
            </w:pPr>
          </w:p>
        </w:tc>
      </w:tr>
      <w:tr w:rsidR="002918F9" w14:paraId="29BF3976" w14:textId="77777777" w:rsidTr="0039292C">
        <w:trPr>
          <w:cantSplit/>
        </w:trPr>
        <w:tc>
          <w:tcPr>
            <w:tcW w:w="5353" w:type="dxa"/>
            <w:tcBorders>
              <w:bottom w:val="single" w:sz="4" w:space="0" w:color="B2B3B5" w:themeColor="accent4" w:themeTint="99"/>
            </w:tcBorders>
          </w:tcPr>
          <w:p w14:paraId="3EDC6E39" w14:textId="11FC2A96" w:rsidR="00431051" w:rsidRPr="001F00CF" w:rsidRDefault="00431051" w:rsidP="00431051">
            <w:pPr>
              <w:pStyle w:val="RecommendationHeading"/>
              <w:keepNext/>
              <w:rPr>
                <w:rFonts w:asciiTheme="minorHAnsi" w:eastAsiaTheme="minorHAnsi" w:hAnsiTheme="minorHAnsi" w:cstheme="minorBidi"/>
                <w:kern w:val="0"/>
                <w:szCs w:val="22"/>
                <w:lang w:eastAsia="en-US"/>
              </w:rPr>
            </w:pPr>
            <w:r>
              <w:lastRenderedPageBreak/>
              <w:t>4.1</w:t>
            </w:r>
            <w:r w:rsidR="002918F9">
              <w:t xml:space="preserve"> </w:t>
            </w:r>
            <w:r w:rsidRPr="001F00CF">
              <w:rPr>
                <w:rFonts w:asciiTheme="minorHAnsi" w:eastAsiaTheme="minorHAnsi" w:hAnsiTheme="minorHAnsi" w:cstheme="minorBidi"/>
                <w:kern w:val="0"/>
                <w:szCs w:val="22"/>
                <w:lang w:eastAsia="en-US"/>
              </w:rPr>
              <w:t>The Review recommends in relation to the primary qualifications (education and experience requirements), that:</w:t>
            </w:r>
          </w:p>
          <w:p w14:paraId="297D669C" w14:textId="1496E5DD" w:rsidR="00431051" w:rsidRPr="001F00CF" w:rsidRDefault="00431051" w:rsidP="00B1355E">
            <w:pPr>
              <w:pStyle w:val="RecommendationHeading"/>
              <w:keepNext/>
              <w:numPr>
                <w:ilvl w:val="0"/>
                <w:numId w:val="20"/>
              </w:numPr>
              <w:rPr>
                <w:rFonts w:asciiTheme="minorHAnsi" w:eastAsiaTheme="minorHAnsi" w:hAnsiTheme="minorHAnsi" w:cstheme="minorBidi"/>
                <w:kern w:val="0"/>
                <w:szCs w:val="22"/>
                <w:lang w:eastAsia="en-US"/>
              </w:rPr>
            </w:pPr>
            <w:r w:rsidRPr="001F00CF">
              <w:rPr>
                <w:rFonts w:asciiTheme="minorHAnsi" w:eastAsiaTheme="minorHAnsi" w:hAnsiTheme="minorHAnsi" w:cstheme="minorBidi"/>
                <w:kern w:val="0"/>
                <w:szCs w:val="22"/>
                <w:lang w:eastAsia="en-US"/>
              </w:rPr>
              <w:t xml:space="preserve">The TPB, in collaboration and consultation with other regulators, professional associations, education providers, the tax profession and other key stakeholders, undertake a review to determine if the primary qualification level itself has been set at the right level and what grandfathering arrangements would be appropriate (if required). </w:t>
            </w:r>
          </w:p>
          <w:p w14:paraId="03A5760D" w14:textId="07EB7CCC" w:rsidR="002918F9" w:rsidRPr="00431051" w:rsidRDefault="00431051" w:rsidP="00B1355E">
            <w:pPr>
              <w:pStyle w:val="RecommendationHeading"/>
              <w:numPr>
                <w:ilvl w:val="0"/>
                <w:numId w:val="20"/>
              </w:numPr>
              <w:rPr>
                <w:rFonts w:eastAsiaTheme="minorHAnsi" w:cstheme="minorBidi"/>
                <w:b/>
                <w:szCs w:val="22"/>
                <w:lang w:eastAsia="en-US"/>
              </w:rPr>
            </w:pPr>
            <w:r w:rsidRPr="001F00CF">
              <w:t>The Treasury and the TPB, with input from key stakeholders, determine whether an amendment to the Tax Agent Services Regulations 2009 is appropriate to give the TPB greater flexibility to accept other qualifications that may not fall within the traditional tax practitioner course of study.</w:t>
            </w:r>
          </w:p>
        </w:tc>
        <w:tc>
          <w:tcPr>
            <w:tcW w:w="8930" w:type="dxa"/>
            <w:tcBorders>
              <w:bottom w:val="single" w:sz="4" w:space="0" w:color="B2B3B5" w:themeColor="accent4" w:themeTint="99"/>
            </w:tcBorders>
          </w:tcPr>
          <w:p w14:paraId="6F37DBB0" w14:textId="3A561DCA" w:rsidR="0083768F" w:rsidRPr="0083768F" w:rsidRDefault="0083768F" w:rsidP="0083768F">
            <w:pPr>
              <w:spacing w:before="240"/>
              <w:rPr>
                <w:color w:val="002060"/>
              </w:rPr>
            </w:pPr>
            <w:r w:rsidRPr="0083768F">
              <w:rPr>
                <w:color w:val="002060"/>
              </w:rPr>
              <w:t>The Governme</w:t>
            </w:r>
            <w:r>
              <w:rPr>
                <w:color w:val="002060"/>
              </w:rPr>
              <w:t xml:space="preserve">nt </w:t>
            </w:r>
            <w:r w:rsidR="00C43AF6">
              <w:rPr>
                <w:color w:val="002060"/>
              </w:rPr>
              <w:t xml:space="preserve">notes </w:t>
            </w:r>
            <w:r>
              <w:rPr>
                <w:color w:val="002060"/>
              </w:rPr>
              <w:t>the recommendation.</w:t>
            </w:r>
          </w:p>
          <w:p w14:paraId="7DAE7B5A" w14:textId="4D59D0B3" w:rsidR="002918F9" w:rsidRPr="00B35FBA" w:rsidRDefault="0083768F">
            <w:pPr>
              <w:keepNext/>
              <w:spacing w:before="240"/>
              <w:rPr>
                <w:color w:val="002060"/>
              </w:rPr>
            </w:pPr>
            <w:r w:rsidRPr="0083768F">
              <w:rPr>
                <w:color w:val="002060"/>
              </w:rPr>
              <w:t>The Government will request that the TPB undertake further consultation on contemporary education requirements for tax practitioners. Following this consultation process, the Government will consider if changes to the legislation are required, as well as the need for any transitional arrangements.</w:t>
            </w:r>
          </w:p>
        </w:tc>
      </w:tr>
      <w:tr w:rsidR="002918F9" w14:paraId="25451609"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675ABADA" w14:textId="3A587682" w:rsidR="002918F9" w:rsidRPr="00A57D9C" w:rsidRDefault="0004551C" w:rsidP="001F00CF">
            <w:pPr>
              <w:pStyle w:val="RecommendationHeading"/>
              <w:keepNext/>
              <w:rPr>
                <w:rFonts w:eastAsiaTheme="minorHAnsi" w:cstheme="minorBidi"/>
                <w:szCs w:val="22"/>
                <w:lang w:eastAsia="en-US"/>
              </w:rPr>
            </w:pPr>
            <w:r>
              <w:lastRenderedPageBreak/>
              <w:t>4</w:t>
            </w:r>
            <w:r w:rsidR="002918F9">
              <w:t>.</w:t>
            </w:r>
            <w:r>
              <w:t>2</w:t>
            </w:r>
            <w:r w:rsidR="002918F9">
              <w:t xml:space="preserve"> </w:t>
            </w:r>
            <w:r w:rsidR="004B7E70" w:rsidRPr="001F00CF">
              <w:rPr>
                <w:szCs w:val="22"/>
              </w:rPr>
              <w:t>The Review recommends that the TPB should no longer accredit professional associations as a ‘recognised professional association’. The consequence of this is that the registration entry pathway based on being a voting member of a TPB recognised professional association (items 102, 206 and 304 of Schedule 2 to the Tax Agent Services Regulations 2009), will no longer be required. However, it is recommended that these items are removed prospectively with appropriate permanent grandfathering arrangements in place.</w:t>
            </w:r>
          </w:p>
        </w:tc>
        <w:tc>
          <w:tcPr>
            <w:tcW w:w="8930" w:type="dxa"/>
            <w:tcBorders>
              <w:top w:val="single" w:sz="4" w:space="0" w:color="B2B3B5" w:themeColor="accent4" w:themeTint="99"/>
              <w:bottom w:val="single" w:sz="4" w:space="0" w:color="B2B3B5" w:themeColor="accent4" w:themeTint="99"/>
            </w:tcBorders>
          </w:tcPr>
          <w:p w14:paraId="6EDE28B6" w14:textId="14C1B124" w:rsidR="0083768F" w:rsidRPr="0083768F" w:rsidRDefault="0083768F" w:rsidP="0083768F">
            <w:pPr>
              <w:spacing w:before="240"/>
              <w:rPr>
                <w:color w:val="002060"/>
              </w:rPr>
            </w:pPr>
            <w:r w:rsidRPr="0083768F">
              <w:rPr>
                <w:color w:val="002060"/>
              </w:rPr>
              <w:t>The Governme</w:t>
            </w:r>
            <w:r>
              <w:rPr>
                <w:color w:val="002060"/>
              </w:rPr>
              <w:t xml:space="preserve">nt </w:t>
            </w:r>
            <w:r w:rsidR="00A811BB">
              <w:rPr>
                <w:color w:val="002060"/>
              </w:rPr>
              <w:t xml:space="preserve">notes </w:t>
            </w:r>
            <w:r>
              <w:rPr>
                <w:color w:val="002060"/>
              </w:rPr>
              <w:t>the recommendation.</w:t>
            </w:r>
          </w:p>
          <w:p w14:paraId="1EBF2041" w14:textId="7D55EF9D" w:rsidR="002918F9" w:rsidRPr="00B35FBA" w:rsidRDefault="000F1C1A" w:rsidP="001F00CF">
            <w:pPr>
              <w:spacing w:before="240"/>
              <w:rPr>
                <w:color w:val="002060"/>
              </w:rPr>
            </w:pPr>
            <w:r w:rsidRPr="000F1C1A">
              <w:rPr>
                <w:color w:val="002060"/>
              </w:rPr>
              <w:t>The Government believes that there should be community confidence that tax practitioners have the appropriate professional qualifications and will consult further on potential changes</w:t>
            </w:r>
            <w:r w:rsidR="001F22DE">
              <w:rPr>
                <w:color w:val="002060"/>
              </w:rPr>
              <w:t xml:space="preserve"> </w:t>
            </w:r>
            <w:r w:rsidR="001F22DE" w:rsidRPr="001F22DE">
              <w:rPr>
                <w:color w:val="002060"/>
              </w:rPr>
              <w:t>to registration entry pathways</w:t>
            </w:r>
            <w:r w:rsidR="001F22DE">
              <w:rPr>
                <w:color w:val="002060"/>
              </w:rPr>
              <w:t>.</w:t>
            </w:r>
            <w:r w:rsidR="001F22DE" w:rsidRPr="001F22DE" w:rsidDel="000F1C1A">
              <w:rPr>
                <w:color w:val="002060"/>
              </w:rPr>
              <w:t xml:space="preserve"> </w:t>
            </w:r>
          </w:p>
        </w:tc>
      </w:tr>
      <w:tr w:rsidR="002918F9" w14:paraId="09823670"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7EF9BF3" w14:textId="1C7B1727" w:rsidR="00CC24E0" w:rsidRPr="001F00CF" w:rsidRDefault="00C71D7C" w:rsidP="00CC24E0">
            <w:pPr>
              <w:pStyle w:val="RecommendationHeading"/>
              <w:rPr>
                <w:szCs w:val="22"/>
              </w:rPr>
            </w:pPr>
            <w:r>
              <w:t>4.3</w:t>
            </w:r>
            <w:r w:rsidR="002918F9">
              <w:t xml:space="preserve"> </w:t>
            </w:r>
            <w:r w:rsidR="00CC24E0" w:rsidRPr="001F00CF">
              <w:rPr>
                <w:szCs w:val="22"/>
              </w:rPr>
              <w:t xml:space="preserve">The Review recommends: </w:t>
            </w:r>
          </w:p>
          <w:p w14:paraId="41C9D5A1" w14:textId="622C759D" w:rsidR="00CC24E0" w:rsidRPr="00DD7A75" w:rsidRDefault="00CC24E0" w:rsidP="00B1355E">
            <w:pPr>
              <w:pStyle w:val="RecommendationHeading"/>
              <w:numPr>
                <w:ilvl w:val="0"/>
                <w:numId w:val="21"/>
              </w:numPr>
              <w:rPr>
                <w:szCs w:val="22"/>
              </w:rPr>
            </w:pPr>
            <w:r w:rsidRPr="001F00CF">
              <w:rPr>
                <w:szCs w:val="22"/>
              </w:rPr>
              <w:t xml:space="preserve">The Tax Agent Services Regulations 2009 being amended to give the TPB greater flexibility to accept different types and periods of experience as being relevant. This would allow the TPB to </w:t>
            </w:r>
            <w:proofErr w:type="gramStart"/>
            <w:r w:rsidRPr="001F00CF">
              <w:rPr>
                <w:szCs w:val="22"/>
              </w:rPr>
              <w:t>take into account</w:t>
            </w:r>
            <w:proofErr w:type="gramEnd"/>
            <w:r w:rsidRPr="001F00CF">
              <w:rPr>
                <w:szCs w:val="22"/>
              </w:rPr>
              <w:t xml:space="preserve"> individual circumstances such as maternity leave or other </w:t>
            </w:r>
            <w:r w:rsidRPr="00DD7A75">
              <w:rPr>
                <w:szCs w:val="22"/>
              </w:rPr>
              <w:t xml:space="preserve">absences from the profession. </w:t>
            </w:r>
          </w:p>
          <w:p w14:paraId="666B287D" w14:textId="0E86432B" w:rsidR="002918F9" w:rsidRPr="00A57D9C" w:rsidRDefault="00CC24E0" w:rsidP="00B1355E">
            <w:pPr>
              <w:pStyle w:val="RecommendationHeading"/>
              <w:numPr>
                <w:ilvl w:val="0"/>
                <w:numId w:val="21"/>
              </w:numPr>
              <w:rPr>
                <w:rFonts w:eastAsiaTheme="minorHAnsi" w:cstheme="minorBidi"/>
                <w:b/>
                <w:lang w:eastAsia="en-US"/>
              </w:rPr>
            </w:pPr>
            <w:r w:rsidRPr="00DD7A75">
              <w:t>As part of (a), The Treasury and the TPB, with input from key stakeholders, determine whether an amendment to the TASR is appropriate to amend the amount of relevant experience (and nature of experience) required to be registered as a BAS agent.</w:t>
            </w:r>
          </w:p>
        </w:tc>
        <w:tc>
          <w:tcPr>
            <w:tcW w:w="8930" w:type="dxa"/>
            <w:tcBorders>
              <w:top w:val="single" w:sz="4" w:space="0" w:color="B2B3B5" w:themeColor="accent4" w:themeTint="99"/>
              <w:bottom w:val="single" w:sz="4" w:space="0" w:color="B2B3B5" w:themeColor="accent4" w:themeTint="99"/>
            </w:tcBorders>
          </w:tcPr>
          <w:p w14:paraId="5A3E291F" w14:textId="6117C45B" w:rsidR="0083768F" w:rsidRPr="0083768F" w:rsidRDefault="0083768F" w:rsidP="0083768F">
            <w:pPr>
              <w:spacing w:before="240"/>
              <w:rPr>
                <w:color w:val="002060"/>
              </w:rPr>
            </w:pPr>
            <w:r w:rsidRPr="0083768F">
              <w:rPr>
                <w:color w:val="002060"/>
              </w:rPr>
              <w:t xml:space="preserve">The Government supports the recommendation. </w:t>
            </w:r>
          </w:p>
          <w:p w14:paraId="5FE304E8" w14:textId="5194B970" w:rsidR="0083768F" w:rsidRPr="0083768F" w:rsidRDefault="0083768F" w:rsidP="0083768F">
            <w:pPr>
              <w:spacing w:before="240"/>
              <w:rPr>
                <w:color w:val="002060"/>
              </w:rPr>
            </w:pPr>
            <w:r w:rsidRPr="0083768F">
              <w:rPr>
                <w:color w:val="002060"/>
              </w:rPr>
              <w:t xml:space="preserve">The Government agrees that it is appropriate that people are not penalised by taking time off for maternity leave or other absences from work and will consider whether changes to legislation are required to </w:t>
            </w:r>
            <w:proofErr w:type="gramStart"/>
            <w:r w:rsidRPr="0083768F">
              <w:rPr>
                <w:color w:val="002060"/>
              </w:rPr>
              <w:t>effect</w:t>
            </w:r>
            <w:proofErr w:type="gramEnd"/>
            <w:r w:rsidRPr="0083768F">
              <w:rPr>
                <w:color w:val="002060"/>
              </w:rPr>
              <w:t xml:space="preserve"> this outcome.</w:t>
            </w:r>
          </w:p>
          <w:p w14:paraId="37FD3FB8" w14:textId="2B762314" w:rsidR="002918F9" w:rsidRPr="00B35FBA" w:rsidRDefault="0083768F" w:rsidP="002918F9">
            <w:pPr>
              <w:spacing w:before="240"/>
              <w:rPr>
                <w:color w:val="002060"/>
              </w:rPr>
            </w:pPr>
            <w:r w:rsidRPr="0083768F">
              <w:rPr>
                <w:color w:val="002060"/>
              </w:rPr>
              <w:t>Treasury will consult with stakeholders to determine whether the amount of relevant experience required to be a BAS agent is appropriate.</w:t>
            </w:r>
          </w:p>
        </w:tc>
      </w:tr>
      <w:tr w:rsidR="002918F9" w14:paraId="5DC0EDAF"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636F09D4" w14:textId="49571951" w:rsidR="002918F9" w:rsidRPr="00A57D9C" w:rsidRDefault="000D373C" w:rsidP="001F00CF">
            <w:pPr>
              <w:pStyle w:val="RecommendationHeading"/>
              <w:rPr>
                <w:rFonts w:eastAsiaTheme="minorHAnsi" w:cstheme="minorBidi"/>
                <w:szCs w:val="22"/>
                <w:lang w:eastAsia="en-US"/>
              </w:rPr>
            </w:pPr>
            <w:r>
              <w:lastRenderedPageBreak/>
              <w:t>4</w:t>
            </w:r>
            <w:r w:rsidR="002918F9">
              <w:t>.</w:t>
            </w:r>
            <w:r>
              <w:t xml:space="preserve">4 </w:t>
            </w:r>
            <w:r w:rsidRPr="001F00CF">
              <w:rPr>
                <w:rFonts w:eastAsiaTheme="minorHAnsi" w:cstheme="minorBidi"/>
                <w:szCs w:val="22"/>
                <w:lang w:eastAsia="en-US"/>
              </w:rPr>
              <w:t>The Review recommends that the eligibility requirements for company and partnership tax practitioners in the Tax Agent Services Act 2009 be amended to include a requirement that the entity has appropriate governance arrangements in place that demonstrate who is accountable for the delivery of tax agent services. Whether arrangements are appropriate will be a matter for the TPB to determine, noting that the TPB will need to provide guidance on what appropriate arrangements are, in consultation with key stakeholders, including the professional associations.</w:t>
            </w:r>
          </w:p>
        </w:tc>
        <w:tc>
          <w:tcPr>
            <w:tcW w:w="8930" w:type="dxa"/>
            <w:tcBorders>
              <w:top w:val="single" w:sz="4" w:space="0" w:color="B2B3B5" w:themeColor="accent4" w:themeTint="99"/>
              <w:bottom w:val="single" w:sz="4" w:space="0" w:color="B2B3B5" w:themeColor="accent4" w:themeTint="99"/>
            </w:tcBorders>
          </w:tcPr>
          <w:p w14:paraId="5606EA0F" w14:textId="21B2A973" w:rsidR="0083768F" w:rsidRPr="0083768F" w:rsidRDefault="0083768F" w:rsidP="0083768F">
            <w:pPr>
              <w:spacing w:before="240"/>
              <w:rPr>
                <w:color w:val="002060"/>
              </w:rPr>
            </w:pPr>
            <w:r w:rsidRPr="0083768F">
              <w:rPr>
                <w:color w:val="002060"/>
              </w:rPr>
              <w:t>The Government supports the recommendation in principle.</w:t>
            </w:r>
          </w:p>
          <w:p w14:paraId="69EF9240" w14:textId="5103F349" w:rsidR="0083768F" w:rsidRPr="0083768F" w:rsidRDefault="0083768F" w:rsidP="0083768F">
            <w:pPr>
              <w:spacing w:before="240"/>
              <w:rPr>
                <w:color w:val="002060"/>
              </w:rPr>
            </w:pPr>
            <w:r w:rsidRPr="0083768F">
              <w:rPr>
                <w:color w:val="002060"/>
              </w:rPr>
              <w:t xml:space="preserve">The Government agrees that greater individual accountability for the delivery of tax agent services within a company or partnership is a sound public policy outcome. </w:t>
            </w:r>
          </w:p>
          <w:p w14:paraId="35D8EB20" w14:textId="5086DB37" w:rsidR="00316BDD" w:rsidRPr="00B35FBA" w:rsidRDefault="0083768F" w:rsidP="003819B3">
            <w:pPr>
              <w:spacing w:before="240"/>
              <w:rPr>
                <w:color w:val="002060"/>
              </w:rPr>
            </w:pPr>
            <w:r w:rsidRPr="0083768F">
              <w:rPr>
                <w:color w:val="002060"/>
              </w:rPr>
              <w:t>Treasury will consult with key stakeholders to develop a proposal that would improve firm/partnership accountability and governance.</w:t>
            </w:r>
          </w:p>
        </w:tc>
      </w:tr>
      <w:tr w:rsidR="002918F9" w14:paraId="4DE50C4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71A72F2" w14:textId="0ECF57D5" w:rsidR="00202094" w:rsidRPr="001932B2" w:rsidRDefault="00202094" w:rsidP="00202094">
            <w:pPr>
              <w:pStyle w:val="RecommendationHeading"/>
              <w:rPr>
                <w:szCs w:val="22"/>
              </w:rPr>
            </w:pPr>
            <w:r w:rsidRPr="001932B2">
              <w:lastRenderedPageBreak/>
              <w:t>4</w:t>
            </w:r>
            <w:r w:rsidR="002918F9" w:rsidRPr="001932B2">
              <w:t>.</w:t>
            </w:r>
            <w:r w:rsidRPr="001932B2">
              <w:t xml:space="preserve">5 </w:t>
            </w:r>
            <w:r w:rsidRPr="001932B2">
              <w:rPr>
                <w:szCs w:val="22"/>
              </w:rPr>
              <w:t>The Review recommends that:</w:t>
            </w:r>
          </w:p>
          <w:p w14:paraId="0CB88A9B" w14:textId="4E215966" w:rsidR="00202094" w:rsidRPr="001932B2" w:rsidRDefault="00202094" w:rsidP="00B1355E">
            <w:pPr>
              <w:pStyle w:val="RecommendationHeading"/>
              <w:numPr>
                <w:ilvl w:val="0"/>
                <w:numId w:val="22"/>
              </w:numPr>
              <w:rPr>
                <w:szCs w:val="22"/>
              </w:rPr>
            </w:pPr>
            <w:r w:rsidRPr="001932B2">
              <w:rPr>
                <w:szCs w:val="22"/>
              </w:rPr>
              <w:t>The Treasury, with input from key stakeholders (</w:t>
            </w:r>
            <w:proofErr w:type="gramStart"/>
            <w:r w:rsidRPr="001932B2">
              <w:rPr>
                <w:szCs w:val="22"/>
              </w:rPr>
              <w:t>in particular the</w:t>
            </w:r>
            <w:proofErr w:type="gramEnd"/>
            <w:r w:rsidRPr="001932B2">
              <w:rPr>
                <w:szCs w:val="22"/>
              </w:rPr>
              <w:t xml:space="preserve"> TPB) amend the fit and proper person test in the Tax Agent Services Act 2009 to ensure greater consistency with the requirements of other Government regulators, such as ASIC and APRA. </w:t>
            </w:r>
          </w:p>
          <w:p w14:paraId="1EAA03E0" w14:textId="706F7DF6" w:rsidR="00202094" w:rsidRPr="001932B2" w:rsidRDefault="00202094" w:rsidP="00B1355E">
            <w:pPr>
              <w:pStyle w:val="RecommendationHeading"/>
              <w:numPr>
                <w:ilvl w:val="0"/>
                <w:numId w:val="22"/>
              </w:numPr>
              <w:rPr>
                <w:szCs w:val="22"/>
              </w:rPr>
            </w:pPr>
            <w:r w:rsidRPr="001932B2">
              <w:rPr>
                <w:szCs w:val="22"/>
              </w:rPr>
              <w:t xml:space="preserve">The current </w:t>
            </w:r>
            <w:proofErr w:type="gramStart"/>
            <w:r w:rsidRPr="001932B2">
              <w:rPr>
                <w:szCs w:val="22"/>
              </w:rPr>
              <w:t>5 year</w:t>
            </w:r>
            <w:proofErr w:type="gramEnd"/>
            <w:r w:rsidRPr="001932B2">
              <w:rPr>
                <w:szCs w:val="22"/>
              </w:rPr>
              <w:t xml:space="preserve"> period in the Tax Agent Services Act 2009 in which the TPB must consider certain conduct that may contravene the fit and proper person test should be increased or removed entirely, with guidance from other regulators.</w:t>
            </w:r>
          </w:p>
          <w:p w14:paraId="4D6B4238" w14:textId="6E41027A" w:rsidR="002918F9" w:rsidRPr="001932B2" w:rsidRDefault="00202094" w:rsidP="00B1355E">
            <w:pPr>
              <w:pStyle w:val="RecommendationHeading"/>
              <w:numPr>
                <w:ilvl w:val="0"/>
                <w:numId w:val="22"/>
              </w:numPr>
              <w:rPr>
                <w:rFonts w:eastAsiaTheme="minorHAnsi" w:cstheme="minorBidi"/>
                <w:lang w:eastAsia="en-US"/>
              </w:rPr>
            </w:pPr>
            <w:r w:rsidRPr="001932B2">
              <w:t>Those applying for registration with the TPB, including renewal, must disclose any spent convictions.</w:t>
            </w:r>
          </w:p>
        </w:tc>
        <w:tc>
          <w:tcPr>
            <w:tcW w:w="8930" w:type="dxa"/>
            <w:tcBorders>
              <w:top w:val="single" w:sz="4" w:space="0" w:color="B2B3B5" w:themeColor="accent4" w:themeTint="99"/>
              <w:bottom w:val="single" w:sz="4" w:space="0" w:color="B2B3B5" w:themeColor="accent4" w:themeTint="99"/>
            </w:tcBorders>
          </w:tcPr>
          <w:p w14:paraId="34ECB8C9" w14:textId="0EFC1270" w:rsidR="0083768F" w:rsidRPr="0083768F" w:rsidRDefault="0083768F" w:rsidP="0083768F">
            <w:pPr>
              <w:spacing w:before="240"/>
              <w:rPr>
                <w:color w:val="002060"/>
              </w:rPr>
            </w:pPr>
            <w:r w:rsidRPr="0083768F">
              <w:rPr>
                <w:color w:val="002060"/>
              </w:rPr>
              <w:t>The Government supports the recommendation in principle.</w:t>
            </w:r>
          </w:p>
          <w:p w14:paraId="75A18A55" w14:textId="1B618477" w:rsidR="0083768F" w:rsidRPr="0083768F" w:rsidRDefault="0083768F" w:rsidP="0083768F">
            <w:pPr>
              <w:spacing w:before="240"/>
              <w:rPr>
                <w:color w:val="002060"/>
              </w:rPr>
            </w:pPr>
            <w:r w:rsidRPr="0083768F">
              <w:rPr>
                <w:color w:val="002060"/>
              </w:rPr>
              <w:t>The Government agrees in principle that these recommendations could reduce compliance risks and red tape</w:t>
            </w:r>
            <w:r w:rsidR="00C17168">
              <w:rPr>
                <w:color w:val="002060"/>
              </w:rPr>
              <w:t xml:space="preserve">. </w:t>
            </w:r>
          </w:p>
          <w:p w14:paraId="563B27E6" w14:textId="6A139EC1" w:rsidR="0083768F" w:rsidRPr="0083768F" w:rsidRDefault="0083768F" w:rsidP="0083768F">
            <w:pPr>
              <w:spacing w:before="240"/>
              <w:rPr>
                <w:color w:val="002060"/>
              </w:rPr>
            </w:pPr>
            <w:r w:rsidRPr="0083768F">
              <w:rPr>
                <w:color w:val="002060"/>
              </w:rPr>
              <w:t>The potential red tape reduction benefits of any changes to align the TASA fit and proper person test with other similar tests should be considered against the transitional and implementation costs of amending the existing test.</w:t>
            </w:r>
          </w:p>
          <w:p w14:paraId="26D82A8C" w14:textId="1A0DFA8D" w:rsidR="002918F9" w:rsidRPr="00B35FBA" w:rsidRDefault="0083768F" w:rsidP="001932B2">
            <w:pPr>
              <w:spacing w:before="240"/>
              <w:rPr>
                <w:color w:val="002060"/>
              </w:rPr>
            </w:pPr>
            <w:r w:rsidRPr="0083768F">
              <w:rPr>
                <w:color w:val="002060"/>
              </w:rPr>
              <w:t>Treasury will conduct additional consultation with key stakeholders to consider whether this recommendation is consistent with broader Government policy on the treatment of past convictions or conduct.</w:t>
            </w:r>
          </w:p>
        </w:tc>
      </w:tr>
      <w:tr w:rsidR="002918F9" w14:paraId="247BF8EA"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0C3F31F" w14:textId="19381DB3" w:rsidR="005B2838" w:rsidRPr="001F00CF" w:rsidRDefault="005B2838" w:rsidP="001F00CF">
            <w:pPr>
              <w:pStyle w:val="RecommendationHeading"/>
              <w:rPr>
                <w:rFonts w:eastAsiaTheme="minorHAnsi"/>
                <w:b/>
                <w:szCs w:val="22"/>
              </w:rPr>
            </w:pPr>
            <w:r>
              <w:lastRenderedPageBreak/>
              <w:t>4</w:t>
            </w:r>
            <w:r w:rsidR="002918F9">
              <w:t>.</w:t>
            </w:r>
            <w:r>
              <w:t>6</w:t>
            </w:r>
            <w:r w:rsidR="002918F9">
              <w:t xml:space="preserve"> </w:t>
            </w:r>
            <w:r w:rsidRPr="001F00CF">
              <w:rPr>
                <w:rFonts w:eastAsiaTheme="minorHAnsi"/>
                <w:szCs w:val="22"/>
              </w:rPr>
              <w:t>The Review recommends that the Tax Agent Services Act 2009 be amended to include as part of a tax practitioner’s eligibility for registration a requirement to declare:</w:t>
            </w:r>
          </w:p>
          <w:p w14:paraId="17676406" w14:textId="77777777" w:rsidR="005B2838" w:rsidRPr="001F00CF" w:rsidRDefault="005B2838" w:rsidP="005B2838">
            <w:pPr>
              <w:pStyle w:val="Contact"/>
              <w:rPr>
                <w:rFonts w:ascii="Calibri" w:eastAsiaTheme="minorHAnsi" w:hAnsi="Calibri" w:cs="Arial"/>
                <w:b w:val="0"/>
                <w:color w:val="0072BB" w:themeColor="accent3" w:themeTint="BF"/>
                <w:kern w:val="32"/>
                <w:szCs w:val="22"/>
              </w:rPr>
            </w:pPr>
            <w:proofErr w:type="spellStart"/>
            <w:r w:rsidRPr="001F00CF">
              <w:rPr>
                <w:rFonts w:ascii="Calibri" w:hAnsi="Calibri" w:cs="Arial"/>
                <w:b w:val="0"/>
                <w:color w:val="0072BB" w:themeColor="accent3" w:themeTint="BF"/>
                <w:kern w:val="32"/>
              </w:rPr>
              <w:t>i</w:t>
            </w:r>
            <w:proofErr w:type="spellEnd"/>
            <w:r w:rsidRPr="001F00CF">
              <w:rPr>
                <w:rFonts w:ascii="Calibri" w:hAnsi="Calibri" w:cs="Arial"/>
                <w:b w:val="0"/>
                <w:color w:val="0072BB" w:themeColor="accent3" w:themeTint="BF"/>
                <w:kern w:val="32"/>
              </w:rPr>
              <w:t xml:space="preserve">) </w:t>
            </w:r>
          </w:p>
          <w:p w14:paraId="35F799A0" w14:textId="35C6C530" w:rsidR="005B2838" w:rsidRPr="001F00CF" w:rsidRDefault="005B2838" w:rsidP="00B1355E">
            <w:pPr>
              <w:pStyle w:val="Contact"/>
              <w:numPr>
                <w:ilvl w:val="0"/>
                <w:numId w:val="28"/>
              </w:numPr>
              <w:rPr>
                <w:rFonts w:ascii="Calibri" w:eastAsiaTheme="minorHAnsi" w:hAnsi="Calibri" w:cs="Arial"/>
                <w:b w:val="0"/>
                <w:color w:val="0072BB" w:themeColor="accent3" w:themeTint="BF"/>
                <w:kern w:val="32"/>
                <w:szCs w:val="22"/>
              </w:rPr>
            </w:pPr>
            <w:r w:rsidRPr="001F00CF">
              <w:rPr>
                <w:rFonts w:ascii="Calibri" w:hAnsi="Calibri" w:cs="Arial"/>
                <w:b w:val="0"/>
                <w:color w:val="0072BB" w:themeColor="accent3" w:themeTint="BF"/>
                <w:kern w:val="32"/>
              </w:rPr>
              <w:t>any close associates relevant in the provision of tax agent services; and/or</w:t>
            </w:r>
          </w:p>
          <w:p w14:paraId="76CD59AD" w14:textId="2587A2CC" w:rsidR="005B2838" w:rsidRPr="001F00CF" w:rsidRDefault="005B2838" w:rsidP="00B1355E">
            <w:pPr>
              <w:pStyle w:val="Contact"/>
              <w:numPr>
                <w:ilvl w:val="0"/>
                <w:numId w:val="28"/>
              </w:numPr>
              <w:rPr>
                <w:rFonts w:ascii="Calibri" w:eastAsiaTheme="minorHAnsi" w:hAnsi="Calibri" w:cs="Arial"/>
                <w:b w:val="0"/>
                <w:color w:val="0072BB" w:themeColor="accent3" w:themeTint="BF"/>
                <w:kern w:val="32"/>
                <w:szCs w:val="22"/>
              </w:rPr>
            </w:pPr>
            <w:r w:rsidRPr="001F00CF">
              <w:rPr>
                <w:rFonts w:ascii="Calibri" w:hAnsi="Calibri" w:cs="Arial"/>
                <w:b w:val="0"/>
                <w:color w:val="0072BB" w:themeColor="accent3" w:themeTint="BF"/>
                <w:kern w:val="32"/>
              </w:rPr>
              <w:t xml:space="preserve">employees involved in the provision of tax agent </w:t>
            </w:r>
            <w:proofErr w:type="gramStart"/>
            <w:r w:rsidRPr="001F00CF">
              <w:rPr>
                <w:rFonts w:ascii="Calibri" w:hAnsi="Calibri" w:cs="Arial"/>
                <w:b w:val="0"/>
                <w:color w:val="0072BB" w:themeColor="accent3" w:themeTint="BF"/>
                <w:kern w:val="32"/>
              </w:rPr>
              <w:t>services;</w:t>
            </w:r>
            <w:proofErr w:type="gramEnd"/>
          </w:p>
          <w:p w14:paraId="3EF637C9" w14:textId="77777777" w:rsidR="005B2838" w:rsidRPr="001F00CF" w:rsidRDefault="005B2838" w:rsidP="005B2838">
            <w:pPr>
              <w:pStyle w:val="Contact"/>
              <w:rPr>
                <w:rFonts w:ascii="Calibri" w:eastAsiaTheme="minorHAnsi" w:hAnsi="Calibri" w:cs="Arial"/>
                <w:b w:val="0"/>
                <w:color w:val="0072BB" w:themeColor="accent3" w:themeTint="BF"/>
                <w:kern w:val="32"/>
                <w:szCs w:val="22"/>
              </w:rPr>
            </w:pPr>
            <w:r w:rsidRPr="001F00CF">
              <w:rPr>
                <w:rFonts w:ascii="Calibri" w:hAnsi="Calibri" w:cs="Arial"/>
                <w:b w:val="0"/>
                <w:color w:val="0072BB" w:themeColor="accent3" w:themeTint="BF"/>
                <w:kern w:val="32"/>
              </w:rPr>
              <w:t>who are affected by any of the fit and proper events in the Tax Agent Services Act 2009; and</w:t>
            </w:r>
          </w:p>
          <w:p w14:paraId="671514AC" w14:textId="11449917" w:rsidR="002918F9" w:rsidRPr="00A57D9C" w:rsidRDefault="005B2838" w:rsidP="005B2838">
            <w:pPr>
              <w:pStyle w:val="Contact"/>
              <w:rPr>
                <w:rFonts w:eastAsiaTheme="minorHAnsi" w:cstheme="minorBidi"/>
                <w:b w:val="0"/>
                <w:szCs w:val="22"/>
                <w:lang w:eastAsia="en-US"/>
              </w:rPr>
            </w:pPr>
            <w:r w:rsidRPr="001F00CF">
              <w:rPr>
                <w:rFonts w:ascii="Calibri" w:hAnsi="Calibri" w:cs="Arial"/>
                <w:b w:val="0"/>
                <w:color w:val="0072BB" w:themeColor="accent3" w:themeTint="BF"/>
                <w:kern w:val="32"/>
              </w:rPr>
              <w:t>ii)    if they have engaged anyone listed in the proposed unregistered practitioners register.</w:t>
            </w:r>
          </w:p>
        </w:tc>
        <w:tc>
          <w:tcPr>
            <w:tcW w:w="8930" w:type="dxa"/>
            <w:tcBorders>
              <w:top w:val="single" w:sz="4" w:space="0" w:color="B2B3B5" w:themeColor="accent4" w:themeTint="99"/>
              <w:bottom w:val="single" w:sz="4" w:space="0" w:color="B2B3B5" w:themeColor="accent4" w:themeTint="99"/>
            </w:tcBorders>
          </w:tcPr>
          <w:p w14:paraId="01465055" w14:textId="588479F4" w:rsidR="000C31B4" w:rsidRPr="000C31B4" w:rsidRDefault="000C31B4" w:rsidP="000C31B4">
            <w:pPr>
              <w:spacing w:before="240"/>
              <w:rPr>
                <w:color w:val="002060"/>
              </w:rPr>
            </w:pPr>
            <w:r w:rsidRPr="000C31B4">
              <w:rPr>
                <w:color w:val="002060"/>
              </w:rPr>
              <w:t>The Government supports t</w:t>
            </w:r>
            <w:r>
              <w:rPr>
                <w:color w:val="002060"/>
              </w:rPr>
              <w:t>he recommendation in principle.</w:t>
            </w:r>
          </w:p>
          <w:p w14:paraId="535F732E" w14:textId="072386E6" w:rsidR="000C31B4" w:rsidRPr="000C31B4" w:rsidRDefault="000C31B4" w:rsidP="000C31B4">
            <w:pPr>
              <w:spacing w:before="240"/>
              <w:rPr>
                <w:color w:val="002060"/>
              </w:rPr>
            </w:pPr>
            <w:r w:rsidRPr="000C31B4">
              <w:rPr>
                <w:color w:val="002060"/>
              </w:rPr>
              <w:t xml:space="preserve">The Government agrees that it is important that any employees and associates used by </w:t>
            </w:r>
            <w:r w:rsidR="00131428">
              <w:rPr>
                <w:color w:val="002060"/>
              </w:rPr>
              <w:t>a</w:t>
            </w:r>
            <w:r w:rsidR="00131428" w:rsidRPr="000C31B4">
              <w:rPr>
                <w:color w:val="002060"/>
              </w:rPr>
              <w:t xml:space="preserve"> </w:t>
            </w:r>
            <w:r w:rsidRPr="000C31B4">
              <w:rPr>
                <w:color w:val="002060"/>
              </w:rPr>
              <w:t>tax practitioner meet expected standards.</w:t>
            </w:r>
            <w:r>
              <w:rPr>
                <w:color w:val="002060"/>
              </w:rPr>
              <w:t xml:space="preserve"> </w:t>
            </w:r>
          </w:p>
          <w:p w14:paraId="2EC7079E" w14:textId="4704BA26" w:rsidR="00387F5A" w:rsidRPr="00B35FBA" w:rsidRDefault="000C31B4" w:rsidP="00387F5A">
            <w:pPr>
              <w:spacing w:before="240"/>
              <w:rPr>
                <w:color w:val="002060"/>
              </w:rPr>
            </w:pPr>
            <w:r w:rsidRPr="000C31B4">
              <w:rPr>
                <w:color w:val="002060"/>
              </w:rPr>
              <w:t>The Government will request this recommendation be implemented administratively via a requirement to disclose this information as part of the registration process via an approved form.</w:t>
            </w:r>
          </w:p>
        </w:tc>
      </w:tr>
      <w:tr w:rsidR="002918F9" w14:paraId="045E5A43"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ED8271D" w14:textId="2428E623" w:rsidR="00934EAA" w:rsidRPr="001F00CF" w:rsidRDefault="00934EAA" w:rsidP="00934EAA">
            <w:pPr>
              <w:pStyle w:val="RecommendationHeading"/>
              <w:rPr>
                <w:szCs w:val="22"/>
              </w:rPr>
            </w:pPr>
            <w:r>
              <w:t>4</w:t>
            </w:r>
            <w:r w:rsidR="002918F9">
              <w:t>.</w:t>
            </w:r>
            <w:r>
              <w:t>7</w:t>
            </w:r>
            <w:r w:rsidR="002918F9">
              <w:t xml:space="preserve"> </w:t>
            </w:r>
            <w:r w:rsidRPr="001F00CF">
              <w:rPr>
                <w:szCs w:val="22"/>
              </w:rPr>
              <w:t>The Review recommends that:</w:t>
            </w:r>
          </w:p>
          <w:p w14:paraId="35614673" w14:textId="234D3199" w:rsidR="00934EAA" w:rsidRPr="001F00CF" w:rsidRDefault="00934EAA" w:rsidP="00B1355E">
            <w:pPr>
              <w:pStyle w:val="RecommendationHeading"/>
              <w:numPr>
                <w:ilvl w:val="0"/>
                <w:numId w:val="23"/>
              </w:numPr>
              <w:rPr>
                <w:szCs w:val="22"/>
              </w:rPr>
            </w:pPr>
            <w:r w:rsidRPr="001F00CF">
              <w:rPr>
                <w:szCs w:val="22"/>
              </w:rPr>
              <w:t xml:space="preserve">The registration period be converted to an annual period, subject to the TPB being able to make the necessary system and IT enhancements to reduce the regulatory burden on tax practitioners that are renewing their registration. </w:t>
            </w:r>
          </w:p>
          <w:p w14:paraId="4308EB8B" w14:textId="20F93AB2" w:rsidR="002918F9" w:rsidRPr="00C56E8E" w:rsidRDefault="00934EAA" w:rsidP="00B1355E">
            <w:pPr>
              <w:pStyle w:val="RecommendationHeading"/>
              <w:numPr>
                <w:ilvl w:val="0"/>
                <w:numId w:val="23"/>
              </w:numPr>
              <w:rPr>
                <w:rFonts w:eastAsiaTheme="minorHAnsi" w:cstheme="minorBidi"/>
                <w:b/>
                <w:lang w:eastAsia="en-US"/>
              </w:rPr>
            </w:pPr>
            <w:r w:rsidRPr="00C56E8E">
              <w:t xml:space="preserve">The annual registration fee should be </w:t>
            </w:r>
            <w:proofErr w:type="spellStart"/>
            <w:r w:rsidRPr="00C56E8E">
              <w:t>pro rated</w:t>
            </w:r>
            <w:proofErr w:type="spellEnd"/>
            <w:r w:rsidRPr="00C56E8E">
              <w:t xml:space="preserve">, in comparison to the current fee payable for a </w:t>
            </w:r>
            <w:proofErr w:type="gramStart"/>
            <w:r w:rsidRPr="00C56E8E">
              <w:t>three year</w:t>
            </w:r>
            <w:proofErr w:type="gramEnd"/>
            <w:r w:rsidRPr="00C56E8E">
              <w:t xml:space="preserve"> registration period.</w:t>
            </w:r>
          </w:p>
        </w:tc>
        <w:tc>
          <w:tcPr>
            <w:tcW w:w="8930" w:type="dxa"/>
            <w:tcBorders>
              <w:top w:val="single" w:sz="4" w:space="0" w:color="B2B3B5" w:themeColor="accent4" w:themeTint="99"/>
              <w:bottom w:val="single" w:sz="4" w:space="0" w:color="B2B3B5" w:themeColor="accent4" w:themeTint="99"/>
            </w:tcBorders>
          </w:tcPr>
          <w:p w14:paraId="1A3E5A45" w14:textId="07ECD09D" w:rsidR="000C31B4" w:rsidRPr="000C31B4" w:rsidRDefault="000C31B4" w:rsidP="000C31B4">
            <w:pPr>
              <w:pStyle w:val="Contact"/>
              <w:spacing w:before="240"/>
              <w:rPr>
                <w:b w:val="0"/>
                <w:color w:val="002060"/>
                <w:szCs w:val="22"/>
              </w:rPr>
            </w:pPr>
            <w:r w:rsidRPr="000C31B4">
              <w:rPr>
                <w:b w:val="0"/>
                <w:color w:val="002060"/>
                <w:szCs w:val="22"/>
              </w:rPr>
              <w:t xml:space="preserve">The Government supports the recommendation in part.  </w:t>
            </w:r>
          </w:p>
          <w:p w14:paraId="277CD101" w14:textId="44770AFB" w:rsidR="000C31B4" w:rsidRPr="000C31B4" w:rsidRDefault="000C31B4" w:rsidP="000C31B4">
            <w:pPr>
              <w:pStyle w:val="Contact"/>
              <w:spacing w:before="240"/>
              <w:rPr>
                <w:b w:val="0"/>
                <w:color w:val="002060"/>
                <w:szCs w:val="22"/>
              </w:rPr>
            </w:pPr>
            <w:r w:rsidRPr="000C31B4">
              <w:rPr>
                <w:b w:val="0"/>
                <w:color w:val="002060"/>
                <w:szCs w:val="22"/>
              </w:rPr>
              <w:t xml:space="preserve">The Government agrees to move to an annual registration cycle. </w:t>
            </w:r>
          </w:p>
          <w:p w14:paraId="484118B9" w14:textId="0D81B139" w:rsidR="002918F9" w:rsidRPr="00C56E8E" w:rsidRDefault="000C31B4">
            <w:pPr>
              <w:spacing w:before="240"/>
              <w:rPr>
                <w:color w:val="002060"/>
              </w:rPr>
            </w:pPr>
            <w:r w:rsidRPr="000C31B4">
              <w:rPr>
                <w:color w:val="002060"/>
                <w:szCs w:val="22"/>
              </w:rPr>
              <w:t xml:space="preserve">Registration fees will be determined as part of the </w:t>
            </w:r>
            <w:r w:rsidR="00462C00">
              <w:rPr>
                <w:color w:val="002060"/>
                <w:szCs w:val="22"/>
              </w:rPr>
              <w:t xml:space="preserve">TPB </w:t>
            </w:r>
            <w:r w:rsidRPr="000C31B4">
              <w:rPr>
                <w:color w:val="002060"/>
                <w:szCs w:val="22"/>
              </w:rPr>
              <w:t xml:space="preserve">Charging </w:t>
            </w:r>
            <w:r w:rsidR="00462C00">
              <w:rPr>
                <w:color w:val="002060"/>
                <w:szCs w:val="22"/>
              </w:rPr>
              <w:t>Arrangements R</w:t>
            </w:r>
            <w:r w:rsidRPr="000C31B4">
              <w:rPr>
                <w:color w:val="002060"/>
                <w:szCs w:val="22"/>
              </w:rPr>
              <w:t>eview (see response to Recommendation 3.1).</w:t>
            </w:r>
          </w:p>
        </w:tc>
      </w:tr>
      <w:tr w:rsidR="002918F9" w14:paraId="2B9210F1"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7AAB1D01" w14:textId="390B52D6" w:rsidR="002918F9" w:rsidRPr="00A57D9C" w:rsidRDefault="00EF6BD6" w:rsidP="001F00CF">
            <w:pPr>
              <w:pStyle w:val="RecommendationHeading"/>
              <w:rPr>
                <w:rFonts w:eastAsiaTheme="minorHAnsi"/>
              </w:rPr>
            </w:pPr>
            <w:r>
              <w:lastRenderedPageBreak/>
              <w:t>4.8</w:t>
            </w:r>
            <w:r w:rsidR="002918F9">
              <w:t xml:space="preserve"> </w:t>
            </w:r>
            <w:r w:rsidRPr="001F00CF">
              <w:rPr>
                <w:rFonts w:eastAsiaTheme="minorHAnsi"/>
                <w:szCs w:val="22"/>
              </w:rPr>
              <w:t xml:space="preserve">The Review recommends that following completion of the trial of tax clinics and decisions of Government to either cease or extend the program, the issue of tax clinics and the TPB be reviewed to determine if any </w:t>
            </w:r>
            <w:proofErr w:type="gramStart"/>
            <w:r w:rsidRPr="001F00CF">
              <w:rPr>
                <w:rFonts w:eastAsiaTheme="minorHAnsi"/>
                <w:szCs w:val="22"/>
              </w:rPr>
              <w:t>longer term</w:t>
            </w:r>
            <w:proofErr w:type="gramEnd"/>
            <w:r w:rsidRPr="001F00CF">
              <w:rPr>
                <w:rFonts w:eastAsiaTheme="minorHAnsi"/>
                <w:szCs w:val="22"/>
              </w:rPr>
              <w:t xml:space="preserve"> amendments may be required.</w:t>
            </w:r>
          </w:p>
        </w:tc>
        <w:tc>
          <w:tcPr>
            <w:tcW w:w="8930" w:type="dxa"/>
            <w:tcBorders>
              <w:top w:val="single" w:sz="4" w:space="0" w:color="B2B3B5" w:themeColor="accent4" w:themeTint="99"/>
              <w:bottom w:val="single" w:sz="4" w:space="0" w:color="B2B3B5" w:themeColor="accent4" w:themeTint="99"/>
            </w:tcBorders>
          </w:tcPr>
          <w:p w14:paraId="419FFA45" w14:textId="07FB0F0B" w:rsidR="000C31B4" w:rsidRPr="000C31B4" w:rsidRDefault="000C31B4" w:rsidP="000C31B4">
            <w:pPr>
              <w:spacing w:before="240"/>
              <w:rPr>
                <w:color w:val="002060"/>
              </w:rPr>
            </w:pPr>
            <w:r w:rsidRPr="000C31B4">
              <w:rPr>
                <w:color w:val="002060"/>
              </w:rPr>
              <w:t>The Government notes this recommendation.</w:t>
            </w:r>
          </w:p>
          <w:p w14:paraId="091210AD" w14:textId="51B79340" w:rsidR="000C31B4" w:rsidRPr="000C31B4" w:rsidRDefault="000C31B4" w:rsidP="000C31B4">
            <w:pPr>
              <w:spacing w:before="240"/>
              <w:rPr>
                <w:color w:val="002060"/>
              </w:rPr>
            </w:pPr>
            <w:r w:rsidRPr="000C31B4">
              <w:rPr>
                <w:color w:val="002060"/>
              </w:rPr>
              <w:t xml:space="preserve">Since this recommendation was </w:t>
            </w:r>
            <w:proofErr w:type="gramStart"/>
            <w:r w:rsidRPr="000C31B4">
              <w:rPr>
                <w:color w:val="002060"/>
              </w:rPr>
              <w:t>made</w:t>
            </w:r>
            <w:proofErr w:type="gramEnd"/>
            <w:r w:rsidRPr="000C31B4">
              <w:rPr>
                <w:color w:val="002060"/>
              </w:rPr>
              <w:t xml:space="preserve"> the Government has now agreed to continue the program.</w:t>
            </w:r>
          </w:p>
          <w:p w14:paraId="1184B7F6" w14:textId="121F673E" w:rsidR="002918F9" w:rsidRPr="00B35FBA" w:rsidRDefault="000C31B4" w:rsidP="00EF6BD6">
            <w:pPr>
              <w:spacing w:before="240"/>
              <w:rPr>
                <w:color w:val="002060"/>
              </w:rPr>
            </w:pPr>
            <w:r w:rsidRPr="000C31B4">
              <w:rPr>
                <w:color w:val="002060"/>
              </w:rPr>
              <w:t xml:space="preserve">Having just completed a </w:t>
            </w:r>
            <w:proofErr w:type="gramStart"/>
            <w:r w:rsidRPr="000C31B4">
              <w:rPr>
                <w:color w:val="002060"/>
              </w:rPr>
              <w:t>one year</w:t>
            </w:r>
            <w:proofErr w:type="gramEnd"/>
            <w:r w:rsidRPr="000C31B4">
              <w:rPr>
                <w:color w:val="002060"/>
              </w:rPr>
              <w:t xml:space="preserve"> trial it is considered too early in the process to conduct a further review at this stage.</w:t>
            </w:r>
          </w:p>
        </w:tc>
      </w:tr>
      <w:tr w:rsidR="002918F9" w14:paraId="0C95849C"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C738E41" w14:textId="6943ACEE" w:rsidR="00DE251A" w:rsidRPr="001F00CF" w:rsidRDefault="000C6C11" w:rsidP="001F00CF">
            <w:pPr>
              <w:pStyle w:val="RecommendationHeading"/>
              <w:rPr>
                <w:rFonts w:eastAsiaTheme="minorHAnsi" w:cstheme="minorBidi"/>
                <w:b/>
                <w:szCs w:val="22"/>
                <w:lang w:eastAsia="en-US"/>
              </w:rPr>
            </w:pPr>
            <w:r>
              <w:t>4</w:t>
            </w:r>
            <w:r w:rsidR="002918F9">
              <w:t>.</w:t>
            </w:r>
            <w:r>
              <w:t>9</w:t>
            </w:r>
            <w:r w:rsidR="002918F9">
              <w:t xml:space="preserve"> </w:t>
            </w:r>
            <w:r w:rsidR="00DE251A" w:rsidRPr="001F00CF">
              <w:rPr>
                <w:rFonts w:eastAsiaTheme="minorHAnsi" w:cstheme="minorBidi"/>
                <w:szCs w:val="22"/>
                <w:lang w:eastAsia="en-US"/>
              </w:rPr>
              <w:t>The Review recommends that:</w:t>
            </w:r>
          </w:p>
          <w:p w14:paraId="68251446" w14:textId="3E9E30C6" w:rsidR="00DE251A" w:rsidRPr="001F00CF" w:rsidRDefault="00DE251A" w:rsidP="00B1355E">
            <w:pPr>
              <w:pStyle w:val="Contact"/>
              <w:numPr>
                <w:ilvl w:val="0"/>
                <w:numId w:val="24"/>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Only those tax intermediaries that are not regulated by any other Government body should require registration with the TPB, despite otherwise being required to be registered with the TPB.</w:t>
            </w:r>
          </w:p>
          <w:p w14:paraId="1DA0A659" w14:textId="21A72241" w:rsidR="002918F9" w:rsidRPr="00C56E8E" w:rsidRDefault="00DE251A" w:rsidP="00B1355E">
            <w:pPr>
              <w:pStyle w:val="Contact"/>
              <w:numPr>
                <w:ilvl w:val="0"/>
                <w:numId w:val="24"/>
              </w:numPr>
              <w:rPr>
                <w:rFonts w:eastAsiaTheme="minorHAnsi" w:cstheme="minorBidi"/>
                <w:b w:val="0"/>
                <w:szCs w:val="22"/>
                <w:lang w:eastAsia="en-US"/>
              </w:rPr>
            </w:pPr>
            <w:r w:rsidRPr="00C56E8E">
              <w:rPr>
                <w:rFonts w:ascii="Calibri" w:hAnsi="Calibri"/>
                <w:b w:val="0"/>
                <w:color w:val="0072BB" w:themeColor="accent3" w:themeTint="BF"/>
                <w:kern w:val="32"/>
              </w:rPr>
              <w:t>The TPB should have the power, through the legislative instrument process, to exclude certain other services from having to register with the TPB.</w:t>
            </w:r>
          </w:p>
        </w:tc>
        <w:tc>
          <w:tcPr>
            <w:tcW w:w="8930" w:type="dxa"/>
            <w:tcBorders>
              <w:top w:val="single" w:sz="4" w:space="0" w:color="B2B3B5" w:themeColor="accent4" w:themeTint="99"/>
              <w:bottom w:val="single" w:sz="4" w:space="0" w:color="B2B3B5" w:themeColor="accent4" w:themeTint="99"/>
            </w:tcBorders>
          </w:tcPr>
          <w:p w14:paraId="7C0F3160" w14:textId="60C40740"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supports the recommendation.  </w:t>
            </w:r>
          </w:p>
          <w:p w14:paraId="30E976F2" w14:textId="6CA13327"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Adopting this recommendation will reduce the compliance burden on many small businesses while still ensuring an appropriate level of regulation.</w:t>
            </w:r>
          </w:p>
          <w:p w14:paraId="371A7209" w14:textId="0FAB84BC" w:rsidR="002918F9" w:rsidRPr="00B35FBA" w:rsidRDefault="000C31B4" w:rsidP="00DB706A">
            <w:pPr>
              <w:pStyle w:val="Contact"/>
              <w:spacing w:before="240"/>
            </w:pPr>
            <w:r w:rsidRPr="000C31B4">
              <w:rPr>
                <w:rFonts w:eastAsiaTheme="minorHAnsi" w:cstheme="minorBidi"/>
                <w:b w:val="0"/>
                <w:color w:val="002060"/>
                <w:szCs w:val="22"/>
                <w:lang w:eastAsia="en-US"/>
              </w:rPr>
              <w:t xml:space="preserve">Using the legislative instrument process will ensure that appropriate consultation occurs to confirm that any tax services will still be appropriately regulated.  </w:t>
            </w:r>
          </w:p>
        </w:tc>
      </w:tr>
      <w:tr w:rsidR="002918F9" w14:paraId="0F70BAD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5F0D1722" w14:textId="1D8AA725" w:rsidR="002918F9" w:rsidRPr="00A57D9C" w:rsidRDefault="00AE384E" w:rsidP="001F00CF">
            <w:pPr>
              <w:pStyle w:val="RecommendationHeading"/>
              <w:rPr>
                <w:rFonts w:eastAsiaTheme="minorHAnsi" w:cstheme="minorBidi"/>
                <w:szCs w:val="22"/>
                <w:lang w:eastAsia="en-US"/>
              </w:rPr>
            </w:pPr>
            <w:r>
              <w:t>5</w:t>
            </w:r>
            <w:r w:rsidR="002918F9">
              <w:t>.</w:t>
            </w:r>
            <w:r>
              <w:t>1</w:t>
            </w:r>
            <w:r w:rsidR="002918F9">
              <w:t xml:space="preserve"> </w:t>
            </w:r>
            <w:r w:rsidRPr="001F00CF">
              <w:rPr>
                <w:rFonts w:eastAsiaTheme="minorHAnsi" w:cstheme="minorBidi"/>
                <w:szCs w:val="22"/>
                <w:lang w:eastAsia="en-US"/>
              </w:rPr>
              <w:t>The Review recommends that the relevant Minister be given a legislative instrument power to be able to supplement the Code of Professional Conduct to address emerging or existing behaviours and practices. The legislative instrument process would also ensure appropriate consultation with key stakeholders and parliamentary oversight.</w:t>
            </w:r>
          </w:p>
        </w:tc>
        <w:tc>
          <w:tcPr>
            <w:tcW w:w="8930" w:type="dxa"/>
            <w:tcBorders>
              <w:top w:val="single" w:sz="4" w:space="0" w:color="B2B3B5" w:themeColor="accent4" w:themeTint="99"/>
              <w:bottom w:val="single" w:sz="4" w:space="0" w:color="B2B3B5" w:themeColor="accent4" w:themeTint="99"/>
            </w:tcBorders>
          </w:tcPr>
          <w:p w14:paraId="06FCD779" w14:textId="6A4E85D5"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Government supports the recommendation.</w:t>
            </w:r>
          </w:p>
          <w:p w14:paraId="1887EB80" w14:textId="29663D37"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There are clear benefits in having processes in place to ensure the Code of Professional Conduct remains contemporary. </w:t>
            </w:r>
          </w:p>
          <w:p w14:paraId="143D519D" w14:textId="348C068F" w:rsidR="002918F9" w:rsidRPr="00B35FBA" w:rsidRDefault="000C31B4" w:rsidP="001F00CF">
            <w:pPr>
              <w:pStyle w:val="Contact"/>
              <w:spacing w:before="240"/>
              <w:rPr>
                <w:color w:val="002060"/>
              </w:rPr>
            </w:pPr>
            <w:r w:rsidRPr="000C31B4">
              <w:rPr>
                <w:rFonts w:eastAsiaTheme="minorHAnsi" w:cstheme="minorBidi"/>
                <w:b w:val="0"/>
                <w:color w:val="002060"/>
                <w:szCs w:val="22"/>
                <w:lang w:eastAsia="en-US"/>
              </w:rPr>
              <w:t>Any proposed changes to the Code will be considered first by the Tax Practitioner Governance and Standards Forum proposed as part of Recommendation 3.3.</w:t>
            </w:r>
          </w:p>
        </w:tc>
      </w:tr>
      <w:tr w:rsidR="002918F9" w14:paraId="2E20AD8C"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9F677C5" w14:textId="6F28D9E3" w:rsidR="00FD4476" w:rsidRPr="001F00CF" w:rsidRDefault="00FD4476" w:rsidP="001F00CF">
            <w:pPr>
              <w:pStyle w:val="RecommendationHeading"/>
              <w:rPr>
                <w:rFonts w:eastAsiaTheme="minorHAnsi" w:cstheme="minorBidi"/>
                <w:b/>
                <w:szCs w:val="22"/>
                <w:lang w:eastAsia="en-US"/>
              </w:rPr>
            </w:pPr>
            <w:r>
              <w:lastRenderedPageBreak/>
              <w:t>5</w:t>
            </w:r>
            <w:r w:rsidR="002918F9">
              <w:t>.</w:t>
            </w:r>
            <w:r>
              <w:t>2</w:t>
            </w:r>
            <w:r w:rsidR="002918F9">
              <w:t xml:space="preserve"> </w:t>
            </w:r>
            <w:r w:rsidRPr="001F00CF">
              <w:rPr>
                <w:rFonts w:eastAsiaTheme="minorHAnsi" w:cstheme="minorBidi"/>
                <w:szCs w:val="22"/>
                <w:lang w:eastAsia="en-US"/>
              </w:rPr>
              <w:t>The Review recommends that a provision concerning legal professional privilege (LPP) such as that in section 70 of the Australian Securities and Investments Commission Act 2001 be enacted in the Taxation Administration Act 1953 (TAA).</w:t>
            </w:r>
          </w:p>
          <w:p w14:paraId="72BCBCE5" w14:textId="4AD2959C" w:rsidR="002918F9" w:rsidRPr="00A57D9C" w:rsidRDefault="00FD4476" w:rsidP="00FD4476">
            <w:pPr>
              <w:pStyle w:val="Contact"/>
              <w:rPr>
                <w:rFonts w:eastAsiaTheme="minorHAnsi" w:cstheme="minorBidi"/>
                <w:b w:val="0"/>
                <w:szCs w:val="22"/>
                <w:lang w:eastAsia="en-US"/>
              </w:rPr>
            </w:pPr>
            <w:r w:rsidRPr="001F00CF">
              <w:rPr>
                <w:rFonts w:ascii="Calibri" w:hAnsi="Calibri"/>
                <w:b w:val="0"/>
                <w:color w:val="0072BB" w:themeColor="accent3" w:themeTint="BF"/>
                <w:kern w:val="32"/>
              </w:rPr>
              <w:t>Further, a similar protocol to that being developed between the Law Council of Australia and the ATO in relation to LPP claims should be developed for tax practitioners generally. This item should be something for the proposed forum (at Recommendation 3.3) to consider.</w:t>
            </w:r>
          </w:p>
        </w:tc>
        <w:tc>
          <w:tcPr>
            <w:tcW w:w="8930" w:type="dxa"/>
            <w:tcBorders>
              <w:top w:val="single" w:sz="4" w:space="0" w:color="B2B3B5" w:themeColor="accent4" w:themeTint="99"/>
              <w:bottom w:val="single" w:sz="4" w:space="0" w:color="B2B3B5" w:themeColor="accent4" w:themeTint="99"/>
            </w:tcBorders>
          </w:tcPr>
          <w:p w14:paraId="3711F437" w14:textId="4032F46D"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supports the recommendation in part.  </w:t>
            </w:r>
          </w:p>
          <w:p w14:paraId="1A433E14" w14:textId="627D57BB"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Development of the protocol between the Law Council and the ATO should be progressed and finalised and a similar protocol developed for tax practitioners.</w:t>
            </w:r>
          </w:p>
          <w:p w14:paraId="4DA78185" w14:textId="097E53C9" w:rsidR="003579B5" w:rsidRPr="00B35FBA" w:rsidRDefault="000C31B4" w:rsidP="00FD4476">
            <w:pPr>
              <w:spacing w:before="240"/>
              <w:rPr>
                <w:color w:val="002060"/>
              </w:rPr>
            </w:pPr>
            <w:r w:rsidRPr="000C31B4">
              <w:rPr>
                <w:rFonts w:eastAsiaTheme="minorHAnsi" w:cstheme="minorBidi"/>
                <w:color w:val="002060"/>
                <w:szCs w:val="22"/>
                <w:lang w:eastAsia="en-US"/>
              </w:rPr>
              <w:t>Once both protocols have had sufficient time to be considered in operation, the Government will revisit the need for legislative intervention.</w:t>
            </w:r>
          </w:p>
        </w:tc>
      </w:tr>
      <w:tr w:rsidR="002918F9" w14:paraId="2F32CC1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04AC5A7" w14:textId="2DE95A2B" w:rsidR="007834FD" w:rsidRPr="001F00CF" w:rsidRDefault="007834FD" w:rsidP="001F00CF">
            <w:pPr>
              <w:pStyle w:val="RecommendationHeading"/>
              <w:rPr>
                <w:rFonts w:eastAsiaTheme="minorHAnsi" w:cstheme="minorBidi"/>
                <w:b/>
                <w:szCs w:val="22"/>
                <w:lang w:eastAsia="en-US"/>
              </w:rPr>
            </w:pPr>
            <w:r>
              <w:t>6</w:t>
            </w:r>
            <w:r w:rsidR="002918F9">
              <w:t>.</w:t>
            </w:r>
            <w:r>
              <w:t>1</w:t>
            </w:r>
            <w:r w:rsidR="002918F9">
              <w:t xml:space="preserve"> </w:t>
            </w:r>
            <w:r w:rsidRPr="001F00CF">
              <w:rPr>
                <w:rFonts w:eastAsiaTheme="minorHAnsi" w:cstheme="minorBidi"/>
                <w:szCs w:val="22"/>
                <w:lang w:eastAsia="en-US"/>
              </w:rPr>
              <w:t>The Review recommends that the Board’s sanctions powers need to be increased, including introducing the following sanctions into the Tax Agent Services Act 2009, which could be ap</w:t>
            </w:r>
            <w:r w:rsidR="0078076B">
              <w:rPr>
                <w:rFonts w:eastAsiaTheme="minorHAnsi" w:cstheme="minorBidi"/>
                <w:szCs w:val="22"/>
                <w:lang w:eastAsia="en-US"/>
              </w:rPr>
              <w:t>p</w:t>
            </w:r>
            <w:r w:rsidRPr="001F00CF">
              <w:rPr>
                <w:rFonts w:eastAsiaTheme="minorHAnsi" w:cstheme="minorBidi"/>
                <w:szCs w:val="22"/>
                <w:lang w:eastAsia="en-US"/>
              </w:rPr>
              <w:t>lied to registered and unregistered practitioners:</w:t>
            </w:r>
          </w:p>
          <w:p w14:paraId="6F8D509C" w14:textId="55BD4774"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a)</w:t>
            </w:r>
            <w:r w:rsidRPr="001F00CF">
              <w:rPr>
                <w:rFonts w:ascii="Calibri" w:hAnsi="Calibri"/>
                <w:b w:val="0"/>
                <w:color w:val="0072BB" w:themeColor="accent3" w:themeTint="BF"/>
                <w:kern w:val="32"/>
              </w:rPr>
              <w:tab/>
              <w:t xml:space="preserve">infringement notices </w:t>
            </w:r>
          </w:p>
          <w:p w14:paraId="1B5A72AD" w14:textId="76A9732E"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b)</w:t>
            </w:r>
            <w:r w:rsidRPr="001F00CF">
              <w:rPr>
                <w:rFonts w:ascii="Calibri" w:hAnsi="Calibri"/>
                <w:b w:val="0"/>
                <w:color w:val="0072BB" w:themeColor="accent3" w:themeTint="BF"/>
                <w:kern w:val="32"/>
              </w:rPr>
              <w:tab/>
              <w:t>enforceable undertakings</w:t>
            </w:r>
          </w:p>
          <w:p w14:paraId="77EE1004" w14:textId="11F745CA"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c)</w:t>
            </w:r>
            <w:r w:rsidRPr="001F00CF">
              <w:rPr>
                <w:rFonts w:ascii="Calibri" w:hAnsi="Calibri"/>
                <w:b w:val="0"/>
                <w:color w:val="0072BB" w:themeColor="accent3" w:themeTint="BF"/>
                <w:kern w:val="32"/>
              </w:rPr>
              <w:tab/>
              <w:t>quality assurance audits</w:t>
            </w:r>
          </w:p>
          <w:p w14:paraId="02E95A00" w14:textId="783EB717"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d)</w:t>
            </w:r>
            <w:r w:rsidRPr="001F00CF">
              <w:rPr>
                <w:rFonts w:ascii="Calibri" w:hAnsi="Calibri"/>
                <w:b w:val="0"/>
                <w:color w:val="0072BB" w:themeColor="accent3" w:themeTint="BF"/>
                <w:kern w:val="32"/>
              </w:rPr>
              <w:tab/>
              <w:t>interim suspensions</w:t>
            </w:r>
          </w:p>
          <w:p w14:paraId="4D2E5EE2" w14:textId="151C5481"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e)</w:t>
            </w:r>
            <w:r w:rsidRPr="001F00CF">
              <w:rPr>
                <w:rFonts w:ascii="Calibri" w:hAnsi="Calibri"/>
                <w:b w:val="0"/>
                <w:color w:val="0072BB" w:themeColor="accent3" w:themeTint="BF"/>
                <w:kern w:val="32"/>
              </w:rPr>
              <w:tab/>
              <w:t>permanent disbarment</w:t>
            </w:r>
          </w:p>
          <w:p w14:paraId="36AEB2B8" w14:textId="3587352F" w:rsidR="002918F9" w:rsidRPr="00A57D9C" w:rsidRDefault="007834FD" w:rsidP="007834FD">
            <w:pPr>
              <w:pStyle w:val="Contact"/>
              <w:rPr>
                <w:rFonts w:eastAsiaTheme="minorHAnsi" w:cstheme="minorBidi"/>
                <w:b w:val="0"/>
                <w:szCs w:val="22"/>
                <w:lang w:eastAsia="en-US"/>
              </w:rPr>
            </w:pPr>
            <w:r w:rsidRPr="001F00CF">
              <w:rPr>
                <w:rFonts w:ascii="Calibri" w:hAnsi="Calibri"/>
                <w:b w:val="0"/>
                <w:color w:val="0072BB" w:themeColor="accent3" w:themeTint="BF"/>
                <w:kern w:val="32"/>
              </w:rPr>
              <w:t>f)</w:t>
            </w:r>
            <w:r w:rsidRPr="001F00CF">
              <w:rPr>
                <w:rFonts w:ascii="Calibri" w:hAnsi="Calibri"/>
                <w:b w:val="0"/>
                <w:color w:val="0072BB" w:themeColor="accent3" w:themeTint="BF"/>
                <w:kern w:val="32"/>
              </w:rPr>
              <w:tab/>
              <w:t>external intervention.</w:t>
            </w:r>
          </w:p>
        </w:tc>
        <w:tc>
          <w:tcPr>
            <w:tcW w:w="8930" w:type="dxa"/>
            <w:tcBorders>
              <w:top w:val="single" w:sz="4" w:space="0" w:color="B2B3B5" w:themeColor="accent4" w:themeTint="99"/>
              <w:bottom w:val="single" w:sz="4" w:space="0" w:color="B2B3B5" w:themeColor="accent4" w:themeTint="99"/>
            </w:tcBorders>
          </w:tcPr>
          <w:p w14:paraId="7A8BD0AB" w14:textId="01F38216"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w:t>
            </w:r>
            <w:r w:rsidR="004A2103">
              <w:rPr>
                <w:rFonts w:eastAsiaTheme="minorHAnsi" w:cstheme="minorBidi"/>
                <w:b w:val="0"/>
                <w:color w:val="002060"/>
                <w:szCs w:val="22"/>
                <w:lang w:eastAsia="en-US"/>
              </w:rPr>
              <w:t>notes</w:t>
            </w:r>
            <w:r w:rsidR="004A2103" w:rsidRPr="000C31B4">
              <w:rPr>
                <w:rFonts w:eastAsiaTheme="minorHAnsi" w:cstheme="minorBidi"/>
                <w:b w:val="0"/>
                <w:color w:val="002060"/>
                <w:szCs w:val="22"/>
                <w:lang w:eastAsia="en-US"/>
              </w:rPr>
              <w:t xml:space="preserve"> </w:t>
            </w:r>
            <w:r w:rsidRPr="000C31B4">
              <w:rPr>
                <w:rFonts w:eastAsiaTheme="minorHAnsi" w:cstheme="minorBidi"/>
                <w:b w:val="0"/>
                <w:color w:val="002060"/>
                <w:szCs w:val="22"/>
                <w:lang w:eastAsia="en-US"/>
              </w:rPr>
              <w:t>the recommendation.</w:t>
            </w:r>
          </w:p>
          <w:p w14:paraId="50BF79EF" w14:textId="1E665196"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While there are a number of sanctions already available to the TPB, the review identified a gap between existing low-level sanctions and </w:t>
            </w:r>
            <w:proofErr w:type="gramStart"/>
            <w:r w:rsidRPr="000C31B4">
              <w:rPr>
                <w:rFonts w:eastAsiaTheme="minorHAnsi" w:cstheme="minorBidi"/>
                <w:b w:val="0"/>
                <w:color w:val="002060"/>
                <w:szCs w:val="22"/>
                <w:lang w:eastAsia="en-US"/>
              </w:rPr>
              <w:t>higher level</w:t>
            </w:r>
            <w:proofErr w:type="gramEnd"/>
            <w:r w:rsidRPr="000C31B4">
              <w:rPr>
                <w:rFonts w:eastAsiaTheme="minorHAnsi" w:cstheme="minorBidi"/>
                <w:b w:val="0"/>
                <w:color w:val="002060"/>
                <w:szCs w:val="22"/>
                <w:lang w:eastAsia="en-US"/>
              </w:rPr>
              <w:t xml:space="preserve"> sanctions. </w:t>
            </w:r>
          </w:p>
          <w:p w14:paraId="670B1508" w14:textId="0AFCFD67" w:rsidR="002918F9" w:rsidRPr="00B35FBA" w:rsidRDefault="004A2103">
            <w:pPr>
              <w:pStyle w:val="Contact"/>
              <w:spacing w:before="240"/>
              <w:rPr>
                <w:color w:val="002060"/>
              </w:rPr>
            </w:pPr>
            <w:r w:rsidRPr="004A2103">
              <w:rPr>
                <w:rFonts w:eastAsiaTheme="minorHAnsi" w:cstheme="minorBidi"/>
                <w:b w:val="0"/>
                <w:color w:val="002060"/>
                <w:szCs w:val="22"/>
                <w:lang w:eastAsia="en-US"/>
              </w:rPr>
              <w:t xml:space="preserve">Treasury will consult with stakeholders on the appropriateness of providing new sanction powers to the TPB.  </w:t>
            </w:r>
          </w:p>
        </w:tc>
      </w:tr>
      <w:tr w:rsidR="002918F9" w14:paraId="3A0FBA7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C3F8EE7" w14:textId="326683E0" w:rsidR="00BC7DC2" w:rsidRPr="001F00CF" w:rsidRDefault="00BC7DC2" w:rsidP="001F00CF">
            <w:pPr>
              <w:pStyle w:val="RecommendationHeading"/>
              <w:rPr>
                <w:szCs w:val="22"/>
              </w:rPr>
            </w:pPr>
            <w:r>
              <w:lastRenderedPageBreak/>
              <w:t>6</w:t>
            </w:r>
            <w:r w:rsidR="002918F9">
              <w:t>.</w:t>
            </w:r>
            <w:r>
              <w:t>2</w:t>
            </w:r>
            <w:r w:rsidR="002918F9">
              <w:t xml:space="preserve"> </w:t>
            </w:r>
            <w:r w:rsidRPr="001F00CF">
              <w:rPr>
                <w:szCs w:val="22"/>
              </w:rPr>
              <w:t>The Review recommends that:</w:t>
            </w:r>
          </w:p>
          <w:p w14:paraId="3D5A0AAF" w14:textId="7F9F3B3D" w:rsidR="00BC7DC2" w:rsidRPr="00B1355E" w:rsidRDefault="00BC7DC2" w:rsidP="00B1355E">
            <w:pPr>
              <w:pStyle w:val="ListParagraph"/>
              <w:numPr>
                <w:ilvl w:val="0"/>
                <w:numId w:val="25"/>
              </w:numPr>
              <w:rPr>
                <w:rFonts w:ascii="Calibri" w:hAnsi="Calibri" w:cs="Arial"/>
                <w:color w:val="0072BB" w:themeColor="accent3" w:themeTint="BF"/>
                <w:kern w:val="32"/>
                <w:szCs w:val="22"/>
              </w:rPr>
            </w:pPr>
            <w:r w:rsidRPr="00B1355E">
              <w:rPr>
                <w:rFonts w:ascii="Calibri" w:hAnsi="Calibri" w:cs="Arial"/>
                <w:color w:val="0072BB" w:themeColor="accent3" w:themeTint="BF"/>
                <w:kern w:val="32"/>
              </w:rPr>
              <w:t xml:space="preserve">Investigations </w:t>
            </w:r>
            <w:proofErr w:type="gramStart"/>
            <w:r w:rsidRPr="00B1355E">
              <w:rPr>
                <w:rFonts w:ascii="Calibri" w:hAnsi="Calibri" w:cs="Arial"/>
                <w:color w:val="0072BB" w:themeColor="accent3" w:themeTint="BF"/>
                <w:kern w:val="32"/>
              </w:rPr>
              <w:t>are able to</w:t>
            </w:r>
            <w:proofErr w:type="gramEnd"/>
            <w:r w:rsidRPr="00B1355E">
              <w:rPr>
                <w:rFonts w:ascii="Calibri" w:hAnsi="Calibri" w:cs="Arial"/>
                <w:color w:val="0072BB" w:themeColor="accent3" w:themeTint="BF"/>
                <w:kern w:val="32"/>
              </w:rPr>
              <w:t xml:space="preserve"> commence and/or continue once a registered tax practitioner either has their registration terminated, chooses not to re</w:t>
            </w:r>
            <w:r w:rsidRPr="00B1355E">
              <w:rPr>
                <w:rFonts w:ascii="Calibri" w:hAnsi="Calibri" w:cs="Arial"/>
                <w:color w:val="0072BB" w:themeColor="accent3" w:themeTint="BF"/>
                <w:kern w:val="32"/>
                <w:szCs w:val="22"/>
              </w:rPr>
              <w:t>-</w:t>
            </w:r>
            <w:r w:rsidRPr="00B1355E">
              <w:rPr>
                <w:rFonts w:ascii="Calibri" w:hAnsi="Calibri" w:cs="Arial"/>
                <w:color w:val="0072BB" w:themeColor="accent3" w:themeTint="BF"/>
                <w:kern w:val="32"/>
              </w:rPr>
              <w:t>register, or is seeking to surrender their registration.</w:t>
            </w:r>
          </w:p>
          <w:p w14:paraId="4258C273" w14:textId="2CBF7D84" w:rsidR="00BC7DC2" w:rsidRPr="00B1355E" w:rsidRDefault="00BC7DC2" w:rsidP="00B1355E">
            <w:pPr>
              <w:pStyle w:val="ListParagraph"/>
              <w:numPr>
                <w:ilvl w:val="0"/>
                <w:numId w:val="25"/>
              </w:numPr>
              <w:rPr>
                <w:rFonts w:ascii="Calibri" w:hAnsi="Calibri" w:cs="Arial"/>
                <w:color w:val="0072BB" w:themeColor="accent3" w:themeTint="BF"/>
                <w:kern w:val="32"/>
                <w:szCs w:val="22"/>
              </w:rPr>
            </w:pPr>
            <w:r w:rsidRPr="00B1355E">
              <w:rPr>
                <w:rFonts w:ascii="Calibri" w:hAnsi="Calibri" w:cs="Arial"/>
                <w:color w:val="0072BB" w:themeColor="accent3" w:themeTint="BF"/>
                <w:kern w:val="32"/>
              </w:rPr>
              <w:t>The limitation on the TPB formally gathering information prior to commencing and notifying a tax practitioner of an investigation be removed.</w:t>
            </w:r>
          </w:p>
          <w:p w14:paraId="4ACC75AE" w14:textId="07A2FD55" w:rsidR="002918F9" w:rsidRPr="00B1355E" w:rsidRDefault="00BC7DC2" w:rsidP="00B1355E">
            <w:pPr>
              <w:pStyle w:val="ListParagraph"/>
              <w:numPr>
                <w:ilvl w:val="0"/>
                <w:numId w:val="25"/>
              </w:numPr>
            </w:pPr>
            <w:r w:rsidRPr="00B1355E">
              <w:rPr>
                <w:rFonts w:ascii="Calibri" w:hAnsi="Calibri" w:cs="Arial"/>
                <w:color w:val="0072BB" w:themeColor="accent3" w:themeTint="BF"/>
                <w:kern w:val="32"/>
              </w:rPr>
              <w:t xml:space="preserve">The </w:t>
            </w:r>
            <w:proofErr w:type="gramStart"/>
            <w:r w:rsidRPr="00B1355E">
              <w:rPr>
                <w:rFonts w:ascii="Calibri" w:hAnsi="Calibri" w:cs="Arial"/>
                <w:color w:val="0072BB" w:themeColor="accent3" w:themeTint="BF"/>
                <w:kern w:val="32"/>
              </w:rPr>
              <w:t>six month</w:t>
            </w:r>
            <w:proofErr w:type="gramEnd"/>
            <w:r w:rsidRPr="00B1355E">
              <w:rPr>
                <w:rFonts w:ascii="Calibri" w:hAnsi="Calibri" w:cs="Arial"/>
                <w:color w:val="0072BB" w:themeColor="accent3" w:themeTint="BF"/>
                <w:kern w:val="32"/>
              </w:rPr>
              <w:t xml:space="preserve"> timeframe to conduct an investigation be removed.</w:t>
            </w:r>
          </w:p>
        </w:tc>
        <w:tc>
          <w:tcPr>
            <w:tcW w:w="8930" w:type="dxa"/>
            <w:tcBorders>
              <w:top w:val="single" w:sz="4" w:space="0" w:color="B2B3B5" w:themeColor="accent4" w:themeTint="99"/>
              <w:bottom w:val="single" w:sz="4" w:space="0" w:color="B2B3B5" w:themeColor="accent4" w:themeTint="99"/>
            </w:tcBorders>
          </w:tcPr>
          <w:p w14:paraId="52E6F1F8" w14:textId="05F5F2A2"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supports the recommendation in part.  </w:t>
            </w:r>
          </w:p>
          <w:p w14:paraId="51E251E8" w14:textId="5ADA0CB7"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Government agrees with (a) and will amend the law to enact this change.</w:t>
            </w:r>
          </w:p>
          <w:p w14:paraId="20CB808F" w14:textId="51F93FA5" w:rsidR="002918F9" w:rsidRPr="00B35FBA" w:rsidRDefault="000C31B4" w:rsidP="002918F9">
            <w:pPr>
              <w:spacing w:before="240"/>
              <w:rPr>
                <w:color w:val="002060"/>
              </w:rPr>
            </w:pPr>
            <w:r w:rsidRPr="000C31B4">
              <w:rPr>
                <w:rFonts w:eastAsiaTheme="minorHAnsi" w:cstheme="minorBidi"/>
                <w:color w:val="002060"/>
                <w:szCs w:val="22"/>
                <w:lang w:eastAsia="en-US"/>
              </w:rPr>
              <w:t>The Government will consult further on (b) and (c) to investigate the systemic implications of changing the current limitation on TPB formal information gathering and investigation time limits.</w:t>
            </w:r>
          </w:p>
        </w:tc>
      </w:tr>
      <w:tr w:rsidR="002918F9" w14:paraId="25002E7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0870B914" w14:textId="0BCA7F9D" w:rsidR="002918F9" w:rsidRPr="00A57D9C" w:rsidRDefault="00601C47" w:rsidP="001F00CF">
            <w:pPr>
              <w:pStyle w:val="RecommendationHeading"/>
              <w:rPr>
                <w:rFonts w:eastAsiaTheme="minorHAnsi" w:cstheme="minorBidi"/>
                <w:szCs w:val="22"/>
                <w:lang w:eastAsia="en-US"/>
              </w:rPr>
            </w:pPr>
            <w:r>
              <w:t>6</w:t>
            </w:r>
            <w:r w:rsidR="002918F9">
              <w:t>.</w:t>
            </w:r>
            <w:r>
              <w:t>3</w:t>
            </w:r>
            <w:r w:rsidR="002918F9">
              <w:t xml:space="preserve"> </w:t>
            </w:r>
            <w:r w:rsidRPr="001F00CF">
              <w:rPr>
                <w:rFonts w:eastAsiaTheme="minorHAnsi" w:cstheme="minorBidi"/>
                <w:szCs w:val="22"/>
                <w:lang w:eastAsia="en-US"/>
              </w:rPr>
              <w:t>The Review recommends that the Tax Agent Services Regulations 2009 be amended to enable the TPB to publish more detailed reasons for tax practitioner sanctions, including terminations, on the TPB Register (which is publicly available). See also Recommendation 8.1.</w:t>
            </w:r>
          </w:p>
        </w:tc>
        <w:tc>
          <w:tcPr>
            <w:tcW w:w="8930" w:type="dxa"/>
            <w:tcBorders>
              <w:top w:val="single" w:sz="4" w:space="0" w:color="B2B3B5" w:themeColor="accent4" w:themeTint="99"/>
              <w:bottom w:val="single" w:sz="4" w:space="0" w:color="B2B3B5" w:themeColor="accent4" w:themeTint="99"/>
            </w:tcBorders>
          </w:tcPr>
          <w:p w14:paraId="32FBE718" w14:textId="4ACB2E47" w:rsidR="000C31B4" w:rsidRPr="000C31B4" w:rsidRDefault="00633BBF" w:rsidP="000C31B4">
            <w:pPr>
              <w:spacing w:before="240"/>
              <w:rPr>
                <w:color w:val="002060"/>
              </w:rPr>
            </w:pPr>
            <w:r>
              <w:rPr>
                <w:color w:val="002060"/>
              </w:rPr>
              <w:t>The Government notes the recommendation.</w:t>
            </w:r>
          </w:p>
          <w:p w14:paraId="6778EBEF" w14:textId="6FBB3F2B" w:rsidR="002918F9" w:rsidRPr="00B35FBA" w:rsidRDefault="000C31B4">
            <w:pPr>
              <w:spacing w:before="240"/>
              <w:rPr>
                <w:color w:val="002060"/>
              </w:rPr>
            </w:pPr>
            <w:r w:rsidRPr="000C31B4">
              <w:rPr>
                <w:color w:val="002060"/>
              </w:rPr>
              <w:t xml:space="preserve">The Government </w:t>
            </w:r>
            <w:r w:rsidR="00633BBF">
              <w:rPr>
                <w:color w:val="002060"/>
              </w:rPr>
              <w:t>notes that</w:t>
            </w:r>
            <w:r w:rsidR="00633BBF" w:rsidRPr="000C31B4">
              <w:rPr>
                <w:color w:val="002060"/>
              </w:rPr>
              <w:t xml:space="preserve"> </w:t>
            </w:r>
            <w:r w:rsidRPr="000C31B4">
              <w:rPr>
                <w:color w:val="002060"/>
              </w:rPr>
              <w:t>there should be transparency for the community to make informed decisions regarding their use of tax services and will consult on the scope of information to be included on the TPB register and how long the information should remain on the TPB register.</w:t>
            </w:r>
          </w:p>
        </w:tc>
      </w:tr>
      <w:tr w:rsidR="002918F9" w14:paraId="59360F7A"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1302F0EF" w14:textId="224BE099" w:rsidR="002918F9" w:rsidRPr="00A57D9C" w:rsidRDefault="007A4C97" w:rsidP="001F00CF">
            <w:pPr>
              <w:pStyle w:val="RecommendationHeading"/>
              <w:rPr>
                <w:rFonts w:eastAsiaTheme="minorHAnsi" w:cstheme="minorBidi"/>
                <w:szCs w:val="22"/>
                <w:lang w:eastAsia="en-US"/>
              </w:rPr>
            </w:pPr>
            <w:r>
              <w:t>6</w:t>
            </w:r>
            <w:r w:rsidR="002918F9">
              <w:t>.</w:t>
            </w:r>
            <w:r>
              <w:t>4</w:t>
            </w:r>
            <w:r w:rsidR="002918F9">
              <w:t xml:space="preserve"> </w:t>
            </w:r>
            <w:r w:rsidRPr="001F00CF">
              <w:rPr>
                <w:rFonts w:eastAsiaTheme="minorHAnsi" w:cstheme="minorBidi"/>
                <w:szCs w:val="22"/>
                <w:lang w:eastAsia="en-US"/>
              </w:rPr>
              <w:t>The Review recommends that an administrative penalty regime, administered by the ATO, be introduced to impose penalties on tax practitioners who demonstrate an intentional disregard of the taxation laws in making, or being involved in making, a statement to the Commissioner of Taxation.</w:t>
            </w:r>
          </w:p>
        </w:tc>
        <w:tc>
          <w:tcPr>
            <w:tcW w:w="8930" w:type="dxa"/>
            <w:tcBorders>
              <w:top w:val="single" w:sz="4" w:space="0" w:color="B2B3B5" w:themeColor="accent4" w:themeTint="99"/>
              <w:bottom w:val="single" w:sz="4" w:space="0" w:color="B2B3B5" w:themeColor="accent4" w:themeTint="99"/>
            </w:tcBorders>
          </w:tcPr>
          <w:p w14:paraId="155B4D44" w14:textId="52B4E111"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Governm</w:t>
            </w:r>
            <w:r>
              <w:rPr>
                <w:rFonts w:eastAsiaTheme="minorHAnsi" w:cstheme="minorBidi"/>
                <w:b w:val="0"/>
                <w:color w:val="002060"/>
                <w:szCs w:val="22"/>
                <w:lang w:eastAsia="en-US"/>
              </w:rPr>
              <w:t xml:space="preserve">ent notes the recommendation.  </w:t>
            </w:r>
          </w:p>
          <w:p w14:paraId="72E1BDAA" w14:textId="1D7FC5EE" w:rsidR="002918F9" w:rsidRPr="00B35FBA" w:rsidRDefault="000C31B4" w:rsidP="00010BCC">
            <w:pPr>
              <w:spacing w:before="240"/>
              <w:rPr>
                <w:color w:val="002060"/>
              </w:rPr>
            </w:pPr>
            <w:r w:rsidRPr="000C31B4">
              <w:rPr>
                <w:rFonts w:eastAsiaTheme="minorHAnsi" w:cstheme="minorBidi"/>
                <w:color w:val="002060"/>
                <w:szCs w:val="22"/>
                <w:lang w:eastAsia="en-US"/>
              </w:rPr>
              <w:t>Any additional powers provided to the TPB (as per Recommendation 6.1) should be given time to be considered in operation before considering the need to introduce ATO administered administrative penalties for tax practitioners.</w:t>
            </w:r>
          </w:p>
        </w:tc>
      </w:tr>
      <w:tr w:rsidR="002918F9" w14:paraId="4D130F93"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09FCAABE" w14:textId="4D4416B5" w:rsidR="00B35FBA" w:rsidRPr="00A57D9C" w:rsidRDefault="00B9516C" w:rsidP="001F00CF">
            <w:pPr>
              <w:pStyle w:val="RecommendationHeading"/>
              <w:rPr>
                <w:rFonts w:eastAsiaTheme="minorHAnsi" w:cstheme="minorBidi"/>
                <w:szCs w:val="22"/>
                <w:lang w:eastAsia="en-US"/>
              </w:rPr>
            </w:pPr>
            <w:r>
              <w:lastRenderedPageBreak/>
              <w:t>6</w:t>
            </w:r>
            <w:r w:rsidR="002918F9">
              <w:t>.</w:t>
            </w:r>
            <w:r>
              <w:t>5</w:t>
            </w:r>
            <w:r w:rsidR="002918F9">
              <w:t xml:space="preserve"> </w:t>
            </w:r>
            <w:r w:rsidRPr="001F00CF">
              <w:rPr>
                <w:rFonts w:eastAsiaTheme="minorHAnsi" w:cstheme="minorBidi"/>
                <w:szCs w:val="22"/>
                <w:lang w:eastAsia="en-US"/>
              </w:rPr>
              <w:t>The Review recommends the safe harbour protection as it applies both to false or misleading statement penalties and failure to lodge penalties, be extended to cover instances where the tax agent or BAS agent has demonstrated recklessness or intentional disregard with respect to a taxation law.</w:t>
            </w:r>
          </w:p>
        </w:tc>
        <w:tc>
          <w:tcPr>
            <w:tcW w:w="8930" w:type="dxa"/>
            <w:tcBorders>
              <w:top w:val="single" w:sz="4" w:space="0" w:color="B2B3B5" w:themeColor="accent4" w:themeTint="99"/>
              <w:bottom w:val="single" w:sz="4" w:space="0" w:color="B2B3B5" w:themeColor="accent4" w:themeTint="99"/>
            </w:tcBorders>
          </w:tcPr>
          <w:p w14:paraId="0F7170F8" w14:textId="2A0EDA48" w:rsidR="000C31B4" w:rsidRPr="000C31B4" w:rsidRDefault="000C31B4" w:rsidP="000C31B4">
            <w:pPr>
              <w:pStyle w:val="Contact"/>
              <w:spacing w:before="240"/>
              <w:rPr>
                <w:b w:val="0"/>
                <w:color w:val="002060"/>
              </w:rPr>
            </w:pPr>
            <w:r w:rsidRPr="000C31B4">
              <w:rPr>
                <w:b w:val="0"/>
                <w:color w:val="002060"/>
              </w:rPr>
              <w:t>The Governm</w:t>
            </w:r>
            <w:r>
              <w:rPr>
                <w:b w:val="0"/>
                <w:color w:val="002060"/>
              </w:rPr>
              <w:t xml:space="preserve">ent notes the recommendation.  </w:t>
            </w:r>
          </w:p>
          <w:p w14:paraId="3D2EF252" w14:textId="781E8509" w:rsidR="002918F9" w:rsidRPr="00B35FBA" w:rsidRDefault="000C31B4" w:rsidP="005C6BF7">
            <w:pPr>
              <w:pStyle w:val="Contact"/>
              <w:spacing w:before="240"/>
              <w:rPr>
                <w:color w:val="002060"/>
              </w:rPr>
            </w:pPr>
            <w:r w:rsidRPr="000C31B4">
              <w:rPr>
                <w:b w:val="0"/>
                <w:color w:val="002060"/>
              </w:rPr>
              <w:t>In the absence of a new administrative penalty regime</w:t>
            </w:r>
            <w:r w:rsidR="003F1091">
              <w:rPr>
                <w:b w:val="0"/>
                <w:color w:val="002060"/>
              </w:rPr>
              <w:t xml:space="preserve"> </w:t>
            </w:r>
            <w:r w:rsidRPr="000C31B4">
              <w:rPr>
                <w:b w:val="0"/>
                <w:color w:val="002060"/>
              </w:rPr>
              <w:t>administered by the ATO</w:t>
            </w:r>
            <w:r w:rsidR="003F1091">
              <w:rPr>
                <w:b w:val="0"/>
                <w:color w:val="002060"/>
              </w:rPr>
              <w:t xml:space="preserve"> (recommendation 6.4)</w:t>
            </w:r>
            <w:r w:rsidRPr="000C31B4">
              <w:rPr>
                <w:b w:val="0"/>
                <w:color w:val="002060"/>
              </w:rPr>
              <w:t>, a response to this recommendation is not required.</w:t>
            </w:r>
          </w:p>
        </w:tc>
      </w:tr>
      <w:tr w:rsidR="002918F9" w14:paraId="00156B15" w14:textId="77777777" w:rsidTr="00B35FBA">
        <w:trPr>
          <w:cantSplit/>
        </w:trPr>
        <w:tc>
          <w:tcPr>
            <w:tcW w:w="5353" w:type="dxa"/>
            <w:tcBorders>
              <w:bottom w:val="single" w:sz="4" w:space="0" w:color="B2B3B5" w:themeColor="accent4" w:themeTint="99"/>
            </w:tcBorders>
          </w:tcPr>
          <w:p w14:paraId="35A5F238" w14:textId="6EA370BE" w:rsidR="00A7333B" w:rsidRPr="001F00CF" w:rsidRDefault="00A7333B" w:rsidP="001F00CF">
            <w:pPr>
              <w:pStyle w:val="RecommendationHeading"/>
              <w:keepNext/>
              <w:rPr>
                <w:rFonts w:eastAsiaTheme="minorHAnsi" w:cstheme="minorBidi"/>
                <w:b/>
                <w:szCs w:val="22"/>
                <w:lang w:eastAsia="en-US"/>
              </w:rPr>
            </w:pPr>
            <w:r>
              <w:lastRenderedPageBreak/>
              <w:t>7</w:t>
            </w:r>
            <w:r w:rsidR="002918F9">
              <w:t>.</w:t>
            </w:r>
            <w:r>
              <w:t>1</w:t>
            </w:r>
            <w:r w:rsidR="002918F9">
              <w:t xml:space="preserve"> </w:t>
            </w:r>
            <w:r w:rsidRPr="001F00CF">
              <w:rPr>
                <w:rFonts w:eastAsiaTheme="minorHAnsi" w:cstheme="minorBidi"/>
                <w:szCs w:val="22"/>
                <w:lang w:eastAsia="en-US"/>
              </w:rPr>
              <w:t>The Review recommends, in alignment with implementing Recommendation 2.10 of the Final Report of the Financial Services Royal Commission, a new model be developed for regulating tax (financial) advisers in consultation with ASIC, FASEA, the TPB and Treasury. This new model should incorporate the following features:</w:t>
            </w:r>
          </w:p>
          <w:p w14:paraId="3A4A123B" w14:textId="7D03EEB8" w:rsidR="00A7333B" w:rsidRPr="001F00CF" w:rsidRDefault="00A7333B" w:rsidP="00B1355E">
            <w:pPr>
              <w:pStyle w:val="Contact"/>
              <w:keepNext/>
              <w:numPr>
                <w:ilvl w:val="0"/>
                <w:numId w:val="26"/>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 xml:space="preserve">single point of registration for </w:t>
            </w:r>
            <w:proofErr w:type="gramStart"/>
            <w:r w:rsidRPr="001F00CF">
              <w:rPr>
                <w:rFonts w:ascii="Calibri" w:hAnsi="Calibri"/>
                <w:b w:val="0"/>
                <w:color w:val="0072BB" w:themeColor="accent3" w:themeTint="BF"/>
                <w:kern w:val="32"/>
              </w:rPr>
              <w:t>individuals;</w:t>
            </w:r>
            <w:proofErr w:type="gramEnd"/>
          </w:p>
          <w:p w14:paraId="46AA2AA3" w14:textId="1AE9FB30" w:rsidR="00A7333B" w:rsidRPr="001F00CF" w:rsidRDefault="00A7333B" w:rsidP="00B1355E">
            <w:pPr>
              <w:pStyle w:val="Contact"/>
              <w:keepNext/>
              <w:numPr>
                <w:ilvl w:val="0"/>
                <w:numId w:val="26"/>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requirement to abide by only the one code of conduct; and</w:t>
            </w:r>
          </w:p>
          <w:p w14:paraId="09329AD1" w14:textId="1D561B1C" w:rsidR="00A7333B" w:rsidRPr="001F00CF" w:rsidRDefault="00A7333B" w:rsidP="00B1355E">
            <w:pPr>
              <w:pStyle w:val="Contact"/>
              <w:keepNext/>
              <w:numPr>
                <w:ilvl w:val="0"/>
                <w:numId w:val="26"/>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any disciplinary action involving the provision of tax advice is decided by experts from the tax profession.</w:t>
            </w:r>
          </w:p>
          <w:p w14:paraId="0056F5AF" w14:textId="603F3BA4" w:rsidR="002918F9" w:rsidRPr="00A57D9C" w:rsidRDefault="00A7333B" w:rsidP="00A7333B">
            <w:pPr>
              <w:pStyle w:val="Contact"/>
              <w:keepNext/>
              <w:rPr>
                <w:rFonts w:eastAsiaTheme="minorHAnsi" w:cstheme="minorBidi"/>
                <w:b w:val="0"/>
                <w:szCs w:val="22"/>
                <w:lang w:eastAsia="en-US"/>
              </w:rPr>
            </w:pPr>
            <w:r w:rsidRPr="001F00CF">
              <w:rPr>
                <w:rFonts w:ascii="Calibri" w:hAnsi="Calibri"/>
                <w:b w:val="0"/>
                <w:color w:val="0072BB" w:themeColor="accent3" w:themeTint="BF"/>
                <w:kern w:val="32"/>
              </w:rPr>
              <w:t>Until the new model is developed the status quo should be retained.</w:t>
            </w:r>
          </w:p>
        </w:tc>
        <w:tc>
          <w:tcPr>
            <w:tcW w:w="8930" w:type="dxa"/>
            <w:tcBorders>
              <w:bottom w:val="single" w:sz="4" w:space="0" w:color="B2B3B5" w:themeColor="accent4" w:themeTint="99"/>
            </w:tcBorders>
          </w:tcPr>
          <w:p w14:paraId="6AD4A53C" w14:textId="7FCFEB3F" w:rsidR="00BB2C3E" w:rsidRPr="00BB2C3E" w:rsidRDefault="00BB2C3E" w:rsidP="00BB2C3E">
            <w:pPr>
              <w:keepNext/>
              <w:spacing w:before="240"/>
              <w:rPr>
                <w:color w:val="002060"/>
              </w:rPr>
            </w:pPr>
            <w:r w:rsidRPr="00BB2C3E">
              <w:rPr>
                <w:color w:val="002060"/>
              </w:rPr>
              <w:t>The Government supports the recommendation in principle.</w:t>
            </w:r>
          </w:p>
          <w:p w14:paraId="2E6AF16C" w14:textId="43F36473" w:rsidR="00BB2C3E" w:rsidRPr="00BB2C3E" w:rsidRDefault="00BB2C3E" w:rsidP="00BB2C3E">
            <w:pPr>
              <w:keepNext/>
              <w:spacing w:before="240"/>
              <w:rPr>
                <w:color w:val="002060"/>
              </w:rPr>
            </w:pPr>
            <w:r w:rsidRPr="00BB2C3E">
              <w:rPr>
                <w:color w:val="002060"/>
              </w:rPr>
              <w:t xml:space="preserve">The Government agrees that the regulatory overlap should be reduced. The Government is setting up a new disciplinary system for financial advisers in response to recommendation 2.10 of the Financial Services Royal Commission. </w:t>
            </w:r>
          </w:p>
          <w:p w14:paraId="771B7C7D" w14:textId="1FB61F1C" w:rsidR="00BB2C3E" w:rsidRPr="00BB2C3E" w:rsidRDefault="00BB2C3E" w:rsidP="00BB2C3E">
            <w:pPr>
              <w:keepNext/>
              <w:spacing w:before="240"/>
              <w:rPr>
                <w:color w:val="002060"/>
              </w:rPr>
            </w:pPr>
            <w:r w:rsidRPr="00BB2C3E">
              <w:rPr>
                <w:color w:val="002060"/>
              </w:rPr>
              <w:t xml:space="preserve">This new system will cover all financial advisers, including individual tax (financial) advisers. </w:t>
            </w:r>
          </w:p>
          <w:p w14:paraId="231BE463" w14:textId="16BC6099" w:rsidR="002918F9" w:rsidRPr="00B35FBA" w:rsidRDefault="009E1730" w:rsidP="004409EE">
            <w:pPr>
              <w:keepNext/>
              <w:spacing w:before="240"/>
              <w:rPr>
                <w:color w:val="002060"/>
              </w:rPr>
            </w:pPr>
            <w:r>
              <w:rPr>
                <w:color w:val="002060"/>
              </w:rPr>
              <w:t>Tax (financial) advisers will only be subject to a single disciplinary regime.</w:t>
            </w:r>
          </w:p>
        </w:tc>
      </w:tr>
      <w:tr w:rsidR="002918F9" w14:paraId="64CBD45A"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50B9C092" w14:textId="4F011FF2" w:rsidR="002918F9" w:rsidRPr="00A57D9C" w:rsidRDefault="00120BE2" w:rsidP="001F00CF">
            <w:pPr>
              <w:pStyle w:val="RecommendationHeading"/>
              <w:rPr>
                <w:rFonts w:eastAsiaTheme="minorHAnsi" w:cstheme="minorBidi"/>
                <w:szCs w:val="22"/>
                <w:lang w:eastAsia="en-US"/>
              </w:rPr>
            </w:pPr>
            <w:r>
              <w:t>7</w:t>
            </w:r>
            <w:r w:rsidR="002918F9">
              <w:t>.</w:t>
            </w:r>
            <w:r>
              <w:t>2</w:t>
            </w:r>
            <w:r w:rsidR="002918F9">
              <w:t xml:space="preserve"> </w:t>
            </w:r>
            <w:r w:rsidRPr="001F00CF">
              <w:rPr>
                <w:rFonts w:eastAsiaTheme="minorHAnsi" w:cstheme="minorBidi"/>
                <w:szCs w:val="22"/>
                <w:lang w:eastAsia="en-US"/>
              </w:rPr>
              <w:t>Having recommended the regulatory burden on tax (financial) advisers is to be reduced, the Review believes it is reasonable that a similar level playing field should be considered for accountants. The Review therefore recommends the Government initiate a specific review of what advice accountants can and cannot give in respect of superannuation and which accountants that might apply to. Such a review could perhaps be undertaken by the Productivity Commission.</w:t>
            </w:r>
          </w:p>
        </w:tc>
        <w:tc>
          <w:tcPr>
            <w:tcW w:w="8930" w:type="dxa"/>
            <w:tcBorders>
              <w:top w:val="single" w:sz="4" w:space="0" w:color="B2B3B5" w:themeColor="accent4" w:themeTint="99"/>
              <w:bottom w:val="single" w:sz="4" w:space="0" w:color="B2B3B5" w:themeColor="accent4" w:themeTint="99"/>
            </w:tcBorders>
          </w:tcPr>
          <w:p w14:paraId="7FC282AE" w14:textId="723EB4D7" w:rsidR="000C31B4" w:rsidRPr="000C31B4" w:rsidRDefault="000C31B4" w:rsidP="000C31B4">
            <w:pPr>
              <w:spacing w:before="240"/>
              <w:rPr>
                <w:color w:val="002060"/>
              </w:rPr>
            </w:pPr>
            <w:r w:rsidRPr="000C31B4">
              <w:rPr>
                <w:color w:val="002060"/>
              </w:rPr>
              <w:t>The Government supports t</w:t>
            </w:r>
            <w:r>
              <w:rPr>
                <w:color w:val="002060"/>
              </w:rPr>
              <w:t>he recommendation in principle.</w:t>
            </w:r>
          </w:p>
          <w:p w14:paraId="011D86DF" w14:textId="1FAC7921" w:rsidR="002918F9" w:rsidRPr="00B35FBA" w:rsidRDefault="000C31B4" w:rsidP="002918F9">
            <w:pPr>
              <w:spacing w:before="240"/>
              <w:rPr>
                <w:color w:val="002060"/>
              </w:rPr>
            </w:pPr>
            <w:r w:rsidRPr="000C31B4">
              <w:rPr>
                <w:color w:val="002060"/>
              </w:rPr>
              <w:t>The Government will review this issue as part of Recommendation 2.3 of the Final Report of the Royal Commission into Misconduct in the Banking, Superannuation and Financial Services Industry.</w:t>
            </w:r>
          </w:p>
        </w:tc>
      </w:tr>
      <w:tr w:rsidR="002918F9" w14:paraId="2E09013E"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27C09257" w14:textId="11CD3FDC" w:rsidR="008226A0" w:rsidRPr="001F00CF" w:rsidRDefault="008226A0" w:rsidP="001F00CF">
            <w:pPr>
              <w:pStyle w:val="RecommendationHeading"/>
              <w:rPr>
                <w:rFonts w:eastAsiaTheme="minorHAnsi" w:cstheme="minorBidi"/>
                <w:b/>
                <w:szCs w:val="22"/>
                <w:lang w:eastAsia="en-US"/>
              </w:rPr>
            </w:pPr>
            <w:r>
              <w:lastRenderedPageBreak/>
              <w:t>8</w:t>
            </w:r>
            <w:r w:rsidR="002918F9">
              <w:t>.</w:t>
            </w:r>
            <w:r>
              <w:t>1</w:t>
            </w:r>
            <w:r w:rsidR="002918F9">
              <w:t xml:space="preserve"> </w:t>
            </w:r>
            <w:r w:rsidRPr="001F00CF">
              <w:rPr>
                <w:rFonts w:eastAsiaTheme="minorHAnsi" w:cstheme="minorBidi"/>
                <w:szCs w:val="22"/>
                <w:lang w:eastAsia="en-US"/>
              </w:rPr>
              <w:t xml:space="preserve">The Review recommends that: </w:t>
            </w:r>
          </w:p>
          <w:p w14:paraId="21BAD65E" w14:textId="23FED8C8" w:rsidR="008226A0" w:rsidRPr="001F00CF" w:rsidRDefault="008226A0" w:rsidP="00B1355E">
            <w:pPr>
              <w:pStyle w:val="Contact"/>
              <w:numPr>
                <w:ilvl w:val="0"/>
                <w:numId w:val="27"/>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Details of tax practitioners that are currently included on the TPB Register should be expanded. This could include publishing a wider range of information, decisions and outcomes on the TPB Register.</w:t>
            </w:r>
          </w:p>
          <w:p w14:paraId="5522D737" w14:textId="02CF3478" w:rsidR="008226A0" w:rsidRDefault="008226A0" w:rsidP="00B1355E">
            <w:pPr>
              <w:pStyle w:val="Contact"/>
              <w:numPr>
                <w:ilvl w:val="0"/>
                <w:numId w:val="27"/>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A register of unregistered tax practitioners be made available. This register would include those entities that receive a notice by the TPB to ‘cease and desist’ providing tax agent services for a fee and publication of details relating to renewal application rejections (in certain circumstances, such as not being fit and proper).</w:t>
            </w:r>
          </w:p>
          <w:p w14:paraId="007388EA" w14:textId="3755912F" w:rsidR="002918F9" w:rsidRPr="00A57D9C" w:rsidRDefault="008226A0" w:rsidP="00B1355E">
            <w:pPr>
              <w:pStyle w:val="Contact"/>
              <w:numPr>
                <w:ilvl w:val="0"/>
                <w:numId w:val="27"/>
              </w:numPr>
              <w:rPr>
                <w:rFonts w:eastAsiaTheme="minorHAnsi" w:cstheme="minorBidi"/>
                <w:b w:val="0"/>
                <w:szCs w:val="22"/>
                <w:lang w:eastAsia="en-US"/>
              </w:rPr>
            </w:pPr>
            <w:r w:rsidRPr="001F00CF">
              <w:rPr>
                <w:rFonts w:ascii="Calibri" w:hAnsi="Calibri"/>
                <w:b w:val="0"/>
                <w:color w:val="0072BB" w:themeColor="accent3" w:themeTint="BF"/>
                <w:kern w:val="32"/>
              </w:rPr>
              <w:t>The time limits on how long certain information appears on the Register be removed.</w:t>
            </w:r>
          </w:p>
        </w:tc>
        <w:tc>
          <w:tcPr>
            <w:tcW w:w="8930" w:type="dxa"/>
            <w:tcBorders>
              <w:top w:val="single" w:sz="4" w:space="0" w:color="B2B3B5" w:themeColor="accent4" w:themeTint="99"/>
              <w:bottom w:val="single" w:sz="4" w:space="0" w:color="B2B3B5" w:themeColor="accent4" w:themeTint="99"/>
            </w:tcBorders>
          </w:tcPr>
          <w:p w14:paraId="5D615BE5" w14:textId="24671019"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The Government supports the recommendation in part.</w:t>
            </w:r>
          </w:p>
          <w:p w14:paraId="1309ACE2" w14:textId="1E99B013"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 xml:space="preserve">Paragraph (a) </w:t>
            </w:r>
            <w:r w:rsidR="00C5332A">
              <w:rPr>
                <w:rFonts w:eastAsiaTheme="minorHAnsi" w:cstheme="minorBidi"/>
                <w:color w:val="002060"/>
                <w:szCs w:val="22"/>
                <w:lang w:eastAsia="en-US"/>
              </w:rPr>
              <w:t>support</w:t>
            </w:r>
            <w:r w:rsidRPr="000C31B4">
              <w:rPr>
                <w:rFonts w:eastAsiaTheme="minorHAnsi" w:cstheme="minorBidi"/>
                <w:color w:val="002060"/>
                <w:szCs w:val="22"/>
                <w:lang w:eastAsia="en-US"/>
              </w:rPr>
              <w:t xml:space="preserve"> in principle. Paragraphs (b) and (c) not </w:t>
            </w:r>
            <w:r w:rsidR="00C5332A">
              <w:rPr>
                <w:rFonts w:eastAsiaTheme="minorHAnsi" w:cstheme="minorBidi"/>
                <w:color w:val="002060"/>
                <w:szCs w:val="22"/>
                <w:lang w:eastAsia="en-US"/>
              </w:rPr>
              <w:t>supported</w:t>
            </w:r>
            <w:r w:rsidRPr="000C31B4">
              <w:rPr>
                <w:rFonts w:eastAsiaTheme="minorHAnsi" w:cstheme="minorBidi"/>
                <w:color w:val="002060"/>
                <w:szCs w:val="22"/>
                <w:lang w:eastAsia="en-US"/>
              </w:rPr>
              <w:t>.</w:t>
            </w:r>
          </w:p>
          <w:p w14:paraId="4EC5FCD5" w14:textId="7FFA59C8"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Ensuring a wider range of information is available to the public may help safeguard consumers of tax agent services.</w:t>
            </w:r>
          </w:p>
          <w:p w14:paraId="2BC47899" w14:textId="1FA502D5"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 xml:space="preserve">Option (b) is impracticable, </w:t>
            </w:r>
            <w:r w:rsidR="00812263">
              <w:rPr>
                <w:rFonts w:eastAsiaTheme="minorHAnsi" w:cstheme="minorBidi"/>
                <w:color w:val="002060"/>
                <w:szCs w:val="22"/>
                <w:lang w:eastAsia="en-US"/>
              </w:rPr>
              <w:t>and it is not clear what benefit would be provided to consumers by the creation of a separate register for unregistered tax practitioners. The current TPB register provides a comprehensive record of all registered tax practitioners.</w:t>
            </w:r>
          </w:p>
          <w:p w14:paraId="6B581ACC" w14:textId="3EBCB744" w:rsidR="002918F9" w:rsidRPr="00B35FBA" w:rsidRDefault="000C31B4">
            <w:pPr>
              <w:spacing w:before="240"/>
              <w:rPr>
                <w:color w:val="002060"/>
              </w:rPr>
            </w:pPr>
            <w:r w:rsidRPr="000C31B4">
              <w:rPr>
                <w:rFonts w:eastAsiaTheme="minorHAnsi" w:cstheme="minorBidi"/>
                <w:color w:val="002060"/>
                <w:szCs w:val="22"/>
                <w:lang w:eastAsia="en-US"/>
              </w:rPr>
              <w:t>(c) Maintaining time limits retains the right for a sanction to be spent after a reasonable time.</w:t>
            </w:r>
          </w:p>
        </w:tc>
      </w:tr>
      <w:tr w:rsidR="002918F9" w14:paraId="64CBAC02"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2A817394" w14:textId="3EFF19FC" w:rsidR="002918F9" w:rsidRPr="00A57D9C" w:rsidRDefault="002918F9" w:rsidP="001F00CF">
            <w:pPr>
              <w:pStyle w:val="RecommendationHeading"/>
              <w:rPr>
                <w:rFonts w:eastAsiaTheme="minorHAnsi" w:cstheme="minorBidi"/>
                <w:szCs w:val="22"/>
                <w:lang w:eastAsia="en-US"/>
              </w:rPr>
            </w:pPr>
            <w:r>
              <w:t>8.</w:t>
            </w:r>
            <w:r w:rsidR="00E54883">
              <w:t>2</w:t>
            </w:r>
            <w:r>
              <w:t xml:space="preserve"> </w:t>
            </w:r>
            <w:r w:rsidR="00E54883" w:rsidRPr="001F00CF">
              <w:t>The Review recommends that details of tax practitioners that are included on the TPB Register should ultimately be included on the Modernising Business Register.</w:t>
            </w:r>
          </w:p>
        </w:tc>
        <w:tc>
          <w:tcPr>
            <w:tcW w:w="8930" w:type="dxa"/>
            <w:tcBorders>
              <w:top w:val="single" w:sz="4" w:space="0" w:color="B2B3B5" w:themeColor="accent4" w:themeTint="99"/>
              <w:bottom w:val="single" w:sz="4" w:space="0" w:color="B2B3B5" w:themeColor="accent4" w:themeTint="99"/>
            </w:tcBorders>
          </w:tcPr>
          <w:p w14:paraId="6A494872" w14:textId="1F4C4FBC"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w:t>
            </w:r>
            <w:r>
              <w:rPr>
                <w:rFonts w:eastAsiaTheme="minorHAnsi" w:cstheme="minorBidi"/>
                <w:b w:val="0"/>
                <w:color w:val="002060"/>
                <w:szCs w:val="22"/>
                <w:lang w:eastAsia="en-US"/>
              </w:rPr>
              <w:t xml:space="preserve">nment </w:t>
            </w:r>
            <w:r w:rsidR="003B7416">
              <w:rPr>
                <w:rFonts w:eastAsiaTheme="minorHAnsi" w:cstheme="minorBidi"/>
                <w:b w:val="0"/>
                <w:color w:val="002060"/>
                <w:szCs w:val="22"/>
                <w:lang w:eastAsia="en-US"/>
              </w:rPr>
              <w:t xml:space="preserve">supports </w:t>
            </w:r>
            <w:r>
              <w:rPr>
                <w:rFonts w:eastAsiaTheme="minorHAnsi" w:cstheme="minorBidi"/>
                <w:b w:val="0"/>
                <w:color w:val="002060"/>
                <w:szCs w:val="22"/>
                <w:lang w:eastAsia="en-US"/>
              </w:rPr>
              <w:t>the recommendation</w:t>
            </w:r>
            <w:r w:rsidR="003B7416">
              <w:rPr>
                <w:rFonts w:eastAsiaTheme="minorHAnsi" w:cstheme="minorBidi"/>
                <w:b w:val="0"/>
                <w:color w:val="002060"/>
                <w:szCs w:val="22"/>
                <w:lang w:eastAsia="en-US"/>
              </w:rPr>
              <w:t xml:space="preserve"> in principle</w:t>
            </w:r>
            <w:r>
              <w:rPr>
                <w:rFonts w:eastAsiaTheme="minorHAnsi" w:cstheme="minorBidi"/>
                <w:b w:val="0"/>
                <w:color w:val="002060"/>
                <w:szCs w:val="22"/>
                <w:lang w:eastAsia="en-US"/>
              </w:rPr>
              <w:t>.</w:t>
            </w:r>
          </w:p>
          <w:p w14:paraId="433BB641" w14:textId="375FE2C7" w:rsidR="00745A8F" w:rsidRPr="00C56E8E" w:rsidRDefault="000C31B4" w:rsidP="009E42BA">
            <w:pPr>
              <w:pStyle w:val="Contact"/>
              <w:spacing w:before="240"/>
              <w:rPr>
                <w:b w:val="0"/>
                <w:color w:val="002060"/>
              </w:rPr>
            </w:pPr>
            <w:r w:rsidRPr="000C31B4">
              <w:rPr>
                <w:rFonts w:eastAsiaTheme="minorHAnsi" w:cstheme="minorBidi"/>
                <w:b w:val="0"/>
                <w:color w:val="002060"/>
                <w:szCs w:val="22"/>
                <w:lang w:eastAsia="en-US"/>
              </w:rPr>
              <w:t>The Government has provided funding in the 2019-20 Mid-Year Economic and Fiscal Outlook to begin modernising the business registers at the Australian Securities and Investments Commission (ASIC) and the Australian Taxation Office (ATO). While this program initially includes only the business registers at ASIC and the ATO, the intention is for this platform to be a whole-of-government service and is being built to be able to incorporate other registry data, when appropriate.</w:t>
            </w:r>
          </w:p>
        </w:tc>
      </w:tr>
    </w:tbl>
    <w:p w14:paraId="62ADD1C6" w14:textId="77777777" w:rsidR="002B09B7" w:rsidRPr="002B09B7" w:rsidRDefault="002B09B7" w:rsidP="002B09B7"/>
    <w:sectPr w:rsidR="002B09B7" w:rsidRPr="002B09B7" w:rsidSect="00EB457C">
      <w:headerReference w:type="even" r:id="rId32"/>
      <w:headerReference w:type="default" r:id="rId33"/>
      <w:pgSz w:w="16838" w:h="11906" w:orient="landscape" w:code="9"/>
      <w:pgMar w:top="141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9D61" w14:textId="77777777" w:rsidR="009422BF" w:rsidRDefault="009422BF">
      <w:r>
        <w:separator/>
      </w:r>
    </w:p>
  </w:endnote>
  <w:endnote w:type="continuationSeparator" w:id="0">
    <w:p w14:paraId="566FEBB7" w14:textId="77777777" w:rsidR="009422BF" w:rsidRDefault="009422BF">
      <w:r>
        <w:continuationSeparator/>
      </w:r>
    </w:p>
  </w:endnote>
  <w:endnote w:type="continuationNotice" w:id="1">
    <w:p w14:paraId="49AD67BB" w14:textId="77777777" w:rsidR="009422BF" w:rsidRDefault="0094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DB4E" w14:textId="41401C98" w:rsidR="009422BF" w:rsidRDefault="009422BF" w:rsidP="003C24B4">
    <w:pPr>
      <w:pStyle w:val="FooterEven"/>
    </w:pPr>
    <w:r>
      <w:rPr>
        <w:noProof w:val="0"/>
      </w:rPr>
      <w:fldChar w:fldCharType="begin"/>
    </w:r>
    <w:r>
      <w:instrText xml:space="preserve"> PAGE   \* MERGEFORMAT </w:instrText>
    </w:r>
    <w:r>
      <w:rPr>
        <w:noProof w:val="0"/>
      </w:rP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C336" w14:textId="73994526" w:rsidR="009422BF" w:rsidRDefault="009422BF" w:rsidP="00316319">
    <w:pPr>
      <w:pStyle w:val="FooterOdd"/>
      <w:rPr>
        <w:noProof/>
        <w:color w:val="FFFFFF" w:themeColor="background1"/>
      </w:rPr>
    </w:pPr>
    <w:r w:rsidRPr="00354CA7">
      <w:rPr>
        <w:color w:val="FFFFFF" w:themeColor="background1"/>
      </w:rPr>
      <w:fldChar w:fldCharType="begin"/>
    </w:r>
    <w:r w:rsidRPr="00354CA7">
      <w:rPr>
        <w:color w:val="FFFFFF" w:themeColor="background1"/>
      </w:rPr>
      <w:instrText xml:space="preserve"> PAGE   \* MERGEFORMAT </w:instrText>
    </w:r>
    <w:r w:rsidRPr="00354CA7">
      <w:rPr>
        <w:color w:val="FFFFFF" w:themeColor="background1"/>
      </w:rPr>
      <w:fldChar w:fldCharType="separate"/>
    </w:r>
    <w:r w:rsidR="008A4332">
      <w:rPr>
        <w:noProof/>
        <w:color w:val="FFFFFF" w:themeColor="background1"/>
      </w:rPr>
      <w:t>4</w:t>
    </w:r>
    <w:r w:rsidRPr="00354CA7">
      <w:rPr>
        <w:noProof/>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DB1B" w14:textId="6DF337B7" w:rsidR="009422BF" w:rsidRDefault="009422BF" w:rsidP="00EE1447">
    <w:pPr>
      <w:pStyle w:val="FooterEven"/>
      <w:rPr>
        <w:color w:val="FFFFFF" w:themeColor="background1"/>
      </w:rPr>
    </w:pPr>
    <w:r w:rsidRPr="00354CA7">
      <w:rPr>
        <w:color w:val="FFFFFF" w:themeColor="background1"/>
      </w:rPr>
      <w:fldChar w:fldCharType="begin"/>
    </w:r>
    <w:r w:rsidRPr="00354CA7">
      <w:rPr>
        <w:color w:val="FFFFFF" w:themeColor="background1"/>
      </w:rPr>
      <w:instrText xml:space="preserve"> PAGE  \* Arabic  \* MERGEFORMAT </w:instrText>
    </w:r>
    <w:r w:rsidRPr="00354CA7">
      <w:rPr>
        <w:color w:val="FFFFFF" w:themeColor="background1"/>
      </w:rPr>
      <w:fldChar w:fldCharType="separate"/>
    </w:r>
    <w:r>
      <w:rPr>
        <w:color w:val="FFFFFF" w:themeColor="background1"/>
      </w:rPr>
      <w:t>4</w:t>
    </w:r>
    <w:r w:rsidRPr="00354CA7">
      <w:rPr>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8BF4" w14:textId="2A51F422" w:rsidR="009422BF" w:rsidRPr="002F71E6" w:rsidRDefault="009422BF" w:rsidP="002F71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68FB" w14:textId="7DF1EC01" w:rsidR="009422BF" w:rsidRDefault="009422BF" w:rsidP="00EE1447">
    <w:pPr>
      <w:pStyle w:val="FooterEven"/>
    </w:pPr>
    <w:r>
      <w:fldChar w:fldCharType="begin"/>
    </w:r>
    <w:r>
      <w:instrText xml:space="preserve"> PAGE  \* Arabic  \* MERGEFORMAT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6D68" w14:textId="1F1143F3" w:rsidR="009422BF" w:rsidRDefault="009422BF" w:rsidP="006C5B73">
    <w:pPr>
      <w:pStyle w:val="FooterOdd"/>
      <w:rPr>
        <w:noProof/>
      </w:rPr>
    </w:pPr>
    <w:r>
      <w:fldChar w:fldCharType="begin"/>
    </w:r>
    <w:r>
      <w:instrText xml:space="preserve"> PAGE   \* MERGEFORMAT </w:instrText>
    </w:r>
    <w:r>
      <w:fldChar w:fldCharType="separate"/>
    </w:r>
    <w:r w:rsidR="008A4332">
      <w:rPr>
        <w:noProof/>
      </w:rPr>
      <w:t>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9998" w14:textId="52E470D1" w:rsidR="009422BF" w:rsidRPr="002F71E6" w:rsidRDefault="009422BF" w:rsidP="002F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7C74" w14:textId="77777777" w:rsidR="009422BF" w:rsidRDefault="009422BF">
      <w:r>
        <w:separator/>
      </w:r>
    </w:p>
  </w:footnote>
  <w:footnote w:type="continuationSeparator" w:id="0">
    <w:p w14:paraId="7549C3BD" w14:textId="77777777" w:rsidR="009422BF" w:rsidRDefault="009422BF">
      <w:r>
        <w:continuationSeparator/>
      </w:r>
    </w:p>
  </w:footnote>
  <w:footnote w:type="continuationNotice" w:id="1">
    <w:p w14:paraId="220D4E2D" w14:textId="77777777" w:rsidR="009422BF" w:rsidRDefault="00942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6930" w14:textId="35FD93AA" w:rsidR="009422BF" w:rsidRDefault="009422BF" w:rsidP="00D8620B">
    <w:pPr>
      <w:pStyle w:val="Header"/>
      <w:spacing w:before="1080"/>
    </w:pPr>
    <w:r>
      <w:rPr>
        <w:noProof/>
        <w:lang w:eastAsia="en-AU"/>
      </w:rPr>
      <w:drawing>
        <wp:inline distT="0" distB="0" distL="0" distR="0" wp14:anchorId="19A21CF6" wp14:editId="7B3DB7BF">
          <wp:extent cx="2203708" cy="53644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F7DF" w14:textId="77777777" w:rsidR="009422BF" w:rsidRDefault="009422BF" w:rsidP="002F71E6">
    <w:pPr>
      <w:pStyle w:val="SecurityClassificationHeader"/>
    </w:pPr>
  </w:p>
  <w:p w14:paraId="3CBE0E71" w14:textId="20885E85" w:rsidR="009422BF" w:rsidRPr="001F3912" w:rsidRDefault="008A4332" w:rsidP="00A12F62">
    <w:pPr>
      <w:pStyle w:val="HeaderEven"/>
    </w:pPr>
    <w:fldSimple w:instr=" STYLEREF  Title  \* MERGEFORMAT ">
      <w:r w:rsidR="00A658A4">
        <w:rPr>
          <w:noProof/>
        </w:rPr>
        <w:t>Government Response to the Review of the tax practitioners board 2019</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1228" w14:textId="5E5118C9" w:rsidR="009422BF" w:rsidRPr="0008033F" w:rsidRDefault="009422BF" w:rsidP="00080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B98A" w14:textId="520A92D5" w:rsidR="001932B2" w:rsidRDefault="001932B2" w:rsidP="00D8620B">
    <w:pPr>
      <w:pStyle w:val="Header"/>
      <w:spacing w:before="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607F" w14:textId="0B809149" w:rsidR="009422BF" w:rsidRPr="001F3912" w:rsidRDefault="009422BF" w:rsidP="00A12F62">
    <w:pPr>
      <w:pStyle w:val="HeaderEven"/>
    </w:pPr>
    <w:r>
      <w:rPr>
        <w:noProof/>
        <w:lang w:eastAsia="en-AU"/>
      </w:rPr>
      <mc:AlternateContent>
        <mc:Choice Requires="wps">
          <w:drawing>
            <wp:anchor distT="0" distB="0" distL="114300" distR="114300" simplePos="0" relativeHeight="251658243" behindDoc="1" locked="0" layoutInCell="1" allowOverlap="1" wp14:anchorId="7C6FE1A8" wp14:editId="12A4A660">
              <wp:simplePos x="0" y="0"/>
              <wp:positionH relativeFrom="page">
                <wp:align>center</wp:align>
              </wp:positionH>
              <wp:positionV relativeFrom="page">
                <wp:posOffset>3096260</wp:posOffset>
              </wp:positionV>
              <wp:extent cx="7200000" cy="7382933"/>
              <wp:effectExtent l="0" t="0" r="1270" b="8890"/>
              <wp:wrapNone/>
              <wp:docPr id="7" name="Rectangle 7"/>
              <wp:cNvGraphicFramePr/>
              <a:graphic xmlns:a="http://schemas.openxmlformats.org/drawingml/2006/main">
                <a:graphicData uri="http://schemas.microsoft.com/office/word/2010/wordprocessingShape">
                  <wps:wsp>
                    <wps:cNvSpPr/>
                    <wps:spPr>
                      <a:xfrm>
                        <a:off x="0" y="0"/>
                        <a:ext cx="7200000" cy="7382933"/>
                      </a:xfrm>
                      <a:prstGeom prst="rect">
                        <a:avLst/>
                      </a:prstGeom>
                      <a:solidFill>
                        <a:schemeClr val="accent3">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9CF8E" id="Rectangle 7" o:spid="_x0000_s1026" style="position:absolute;margin-left:0;margin-top:243.8pt;width:566.95pt;height:581.35pt;z-index:-251658237;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" fillcolor="#004b7b [2902]" stroked="f" strokeweight="2pt">
              <w10:wrap anchorx="page" anchory="page"/>
            </v:rect>
          </w:pict>
        </mc:Fallback>
      </mc:AlternateContent>
    </w:r>
    <w:fldSimple w:instr=" STYLEREF  &quot;Title&quot;  \* MERGEFORMAT ">
      <w:r w:rsidR="00A658A4">
        <w:rPr>
          <w:noProof/>
        </w:rPr>
        <w:t>Government Response to the Review of the tax practitioners board 2019</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DCDB" w14:textId="2C97595C" w:rsidR="009422BF" w:rsidRPr="00CA4555" w:rsidRDefault="009422BF" w:rsidP="00CA455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2634" w14:textId="71D8A555" w:rsidR="009422BF" w:rsidRPr="002F71E6" w:rsidRDefault="009422BF" w:rsidP="002F71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ABC5" w14:textId="77777777" w:rsidR="009422BF" w:rsidRDefault="009422BF" w:rsidP="00316319">
    <w:pPr>
      <w:pStyle w:val="HeaderEven"/>
    </w:pPr>
  </w:p>
  <w:p w14:paraId="1EFC467B" w14:textId="42E0E591" w:rsidR="009422BF" w:rsidRPr="001F3912" w:rsidRDefault="009422BF" w:rsidP="00316319">
    <w:pPr>
      <w:pStyle w:val="HeaderEven"/>
    </w:pPr>
    <w:r>
      <w:rPr>
        <w:noProof/>
        <w:lang w:eastAsia="en-AU"/>
      </w:rPr>
      <mc:AlternateContent>
        <mc:Choice Requires="wps">
          <w:drawing>
            <wp:anchor distT="0" distB="0" distL="114300" distR="114300" simplePos="0" relativeHeight="251658240" behindDoc="1" locked="0" layoutInCell="1" allowOverlap="1" wp14:anchorId="0CC09FEF" wp14:editId="3E2FB070">
              <wp:simplePos x="0" y="0"/>
              <wp:positionH relativeFrom="page">
                <wp:align>center</wp:align>
              </wp:positionH>
              <wp:positionV relativeFrom="page">
                <wp:posOffset>3096260</wp:posOffset>
              </wp:positionV>
              <wp:extent cx="7199630" cy="7396843"/>
              <wp:effectExtent l="0" t="0" r="1270" b="0"/>
              <wp:wrapNone/>
              <wp:docPr id="1" name="Rectangle 1"/>
              <wp:cNvGraphicFramePr/>
              <a:graphic xmlns:a="http://schemas.openxmlformats.org/drawingml/2006/main">
                <a:graphicData uri="http://schemas.microsoft.com/office/word/2010/wordprocessingShape">
                  <wps:wsp>
                    <wps:cNvSpPr/>
                    <wps:spPr>
                      <a:xfrm>
                        <a:off x="0" y="0"/>
                        <a:ext cx="7199630" cy="7396843"/>
                      </a:xfrm>
                      <a:prstGeom prst="rect">
                        <a:avLst/>
                      </a:prstGeom>
                      <a:solidFill>
                        <a:schemeClr val="accent3">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98381" id="Rectangle 1" o:spid="_x0000_s1026" style="position:absolute;margin-left:0;margin-top:243.8pt;width:566.9pt;height:582.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" fillcolor="#004b7b [2902]" stroked="f" strokeweight="2pt">
              <w10:wrap anchorx="page" anchory="page"/>
            </v:rect>
          </w:pict>
        </mc:Fallback>
      </mc:AlternateContent>
    </w:r>
  </w:p>
  <w:p w14:paraId="078D50A3" w14:textId="77777777" w:rsidR="009422BF" w:rsidRDefault="009422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4173" w14:textId="19F6B5E9" w:rsidR="009422BF" w:rsidRPr="001F3912" w:rsidRDefault="008A4332" w:rsidP="00A12F62">
    <w:pPr>
      <w:pStyle w:val="HeaderEven"/>
    </w:pPr>
    <w:fldSimple w:instr=" STYLEREF  Title  \* MERGEFORMAT ">
      <w:r w:rsidR="00A658A4">
        <w:rPr>
          <w:noProof/>
        </w:rPr>
        <w:t>Government Response to the Review of the tax practitioners board 2019</w:t>
      </w:r>
    </w:fldSimple>
    <w:r w:rsidR="009422BF">
      <w:rPr>
        <w:noProof/>
        <w:lang w:eastAsia="en-AU"/>
      </w:rPr>
      <mc:AlternateContent>
        <mc:Choice Requires="wps">
          <w:drawing>
            <wp:anchor distT="0" distB="0" distL="114300" distR="114300" simplePos="0" relativeHeight="251658241" behindDoc="1" locked="0" layoutInCell="1" allowOverlap="1" wp14:anchorId="4C79A3ED" wp14:editId="2B9F605B">
              <wp:simplePos x="0" y="0"/>
              <wp:positionH relativeFrom="page">
                <wp:align>center</wp:align>
              </wp:positionH>
              <wp:positionV relativeFrom="page">
                <wp:align>center</wp:align>
              </wp:positionV>
              <wp:extent cx="7199640" cy="10331640"/>
              <wp:effectExtent l="0" t="0" r="1270" b="0"/>
              <wp:wrapNone/>
              <wp:docPr id="5" name="Rectangle 5"/>
              <wp:cNvGraphicFramePr/>
              <a:graphic xmlns:a="http://schemas.openxmlformats.org/drawingml/2006/main">
                <a:graphicData uri="http://schemas.microsoft.com/office/word/2010/wordprocessingShape">
                  <wps:wsp>
                    <wps:cNvSpPr/>
                    <wps:spPr>
                      <a:xfrm>
                        <a:off x="0" y="0"/>
                        <a:ext cx="7199640" cy="1033164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92572" id="Rectangle 5" o:spid="_x0000_s1026" style="position:absolute;margin-left:0;margin-top:0;width:566.9pt;height:813.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" fillcolor="#eaf5f9 [664]" stroked="f" strokeweight="2pt">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FE99" w14:textId="55995B3A" w:rsidR="009422BF" w:rsidRPr="001F3912" w:rsidRDefault="009422BF" w:rsidP="002C48DE">
    <w:pPr>
      <w:pStyle w:val="HeaderEven"/>
      <w:tabs>
        <w:tab w:val="left" w:pos="8807"/>
      </w:tabs>
    </w:pPr>
    <w:r>
      <w:rPr>
        <w:noProof/>
        <w:lang w:eastAsia="en-AU"/>
      </w:rPr>
      <mc:AlternateContent>
        <mc:Choice Requires="wps">
          <w:drawing>
            <wp:anchor distT="0" distB="0" distL="114300" distR="114300" simplePos="0" relativeHeight="251658242" behindDoc="1" locked="0" layoutInCell="1" allowOverlap="1" wp14:anchorId="2361FF62" wp14:editId="73149845">
              <wp:simplePos x="0" y="0"/>
              <wp:positionH relativeFrom="page">
                <wp:align>center</wp:align>
              </wp:positionH>
              <wp:positionV relativeFrom="page">
                <wp:align>center</wp:align>
              </wp:positionV>
              <wp:extent cx="7200000" cy="10332000"/>
              <wp:effectExtent l="0" t="0" r="1270" b="0"/>
              <wp:wrapNone/>
              <wp:docPr id="6" name="Rectangle 6"/>
              <wp:cNvGraphicFramePr/>
              <a:graphic xmlns:a="http://schemas.openxmlformats.org/drawingml/2006/main">
                <a:graphicData uri="http://schemas.microsoft.com/office/word/2010/wordprocessingShape">
                  <wps:wsp>
                    <wps:cNvSpPr/>
                    <wps:spPr>
                      <a:xfrm>
                        <a:off x="0" y="0"/>
                        <a:ext cx="7200000" cy="1033200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21739" id="Rectangle 6" o:spid="_x0000_s1026" style="position:absolute;margin-left:0;margin-top:0;width:566.95pt;height:813.55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" fillcolor="#eaf5f9 [664]" stroked="f" strokeweight="2pt">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ADA2" w14:textId="0192B7A9" w:rsidR="009422BF" w:rsidRPr="002F71E6" w:rsidRDefault="009422BF" w:rsidP="002F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AD1"/>
    <w:multiLevelType w:val="hybridMultilevel"/>
    <w:tmpl w:val="00EE1A94"/>
    <w:lvl w:ilvl="0" w:tplc="1DB06C36">
      <w:start w:val="1"/>
      <w:numFmt w:val="lowerLetter"/>
      <w:lvlText w:val="%1)"/>
      <w:lvlJc w:val="left"/>
      <w:pPr>
        <w:ind w:left="720" w:hanging="360"/>
      </w:pPr>
      <w:rPr>
        <w:rFonts w:hint="default"/>
        <w:b w:val="0"/>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534F9"/>
    <w:multiLevelType w:val="hybridMultilevel"/>
    <w:tmpl w:val="58C6337A"/>
    <w:lvl w:ilvl="0" w:tplc="31366DC0">
      <w:start w:val="1"/>
      <w:numFmt w:val="lowerLetter"/>
      <w:lvlText w:val="%1)"/>
      <w:lvlJc w:val="left"/>
      <w:pPr>
        <w:ind w:left="720" w:hanging="360"/>
      </w:pPr>
      <w:rPr>
        <w:rFonts w:hint="default"/>
        <w:b w:val="0"/>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7" w15:restartNumberingAfterBreak="0">
    <w:nsid w:val="1E0320C9"/>
    <w:multiLevelType w:val="hybridMultilevel"/>
    <w:tmpl w:val="EC261C0C"/>
    <w:lvl w:ilvl="0" w:tplc="57A23AF4">
      <w:start w:val="1"/>
      <w:numFmt w:val="lowerLetter"/>
      <w:lvlText w:val="%1)"/>
      <w:lvlJc w:val="left"/>
      <w:pPr>
        <w:ind w:left="1080" w:hanging="360"/>
      </w:pPr>
      <w:rPr>
        <w:rFonts w:hint="default"/>
        <w:color w:val="0072BB" w:themeColor="accent3" w:themeTint="BF"/>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F03F63"/>
    <w:multiLevelType w:val="multilevel"/>
    <w:tmpl w:val="20C6D62C"/>
    <w:numStyleLink w:val="ChartandTableFootnoteAlphaList"/>
  </w:abstractNum>
  <w:abstractNum w:abstractNumId="10" w15:restartNumberingAfterBreak="0">
    <w:nsid w:val="29DC1946"/>
    <w:multiLevelType w:val="hybridMultilevel"/>
    <w:tmpl w:val="0CCA1DCE"/>
    <w:lvl w:ilvl="0" w:tplc="BBD6B3FE">
      <w:start w:val="1"/>
      <w:numFmt w:val="lowerLetter"/>
      <w:lvlText w:val="%1)"/>
      <w:lvlJc w:val="left"/>
      <w:pPr>
        <w:ind w:left="720" w:hanging="360"/>
      </w:pPr>
      <w:rPr>
        <w:rFonts w:hint="default"/>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E077D3"/>
    <w:multiLevelType w:val="hybridMultilevel"/>
    <w:tmpl w:val="79540A7E"/>
    <w:lvl w:ilvl="0" w:tplc="0C09000F">
      <w:start w:val="1"/>
      <w:numFmt w:val="decimal"/>
      <w:lvlText w:val="%1."/>
      <w:lvlJc w:val="left"/>
      <w:pPr>
        <w:ind w:left="720" w:hanging="360"/>
      </w:pPr>
    </w:lvl>
    <w:lvl w:ilvl="1" w:tplc="039CE6E8">
      <w:start w:val="1"/>
      <w:numFmt w:val="lowerLetter"/>
      <w:lvlText w:val="%2)"/>
      <w:lvlJc w:val="left"/>
      <w:pPr>
        <w:ind w:left="1440" w:hanging="360"/>
      </w:pPr>
      <w:rPr>
        <w:rFonts w:hint="default"/>
        <w:color w:val="0072BB" w:themeColor="accent3" w:themeTint="BF"/>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4E1EBD"/>
    <w:multiLevelType w:val="hybridMultilevel"/>
    <w:tmpl w:val="C1EE6C16"/>
    <w:lvl w:ilvl="0" w:tplc="0C09000F">
      <w:start w:val="1"/>
      <w:numFmt w:val="decimal"/>
      <w:lvlText w:val="%1."/>
      <w:lvlJc w:val="left"/>
      <w:pPr>
        <w:ind w:left="720" w:hanging="360"/>
      </w:pPr>
    </w:lvl>
    <w:lvl w:ilvl="1" w:tplc="1C38F3AE">
      <w:start w:val="1"/>
      <w:numFmt w:val="lowerLetter"/>
      <w:lvlText w:val="%2)"/>
      <w:lvlJc w:val="left"/>
      <w:pPr>
        <w:ind w:left="1440" w:hanging="360"/>
      </w:pPr>
      <w:rPr>
        <w:rFonts w:hint="default"/>
        <w:color w:val="0072BB" w:themeColor="accent3" w:themeTint="BF"/>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077CD3"/>
    <w:multiLevelType w:val="hybridMultilevel"/>
    <w:tmpl w:val="E0AE07A0"/>
    <w:lvl w:ilvl="0" w:tplc="4D145932">
      <w:start w:val="1"/>
      <w:numFmt w:val="lowerLetter"/>
      <w:lvlText w:val="%1)"/>
      <w:lvlJc w:val="left"/>
      <w:pPr>
        <w:ind w:left="720" w:hanging="360"/>
      </w:pPr>
      <w:rPr>
        <w:rFonts w:hint="default"/>
        <w:color w:val="00628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402950"/>
    <w:multiLevelType w:val="hybridMultilevel"/>
    <w:tmpl w:val="F8A6BF24"/>
    <w:lvl w:ilvl="0" w:tplc="3B56DAB0">
      <w:start w:val="1"/>
      <w:numFmt w:val="lowerLetter"/>
      <w:lvlText w:val="%1)"/>
      <w:lvlJc w:val="left"/>
      <w:pPr>
        <w:ind w:left="720" w:hanging="360"/>
      </w:pPr>
      <w:rPr>
        <w:rFonts w:hint="default"/>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5113BA"/>
    <w:multiLevelType w:val="hybridMultilevel"/>
    <w:tmpl w:val="EDEE7D58"/>
    <w:lvl w:ilvl="0" w:tplc="4D145932">
      <w:start w:val="1"/>
      <w:numFmt w:val="lowerLetter"/>
      <w:lvlText w:val="%1)"/>
      <w:lvlJc w:val="left"/>
      <w:pPr>
        <w:ind w:left="720" w:hanging="360"/>
      </w:pPr>
      <w:rPr>
        <w:rFonts w:hint="default"/>
        <w:color w:val="00628C" w:themeColor="accent1" w:themeShade="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36A5"/>
    <w:multiLevelType w:val="multilevel"/>
    <w:tmpl w:val="8DA2085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56218A"/>
    <w:multiLevelType w:val="hybridMultilevel"/>
    <w:tmpl w:val="C05AE8E6"/>
    <w:lvl w:ilvl="0" w:tplc="674AE2F8">
      <w:start w:val="1"/>
      <w:numFmt w:val="lowerLetter"/>
      <w:lvlText w:val="%1)"/>
      <w:lvlJc w:val="left"/>
      <w:pPr>
        <w:ind w:left="720" w:hanging="360"/>
      </w:pPr>
      <w:rPr>
        <w:rFonts w:hint="default"/>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E81791"/>
    <w:multiLevelType w:val="hybridMultilevel"/>
    <w:tmpl w:val="58705028"/>
    <w:lvl w:ilvl="0" w:tplc="A84CE1CC">
      <w:start w:val="1"/>
      <w:numFmt w:val="lowerLetter"/>
      <w:lvlText w:val="%1)"/>
      <w:lvlJc w:val="left"/>
      <w:pPr>
        <w:ind w:left="720" w:hanging="360"/>
      </w:pPr>
      <w:rPr>
        <w:rFonts w:hint="default"/>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D25869"/>
    <w:multiLevelType w:val="hybridMultilevel"/>
    <w:tmpl w:val="2D129A62"/>
    <w:lvl w:ilvl="0" w:tplc="22D838BA">
      <w:start w:val="1"/>
      <w:numFmt w:val="lowerLetter"/>
      <w:lvlText w:val="%1)"/>
      <w:lvlJc w:val="left"/>
      <w:pPr>
        <w:ind w:left="720" w:hanging="360"/>
      </w:pPr>
      <w:rPr>
        <w:rFonts w:hint="default"/>
        <w:b w:val="0"/>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4F0523"/>
    <w:multiLevelType w:val="hybridMultilevel"/>
    <w:tmpl w:val="6E3676D4"/>
    <w:lvl w:ilvl="0" w:tplc="4D145932">
      <w:start w:val="1"/>
      <w:numFmt w:val="lowerLetter"/>
      <w:lvlText w:val="%1)"/>
      <w:lvlJc w:val="left"/>
      <w:pPr>
        <w:ind w:left="720" w:hanging="360"/>
      </w:pPr>
      <w:rPr>
        <w:rFonts w:hint="default"/>
        <w:color w:val="00628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0D2021"/>
    <w:multiLevelType w:val="multilevel"/>
    <w:tmpl w:val="72F8140E"/>
    <w:numStyleLink w:val="OutlineList"/>
  </w:abstractNum>
  <w:abstractNum w:abstractNumId="25" w15:restartNumberingAfterBreak="0">
    <w:nsid w:val="65831081"/>
    <w:multiLevelType w:val="hybridMultilevel"/>
    <w:tmpl w:val="BD5022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3F226CB4">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571172"/>
    <w:multiLevelType w:val="hybridMultilevel"/>
    <w:tmpl w:val="AC9A1E04"/>
    <w:lvl w:ilvl="0" w:tplc="C9B4AD7E">
      <w:start w:val="1"/>
      <w:numFmt w:val="lowerLetter"/>
      <w:lvlText w:val="%1)"/>
      <w:lvlJc w:val="left"/>
      <w:pPr>
        <w:ind w:left="720" w:hanging="360"/>
      </w:pPr>
      <w:rPr>
        <w:rFonts w:hint="default"/>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7F0FC0"/>
    <w:multiLevelType w:val="hybridMultilevel"/>
    <w:tmpl w:val="FFAAC3C0"/>
    <w:lvl w:ilvl="0" w:tplc="281C11D8">
      <w:start w:val="1"/>
      <w:numFmt w:val="lowerLetter"/>
      <w:lvlText w:val="%1)"/>
      <w:lvlJc w:val="left"/>
      <w:pPr>
        <w:ind w:left="720" w:hanging="360"/>
      </w:pPr>
      <w:rPr>
        <w:rFonts w:hint="default"/>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AF4AC5"/>
    <w:multiLevelType w:val="hybridMultilevel"/>
    <w:tmpl w:val="3AA0542E"/>
    <w:lvl w:ilvl="0" w:tplc="4D145932">
      <w:start w:val="1"/>
      <w:numFmt w:val="lowerLetter"/>
      <w:lvlText w:val="%1)"/>
      <w:lvlJc w:val="left"/>
      <w:pPr>
        <w:ind w:left="720" w:hanging="360"/>
      </w:pPr>
      <w:rPr>
        <w:rFonts w:hint="default"/>
        <w:color w:val="00628C" w:themeColor="accent1" w:themeShade="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169683">
    <w:abstractNumId w:val="13"/>
  </w:num>
  <w:num w:numId="2" w16cid:durableId="637801027">
    <w:abstractNumId w:val="2"/>
  </w:num>
  <w:num w:numId="3" w16cid:durableId="1558740524">
    <w:abstractNumId w:val="16"/>
  </w:num>
  <w:num w:numId="4" w16cid:durableId="1672022880">
    <w:abstractNumId w:val="3"/>
  </w:num>
  <w:num w:numId="5" w16cid:durableId="904029191">
    <w:abstractNumId w:val="4"/>
  </w:num>
  <w:num w:numId="6" w16cid:durableId="1811441243">
    <w:abstractNumId w:val="24"/>
  </w:num>
  <w:num w:numId="7" w16cid:durableId="404961493">
    <w:abstractNumId w:val="5"/>
  </w:num>
  <w:num w:numId="8" w16cid:durableId="865752314">
    <w:abstractNumId w:val="8"/>
  </w:num>
  <w:num w:numId="9" w16cid:durableId="947007958">
    <w:abstractNumId w:val="15"/>
  </w:num>
  <w:num w:numId="10" w16cid:durableId="1559439250">
    <w:abstractNumId w:val="6"/>
  </w:num>
  <w:num w:numId="11" w16cid:durableId="1211498908">
    <w:abstractNumId w:val="25"/>
  </w:num>
  <w:num w:numId="12" w16cid:durableId="1094596205">
    <w:abstractNumId w:val="9"/>
    <w:lvlOverride w:ilvl="0">
      <w:lvl w:ilvl="0">
        <w:start w:val="1"/>
        <w:numFmt w:val="lowerLetter"/>
        <w:pStyle w:val="ChartandTableFootnoteAlpha"/>
        <w:lvlText w:val="(%1)"/>
        <w:lvlJc w:val="left"/>
        <w:pPr>
          <w:tabs>
            <w:tab w:val="num" w:pos="284"/>
          </w:tabs>
          <w:ind w:left="284" w:hanging="284"/>
        </w:pPr>
        <w:rPr>
          <w:rFonts w:ascii="Arial" w:hAnsi="Arial" w:hint="default"/>
          <w:b w:val="0"/>
          <w:i w:val="0"/>
          <w:color w:val="0072BB" w:themeColor="accent3" w:themeTint="BF"/>
          <w:sz w:val="16"/>
        </w:rPr>
      </w:lvl>
    </w:lvlOverride>
  </w:num>
  <w:num w:numId="13" w16cid:durableId="745110422">
    <w:abstractNumId w:val="26"/>
  </w:num>
  <w:num w:numId="14" w16cid:durableId="1122379880">
    <w:abstractNumId w:val="12"/>
  </w:num>
  <w:num w:numId="15" w16cid:durableId="2126803237">
    <w:abstractNumId w:val="11"/>
  </w:num>
  <w:num w:numId="16" w16cid:durableId="2112313974">
    <w:abstractNumId w:val="20"/>
  </w:num>
  <w:num w:numId="17" w16cid:durableId="644701916">
    <w:abstractNumId w:val="23"/>
  </w:num>
  <w:num w:numId="18" w16cid:durableId="408037955">
    <w:abstractNumId w:val="14"/>
  </w:num>
  <w:num w:numId="19" w16cid:durableId="1233000802">
    <w:abstractNumId w:val="27"/>
  </w:num>
  <w:num w:numId="20" w16cid:durableId="1843813932">
    <w:abstractNumId w:val="22"/>
  </w:num>
  <w:num w:numId="21" w16cid:durableId="1256282979">
    <w:abstractNumId w:val="0"/>
  </w:num>
  <w:num w:numId="22" w16cid:durableId="777607268">
    <w:abstractNumId w:val="17"/>
  </w:num>
  <w:num w:numId="23" w16cid:durableId="839195159">
    <w:abstractNumId w:val="1"/>
  </w:num>
  <w:num w:numId="24" w16cid:durableId="362289911">
    <w:abstractNumId w:val="21"/>
  </w:num>
  <w:num w:numId="25" w16cid:durableId="280721166">
    <w:abstractNumId w:val="28"/>
  </w:num>
  <w:num w:numId="26" w16cid:durableId="2003000843">
    <w:abstractNumId w:val="18"/>
  </w:num>
  <w:num w:numId="27" w16cid:durableId="1896969748">
    <w:abstractNumId w:val="10"/>
  </w:num>
  <w:num w:numId="28" w16cid:durableId="1457472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linkStyles/>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C488E"/>
    <w:rsid w:val="000052E6"/>
    <w:rsid w:val="00006609"/>
    <w:rsid w:val="00010BCC"/>
    <w:rsid w:val="00011725"/>
    <w:rsid w:val="00012C62"/>
    <w:rsid w:val="000138B5"/>
    <w:rsid w:val="000153BA"/>
    <w:rsid w:val="00021ECE"/>
    <w:rsid w:val="00022440"/>
    <w:rsid w:val="000242D6"/>
    <w:rsid w:val="000249B8"/>
    <w:rsid w:val="00024ECD"/>
    <w:rsid w:val="0002544D"/>
    <w:rsid w:val="00026FFD"/>
    <w:rsid w:val="0003434B"/>
    <w:rsid w:val="00034CC5"/>
    <w:rsid w:val="0003569D"/>
    <w:rsid w:val="00036617"/>
    <w:rsid w:val="0004274D"/>
    <w:rsid w:val="00043348"/>
    <w:rsid w:val="00043EDA"/>
    <w:rsid w:val="0004483F"/>
    <w:rsid w:val="00044C63"/>
    <w:rsid w:val="0004551C"/>
    <w:rsid w:val="00046672"/>
    <w:rsid w:val="00047C72"/>
    <w:rsid w:val="0005138B"/>
    <w:rsid w:val="000522B7"/>
    <w:rsid w:val="00052FDB"/>
    <w:rsid w:val="00056880"/>
    <w:rsid w:val="00057185"/>
    <w:rsid w:val="00057304"/>
    <w:rsid w:val="000629F2"/>
    <w:rsid w:val="000662AD"/>
    <w:rsid w:val="000675D1"/>
    <w:rsid w:val="00073521"/>
    <w:rsid w:val="000749A6"/>
    <w:rsid w:val="000775DE"/>
    <w:rsid w:val="00077B06"/>
    <w:rsid w:val="0008020F"/>
    <w:rsid w:val="0008033F"/>
    <w:rsid w:val="0008433F"/>
    <w:rsid w:val="000854D2"/>
    <w:rsid w:val="00085837"/>
    <w:rsid w:val="0008640A"/>
    <w:rsid w:val="00087FAF"/>
    <w:rsid w:val="00094C97"/>
    <w:rsid w:val="00095A5D"/>
    <w:rsid w:val="000A0671"/>
    <w:rsid w:val="000A7CAB"/>
    <w:rsid w:val="000B4FD3"/>
    <w:rsid w:val="000B7C06"/>
    <w:rsid w:val="000C0609"/>
    <w:rsid w:val="000C19EB"/>
    <w:rsid w:val="000C31B4"/>
    <w:rsid w:val="000C32D3"/>
    <w:rsid w:val="000C3E46"/>
    <w:rsid w:val="000C571D"/>
    <w:rsid w:val="000C5F40"/>
    <w:rsid w:val="000C6C11"/>
    <w:rsid w:val="000D1CC3"/>
    <w:rsid w:val="000D3584"/>
    <w:rsid w:val="000D373C"/>
    <w:rsid w:val="000D4A19"/>
    <w:rsid w:val="000E0669"/>
    <w:rsid w:val="000E0B74"/>
    <w:rsid w:val="000E26D4"/>
    <w:rsid w:val="000E465B"/>
    <w:rsid w:val="000E50D3"/>
    <w:rsid w:val="000E66BA"/>
    <w:rsid w:val="000E7901"/>
    <w:rsid w:val="000F1C1A"/>
    <w:rsid w:val="000F237B"/>
    <w:rsid w:val="000F3477"/>
    <w:rsid w:val="0010193D"/>
    <w:rsid w:val="00104056"/>
    <w:rsid w:val="00114424"/>
    <w:rsid w:val="0011608E"/>
    <w:rsid w:val="00117CB6"/>
    <w:rsid w:val="00120BE2"/>
    <w:rsid w:val="001219B3"/>
    <w:rsid w:val="0012400A"/>
    <w:rsid w:val="001277A6"/>
    <w:rsid w:val="001277D1"/>
    <w:rsid w:val="00130FAF"/>
    <w:rsid w:val="00131428"/>
    <w:rsid w:val="001314E8"/>
    <w:rsid w:val="00131DC3"/>
    <w:rsid w:val="0013289F"/>
    <w:rsid w:val="00135E4C"/>
    <w:rsid w:val="001373F5"/>
    <w:rsid w:val="0013775A"/>
    <w:rsid w:val="00146BA6"/>
    <w:rsid w:val="001477F8"/>
    <w:rsid w:val="0015108B"/>
    <w:rsid w:val="00152D64"/>
    <w:rsid w:val="00153AA4"/>
    <w:rsid w:val="00155C1A"/>
    <w:rsid w:val="00155C25"/>
    <w:rsid w:val="001606CF"/>
    <w:rsid w:val="001609AD"/>
    <w:rsid w:val="0016128D"/>
    <w:rsid w:val="0016214C"/>
    <w:rsid w:val="001674FF"/>
    <w:rsid w:val="0017089D"/>
    <w:rsid w:val="00172544"/>
    <w:rsid w:val="00173494"/>
    <w:rsid w:val="00174E2A"/>
    <w:rsid w:val="00177E1F"/>
    <w:rsid w:val="001859ED"/>
    <w:rsid w:val="0019101A"/>
    <w:rsid w:val="001932B2"/>
    <w:rsid w:val="001972D2"/>
    <w:rsid w:val="001A36D4"/>
    <w:rsid w:val="001A3F60"/>
    <w:rsid w:val="001A479D"/>
    <w:rsid w:val="001A5FF4"/>
    <w:rsid w:val="001B0609"/>
    <w:rsid w:val="001B1353"/>
    <w:rsid w:val="001B33D6"/>
    <w:rsid w:val="001B76C5"/>
    <w:rsid w:val="001C358D"/>
    <w:rsid w:val="001C3725"/>
    <w:rsid w:val="001D395C"/>
    <w:rsid w:val="001D4037"/>
    <w:rsid w:val="001E0FD1"/>
    <w:rsid w:val="001E3996"/>
    <w:rsid w:val="001E639D"/>
    <w:rsid w:val="001F00CF"/>
    <w:rsid w:val="001F02A4"/>
    <w:rsid w:val="001F1B27"/>
    <w:rsid w:val="001F22DE"/>
    <w:rsid w:val="001F28D7"/>
    <w:rsid w:val="001F39D5"/>
    <w:rsid w:val="001F4C64"/>
    <w:rsid w:val="001F51B5"/>
    <w:rsid w:val="001F58F2"/>
    <w:rsid w:val="002009F5"/>
    <w:rsid w:val="00202094"/>
    <w:rsid w:val="0020416C"/>
    <w:rsid w:val="0020584B"/>
    <w:rsid w:val="002112B9"/>
    <w:rsid w:val="002112E9"/>
    <w:rsid w:val="002117A7"/>
    <w:rsid w:val="00216F0B"/>
    <w:rsid w:val="002207F7"/>
    <w:rsid w:val="00221EC0"/>
    <w:rsid w:val="00223A7B"/>
    <w:rsid w:val="00231049"/>
    <w:rsid w:val="002314D2"/>
    <w:rsid w:val="0023305C"/>
    <w:rsid w:val="002372BC"/>
    <w:rsid w:val="002407A3"/>
    <w:rsid w:val="00241881"/>
    <w:rsid w:val="0024294C"/>
    <w:rsid w:val="002452CF"/>
    <w:rsid w:val="00254BEC"/>
    <w:rsid w:val="00255A88"/>
    <w:rsid w:val="00256204"/>
    <w:rsid w:val="0025652F"/>
    <w:rsid w:val="0026320B"/>
    <w:rsid w:val="00263B6C"/>
    <w:rsid w:val="002700FB"/>
    <w:rsid w:val="00272939"/>
    <w:rsid w:val="00274B3C"/>
    <w:rsid w:val="0027590B"/>
    <w:rsid w:val="00275D21"/>
    <w:rsid w:val="0028372F"/>
    <w:rsid w:val="0028503D"/>
    <w:rsid w:val="00285969"/>
    <w:rsid w:val="002900C5"/>
    <w:rsid w:val="002918F9"/>
    <w:rsid w:val="00292037"/>
    <w:rsid w:val="002925B8"/>
    <w:rsid w:val="00292CB2"/>
    <w:rsid w:val="00294054"/>
    <w:rsid w:val="002A2BF5"/>
    <w:rsid w:val="002A513C"/>
    <w:rsid w:val="002A5782"/>
    <w:rsid w:val="002A74EF"/>
    <w:rsid w:val="002B09B7"/>
    <w:rsid w:val="002B3829"/>
    <w:rsid w:val="002B746D"/>
    <w:rsid w:val="002C14EB"/>
    <w:rsid w:val="002C15FE"/>
    <w:rsid w:val="002C22EF"/>
    <w:rsid w:val="002C3127"/>
    <w:rsid w:val="002C390A"/>
    <w:rsid w:val="002C3AE7"/>
    <w:rsid w:val="002C48DE"/>
    <w:rsid w:val="002C5DD0"/>
    <w:rsid w:val="002D0A91"/>
    <w:rsid w:val="002D68FC"/>
    <w:rsid w:val="002E4239"/>
    <w:rsid w:val="002E454C"/>
    <w:rsid w:val="002F1FFE"/>
    <w:rsid w:val="002F617F"/>
    <w:rsid w:val="002F71E6"/>
    <w:rsid w:val="002F768D"/>
    <w:rsid w:val="00300109"/>
    <w:rsid w:val="0030300C"/>
    <w:rsid w:val="003031E9"/>
    <w:rsid w:val="0030408A"/>
    <w:rsid w:val="003045BF"/>
    <w:rsid w:val="00306894"/>
    <w:rsid w:val="0030696A"/>
    <w:rsid w:val="003122F4"/>
    <w:rsid w:val="00316104"/>
    <w:rsid w:val="00316319"/>
    <w:rsid w:val="00316BDD"/>
    <w:rsid w:val="003268D5"/>
    <w:rsid w:val="00330F1A"/>
    <w:rsid w:val="0033100A"/>
    <w:rsid w:val="003310F0"/>
    <w:rsid w:val="00331993"/>
    <w:rsid w:val="00331D38"/>
    <w:rsid w:val="003320D7"/>
    <w:rsid w:val="0033473E"/>
    <w:rsid w:val="00334D11"/>
    <w:rsid w:val="00334E47"/>
    <w:rsid w:val="003448F6"/>
    <w:rsid w:val="00347352"/>
    <w:rsid w:val="00350759"/>
    <w:rsid w:val="0035212B"/>
    <w:rsid w:val="00352EB6"/>
    <w:rsid w:val="003534FE"/>
    <w:rsid w:val="00354AFB"/>
    <w:rsid w:val="00354B61"/>
    <w:rsid w:val="00354CA7"/>
    <w:rsid w:val="00354D27"/>
    <w:rsid w:val="00357106"/>
    <w:rsid w:val="0035738A"/>
    <w:rsid w:val="003579B5"/>
    <w:rsid w:val="00365AA5"/>
    <w:rsid w:val="00370071"/>
    <w:rsid w:val="00374B1D"/>
    <w:rsid w:val="00374D27"/>
    <w:rsid w:val="00380498"/>
    <w:rsid w:val="003819B3"/>
    <w:rsid w:val="00383180"/>
    <w:rsid w:val="0038338E"/>
    <w:rsid w:val="003858A6"/>
    <w:rsid w:val="00387D94"/>
    <w:rsid w:val="00387DB1"/>
    <w:rsid w:val="00387F5A"/>
    <w:rsid w:val="00390670"/>
    <w:rsid w:val="0039292C"/>
    <w:rsid w:val="00392DCC"/>
    <w:rsid w:val="00394931"/>
    <w:rsid w:val="003950B3"/>
    <w:rsid w:val="003A1666"/>
    <w:rsid w:val="003A19ED"/>
    <w:rsid w:val="003A46F4"/>
    <w:rsid w:val="003A5753"/>
    <w:rsid w:val="003A5B36"/>
    <w:rsid w:val="003B1E83"/>
    <w:rsid w:val="003B7416"/>
    <w:rsid w:val="003C24B4"/>
    <w:rsid w:val="003C48CA"/>
    <w:rsid w:val="003C53DF"/>
    <w:rsid w:val="003C5B64"/>
    <w:rsid w:val="003C6DAD"/>
    <w:rsid w:val="003E20D6"/>
    <w:rsid w:val="003E4D87"/>
    <w:rsid w:val="003F1091"/>
    <w:rsid w:val="003F5CDA"/>
    <w:rsid w:val="003F799E"/>
    <w:rsid w:val="00401082"/>
    <w:rsid w:val="004010AF"/>
    <w:rsid w:val="00401D3A"/>
    <w:rsid w:val="004028CD"/>
    <w:rsid w:val="00402F73"/>
    <w:rsid w:val="00405148"/>
    <w:rsid w:val="004060D1"/>
    <w:rsid w:val="00406928"/>
    <w:rsid w:val="004131CF"/>
    <w:rsid w:val="004152FB"/>
    <w:rsid w:val="0041536A"/>
    <w:rsid w:val="004158D9"/>
    <w:rsid w:val="00416454"/>
    <w:rsid w:val="00416762"/>
    <w:rsid w:val="00416E55"/>
    <w:rsid w:val="004241CC"/>
    <w:rsid w:val="0042518A"/>
    <w:rsid w:val="00427E71"/>
    <w:rsid w:val="00431051"/>
    <w:rsid w:val="0043591F"/>
    <w:rsid w:val="004409EE"/>
    <w:rsid w:val="0044179C"/>
    <w:rsid w:val="00442FBF"/>
    <w:rsid w:val="00443073"/>
    <w:rsid w:val="00445265"/>
    <w:rsid w:val="00454128"/>
    <w:rsid w:val="0045555C"/>
    <w:rsid w:val="004559CE"/>
    <w:rsid w:val="00456936"/>
    <w:rsid w:val="00457D20"/>
    <w:rsid w:val="00460E1A"/>
    <w:rsid w:val="0046140F"/>
    <w:rsid w:val="00462C00"/>
    <w:rsid w:val="00463DF8"/>
    <w:rsid w:val="00467B01"/>
    <w:rsid w:val="00475085"/>
    <w:rsid w:val="00476CF6"/>
    <w:rsid w:val="00477AA8"/>
    <w:rsid w:val="00483FB6"/>
    <w:rsid w:val="0049281C"/>
    <w:rsid w:val="00492E29"/>
    <w:rsid w:val="00492FCB"/>
    <w:rsid w:val="0049507A"/>
    <w:rsid w:val="00497ABD"/>
    <w:rsid w:val="004A0F11"/>
    <w:rsid w:val="004A1DB1"/>
    <w:rsid w:val="004A2103"/>
    <w:rsid w:val="004A3EAA"/>
    <w:rsid w:val="004A5C04"/>
    <w:rsid w:val="004A6963"/>
    <w:rsid w:val="004A7D97"/>
    <w:rsid w:val="004B4001"/>
    <w:rsid w:val="004B5133"/>
    <w:rsid w:val="004B5F92"/>
    <w:rsid w:val="004B636E"/>
    <w:rsid w:val="004B6648"/>
    <w:rsid w:val="004B6B5F"/>
    <w:rsid w:val="004B7E70"/>
    <w:rsid w:val="004C2974"/>
    <w:rsid w:val="004C41B6"/>
    <w:rsid w:val="004C751C"/>
    <w:rsid w:val="004D2D30"/>
    <w:rsid w:val="004D4D7E"/>
    <w:rsid w:val="004D6E37"/>
    <w:rsid w:val="004E00EA"/>
    <w:rsid w:val="004E2C39"/>
    <w:rsid w:val="004E3009"/>
    <w:rsid w:val="004E382D"/>
    <w:rsid w:val="004E3D31"/>
    <w:rsid w:val="004E47EE"/>
    <w:rsid w:val="004E7213"/>
    <w:rsid w:val="004F4B92"/>
    <w:rsid w:val="005068CA"/>
    <w:rsid w:val="00506950"/>
    <w:rsid w:val="005134FE"/>
    <w:rsid w:val="00515559"/>
    <w:rsid w:val="00516785"/>
    <w:rsid w:val="0051718C"/>
    <w:rsid w:val="0052419D"/>
    <w:rsid w:val="00525143"/>
    <w:rsid w:val="00525E44"/>
    <w:rsid w:val="005301F8"/>
    <w:rsid w:val="005312FC"/>
    <w:rsid w:val="005325D7"/>
    <w:rsid w:val="00532BE7"/>
    <w:rsid w:val="00533EBF"/>
    <w:rsid w:val="0053569E"/>
    <w:rsid w:val="0053603D"/>
    <w:rsid w:val="0053742A"/>
    <w:rsid w:val="00537C85"/>
    <w:rsid w:val="005403C0"/>
    <w:rsid w:val="00541D29"/>
    <w:rsid w:val="00542CB5"/>
    <w:rsid w:val="005575B8"/>
    <w:rsid w:val="0056171D"/>
    <w:rsid w:val="00562F17"/>
    <w:rsid w:val="0056582C"/>
    <w:rsid w:val="005658F3"/>
    <w:rsid w:val="00567CE7"/>
    <w:rsid w:val="005868DE"/>
    <w:rsid w:val="0058752E"/>
    <w:rsid w:val="00590548"/>
    <w:rsid w:val="00594A99"/>
    <w:rsid w:val="00594C62"/>
    <w:rsid w:val="0059607F"/>
    <w:rsid w:val="005966B7"/>
    <w:rsid w:val="00597124"/>
    <w:rsid w:val="005A12B1"/>
    <w:rsid w:val="005A462A"/>
    <w:rsid w:val="005A5A42"/>
    <w:rsid w:val="005B1A80"/>
    <w:rsid w:val="005B2168"/>
    <w:rsid w:val="005B2838"/>
    <w:rsid w:val="005B28C6"/>
    <w:rsid w:val="005B435E"/>
    <w:rsid w:val="005B5E2A"/>
    <w:rsid w:val="005B66A0"/>
    <w:rsid w:val="005C00DC"/>
    <w:rsid w:val="005C02A4"/>
    <w:rsid w:val="005C1337"/>
    <w:rsid w:val="005C1F44"/>
    <w:rsid w:val="005C20D2"/>
    <w:rsid w:val="005C2FE8"/>
    <w:rsid w:val="005C32FE"/>
    <w:rsid w:val="005C360C"/>
    <w:rsid w:val="005C6BF7"/>
    <w:rsid w:val="005D024A"/>
    <w:rsid w:val="005D2F63"/>
    <w:rsid w:val="005D4FD4"/>
    <w:rsid w:val="005D66F4"/>
    <w:rsid w:val="005D67FD"/>
    <w:rsid w:val="005D6D64"/>
    <w:rsid w:val="005E126D"/>
    <w:rsid w:val="005E17DC"/>
    <w:rsid w:val="005E51E0"/>
    <w:rsid w:val="005F117F"/>
    <w:rsid w:val="005F71FF"/>
    <w:rsid w:val="00601650"/>
    <w:rsid w:val="00601C47"/>
    <w:rsid w:val="006026AF"/>
    <w:rsid w:val="0060347C"/>
    <w:rsid w:val="006035C0"/>
    <w:rsid w:val="00604E87"/>
    <w:rsid w:val="00605AFD"/>
    <w:rsid w:val="0060602F"/>
    <w:rsid w:val="00611857"/>
    <w:rsid w:val="006123D4"/>
    <w:rsid w:val="006125B4"/>
    <w:rsid w:val="00612EDA"/>
    <w:rsid w:val="0061445B"/>
    <w:rsid w:val="00621493"/>
    <w:rsid w:val="00624674"/>
    <w:rsid w:val="00624C4B"/>
    <w:rsid w:val="00624D4B"/>
    <w:rsid w:val="00631902"/>
    <w:rsid w:val="0063234A"/>
    <w:rsid w:val="00633BBF"/>
    <w:rsid w:val="00634466"/>
    <w:rsid w:val="00642994"/>
    <w:rsid w:val="00645911"/>
    <w:rsid w:val="00645BFF"/>
    <w:rsid w:val="0064664D"/>
    <w:rsid w:val="0065354E"/>
    <w:rsid w:val="00654852"/>
    <w:rsid w:val="00660274"/>
    <w:rsid w:val="00661140"/>
    <w:rsid w:val="00661588"/>
    <w:rsid w:val="00662037"/>
    <w:rsid w:val="0066259D"/>
    <w:rsid w:val="006668C6"/>
    <w:rsid w:val="0067071D"/>
    <w:rsid w:val="0067324A"/>
    <w:rsid w:val="0067776C"/>
    <w:rsid w:val="00677A65"/>
    <w:rsid w:val="00681AF4"/>
    <w:rsid w:val="00682677"/>
    <w:rsid w:val="00684CA8"/>
    <w:rsid w:val="00685CF7"/>
    <w:rsid w:val="00686012"/>
    <w:rsid w:val="00686165"/>
    <w:rsid w:val="00686368"/>
    <w:rsid w:val="006871C9"/>
    <w:rsid w:val="00687C44"/>
    <w:rsid w:val="00690E6C"/>
    <w:rsid w:val="00691CB5"/>
    <w:rsid w:val="00694CCA"/>
    <w:rsid w:val="006954AB"/>
    <w:rsid w:val="006A362C"/>
    <w:rsid w:val="006A37F5"/>
    <w:rsid w:val="006A4472"/>
    <w:rsid w:val="006A6ED7"/>
    <w:rsid w:val="006B6C52"/>
    <w:rsid w:val="006C1892"/>
    <w:rsid w:val="006C5B73"/>
    <w:rsid w:val="006C645D"/>
    <w:rsid w:val="006D12D0"/>
    <w:rsid w:val="006D3CF6"/>
    <w:rsid w:val="006E3CC3"/>
    <w:rsid w:val="006E5E82"/>
    <w:rsid w:val="006F2AAC"/>
    <w:rsid w:val="006F2F79"/>
    <w:rsid w:val="006F36DB"/>
    <w:rsid w:val="0070201A"/>
    <w:rsid w:val="00702E19"/>
    <w:rsid w:val="007042A8"/>
    <w:rsid w:val="00706E86"/>
    <w:rsid w:val="00706E8E"/>
    <w:rsid w:val="00714410"/>
    <w:rsid w:val="007159E5"/>
    <w:rsid w:val="00720766"/>
    <w:rsid w:val="007219FC"/>
    <w:rsid w:val="007220BD"/>
    <w:rsid w:val="00722B53"/>
    <w:rsid w:val="00725136"/>
    <w:rsid w:val="0072559F"/>
    <w:rsid w:val="00727226"/>
    <w:rsid w:val="007301E6"/>
    <w:rsid w:val="0073148C"/>
    <w:rsid w:val="00733E9C"/>
    <w:rsid w:val="00734773"/>
    <w:rsid w:val="00736270"/>
    <w:rsid w:val="00745A8F"/>
    <w:rsid w:val="007509DD"/>
    <w:rsid w:val="007519EB"/>
    <w:rsid w:val="00752D94"/>
    <w:rsid w:val="007531A5"/>
    <w:rsid w:val="0075702F"/>
    <w:rsid w:val="00757CC6"/>
    <w:rsid w:val="00762AF6"/>
    <w:rsid w:val="00762BCB"/>
    <w:rsid w:val="00763474"/>
    <w:rsid w:val="00766EAF"/>
    <w:rsid w:val="0077504E"/>
    <w:rsid w:val="0078076B"/>
    <w:rsid w:val="00780F39"/>
    <w:rsid w:val="00781130"/>
    <w:rsid w:val="007834FD"/>
    <w:rsid w:val="00784C0A"/>
    <w:rsid w:val="007937F2"/>
    <w:rsid w:val="00794B40"/>
    <w:rsid w:val="00795528"/>
    <w:rsid w:val="0079735A"/>
    <w:rsid w:val="007A1079"/>
    <w:rsid w:val="007A3927"/>
    <w:rsid w:val="007A4C97"/>
    <w:rsid w:val="007A5D59"/>
    <w:rsid w:val="007A7326"/>
    <w:rsid w:val="007B76AB"/>
    <w:rsid w:val="007C5091"/>
    <w:rsid w:val="007C7C88"/>
    <w:rsid w:val="007D0E90"/>
    <w:rsid w:val="007D15AA"/>
    <w:rsid w:val="007D183D"/>
    <w:rsid w:val="007D2070"/>
    <w:rsid w:val="007D33A1"/>
    <w:rsid w:val="007D4A04"/>
    <w:rsid w:val="007D4BDA"/>
    <w:rsid w:val="007D4E1E"/>
    <w:rsid w:val="007D592B"/>
    <w:rsid w:val="007D5AA6"/>
    <w:rsid w:val="007D5B5F"/>
    <w:rsid w:val="007D7A91"/>
    <w:rsid w:val="007E1437"/>
    <w:rsid w:val="007E24FD"/>
    <w:rsid w:val="007E2FE3"/>
    <w:rsid w:val="007E3609"/>
    <w:rsid w:val="007E4739"/>
    <w:rsid w:val="007E5EF3"/>
    <w:rsid w:val="007E6456"/>
    <w:rsid w:val="007F0731"/>
    <w:rsid w:val="007F0920"/>
    <w:rsid w:val="007F0F39"/>
    <w:rsid w:val="007F5B01"/>
    <w:rsid w:val="007F73BA"/>
    <w:rsid w:val="00800BAC"/>
    <w:rsid w:val="00801EB6"/>
    <w:rsid w:val="00802886"/>
    <w:rsid w:val="008031B7"/>
    <w:rsid w:val="00803EB2"/>
    <w:rsid w:val="00811943"/>
    <w:rsid w:val="00812263"/>
    <w:rsid w:val="00813DF2"/>
    <w:rsid w:val="00821082"/>
    <w:rsid w:val="00821EC5"/>
    <w:rsid w:val="008226A0"/>
    <w:rsid w:val="008248B2"/>
    <w:rsid w:val="00827DD0"/>
    <w:rsid w:val="008311B8"/>
    <w:rsid w:val="00834243"/>
    <w:rsid w:val="0083768F"/>
    <w:rsid w:val="00842161"/>
    <w:rsid w:val="008437F4"/>
    <w:rsid w:val="00843BB9"/>
    <w:rsid w:val="00843DFD"/>
    <w:rsid w:val="00844CF3"/>
    <w:rsid w:val="00845912"/>
    <w:rsid w:val="00854E9C"/>
    <w:rsid w:val="0085771C"/>
    <w:rsid w:val="00857969"/>
    <w:rsid w:val="00870201"/>
    <w:rsid w:val="0087211C"/>
    <w:rsid w:val="008823FA"/>
    <w:rsid w:val="00882CC4"/>
    <w:rsid w:val="008851D5"/>
    <w:rsid w:val="00886399"/>
    <w:rsid w:val="0088688B"/>
    <w:rsid w:val="008915D7"/>
    <w:rsid w:val="00892155"/>
    <w:rsid w:val="0089347F"/>
    <w:rsid w:val="00897A70"/>
    <w:rsid w:val="008A3873"/>
    <w:rsid w:val="008A4332"/>
    <w:rsid w:val="008B76C6"/>
    <w:rsid w:val="008C0027"/>
    <w:rsid w:val="008C0D8B"/>
    <w:rsid w:val="008C1C1A"/>
    <w:rsid w:val="008C3639"/>
    <w:rsid w:val="008C658A"/>
    <w:rsid w:val="008C7F71"/>
    <w:rsid w:val="008D339F"/>
    <w:rsid w:val="008D396D"/>
    <w:rsid w:val="008D3C34"/>
    <w:rsid w:val="008E0EF9"/>
    <w:rsid w:val="008E3527"/>
    <w:rsid w:val="008E6292"/>
    <w:rsid w:val="008F0CC7"/>
    <w:rsid w:val="008F4608"/>
    <w:rsid w:val="008F5FA5"/>
    <w:rsid w:val="008F64F5"/>
    <w:rsid w:val="008F6D6C"/>
    <w:rsid w:val="008F7B14"/>
    <w:rsid w:val="009035F4"/>
    <w:rsid w:val="00903F19"/>
    <w:rsid w:val="00905F64"/>
    <w:rsid w:val="00912FAD"/>
    <w:rsid w:val="0091708C"/>
    <w:rsid w:val="00917815"/>
    <w:rsid w:val="00921BF6"/>
    <w:rsid w:val="00924ACA"/>
    <w:rsid w:val="00925AA5"/>
    <w:rsid w:val="00926443"/>
    <w:rsid w:val="009274CF"/>
    <w:rsid w:val="009308B6"/>
    <w:rsid w:val="00934EAA"/>
    <w:rsid w:val="0093540D"/>
    <w:rsid w:val="00936296"/>
    <w:rsid w:val="0094019D"/>
    <w:rsid w:val="009422BF"/>
    <w:rsid w:val="00942C11"/>
    <w:rsid w:val="0094351F"/>
    <w:rsid w:val="00946E41"/>
    <w:rsid w:val="00947169"/>
    <w:rsid w:val="009526C5"/>
    <w:rsid w:val="009547F8"/>
    <w:rsid w:val="0095580B"/>
    <w:rsid w:val="009570EC"/>
    <w:rsid w:val="00961A31"/>
    <w:rsid w:val="0096255E"/>
    <w:rsid w:val="0096290D"/>
    <w:rsid w:val="009632F2"/>
    <w:rsid w:val="009729D4"/>
    <w:rsid w:val="00975935"/>
    <w:rsid w:val="009817B0"/>
    <w:rsid w:val="009821CE"/>
    <w:rsid w:val="009849F4"/>
    <w:rsid w:val="0099242E"/>
    <w:rsid w:val="009968A5"/>
    <w:rsid w:val="009A012D"/>
    <w:rsid w:val="009A2348"/>
    <w:rsid w:val="009A277C"/>
    <w:rsid w:val="009A4751"/>
    <w:rsid w:val="009A5EF8"/>
    <w:rsid w:val="009A658F"/>
    <w:rsid w:val="009A6F04"/>
    <w:rsid w:val="009B11DB"/>
    <w:rsid w:val="009B1375"/>
    <w:rsid w:val="009B54E6"/>
    <w:rsid w:val="009C009A"/>
    <w:rsid w:val="009C488E"/>
    <w:rsid w:val="009C5C0B"/>
    <w:rsid w:val="009D04E6"/>
    <w:rsid w:val="009D0D4D"/>
    <w:rsid w:val="009D22DC"/>
    <w:rsid w:val="009D31DB"/>
    <w:rsid w:val="009D420D"/>
    <w:rsid w:val="009D4552"/>
    <w:rsid w:val="009E171B"/>
    <w:rsid w:val="009E1730"/>
    <w:rsid w:val="009E247E"/>
    <w:rsid w:val="009E2D72"/>
    <w:rsid w:val="009E33AB"/>
    <w:rsid w:val="009E3CED"/>
    <w:rsid w:val="009E42BA"/>
    <w:rsid w:val="009F19F2"/>
    <w:rsid w:val="009F5206"/>
    <w:rsid w:val="009F7B69"/>
    <w:rsid w:val="009F7C74"/>
    <w:rsid w:val="00A015E8"/>
    <w:rsid w:val="00A05C72"/>
    <w:rsid w:val="00A05C81"/>
    <w:rsid w:val="00A065FB"/>
    <w:rsid w:val="00A07D47"/>
    <w:rsid w:val="00A128F9"/>
    <w:rsid w:val="00A12F62"/>
    <w:rsid w:val="00A14AAC"/>
    <w:rsid w:val="00A14FE9"/>
    <w:rsid w:val="00A1531E"/>
    <w:rsid w:val="00A166EA"/>
    <w:rsid w:val="00A178E3"/>
    <w:rsid w:val="00A207A4"/>
    <w:rsid w:val="00A22F34"/>
    <w:rsid w:val="00A238E5"/>
    <w:rsid w:val="00A24132"/>
    <w:rsid w:val="00A268E4"/>
    <w:rsid w:val="00A2772D"/>
    <w:rsid w:val="00A319FE"/>
    <w:rsid w:val="00A3749B"/>
    <w:rsid w:val="00A37D87"/>
    <w:rsid w:val="00A426EE"/>
    <w:rsid w:val="00A44577"/>
    <w:rsid w:val="00A45EC4"/>
    <w:rsid w:val="00A47286"/>
    <w:rsid w:val="00A476B6"/>
    <w:rsid w:val="00A50D88"/>
    <w:rsid w:val="00A52B08"/>
    <w:rsid w:val="00A53088"/>
    <w:rsid w:val="00A55808"/>
    <w:rsid w:val="00A56923"/>
    <w:rsid w:val="00A56C7D"/>
    <w:rsid w:val="00A57D9C"/>
    <w:rsid w:val="00A62E42"/>
    <w:rsid w:val="00A639F3"/>
    <w:rsid w:val="00A64A71"/>
    <w:rsid w:val="00A658A4"/>
    <w:rsid w:val="00A70E91"/>
    <w:rsid w:val="00A72960"/>
    <w:rsid w:val="00A72D8F"/>
    <w:rsid w:val="00A7333B"/>
    <w:rsid w:val="00A811BB"/>
    <w:rsid w:val="00A839D9"/>
    <w:rsid w:val="00A84E4E"/>
    <w:rsid w:val="00A86429"/>
    <w:rsid w:val="00A90EB6"/>
    <w:rsid w:val="00A91F9A"/>
    <w:rsid w:val="00A92C36"/>
    <w:rsid w:val="00A93401"/>
    <w:rsid w:val="00A950B5"/>
    <w:rsid w:val="00A96E69"/>
    <w:rsid w:val="00AA7102"/>
    <w:rsid w:val="00AB0A58"/>
    <w:rsid w:val="00AB5159"/>
    <w:rsid w:val="00AB5FA2"/>
    <w:rsid w:val="00AC3196"/>
    <w:rsid w:val="00AC351F"/>
    <w:rsid w:val="00AC6836"/>
    <w:rsid w:val="00AD1D33"/>
    <w:rsid w:val="00AD21EB"/>
    <w:rsid w:val="00AD27C7"/>
    <w:rsid w:val="00AE0368"/>
    <w:rsid w:val="00AE2F90"/>
    <w:rsid w:val="00AE384E"/>
    <w:rsid w:val="00AE67A0"/>
    <w:rsid w:val="00AE718E"/>
    <w:rsid w:val="00AF0DB6"/>
    <w:rsid w:val="00AF2270"/>
    <w:rsid w:val="00AF3991"/>
    <w:rsid w:val="00AF7B02"/>
    <w:rsid w:val="00B0047E"/>
    <w:rsid w:val="00B03033"/>
    <w:rsid w:val="00B03DD6"/>
    <w:rsid w:val="00B0729A"/>
    <w:rsid w:val="00B10A5F"/>
    <w:rsid w:val="00B12FCB"/>
    <w:rsid w:val="00B1355E"/>
    <w:rsid w:val="00B159BA"/>
    <w:rsid w:val="00B167FF"/>
    <w:rsid w:val="00B168C7"/>
    <w:rsid w:val="00B172B5"/>
    <w:rsid w:val="00B251BC"/>
    <w:rsid w:val="00B31A2B"/>
    <w:rsid w:val="00B31AF1"/>
    <w:rsid w:val="00B3583B"/>
    <w:rsid w:val="00B35FBA"/>
    <w:rsid w:val="00B36A4C"/>
    <w:rsid w:val="00B36B91"/>
    <w:rsid w:val="00B37A8F"/>
    <w:rsid w:val="00B50D9F"/>
    <w:rsid w:val="00B60AFA"/>
    <w:rsid w:val="00B60CC1"/>
    <w:rsid w:val="00B611AA"/>
    <w:rsid w:val="00B61EF9"/>
    <w:rsid w:val="00B61F82"/>
    <w:rsid w:val="00B65347"/>
    <w:rsid w:val="00B67026"/>
    <w:rsid w:val="00B67201"/>
    <w:rsid w:val="00B7518E"/>
    <w:rsid w:val="00B753B8"/>
    <w:rsid w:val="00B75C80"/>
    <w:rsid w:val="00B83734"/>
    <w:rsid w:val="00B847AD"/>
    <w:rsid w:val="00B87927"/>
    <w:rsid w:val="00B91121"/>
    <w:rsid w:val="00B91BFA"/>
    <w:rsid w:val="00B91E52"/>
    <w:rsid w:val="00B9234E"/>
    <w:rsid w:val="00B92D7F"/>
    <w:rsid w:val="00B92F20"/>
    <w:rsid w:val="00B93687"/>
    <w:rsid w:val="00B9516C"/>
    <w:rsid w:val="00BA1627"/>
    <w:rsid w:val="00BA1F0C"/>
    <w:rsid w:val="00BA2F8F"/>
    <w:rsid w:val="00BA3C4E"/>
    <w:rsid w:val="00BA4E9C"/>
    <w:rsid w:val="00BA70BC"/>
    <w:rsid w:val="00BB2C3E"/>
    <w:rsid w:val="00BB752A"/>
    <w:rsid w:val="00BB7A98"/>
    <w:rsid w:val="00BC0343"/>
    <w:rsid w:val="00BC0F30"/>
    <w:rsid w:val="00BC7DC2"/>
    <w:rsid w:val="00BD26AA"/>
    <w:rsid w:val="00BD3536"/>
    <w:rsid w:val="00BD454F"/>
    <w:rsid w:val="00BD511A"/>
    <w:rsid w:val="00BE0B40"/>
    <w:rsid w:val="00BE0D42"/>
    <w:rsid w:val="00BE1B09"/>
    <w:rsid w:val="00BE2F55"/>
    <w:rsid w:val="00BE76B7"/>
    <w:rsid w:val="00BE79E4"/>
    <w:rsid w:val="00BF090F"/>
    <w:rsid w:val="00BF1745"/>
    <w:rsid w:val="00BF1910"/>
    <w:rsid w:val="00BF1C9E"/>
    <w:rsid w:val="00BF2234"/>
    <w:rsid w:val="00BF5A88"/>
    <w:rsid w:val="00BF6D5C"/>
    <w:rsid w:val="00C000AA"/>
    <w:rsid w:val="00C01422"/>
    <w:rsid w:val="00C01DCC"/>
    <w:rsid w:val="00C059EA"/>
    <w:rsid w:val="00C05A5E"/>
    <w:rsid w:val="00C067E2"/>
    <w:rsid w:val="00C102C5"/>
    <w:rsid w:val="00C14F23"/>
    <w:rsid w:val="00C17168"/>
    <w:rsid w:val="00C1777F"/>
    <w:rsid w:val="00C17A85"/>
    <w:rsid w:val="00C202B3"/>
    <w:rsid w:val="00C2187E"/>
    <w:rsid w:val="00C219AF"/>
    <w:rsid w:val="00C21EE0"/>
    <w:rsid w:val="00C220D7"/>
    <w:rsid w:val="00C23508"/>
    <w:rsid w:val="00C23A2E"/>
    <w:rsid w:val="00C275B2"/>
    <w:rsid w:val="00C30297"/>
    <w:rsid w:val="00C3431F"/>
    <w:rsid w:val="00C411DF"/>
    <w:rsid w:val="00C42E66"/>
    <w:rsid w:val="00C43AF6"/>
    <w:rsid w:val="00C47B32"/>
    <w:rsid w:val="00C51970"/>
    <w:rsid w:val="00C52A1C"/>
    <w:rsid w:val="00C5332A"/>
    <w:rsid w:val="00C56E8E"/>
    <w:rsid w:val="00C638B8"/>
    <w:rsid w:val="00C705FA"/>
    <w:rsid w:val="00C71D7C"/>
    <w:rsid w:val="00C72318"/>
    <w:rsid w:val="00C724E6"/>
    <w:rsid w:val="00C73660"/>
    <w:rsid w:val="00C747A5"/>
    <w:rsid w:val="00C77B68"/>
    <w:rsid w:val="00C804E1"/>
    <w:rsid w:val="00C85314"/>
    <w:rsid w:val="00C91E4D"/>
    <w:rsid w:val="00C92AED"/>
    <w:rsid w:val="00C960DA"/>
    <w:rsid w:val="00C97369"/>
    <w:rsid w:val="00CA0116"/>
    <w:rsid w:val="00CA0C45"/>
    <w:rsid w:val="00CA131A"/>
    <w:rsid w:val="00CA1C96"/>
    <w:rsid w:val="00CA4555"/>
    <w:rsid w:val="00CA4BC0"/>
    <w:rsid w:val="00CA5633"/>
    <w:rsid w:val="00CA5CA8"/>
    <w:rsid w:val="00CA6D99"/>
    <w:rsid w:val="00CA6E16"/>
    <w:rsid w:val="00CB0157"/>
    <w:rsid w:val="00CB01C8"/>
    <w:rsid w:val="00CB19A9"/>
    <w:rsid w:val="00CB2324"/>
    <w:rsid w:val="00CB4EE2"/>
    <w:rsid w:val="00CB5205"/>
    <w:rsid w:val="00CB5338"/>
    <w:rsid w:val="00CC24E0"/>
    <w:rsid w:val="00CC2614"/>
    <w:rsid w:val="00CC3A29"/>
    <w:rsid w:val="00CC4EE9"/>
    <w:rsid w:val="00CC559D"/>
    <w:rsid w:val="00CC77A9"/>
    <w:rsid w:val="00CC785C"/>
    <w:rsid w:val="00CD44BC"/>
    <w:rsid w:val="00CD5FA8"/>
    <w:rsid w:val="00CD654B"/>
    <w:rsid w:val="00CE223E"/>
    <w:rsid w:val="00CE3854"/>
    <w:rsid w:val="00CE6D8E"/>
    <w:rsid w:val="00CF1E1B"/>
    <w:rsid w:val="00CF3F0D"/>
    <w:rsid w:val="00CF457A"/>
    <w:rsid w:val="00D00136"/>
    <w:rsid w:val="00D00728"/>
    <w:rsid w:val="00D017C1"/>
    <w:rsid w:val="00D036EF"/>
    <w:rsid w:val="00D03AC4"/>
    <w:rsid w:val="00D0414F"/>
    <w:rsid w:val="00D0534F"/>
    <w:rsid w:val="00D06E65"/>
    <w:rsid w:val="00D10B1F"/>
    <w:rsid w:val="00D12FBE"/>
    <w:rsid w:val="00D13A62"/>
    <w:rsid w:val="00D145F5"/>
    <w:rsid w:val="00D14F2A"/>
    <w:rsid w:val="00D20783"/>
    <w:rsid w:val="00D30A19"/>
    <w:rsid w:val="00D30B48"/>
    <w:rsid w:val="00D33AAA"/>
    <w:rsid w:val="00D34D6C"/>
    <w:rsid w:val="00D355F0"/>
    <w:rsid w:val="00D35E9A"/>
    <w:rsid w:val="00D43AC8"/>
    <w:rsid w:val="00D44A59"/>
    <w:rsid w:val="00D45F27"/>
    <w:rsid w:val="00D51CA6"/>
    <w:rsid w:val="00D56113"/>
    <w:rsid w:val="00D5722D"/>
    <w:rsid w:val="00D602F4"/>
    <w:rsid w:val="00D6287C"/>
    <w:rsid w:val="00D664CB"/>
    <w:rsid w:val="00D67C61"/>
    <w:rsid w:val="00D72913"/>
    <w:rsid w:val="00D806CA"/>
    <w:rsid w:val="00D833D9"/>
    <w:rsid w:val="00D83BD9"/>
    <w:rsid w:val="00D8620B"/>
    <w:rsid w:val="00D906E3"/>
    <w:rsid w:val="00D9099B"/>
    <w:rsid w:val="00D918D3"/>
    <w:rsid w:val="00D92EB4"/>
    <w:rsid w:val="00D94DCF"/>
    <w:rsid w:val="00D94EAE"/>
    <w:rsid w:val="00D9519D"/>
    <w:rsid w:val="00D95ACA"/>
    <w:rsid w:val="00DA03A2"/>
    <w:rsid w:val="00DA3A8A"/>
    <w:rsid w:val="00DA586F"/>
    <w:rsid w:val="00DA745B"/>
    <w:rsid w:val="00DB08DA"/>
    <w:rsid w:val="00DB3B11"/>
    <w:rsid w:val="00DB4606"/>
    <w:rsid w:val="00DB6A13"/>
    <w:rsid w:val="00DB706A"/>
    <w:rsid w:val="00DB7F09"/>
    <w:rsid w:val="00DC00E8"/>
    <w:rsid w:val="00DC1C56"/>
    <w:rsid w:val="00DC4756"/>
    <w:rsid w:val="00DC6379"/>
    <w:rsid w:val="00DC7231"/>
    <w:rsid w:val="00DD199B"/>
    <w:rsid w:val="00DD4700"/>
    <w:rsid w:val="00DD5D95"/>
    <w:rsid w:val="00DD7A75"/>
    <w:rsid w:val="00DE030A"/>
    <w:rsid w:val="00DE11B9"/>
    <w:rsid w:val="00DE251A"/>
    <w:rsid w:val="00DE33B6"/>
    <w:rsid w:val="00DE3406"/>
    <w:rsid w:val="00DE3C77"/>
    <w:rsid w:val="00DE53C0"/>
    <w:rsid w:val="00DE631A"/>
    <w:rsid w:val="00DE7CC5"/>
    <w:rsid w:val="00DF3C33"/>
    <w:rsid w:val="00DF56A9"/>
    <w:rsid w:val="00DF6F61"/>
    <w:rsid w:val="00E101C6"/>
    <w:rsid w:val="00E10E60"/>
    <w:rsid w:val="00E203F1"/>
    <w:rsid w:val="00E22D51"/>
    <w:rsid w:val="00E2302A"/>
    <w:rsid w:val="00E233AD"/>
    <w:rsid w:val="00E23D55"/>
    <w:rsid w:val="00E2615A"/>
    <w:rsid w:val="00E306A0"/>
    <w:rsid w:val="00E3160B"/>
    <w:rsid w:val="00E31AC2"/>
    <w:rsid w:val="00E42654"/>
    <w:rsid w:val="00E50DD0"/>
    <w:rsid w:val="00E50E7C"/>
    <w:rsid w:val="00E51545"/>
    <w:rsid w:val="00E51D9E"/>
    <w:rsid w:val="00E537D1"/>
    <w:rsid w:val="00E54883"/>
    <w:rsid w:val="00E567E6"/>
    <w:rsid w:val="00E56971"/>
    <w:rsid w:val="00E61484"/>
    <w:rsid w:val="00E61D84"/>
    <w:rsid w:val="00E629DC"/>
    <w:rsid w:val="00E65E4A"/>
    <w:rsid w:val="00E67AEB"/>
    <w:rsid w:val="00E711D7"/>
    <w:rsid w:val="00E731C2"/>
    <w:rsid w:val="00E75058"/>
    <w:rsid w:val="00E754F4"/>
    <w:rsid w:val="00E76293"/>
    <w:rsid w:val="00E80830"/>
    <w:rsid w:val="00E815E1"/>
    <w:rsid w:val="00E82570"/>
    <w:rsid w:val="00E83D55"/>
    <w:rsid w:val="00E84AE7"/>
    <w:rsid w:val="00E85DC9"/>
    <w:rsid w:val="00E902B0"/>
    <w:rsid w:val="00E902E8"/>
    <w:rsid w:val="00E958CC"/>
    <w:rsid w:val="00EA23AC"/>
    <w:rsid w:val="00EA2476"/>
    <w:rsid w:val="00EA4E53"/>
    <w:rsid w:val="00EA6E58"/>
    <w:rsid w:val="00EA7C3D"/>
    <w:rsid w:val="00EB144D"/>
    <w:rsid w:val="00EB1A90"/>
    <w:rsid w:val="00EB3D33"/>
    <w:rsid w:val="00EB457C"/>
    <w:rsid w:val="00EB460A"/>
    <w:rsid w:val="00EB62FD"/>
    <w:rsid w:val="00EB67EA"/>
    <w:rsid w:val="00EB6878"/>
    <w:rsid w:val="00EB7D46"/>
    <w:rsid w:val="00EC05FF"/>
    <w:rsid w:val="00EC1E0E"/>
    <w:rsid w:val="00EC236D"/>
    <w:rsid w:val="00EC5D92"/>
    <w:rsid w:val="00EC65E3"/>
    <w:rsid w:val="00EC6B16"/>
    <w:rsid w:val="00ED0837"/>
    <w:rsid w:val="00ED2E57"/>
    <w:rsid w:val="00ED39D1"/>
    <w:rsid w:val="00ED6439"/>
    <w:rsid w:val="00EE1447"/>
    <w:rsid w:val="00EF015F"/>
    <w:rsid w:val="00EF145E"/>
    <w:rsid w:val="00EF2BBB"/>
    <w:rsid w:val="00EF4B56"/>
    <w:rsid w:val="00EF4DB2"/>
    <w:rsid w:val="00EF6BD6"/>
    <w:rsid w:val="00EF7BAC"/>
    <w:rsid w:val="00F0082D"/>
    <w:rsid w:val="00F015AB"/>
    <w:rsid w:val="00F0270D"/>
    <w:rsid w:val="00F0355E"/>
    <w:rsid w:val="00F077E8"/>
    <w:rsid w:val="00F07C90"/>
    <w:rsid w:val="00F11AA7"/>
    <w:rsid w:val="00F13EDD"/>
    <w:rsid w:val="00F14E74"/>
    <w:rsid w:val="00F215D8"/>
    <w:rsid w:val="00F27FAE"/>
    <w:rsid w:val="00F3539B"/>
    <w:rsid w:val="00F35529"/>
    <w:rsid w:val="00F374C6"/>
    <w:rsid w:val="00F464FC"/>
    <w:rsid w:val="00F51489"/>
    <w:rsid w:val="00F57BED"/>
    <w:rsid w:val="00F621BC"/>
    <w:rsid w:val="00F66152"/>
    <w:rsid w:val="00F72FFB"/>
    <w:rsid w:val="00F7514F"/>
    <w:rsid w:val="00F7613A"/>
    <w:rsid w:val="00F76E5E"/>
    <w:rsid w:val="00F82746"/>
    <w:rsid w:val="00F8335D"/>
    <w:rsid w:val="00F836F9"/>
    <w:rsid w:val="00F8423B"/>
    <w:rsid w:val="00F845D7"/>
    <w:rsid w:val="00F85B5E"/>
    <w:rsid w:val="00F866AC"/>
    <w:rsid w:val="00F8692A"/>
    <w:rsid w:val="00F911E9"/>
    <w:rsid w:val="00F92279"/>
    <w:rsid w:val="00F92AC0"/>
    <w:rsid w:val="00F95732"/>
    <w:rsid w:val="00F96593"/>
    <w:rsid w:val="00FA0F8B"/>
    <w:rsid w:val="00FA13F4"/>
    <w:rsid w:val="00FA1C6D"/>
    <w:rsid w:val="00FA34BC"/>
    <w:rsid w:val="00FA49F3"/>
    <w:rsid w:val="00FA67B3"/>
    <w:rsid w:val="00FA699A"/>
    <w:rsid w:val="00FA73A4"/>
    <w:rsid w:val="00FB0D99"/>
    <w:rsid w:val="00FB4D21"/>
    <w:rsid w:val="00FB7550"/>
    <w:rsid w:val="00FB762B"/>
    <w:rsid w:val="00FC4C5D"/>
    <w:rsid w:val="00FC6ADA"/>
    <w:rsid w:val="00FD0838"/>
    <w:rsid w:val="00FD2A37"/>
    <w:rsid w:val="00FD4476"/>
    <w:rsid w:val="00FD793D"/>
    <w:rsid w:val="00FE1383"/>
    <w:rsid w:val="00FE1D21"/>
    <w:rsid w:val="00FF0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02D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56"/>
    <w:rPr>
      <w:kern w:val="2"/>
      <w14:ligatures w14:val="standardContextual"/>
    </w:rPr>
  </w:style>
  <w:style w:type="paragraph" w:styleId="Heading1">
    <w:name w:val="heading 1"/>
    <w:basedOn w:val="HeadingBase"/>
    <w:next w:val="Normal"/>
    <w:link w:val="Heading1Char"/>
    <w:qFormat/>
    <w:rsid w:val="00DA03A2"/>
    <w:pPr>
      <w:spacing w:before="240"/>
      <w:outlineLvl w:val="0"/>
    </w:pPr>
    <w:rPr>
      <w:b/>
      <w:bCs w:val="0"/>
      <w:color w:val="003150" w:themeColor="accent3"/>
      <w:sz w:val="40"/>
    </w:rPr>
  </w:style>
  <w:style w:type="paragraph" w:styleId="Heading2">
    <w:name w:val="heading 2"/>
    <w:basedOn w:val="HeadingBase"/>
    <w:next w:val="Normal"/>
    <w:link w:val="Heading2Char"/>
    <w:qFormat/>
    <w:rsid w:val="00DA03A2"/>
    <w:pPr>
      <w:spacing w:before="360"/>
      <w:outlineLvl w:val="1"/>
    </w:pPr>
    <w:rPr>
      <w:bCs w:val="0"/>
      <w:iCs/>
      <w:color w:val="0084BC" w:themeColor="accent1"/>
      <w:sz w:val="32"/>
      <w:szCs w:val="28"/>
    </w:rPr>
  </w:style>
  <w:style w:type="paragraph" w:styleId="Heading3">
    <w:name w:val="heading 3"/>
    <w:basedOn w:val="HeadingBase"/>
    <w:next w:val="Normal"/>
    <w:link w:val="Heading3Char"/>
    <w:qFormat/>
    <w:rsid w:val="00DA03A2"/>
    <w:pPr>
      <w:spacing w:before="240"/>
      <w:outlineLvl w:val="2"/>
    </w:pPr>
    <w:rPr>
      <w:bCs w:val="0"/>
      <w:color w:val="7F7F7F"/>
      <w:sz w:val="28"/>
      <w:szCs w:val="26"/>
    </w:rPr>
  </w:style>
  <w:style w:type="paragraph" w:styleId="Heading4">
    <w:name w:val="heading 4"/>
    <w:basedOn w:val="HeadingBase"/>
    <w:next w:val="Normal"/>
    <w:link w:val="Heading4Char"/>
    <w:qFormat/>
    <w:rsid w:val="00DA03A2"/>
    <w:pPr>
      <w:outlineLvl w:val="3"/>
    </w:pPr>
    <w:rPr>
      <w:bCs w:val="0"/>
      <w:color w:val="396984"/>
      <w:sz w:val="24"/>
      <w:szCs w:val="26"/>
    </w:rPr>
  </w:style>
  <w:style w:type="paragraph" w:styleId="Heading5">
    <w:name w:val="heading 5"/>
    <w:basedOn w:val="HeadingBase"/>
    <w:next w:val="Normal"/>
    <w:link w:val="Heading5Char"/>
    <w:qFormat/>
    <w:rsid w:val="00DA03A2"/>
    <w:pPr>
      <w:outlineLvl w:val="4"/>
    </w:pPr>
    <w:rPr>
      <w:b/>
      <w:bCs w:val="0"/>
      <w:iCs/>
      <w:sz w:val="22"/>
    </w:rPr>
  </w:style>
  <w:style w:type="paragraph" w:styleId="Heading6">
    <w:name w:val="heading 6"/>
    <w:basedOn w:val="HeadingBase"/>
    <w:next w:val="Normal"/>
    <w:link w:val="Heading6Char"/>
    <w:qFormat/>
    <w:rsid w:val="00DA03A2"/>
    <w:pPr>
      <w:outlineLvl w:val="5"/>
    </w:pPr>
    <w:rPr>
      <w:bCs w:val="0"/>
      <w:sz w:val="22"/>
      <w:szCs w:val="22"/>
    </w:rPr>
  </w:style>
  <w:style w:type="character" w:default="1" w:styleId="DefaultParagraphFont">
    <w:name w:val="Default Paragraph Font"/>
    <w:uiPriority w:val="1"/>
    <w:semiHidden/>
    <w:unhideWhenUsed/>
    <w:rsid w:val="001040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056"/>
  </w:style>
  <w:style w:type="character" w:customStyle="1" w:styleId="Heading1Char">
    <w:name w:val="Heading 1 Char"/>
    <w:basedOn w:val="DefaultParagraphFont"/>
    <w:link w:val="Heading1"/>
    <w:rsid w:val="00DA03A2"/>
    <w:rPr>
      <w:rFonts w:ascii="Calibri" w:eastAsia="Times New Roman" w:hAnsi="Calibri" w:cs="Arial"/>
      <w:b/>
      <w:color w:val="003150" w:themeColor="accent3"/>
      <w:kern w:val="32"/>
      <w:sz w:val="40"/>
      <w:szCs w:val="36"/>
      <w:lang w:eastAsia="en-AU"/>
    </w:rPr>
  </w:style>
  <w:style w:type="character" w:customStyle="1" w:styleId="Heading2Char">
    <w:name w:val="Heading 2 Char"/>
    <w:basedOn w:val="DefaultParagraphFont"/>
    <w:link w:val="Heading2"/>
    <w:rsid w:val="00DA03A2"/>
    <w:rPr>
      <w:rFonts w:ascii="Calibri" w:eastAsia="Times New Roman" w:hAnsi="Calibri" w:cs="Arial"/>
      <w:iCs/>
      <w:color w:val="0084BC" w:themeColor="accent1"/>
      <w:kern w:val="32"/>
      <w:sz w:val="32"/>
      <w:szCs w:val="28"/>
      <w:lang w:eastAsia="en-AU"/>
    </w:rPr>
  </w:style>
  <w:style w:type="character" w:customStyle="1" w:styleId="Heading3Char">
    <w:name w:val="Heading 3 Char"/>
    <w:basedOn w:val="DefaultParagraphFont"/>
    <w:link w:val="Heading3"/>
    <w:rsid w:val="00DA03A2"/>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DA03A2"/>
    <w:rPr>
      <w:rFonts w:ascii="Calibri" w:eastAsia="Times New Roman" w:hAnsi="Calibri" w:cs="Arial"/>
      <w:color w:val="396984"/>
      <w:kern w:val="32"/>
      <w:sz w:val="24"/>
      <w:szCs w:val="26"/>
      <w:lang w:eastAsia="en-AU"/>
    </w:rPr>
  </w:style>
  <w:style w:type="character" w:customStyle="1" w:styleId="Heading5Char">
    <w:name w:val="Heading 5 Char"/>
    <w:basedOn w:val="DefaultParagraphFont"/>
    <w:link w:val="Heading5"/>
    <w:rsid w:val="00DA03A2"/>
    <w:rPr>
      <w:rFonts w:ascii="Calibri" w:eastAsia="Times New Roman" w:hAnsi="Calibri" w:cs="Arial"/>
      <w:b/>
      <w:iCs/>
      <w:color w:val="2D4B6E"/>
      <w:kern w:val="32"/>
      <w:szCs w:val="36"/>
      <w:lang w:eastAsia="en-AU"/>
    </w:rPr>
  </w:style>
  <w:style w:type="character" w:customStyle="1" w:styleId="Heading6Char">
    <w:name w:val="Heading 6 Char"/>
    <w:basedOn w:val="DefaultParagraphFont"/>
    <w:link w:val="Heading6"/>
    <w:rsid w:val="00DA03A2"/>
    <w:rPr>
      <w:rFonts w:ascii="Calibri" w:eastAsia="Times New Roman" w:hAnsi="Calibri" w:cs="Arial"/>
      <w:color w:val="2D4B6E"/>
      <w:kern w:val="32"/>
      <w:lang w:eastAsia="en-AU"/>
    </w:rPr>
  </w:style>
  <w:style w:type="paragraph" w:customStyle="1" w:styleId="ChartGraphic">
    <w:name w:val="Chart Graphic"/>
    <w:basedOn w:val="Normal"/>
    <w:next w:val="Normal"/>
    <w:rsid w:val="00DA03A2"/>
    <w:pPr>
      <w:keepNext/>
      <w:jc w:val="center"/>
    </w:pPr>
    <w:rPr>
      <w:color w:val="004A7F"/>
      <w:sz w:val="20"/>
    </w:rPr>
  </w:style>
  <w:style w:type="paragraph" w:customStyle="1" w:styleId="AlphaParagraph">
    <w:name w:val="Alpha Paragraph"/>
    <w:basedOn w:val="Normal"/>
    <w:qFormat/>
    <w:rsid w:val="00DA03A2"/>
    <w:pPr>
      <w:numPr>
        <w:ilvl w:val="1"/>
        <w:numId w:val="8"/>
      </w:numPr>
    </w:pPr>
  </w:style>
  <w:style w:type="paragraph" w:customStyle="1" w:styleId="BoxBullet">
    <w:name w:val="Box Bullet"/>
    <w:basedOn w:val="Normal"/>
    <w:rsid w:val="00DA03A2"/>
    <w:pPr>
      <w:numPr>
        <w:numId w:val="2"/>
      </w:numPr>
      <w:ind w:left="284" w:hanging="284"/>
    </w:pPr>
  </w:style>
  <w:style w:type="paragraph" w:customStyle="1" w:styleId="BoxDash">
    <w:name w:val="Box Dash"/>
    <w:basedOn w:val="Normal"/>
    <w:rsid w:val="00DA03A2"/>
    <w:pPr>
      <w:numPr>
        <w:ilvl w:val="1"/>
        <w:numId w:val="2"/>
      </w:numPr>
      <w:ind w:left="568"/>
    </w:pPr>
  </w:style>
  <w:style w:type="paragraph" w:customStyle="1" w:styleId="BoxDoubleDot">
    <w:name w:val="Box Double Dot"/>
    <w:basedOn w:val="Normal"/>
    <w:rsid w:val="00DA03A2"/>
    <w:pPr>
      <w:numPr>
        <w:ilvl w:val="2"/>
        <w:numId w:val="2"/>
      </w:numPr>
      <w:ind w:left="851" w:hanging="284"/>
    </w:pPr>
  </w:style>
  <w:style w:type="paragraph" w:customStyle="1" w:styleId="BoxHeading">
    <w:name w:val="Box Heading"/>
    <w:basedOn w:val="Normal"/>
    <w:next w:val="Normal"/>
    <w:rsid w:val="00DA03A2"/>
    <w:pPr>
      <w:keepNext/>
      <w:spacing w:before="240"/>
    </w:pPr>
    <w:rPr>
      <w:b/>
      <w:color w:val="004A7F"/>
      <w:sz w:val="26"/>
      <w:szCs w:val="26"/>
    </w:rPr>
  </w:style>
  <w:style w:type="paragraph" w:customStyle="1" w:styleId="BoxText">
    <w:name w:val="Box Text"/>
    <w:basedOn w:val="Normal"/>
    <w:rsid w:val="00DA03A2"/>
  </w:style>
  <w:style w:type="paragraph" w:customStyle="1" w:styleId="Bullet">
    <w:name w:val="Bullet"/>
    <w:basedOn w:val="Normal"/>
    <w:link w:val="BulletChar"/>
    <w:qFormat/>
    <w:rsid w:val="00DA03A2"/>
    <w:pPr>
      <w:numPr>
        <w:numId w:val="1"/>
      </w:numPr>
    </w:pPr>
  </w:style>
  <w:style w:type="paragraph" w:customStyle="1" w:styleId="ChartandTableFootnoteAlpha">
    <w:name w:val="Chart and Table Footnote Alpha"/>
    <w:rsid w:val="00DA03A2"/>
    <w:pPr>
      <w:numPr>
        <w:numId w:val="12"/>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A03A2"/>
    <w:pPr>
      <w:jc w:val="center"/>
    </w:pPr>
  </w:style>
  <w:style w:type="paragraph" w:customStyle="1" w:styleId="ChartorTableNote">
    <w:name w:val="Chart or Table Note"/>
    <w:next w:val="Normal"/>
    <w:rsid w:val="00DA03A2"/>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DA03A2"/>
    <w:pPr>
      <w:jc w:val="center"/>
    </w:pPr>
  </w:style>
  <w:style w:type="paragraph" w:customStyle="1" w:styleId="ReportDate">
    <w:name w:val="Report Date"/>
    <w:basedOn w:val="Normal"/>
    <w:link w:val="ReportDateChar"/>
    <w:rsid w:val="00DA03A2"/>
    <w:pPr>
      <w:keepNext/>
      <w:spacing w:before="1080" w:after="360"/>
      <w:jc w:val="right"/>
    </w:pPr>
    <w:rPr>
      <w:color w:val="0084BC" w:themeColor="accent1"/>
      <w:sz w:val="44"/>
    </w:rPr>
  </w:style>
  <w:style w:type="paragraph" w:customStyle="1" w:styleId="Dash">
    <w:name w:val="Dash"/>
    <w:basedOn w:val="Normal"/>
    <w:rsid w:val="00DA03A2"/>
    <w:pPr>
      <w:numPr>
        <w:ilvl w:val="1"/>
        <w:numId w:val="1"/>
      </w:numPr>
      <w:ind w:left="568"/>
    </w:pPr>
  </w:style>
  <w:style w:type="paragraph" w:customStyle="1" w:styleId="DoubleDot">
    <w:name w:val="Double Dot"/>
    <w:basedOn w:val="Normal"/>
    <w:rsid w:val="00DA03A2"/>
    <w:pPr>
      <w:numPr>
        <w:ilvl w:val="2"/>
        <w:numId w:val="1"/>
      </w:numPr>
      <w:ind w:left="851" w:hanging="284"/>
    </w:pPr>
  </w:style>
  <w:style w:type="paragraph" w:customStyle="1" w:styleId="TableMainHeading">
    <w:name w:val="Table Main Heading"/>
    <w:basedOn w:val="Heading3"/>
    <w:next w:val="Normal"/>
    <w:rsid w:val="00DA03A2"/>
    <w:pPr>
      <w:spacing w:before="120" w:after="0"/>
    </w:pPr>
    <w:rPr>
      <w:b/>
    </w:rPr>
  </w:style>
  <w:style w:type="paragraph" w:customStyle="1" w:styleId="FooterEven">
    <w:name w:val="Footer Even"/>
    <w:basedOn w:val="Footer"/>
    <w:rsid w:val="00DA03A2"/>
    <w:pPr>
      <w:keepNext/>
      <w:tabs>
        <w:tab w:val="clear" w:pos="4513"/>
        <w:tab w:val="clear" w:pos="9026"/>
      </w:tabs>
      <w:jc w:val="left"/>
    </w:pPr>
    <w:rPr>
      <w:noProof/>
      <w:color w:val="0084BC" w:themeColor="accent1"/>
    </w:rPr>
  </w:style>
  <w:style w:type="paragraph" w:customStyle="1" w:styleId="FooterOdd">
    <w:name w:val="Footer Odd"/>
    <w:basedOn w:val="Footer"/>
    <w:rsid w:val="00DA03A2"/>
    <w:pPr>
      <w:keepNext/>
      <w:tabs>
        <w:tab w:val="clear" w:pos="4513"/>
        <w:tab w:val="clear" w:pos="9026"/>
      </w:tabs>
      <w:jc w:val="right"/>
    </w:pPr>
    <w:rPr>
      <w:color w:val="0084BC" w:themeColor="accent1"/>
    </w:rPr>
  </w:style>
  <w:style w:type="character" w:styleId="Hyperlink">
    <w:name w:val="Hyperlink"/>
    <w:basedOn w:val="DefaultParagraphFont"/>
    <w:uiPriority w:val="99"/>
    <w:rsid w:val="00DA03A2"/>
    <w:rPr>
      <w:color w:val="396984"/>
      <w:u w:val="none"/>
    </w:rPr>
  </w:style>
  <w:style w:type="paragraph" w:customStyle="1" w:styleId="OutlineNumbered1">
    <w:name w:val="Outline Numbered 1"/>
    <w:basedOn w:val="Normal"/>
    <w:rsid w:val="00DA03A2"/>
    <w:pPr>
      <w:numPr>
        <w:numId w:val="6"/>
      </w:numPr>
    </w:pPr>
  </w:style>
  <w:style w:type="paragraph" w:customStyle="1" w:styleId="OneLevelNumberedParagraph">
    <w:name w:val="One Level Numbered Paragraph"/>
    <w:basedOn w:val="Normal"/>
    <w:rsid w:val="00DA03A2"/>
    <w:pPr>
      <w:numPr>
        <w:numId w:val="5"/>
      </w:numPr>
    </w:pPr>
  </w:style>
  <w:style w:type="paragraph" w:customStyle="1" w:styleId="OutlineNumbered2">
    <w:name w:val="Outline Numbered 2"/>
    <w:basedOn w:val="Normal"/>
    <w:rsid w:val="00DA03A2"/>
    <w:pPr>
      <w:numPr>
        <w:ilvl w:val="1"/>
        <w:numId w:val="6"/>
      </w:numPr>
    </w:pPr>
  </w:style>
  <w:style w:type="paragraph" w:customStyle="1" w:styleId="OutlineNumbered3">
    <w:name w:val="Outline Numbered 3"/>
    <w:basedOn w:val="Normal"/>
    <w:rsid w:val="00DA03A2"/>
    <w:pPr>
      <w:numPr>
        <w:ilvl w:val="2"/>
        <w:numId w:val="6"/>
      </w:numPr>
    </w:pPr>
  </w:style>
  <w:style w:type="paragraph" w:customStyle="1" w:styleId="Romannumeral">
    <w:name w:val="Roman numeral"/>
    <w:basedOn w:val="Normal"/>
    <w:rsid w:val="00DA03A2"/>
    <w:pPr>
      <w:numPr>
        <w:numId w:val="8"/>
      </w:numPr>
      <w:tabs>
        <w:tab w:val="clear" w:pos="720"/>
        <w:tab w:val="num" w:pos="851"/>
      </w:tabs>
      <w:ind w:left="851" w:hanging="851"/>
    </w:pPr>
  </w:style>
  <w:style w:type="paragraph" w:customStyle="1" w:styleId="SingleParagraph">
    <w:name w:val="Single Paragraph"/>
    <w:basedOn w:val="Normal"/>
    <w:link w:val="SingleParagraphChar"/>
    <w:rsid w:val="00DA03A2"/>
  </w:style>
  <w:style w:type="paragraph" w:customStyle="1" w:styleId="TableSecondHeading">
    <w:name w:val="Table Second Heading"/>
    <w:basedOn w:val="Normal"/>
    <w:next w:val="Normal"/>
    <w:rsid w:val="00DA03A2"/>
    <w:pPr>
      <w:keepNext/>
      <w:spacing w:after="20"/>
    </w:pPr>
    <w:rPr>
      <w:b/>
      <w:color w:val="396984"/>
    </w:rPr>
  </w:style>
  <w:style w:type="paragraph" w:customStyle="1" w:styleId="TableColumnHeadingCentred">
    <w:name w:val="Table Column Heading Centred"/>
    <w:basedOn w:val="TableTextLeft"/>
    <w:rsid w:val="00DA03A2"/>
    <w:pPr>
      <w:jc w:val="center"/>
    </w:pPr>
    <w:rPr>
      <w:b/>
      <w:color w:val="FFFFFF" w:themeColor="background1"/>
      <w:sz w:val="24"/>
    </w:rPr>
  </w:style>
  <w:style w:type="paragraph" w:customStyle="1" w:styleId="TableColumnHeadingLeft">
    <w:name w:val="Table Column Heading Left"/>
    <w:basedOn w:val="TableTextLeft"/>
    <w:rsid w:val="00DA03A2"/>
    <w:rPr>
      <w:b/>
      <w:color w:val="FFFFFF" w:themeColor="background1"/>
      <w:sz w:val="24"/>
    </w:rPr>
  </w:style>
  <w:style w:type="paragraph" w:customStyle="1" w:styleId="TableColumnHeadingRight">
    <w:name w:val="Table Column Heading Right"/>
    <w:basedOn w:val="TableTextLeft"/>
    <w:rsid w:val="00DA03A2"/>
    <w:pPr>
      <w:jc w:val="right"/>
    </w:pPr>
    <w:rPr>
      <w:b/>
      <w:color w:val="FFFFFF" w:themeColor="background1"/>
      <w:sz w:val="24"/>
    </w:rPr>
  </w:style>
  <w:style w:type="table" w:styleId="TableGrid">
    <w:name w:val="Table Grid"/>
    <w:basedOn w:val="TableNormal"/>
    <w:rsid w:val="00DA03A2"/>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DA03A2"/>
    <w:pPr>
      <w:jc w:val="center"/>
    </w:pPr>
  </w:style>
  <w:style w:type="paragraph" w:customStyle="1" w:styleId="TableTextLeft">
    <w:name w:val="Table Text Left"/>
    <w:basedOn w:val="TableTextRight"/>
    <w:rsid w:val="00DA03A2"/>
    <w:pPr>
      <w:jc w:val="left"/>
    </w:pPr>
  </w:style>
  <w:style w:type="paragraph" w:customStyle="1" w:styleId="TableTextRight">
    <w:name w:val="Table Text Right"/>
    <w:basedOn w:val="Normal"/>
    <w:rsid w:val="00DA03A2"/>
    <w:pPr>
      <w:spacing w:before="40" w:after="40"/>
      <w:jc w:val="right"/>
    </w:pPr>
    <w:rPr>
      <w:color w:val="000000"/>
      <w:sz w:val="20"/>
    </w:rPr>
  </w:style>
  <w:style w:type="paragraph" w:styleId="TOC1">
    <w:name w:val="toc 1"/>
    <w:basedOn w:val="Normal"/>
    <w:next w:val="Normal"/>
    <w:uiPriority w:val="39"/>
    <w:qFormat/>
    <w:rsid w:val="00DA03A2"/>
    <w:pPr>
      <w:keepNext/>
      <w:tabs>
        <w:tab w:val="right" w:leader="dot" w:pos="9072"/>
      </w:tabs>
      <w:spacing w:before="180"/>
      <w:ind w:right="-2"/>
    </w:pPr>
    <w:rPr>
      <w:b/>
      <w:noProof/>
      <w:color w:val="004A7F"/>
    </w:rPr>
  </w:style>
  <w:style w:type="paragraph" w:styleId="TOC2">
    <w:name w:val="toc 2"/>
    <w:basedOn w:val="Normal"/>
    <w:next w:val="Normal"/>
    <w:uiPriority w:val="39"/>
    <w:qFormat/>
    <w:rsid w:val="00DA03A2"/>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DA03A2"/>
    <w:pPr>
      <w:tabs>
        <w:tab w:val="right" w:leader="dot" w:pos="9072"/>
      </w:tabs>
      <w:spacing w:before="20"/>
      <w:ind w:left="284" w:right="-2"/>
    </w:pPr>
    <w:rPr>
      <w:rFonts w:cs="Calibri"/>
      <w:noProof/>
    </w:rPr>
  </w:style>
  <w:style w:type="numbering" w:customStyle="1" w:styleId="OutlineList">
    <w:name w:val="OutlineList"/>
    <w:uiPriority w:val="99"/>
    <w:rsid w:val="00DA03A2"/>
    <w:pPr>
      <w:numPr>
        <w:numId w:val="4"/>
      </w:numPr>
    </w:pPr>
  </w:style>
  <w:style w:type="numbering" w:customStyle="1" w:styleId="BulletedList">
    <w:name w:val="Bulleted List"/>
    <w:uiPriority w:val="99"/>
    <w:rsid w:val="00DA03A2"/>
    <w:pPr>
      <w:numPr>
        <w:numId w:val="1"/>
      </w:numPr>
    </w:pPr>
  </w:style>
  <w:style w:type="numbering" w:customStyle="1" w:styleId="BoxBulletedList">
    <w:name w:val="Box Bulleted List"/>
    <w:uiPriority w:val="99"/>
    <w:rsid w:val="00DA03A2"/>
    <w:pPr>
      <w:numPr>
        <w:numId w:val="2"/>
      </w:numPr>
    </w:pPr>
  </w:style>
  <w:style w:type="numbering" w:customStyle="1" w:styleId="OneLevelList">
    <w:name w:val="OneLevelList"/>
    <w:uiPriority w:val="99"/>
    <w:rsid w:val="00DA03A2"/>
    <w:pPr>
      <w:numPr>
        <w:numId w:val="3"/>
      </w:numPr>
    </w:pPr>
  </w:style>
  <w:style w:type="numbering" w:customStyle="1" w:styleId="ChartandTableFootnoteAlphaList">
    <w:name w:val="ChartandTableFootnoteAlphaList"/>
    <w:uiPriority w:val="99"/>
    <w:rsid w:val="00DA03A2"/>
    <w:pPr>
      <w:numPr>
        <w:numId w:val="9"/>
      </w:numPr>
    </w:pPr>
  </w:style>
  <w:style w:type="paragraph" w:customStyle="1" w:styleId="Crest">
    <w:name w:val="Crest"/>
    <w:basedOn w:val="Header"/>
    <w:rsid w:val="00DA03A2"/>
    <w:pPr>
      <w:spacing w:after="480"/>
      <w:jc w:val="center"/>
    </w:pPr>
    <w:rPr>
      <w:color w:val="000000" w:themeColor="text1"/>
    </w:rPr>
  </w:style>
  <w:style w:type="paragraph" w:customStyle="1" w:styleId="Heading1Numbered">
    <w:name w:val="Heading 1 Numbered"/>
    <w:basedOn w:val="Heading1"/>
    <w:next w:val="Normal"/>
    <w:rsid w:val="00DA03A2"/>
    <w:pPr>
      <w:numPr>
        <w:numId w:val="7"/>
      </w:numPr>
    </w:pPr>
  </w:style>
  <w:style w:type="character" w:customStyle="1" w:styleId="SingleParagraphChar">
    <w:name w:val="Single Paragraph Char"/>
    <w:basedOn w:val="DefaultParagraphFont"/>
    <w:link w:val="SingleParagraph"/>
    <w:rsid w:val="00DA03A2"/>
    <w:rPr>
      <w:rFonts w:ascii="Calibri" w:eastAsia="Times New Roman" w:hAnsi="Calibri" w:cs="Times New Roman"/>
      <w:szCs w:val="20"/>
      <w:lang w:eastAsia="en-AU"/>
    </w:rPr>
  </w:style>
  <w:style w:type="paragraph" w:customStyle="1" w:styleId="Heading2Numbered">
    <w:name w:val="Heading 2 Numbered"/>
    <w:basedOn w:val="Heading2"/>
    <w:next w:val="Normal"/>
    <w:rsid w:val="00DA03A2"/>
    <w:pPr>
      <w:numPr>
        <w:ilvl w:val="1"/>
        <w:numId w:val="7"/>
      </w:numPr>
      <w:ind w:left="284" w:hanging="284"/>
    </w:pPr>
  </w:style>
  <w:style w:type="paragraph" w:customStyle="1" w:styleId="Heading3Numbered">
    <w:name w:val="Heading 3 Numbered"/>
    <w:basedOn w:val="Heading3"/>
    <w:qFormat/>
    <w:rsid w:val="00DA03A2"/>
    <w:pPr>
      <w:numPr>
        <w:ilvl w:val="2"/>
        <w:numId w:val="7"/>
      </w:numPr>
      <w:ind w:left="284" w:hanging="284"/>
    </w:pPr>
  </w:style>
  <w:style w:type="paragraph" w:styleId="Title">
    <w:name w:val="Title"/>
    <w:basedOn w:val="Normal"/>
    <w:next w:val="Normal"/>
    <w:link w:val="TitleChar"/>
    <w:uiPriority w:val="10"/>
    <w:qFormat/>
    <w:rsid w:val="00DA03A2"/>
    <w:pPr>
      <w:contextualSpacing/>
      <w:jc w:val="right"/>
    </w:pPr>
    <w:rPr>
      <w:rFonts w:eastAsiaTheme="majorEastAsia" w:cstheme="majorBidi"/>
      <w:b/>
      <w:caps/>
      <w:color w:val="003150" w:themeColor="accent3"/>
      <w:spacing w:val="5"/>
      <w:kern w:val="28"/>
      <w:sz w:val="52"/>
      <w:szCs w:val="68"/>
    </w:rPr>
  </w:style>
  <w:style w:type="character" w:customStyle="1" w:styleId="TitleChar">
    <w:name w:val="Title Char"/>
    <w:basedOn w:val="DefaultParagraphFont"/>
    <w:link w:val="Title"/>
    <w:uiPriority w:val="10"/>
    <w:rsid w:val="00DA03A2"/>
    <w:rPr>
      <w:rFonts w:ascii="Calibri" w:eastAsiaTheme="majorEastAsia" w:hAnsi="Calibri" w:cstheme="majorBidi"/>
      <w:b/>
      <w:caps/>
      <w:color w:val="003150" w:themeColor="accent3"/>
      <w:spacing w:val="5"/>
      <w:kern w:val="28"/>
      <w:sz w:val="52"/>
      <w:szCs w:val="68"/>
      <w:lang w:eastAsia="en-AU"/>
    </w:rPr>
  </w:style>
  <w:style w:type="paragraph" w:styleId="Subtitle">
    <w:name w:val="Subtitle"/>
    <w:basedOn w:val="Normal"/>
    <w:next w:val="Normal"/>
    <w:link w:val="SubtitleChar"/>
    <w:uiPriority w:val="11"/>
    <w:qFormat/>
    <w:rsid w:val="00DA03A2"/>
    <w:pPr>
      <w:numPr>
        <w:ilvl w:val="1"/>
      </w:numPr>
      <w:jc w:val="right"/>
    </w:pPr>
    <w:rPr>
      <w:rFonts w:eastAsiaTheme="majorEastAsia" w:cstheme="majorBidi"/>
      <w:iCs/>
      <w:color w:val="7F7F7F" w:themeColor="text1" w:themeTint="80"/>
      <w:sz w:val="32"/>
      <w:szCs w:val="44"/>
    </w:rPr>
  </w:style>
  <w:style w:type="character" w:customStyle="1" w:styleId="SubtitleChar">
    <w:name w:val="Subtitle Char"/>
    <w:basedOn w:val="DefaultParagraphFont"/>
    <w:link w:val="Subtitle"/>
    <w:uiPriority w:val="11"/>
    <w:rsid w:val="00DA03A2"/>
    <w:rPr>
      <w:rFonts w:ascii="Calibri" w:eastAsiaTheme="majorEastAsia" w:hAnsi="Calibri" w:cstheme="majorBidi"/>
      <w:iCs/>
      <w:color w:val="7F7F7F" w:themeColor="text1" w:themeTint="80"/>
      <w:sz w:val="32"/>
      <w:szCs w:val="44"/>
      <w:lang w:eastAsia="en-AU"/>
    </w:rPr>
  </w:style>
  <w:style w:type="character" w:styleId="SubtleEmphasis">
    <w:name w:val="Subtle Emphasis"/>
    <w:basedOn w:val="DefaultParagraphFont"/>
    <w:uiPriority w:val="19"/>
    <w:qFormat/>
    <w:rsid w:val="00DA03A2"/>
    <w:rPr>
      <w:i/>
      <w:iCs/>
      <w:color w:val="808080" w:themeColor="text1" w:themeTint="7F"/>
    </w:rPr>
  </w:style>
  <w:style w:type="paragraph" w:styleId="Footer">
    <w:name w:val="footer"/>
    <w:basedOn w:val="Normal"/>
    <w:link w:val="FooterChar"/>
    <w:unhideWhenUsed/>
    <w:rsid w:val="00DA03A2"/>
    <w:pPr>
      <w:tabs>
        <w:tab w:val="center" w:pos="4513"/>
        <w:tab w:val="right" w:pos="9026"/>
      </w:tabs>
      <w:jc w:val="center"/>
    </w:pPr>
    <w:rPr>
      <w:color w:val="004A7F"/>
      <w:sz w:val="20"/>
    </w:rPr>
  </w:style>
  <w:style w:type="character" w:customStyle="1" w:styleId="FooterChar">
    <w:name w:val="Footer Char"/>
    <w:basedOn w:val="DefaultParagraphFont"/>
    <w:link w:val="Footer"/>
    <w:rsid w:val="00DA03A2"/>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DA03A2"/>
    <w:pPr>
      <w:keepNext/>
      <w:jc w:val="right"/>
    </w:pPr>
    <w:rPr>
      <w:color w:val="004A7F"/>
      <w:sz w:val="20"/>
    </w:rPr>
  </w:style>
  <w:style w:type="character" w:customStyle="1" w:styleId="HeaderChar">
    <w:name w:val="Header Char"/>
    <w:basedOn w:val="DefaultParagraphFont"/>
    <w:link w:val="Header"/>
    <w:uiPriority w:val="99"/>
    <w:rsid w:val="00DA03A2"/>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DA03A2"/>
    <w:rPr>
      <w:color w:val="808080"/>
    </w:rPr>
  </w:style>
  <w:style w:type="paragraph" w:customStyle="1" w:styleId="AppendixHeading">
    <w:name w:val="Appendix Heading"/>
    <w:basedOn w:val="Normal"/>
    <w:next w:val="Normal"/>
    <w:rsid w:val="00DA03A2"/>
    <w:pPr>
      <w:keepNext/>
      <w:spacing w:before="720" w:after="360"/>
    </w:pPr>
    <w:rPr>
      <w:rFonts w:ascii="Arial Bold" w:hAnsi="Arial Bold"/>
      <w:b/>
      <w:smallCaps/>
      <w:color w:val="004A7F"/>
      <w:sz w:val="36"/>
      <w:szCs w:val="36"/>
    </w:rPr>
  </w:style>
  <w:style w:type="paragraph" w:customStyle="1" w:styleId="HeadingBase">
    <w:name w:val="Heading Base"/>
    <w:qFormat/>
    <w:rsid w:val="00DA03A2"/>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DA03A2"/>
    <w:rPr>
      <w:rFonts w:ascii="Calibri" w:eastAsia="Times New Roman" w:hAnsi="Calibri" w:cs="Times New Roman"/>
      <w:color w:val="0084BC" w:themeColor="accent1"/>
      <w:sz w:val="44"/>
      <w:szCs w:val="20"/>
      <w:lang w:eastAsia="en-AU"/>
    </w:rPr>
  </w:style>
  <w:style w:type="paragraph" w:customStyle="1" w:styleId="Disclaimer">
    <w:name w:val="Disclaimer"/>
    <w:basedOn w:val="ReportDate"/>
    <w:rsid w:val="00DA03A2"/>
    <w:pPr>
      <w:spacing w:after="1800"/>
      <w:ind w:right="142"/>
    </w:pPr>
    <w:rPr>
      <w:rFonts w:ascii="Century Gothic" w:hAnsi="Century Gothic"/>
      <w:b/>
      <w:bCs/>
      <w:color w:val="000000" w:themeColor="text2"/>
      <w:sz w:val="22"/>
    </w:rPr>
  </w:style>
  <w:style w:type="paragraph" w:customStyle="1" w:styleId="NotesHeading">
    <w:name w:val="Notes Heading"/>
    <w:basedOn w:val="Normal"/>
    <w:rsid w:val="00DA03A2"/>
    <w:pPr>
      <w:keepNext/>
      <w:spacing w:before="240" w:after="360"/>
      <w:jc w:val="center"/>
    </w:pPr>
    <w:rPr>
      <w:rFonts w:ascii="Century Gothic" w:hAnsi="Century Gothic"/>
      <w:smallCaps/>
      <w:color w:val="000000" w:themeColor="text2"/>
      <w:sz w:val="36"/>
      <w:szCs w:val="36"/>
    </w:rPr>
  </w:style>
  <w:style w:type="paragraph" w:customStyle="1" w:styleId="Divider">
    <w:name w:val="Divider"/>
    <w:basedOn w:val="ReportDate"/>
    <w:rsid w:val="00DA03A2"/>
    <w:pPr>
      <w:spacing w:after="1800"/>
    </w:pPr>
    <w:rPr>
      <w:rFonts w:ascii="Rockwell" w:hAnsi="Rockwell"/>
      <w:sz w:val="24"/>
    </w:rPr>
  </w:style>
  <w:style w:type="character" w:customStyle="1" w:styleId="FramedFooter">
    <w:name w:val="Framed Footer"/>
    <w:rsid w:val="00DA03A2"/>
    <w:rPr>
      <w:rFonts w:ascii="Arial" w:hAnsi="Arial"/>
      <w:color w:val="004A7F"/>
      <w:sz w:val="18"/>
    </w:rPr>
  </w:style>
  <w:style w:type="character" w:customStyle="1" w:styleId="FramedHeader">
    <w:name w:val="Framed Header"/>
    <w:basedOn w:val="DefaultParagraphFont"/>
    <w:rsid w:val="00DA03A2"/>
    <w:rPr>
      <w:rFonts w:ascii="Arial" w:hAnsi="Arial"/>
      <w:dstrike w:val="0"/>
      <w:color w:val="auto"/>
      <w:sz w:val="18"/>
      <w:vertAlign w:val="baseline"/>
    </w:rPr>
  </w:style>
  <w:style w:type="paragraph" w:customStyle="1" w:styleId="TableTextIndented">
    <w:name w:val="Table Text Indented"/>
    <w:basedOn w:val="TableTextLeft"/>
    <w:qFormat/>
    <w:rsid w:val="00DA03A2"/>
    <w:pPr>
      <w:ind w:left="284"/>
    </w:pPr>
  </w:style>
  <w:style w:type="paragraph" w:customStyle="1" w:styleId="TableHeadingContinued">
    <w:name w:val="Table Heading Continued"/>
    <w:basedOn w:val="TableMainHeading"/>
    <w:next w:val="TableGraphic"/>
    <w:qFormat/>
    <w:rsid w:val="00DA03A2"/>
  </w:style>
  <w:style w:type="paragraph" w:customStyle="1" w:styleId="TableGraphic">
    <w:name w:val="Table Graphic"/>
    <w:basedOn w:val="HeadingBase"/>
    <w:next w:val="Normal"/>
    <w:qFormat/>
    <w:rsid w:val="00DA03A2"/>
    <w:pPr>
      <w:spacing w:after="0"/>
    </w:pPr>
  </w:style>
  <w:style w:type="paragraph" w:customStyle="1" w:styleId="HeaderEven">
    <w:name w:val="Header Even"/>
    <w:basedOn w:val="Header"/>
    <w:qFormat/>
    <w:rsid w:val="00DA03A2"/>
    <w:pPr>
      <w:jc w:val="left"/>
    </w:pPr>
    <w:rPr>
      <w:color w:val="0084BC" w:themeColor="accent1"/>
    </w:rPr>
  </w:style>
  <w:style w:type="paragraph" w:customStyle="1" w:styleId="HeaderOdd">
    <w:name w:val="Header Odd"/>
    <w:basedOn w:val="Header"/>
    <w:qFormat/>
    <w:rsid w:val="00DA03A2"/>
    <w:rPr>
      <w:color w:val="0084BC" w:themeColor="accent1"/>
    </w:rPr>
  </w:style>
  <w:style w:type="paragraph" w:styleId="FootnoteText">
    <w:name w:val="footnote text"/>
    <w:basedOn w:val="Normal"/>
    <w:link w:val="FootnoteTextChar"/>
    <w:uiPriority w:val="99"/>
    <w:rsid w:val="00DA03A2"/>
    <w:pPr>
      <w:tabs>
        <w:tab w:val="left" w:pos="284"/>
      </w:tabs>
    </w:pPr>
    <w:rPr>
      <w:sz w:val="20"/>
    </w:rPr>
  </w:style>
  <w:style w:type="character" w:customStyle="1" w:styleId="FootnoteTextChar">
    <w:name w:val="Footnote Text Char"/>
    <w:basedOn w:val="DefaultParagraphFont"/>
    <w:link w:val="FootnoteText"/>
    <w:uiPriority w:val="99"/>
    <w:rsid w:val="00DA03A2"/>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DA03A2"/>
    <w:rPr>
      <w:rFonts w:ascii="Calibri" w:hAnsi="Calibri"/>
      <w:sz w:val="20"/>
      <w:vertAlign w:val="baseline"/>
    </w:rPr>
  </w:style>
  <w:style w:type="paragraph" w:styleId="BalloonText">
    <w:name w:val="Balloon Text"/>
    <w:basedOn w:val="Normal"/>
    <w:link w:val="BalloonTextChar"/>
    <w:uiPriority w:val="99"/>
    <w:semiHidden/>
    <w:unhideWhenUsed/>
    <w:rsid w:val="00DA03A2"/>
    <w:rPr>
      <w:rFonts w:ascii="Tahoma" w:hAnsi="Tahoma" w:cs="Tahoma"/>
      <w:sz w:val="16"/>
      <w:szCs w:val="16"/>
    </w:rPr>
  </w:style>
  <w:style w:type="character" w:customStyle="1" w:styleId="BalloonTextChar">
    <w:name w:val="Balloon Text Char"/>
    <w:basedOn w:val="DefaultParagraphFont"/>
    <w:link w:val="BalloonText"/>
    <w:uiPriority w:val="99"/>
    <w:semiHidden/>
    <w:rsid w:val="00DA03A2"/>
    <w:rPr>
      <w:rFonts w:ascii="Tahoma" w:eastAsia="Times New Roman" w:hAnsi="Tahoma" w:cs="Tahoma"/>
      <w:sz w:val="16"/>
      <w:szCs w:val="16"/>
      <w:lang w:eastAsia="en-AU"/>
    </w:rPr>
  </w:style>
  <w:style w:type="paragraph" w:styleId="NoSpacing">
    <w:name w:val="No Spacing"/>
    <w:uiPriority w:val="1"/>
    <w:qFormat/>
    <w:rsid w:val="00DA03A2"/>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DA03A2"/>
    <w:pPr>
      <w:pBdr>
        <w:bottom w:val="single" w:sz="4" w:space="4" w:color="0084BC" w:themeColor="accent1"/>
      </w:pBdr>
      <w:spacing w:before="200" w:after="280"/>
      <w:ind w:left="936" w:right="936"/>
    </w:pPr>
    <w:rPr>
      <w:b/>
      <w:bCs/>
      <w:i/>
      <w:iCs/>
      <w:color w:val="0084BC" w:themeColor="accent1"/>
    </w:rPr>
  </w:style>
  <w:style w:type="character" w:customStyle="1" w:styleId="IntenseQuoteChar">
    <w:name w:val="Intense Quote Char"/>
    <w:basedOn w:val="DefaultParagraphFont"/>
    <w:link w:val="IntenseQuote"/>
    <w:uiPriority w:val="30"/>
    <w:rsid w:val="00DA03A2"/>
    <w:rPr>
      <w:rFonts w:ascii="Calibri" w:eastAsia="Times New Roman" w:hAnsi="Calibri" w:cs="Times New Roman"/>
      <w:b/>
      <w:bCs/>
      <w:i/>
      <w:iCs/>
      <w:color w:val="0084BC" w:themeColor="accent1"/>
      <w:szCs w:val="20"/>
      <w:lang w:eastAsia="en-AU"/>
    </w:rPr>
  </w:style>
  <w:style w:type="character" w:styleId="IntenseEmphasis">
    <w:name w:val="Intense Emphasis"/>
    <w:basedOn w:val="DefaultParagraphFont"/>
    <w:uiPriority w:val="21"/>
    <w:qFormat/>
    <w:rsid w:val="00DA03A2"/>
    <w:rPr>
      <w:b/>
      <w:bCs/>
      <w:i/>
      <w:iCs/>
      <w:color w:val="0084BC" w:themeColor="accent1"/>
    </w:rPr>
  </w:style>
  <w:style w:type="numbering" w:customStyle="1" w:styleId="Bulletlist">
    <w:name w:val="Bullet list"/>
    <w:uiPriority w:val="99"/>
    <w:rsid w:val="00DA03A2"/>
    <w:pPr>
      <w:numPr>
        <w:numId w:val="10"/>
      </w:numPr>
    </w:pPr>
  </w:style>
  <w:style w:type="character" w:customStyle="1" w:styleId="BulletChar">
    <w:name w:val="Bullet Char"/>
    <w:basedOn w:val="DefaultParagraphFont"/>
    <w:link w:val="Bullet"/>
    <w:rsid w:val="00DA03A2"/>
    <w:rPr>
      <w:rFonts w:cs="Times New Roman"/>
      <w:szCs w:val="20"/>
    </w:rPr>
  </w:style>
  <w:style w:type="table" w:customStyle="1" w:styleId="LightList-Accent51">
    <w:name w:val="Light List - Accent 51"/>
    <w:basedOn w:val="TableNormal"/>
    <w:next w:val="LightList-Accent5"/>
    <w:uiPriority w:val="61"/>
    <w:rsid w:val="00DA03A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DA03A2"/>
    <w:rPr>
      <w:sz w:val="16"/>
      <w:szCs w:val="16"/>
    </w:rPr>
  </w:style>
  <w:style w:type="paragraph" w:styleId="CommentText">
    <w:name w:val="annotation text"/>
    <w:basedOn w:val="Normal"/>
    <w:link w:val="CommentTextChar"/>
    <w:uiPriority w:val="99"/>
    <w:semiHidden/>
    <w:unhideWhenUsed/>
    <w:rsid w:val="00DA03A2"/>
    <w:rPr>
      <w:rFonts w:ascii="Arial" w:hAnsi="Arial"/>
      <w:sz w:val="20"/>
    </w:rPr>
  </w:style>
  <w:style w:type="character" w:customStyle="1" w:styleId="CommentTextChar">
    <w:name w:val="Comment Text Char"/>
    <w:basedOn w:val="DefaultParagraphFont"/>
    <w:link w:val="CommentText"/>
    <w:uiPriority w:val="99"/>
    <w:semiHidden/>
    <w:rsid w:val="00DA03A2"/>
    <w:rPr>
      <w:rFonts w:ascii="Arial" w:hAnsi="Arial"/>
      <w:sz w:val="20"/>
      <w:szCs w:val="20"/>
    </w:rPr>
  </w:style>
  <w:style w:type="table" w:styleId="LightList-Accent5">
    <w:name w:val="Light List Accent 5"/>
    <w:basedOn w:val="TableNormal"/>
    <w:uiPriority w:val="61"/>
    <w:rsid w:val="00DA03A2"/>
    <w:pPr>
      <w:spacing w:after="0" w:line="240" w:lineRule="auto"/>
    </w:pPr>
    <w:tblPr>
      <w:tblStyleRowBandSize w:val="1"/>
      <w:tblStyleColBandSize w:val="1"/>
      <w:tblBorders>
        <w:top w:val="single" w:sz="8" w:space="0" w:color="99CEE4" w:themeColor="accent5"/>
        <w:left w:val="single" w:sz="8" w:space="0" w:color="99CEE4" w:themeColor="accent5"/>
        <w:bottom w:val="single" w:sz="8" w:space="0" w:color="99CEE4" w:themeColor="accent5"/>
        <w:right w:val="single" w:sz="8" w:space="0" w:color="99CEE4" w:themeColor="accent5"/>
      </w:tblBorders>
    </w:tblPr>
    <w:tblStylePr w:type="firstRow">
      <w:pPr>
        <w:spacing w:before="0" w:after="0" w:line="240" w:lineRule="auto"/>
      </w:pPr>
      <w:rPr>
        <w:b/>
        <w:bCs/>
        <w:color w:val="FFFFFF" w:themeColor="background1"/>
      </w:rPr>
      <w:tblPr/>
      <w:tcPr>
        <w:shd w:val="clear" w:color="auto" w:fill="99CEE4" w:themeFill="accent5"/>
      </w:tcPr>
    </w:tblStylePr>
    <w:tblStylePr w:type="lastRow">
      <w:pPr>
        <w:spacing w:before="0" w:after="0" w:line="240" w:lineRule="auto"/>
      </w:pPr>
      <w:rPr>
        <w:b/>
        <w:bCs/>
      </w:rPr>
      <w:tblPr/>
      <w:tcPr>
        <w:tcBorders>
          <w:top w:val="double" w:sz="6" w:space="0" w:color="99CEE4" w:themeColor="accent5"/>
          <w:left w:val="single" w:sz="8" w:space="0" w:color="99CEE4" w:themeColor="accent5"/>
          <w:bottom w:val="single" w:sz="8" w:space="0" w:color="99CEE4" w:themeColor="accent5"/>
          <w:right w:val="single" w:sz="8" w:space="0" w:color="99CEE4" w:themeColor="accent5"/>
        </w:tcBorders>
      </w:tcPr>
    </w:tblStylePr>
    <w:tblStylePr w:type="firstCol">
      <w:rPr>
        <w:b/>
        <w:bCs/>
      </w:rPr>
    </w:tblStylePr>
    <w:tblStylePr w:type="lastCol">
      <w:rPr>
        <w:b/>
        <w:bCs/>
      </w:rPr>
    </w:tblStylePr>
    <w:tblStylePr w:type="band1Vert">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tblStylePr w:type="band1Horz">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style>
  <w:style w:type="paragraph" w:styleId="CommentSubject">
    <w:name w:val="annotation subject"/>
    <w:basedOn w:val="CommentText"/>
    <w:next w:val="CommentText"/>
    <w:link w:val="CommentSubjectChar"/>
    <w:uiPriority w:val="99"/>
    <w:semiHidden/>
    <w:unhideWhenUsed/>
    <w:rsid w:val="00DA03A2"/>
    <w:rPr>
      <w:rFonts w:ascii="Calibri" w:eastAsia="Times New Roman" w:hAnsi="Calibri"/>
      <w:b/>
      <w:bCs/>
      <w:lang w:eastAsia="en-AU"/>
    </w:rPr>
  </w:style>
  <w:style w:type="character" w:customStyle="1" w:styleId="CommentSubjectChar">
    <w:name w:val="Comment Subject Char"/>
    <w:basedOn w:val="CommentTextChar"/>
    <w:link w:val="CommentSubject"/>
    <w:uiPriority w:val="99"/>
    <w:semiHidden/>
    <w:rsid w:val="00DA03A2"/>
    <w:rPr>
      <w:rFonts w:ascii="Calibri" w:eastAsia="Times New Roman" w:hAnsi="Calibri" w:cs="Times New Roman"/>
      <w:b/>
      <w:bCs/>
      <w:sz w:val="20"/>
      <w:szCs w:val="20"/>
      <w:lang w:eastAsia="en-AU"/>
    </w:rPr>
  </w:style>
  <w:style w:type="table" w:styleId="LightList-Accent3">
    <w:name w:val="Light List Accent 3"/>
    <w:basedOn w:val="TableNormal"/>
    <w:uiPriority w:val="61"/>
    <w:rsid w:val="00DA03A2"/>
    <w:pPr>
      <w:spacing w:after="0" w:line="240" w:lineRule="auto"/>
    </w:pPr>
    <w:tblPr>
      <w:tblStyleRowBandSize w:val="1"/>
      <w:tblStyleColBandSize w:val="1"/>
      <w:tblBorders>
        <w:top w:val="single" w:sz="8" w:space="0" w:color="003150" w:themeColor="accent3"/>
        <w:left w:val="single" w:sz="8" w:space="0" w:color="003150" w:themeColor="accent3"/>
        <w:bottom w:val="single" w:sz="8" w:space="0" w:color="003150" w:themeColor="accent3"/>
        <w:right w:val="single" w:sz="8" w:space="0" w:color="003150" w:themeColor="accent3"/>
      </w:tblBorders>
    </w:tblPr>
    <w:tblStylePr w:type="firstRow">
      <w:pPr>
        <w:spacing w:before="0" w:after="0" w:line="240" w:lineRule="auto"/>
      </w:pPr>
      <w:rPr>
        <w:b/>
        <w:bCs/>
        <w:color w:val="FFFFFF" w:themeColor="background1"/>
      </w:rPr>
      <w:tblPr/>
      <w:tcPr>
        <w:shd w:val="clear" w:color="auto" w:fill="003150" w:themeFill="accent3"/>
      </w:tcPr>
    </w:tblStylePr>
    <w:tblStylePr w:type="lastRow">
      <w:pPr>
        <w:spacing w:before="0" w:after="0" w:line="240" w:lineRule="auto"/>
      </w:pPr>
      <w:rPr>
        <w:b/>
        <w:bCs/>
      </w:rPr>
      <w:tblPr/>
      <w:tcPr>
        <w:tcBorders>
          <w:top w:val="double" w:sz="6" w:space="0" w:color="003150" w:themeColor="accent3"/>
          <w:left w:val="single" w:sz="8" w:space="0" w:color="003150" w:themeColor="accent3"/>
          <w:bottom w:val="single" w:sz="8" w:space="0" w:color="003150" w:themeColor="accent3"/>
          <w:right w:val="single" w:sz="8" w:space="0" w:color="003150" w:themeColor="accent3"/>
        </w:tcBorders>
      </w:tcPr>
    </w:tblStylePr>
    <w:tblStylePr w:type="firstCol">
      <w:rPr>
        <w:b/>
        <w:bCs/>
      </w:rPr>
    </w:tblStylePr>
    <w:tblStylePr w:type="lastCol">
      <w:rPr>
        <w:b/>
        <w:bCs/>
      </w:rPr>
    </w:tblStylePr>
    <w:tblStylePr w:type="band1Vert">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tblStylePr w:type="band1Horz">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style>
  <w:style w:type="paragraph" w:styleId="TOCHeading">
    <w:name w:val="TOC Heading"/>
    <w:basedOn w:val="Heading1"/>
    <w:next w:val="Normal"/>
    <w:uiPriority w:val="39"/>
    <w:semiHidden/>
    <w:unhideWhenUsed/>
    <w:qFormat/>
    <w:rsid w:val="00DA03A2"/>
    <w:pPr>
      <w:keepLines/>
      <w:spacing w:before="480" w:after="0" w:line="276" w:lineRule="auto"/>
      <w:outlineLvl w:val="9"/>
    </w:pPr>
    <w:rPr>
      <w:rFonts w:asciiTheme="majorHAnsi" w:eastAsiaTheme="majorEastAsia" w:hAnsiTheme="majorHAnsi" w:cstheme="majorBidi"/>
      <w:bCs/>
      <w:color w:val="00628C" w:themeColor="accent1" w:themeShade="BF"/>
      <w:kern w:val="0"/>
      <w:sz w:val="28"/>
      <w:szCs w:val="28"/>
      <w:lang w:val="en-US" w:eastAsia="ja-JP"/>
    </w:rPr>
  </w:style>
  <w:style w:type="paragraph" w:customStyle="1" w:styleId="RecommendationHeading">
    <w:name w:val="Recommendation Heading"/>
    <w:basedOn w:val="Heading3"/>
    <w:qFormat/>
    <w:rsid w:val="001932B2"/>
    <w:pPr>
      <w:keepNext w:val="0"/>
      <w:spacing w:after="240"/>
    </w:pPr>
    <w:rPr>
      <w:color w:val="0072BB" w:themeColor="accent3" w:themeTint="BF"/>
      <w:sz w:val="22"/>
    </w:rPr>
  </w:style>
  <w:style w:type="character" w:customStyle="1" w:styleId="Bluebold">
    <w:name w:val="Blue bold"/>
    <w:basedOn w:val="DefaultParagraphFont"/>
    <w:uiPriority w:val="1"/>
    <w:qFormat/>
    <w:rsid w:val="00DA03A2"/>
    <w:rPr>
      <w:b/>
      <w:color w:val="396984"/>
    </w:rPr>
  </w:style>
  <w:style w:type="paragraph" w:customStyle="1" w:styleId="RecommendationHedaing">
    <w:name w:val="Recommendation Hedaing"/>
    <w:basedOn w:val="Heading3"/>
    <w:qFormat/>
    <w:rsid w:val="00DA03A2"/>
    <w:rPr>
      <w:color w:val="396984"/>
      <w:sz w:val="24"/>
    </w:rPr>
  </w:style>
  <w:style w:type="paragraph" w:customStyle="1" w:styleId="SecurityClassificationHeader">
    <w:name w:val="Security Classification Header"/>
    <w:link w:val="SecurityClassificationHeaderChar"/>
    <w:rsid w:val="002F71E6"/>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2F71E6"/>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2F71E6"/>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2F71E6"/>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2F71E6"/>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2F71E6"/>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2F71E6"/>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2F71E6"/>
    <w:rPr>
      <w:rFonts w:ascii="Calibri" w:eastAsia="Times New Roman" w:hAnsi="Calibri" w:cs="Times New Roman"/>
      <w:b/>
      <w:caps/>
      <w:color w:val="004A7F"/>
      <w:sz w:val="24"/>
      <w:szCs w:val="20"/>
      <w:lang w:eastAsia="en-AU"/>
    </w:rPr>
  </w:style>
  <w:style w:type="paragraph" w:customStyle="1" w:styleId="Contact">
    <w:name w:val="Contact"/>
    <w:basedOn w:val="Normal"/>
    <w:qFormat/>
    <w:rsid w:val="00A57D9C"/>
    <w:rPr>
      <w:b/>
    </w:rPr>
  </w:style>
  <w:style w:type="paragraph" w:styleId="Revision">
    <w:name w:val="Revision"/>
    <w:hidden/>
    <w:uiPriority w:val="99"/>
    <w:semiHidden/>
    <w:rsid w:val="00DC7231"/>
    <w:pPr>
      <w:spacing w:after="0" w:line="240" w:lineRule="auto"/>
    </w:pPr>
    <w:rPr>
      <w:rFonts w:ascii="Calibri" w:eastAsia="Times New Roman" w:hAnsi="Calibri" w:cs="Times New Roman"/>
      <w:szCs w:val="20"/>
      <w:lang w:eastAsia="en-AU"/>
    </w:rPr>
  </w:style>
  <w:style w:type="paragraph" w:styleId="ListParagraph">
    <w:name w:val="List Paragraph"/>
    <w:basedOn w:val="Normal"/>
    <w:uiPriority w:val="34"/>
    <w:qFormat/>
    <w:rsid w:val="00CB2324"/>
    <w:pPr>
      <w:ind w:left="720"/>
      <w:contextualSpacing/>
    </w:pPr>
  </w:style>
  <w:style w:type="paragraph" w:customStyle="1" w:styleId="ProtectiveMarking">
    <w:name w:val="Protective Marking"/>
    <w:uiPriority w:val="15"/>
    <w:semiHidden/>
    <w:qFormat/>
    <w:rsid w:val="00AF3991"/>
    <w:pPr>
      <w:spacing w:after="0" w:line="240" w:lineRule="auto"/>
      <w:jc w:val="center"/>
    </w:pPr>
    <w:rPr>
      <w:rFonts w:ascii="Arial" w:hAnsi="Arial"/>
      <w:b/>
      <w:color w:val="FF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50986049">
      <w:bodyDiv w:val="1"/>
      <w:marLeft w:val="0"/>
      <w:marRight w:val="0"/>
      <w:marTop w:val="0"/>
      <w:marBottom w:val="0"/>
      <w:divBdr>
        <w:top w:val="none" w:sz="0" w:space="0" w:color="auto"/>
        <w:left w:val="none" w:sz="0" w:space="0" w:color="auto"/>
        <w:bottom w:val="none" w:sz="0" w:space="0" w:color="auto"/>
        <w:right w:val="none" w:sz="0" w:space="0" w:color="auto"/>
      </w:divBdr>
    </w:div>
    <w:div w:id="1631401037">
      <w:bodyDiv w:val="1"/>
      <w:marLeft w:val="0"/>
      <w:marRight w:val="0"/>
      <w:marTop w:val="0"/>
      <w:marBottom w:val="0"/>
      <w:divBdr>
        <w:top w:val="none" w:sz="0" w:space="0" w:color="auto"/>
        <w:left w:val="none" w:sz="0" w:space="0" w:color="auto"/>
        <w:bottom w:val="none" w:sz="0" w:space="0" w:color="auto"/>
        <w:right w:val="none" w:sz="0" w:space="0" w:color="auto"/>
      </w:divBdr>
      <w:divsChild>
        <w:div w:id="698698425">
          <w:marLeft w:val="1080"/>
          <w:marRight w:val="0"/>
          <w:marTop w:val="0"/>
          <w:marBottom w:val="0"/>
          <w:divBdr>
            <w:top w:val="none" w:sz="0" w:space="0" w:color="auto"/>
            <w:left w:val="none" w:sz="0" w:space="0" w:color="auto"/>
            <w:bottom w:val="none" w:sz="0" w:space="0" w:color="auto"/>
            <w:right w:val="none" w:sz="0" w:space="0" w:color="auto"/>
          </w:divBdr>
        </w:div>
        <w:div w:id="1895726735">
          <w:marLeft w:val="1080"/>
          <w:marRight w:val="0"/>
          <w:marTop w:val="0"/>
          <w:marBottom w:val="0"/>
          <w:divBdr>
            <w:top w:val="none" w:sz="0" w:space="0" w:color="auto"/>
            <w:left w:val="none" w:sz="0" w:space="0" w:color="auto"/>
            <w:bottom w:val="none" w:sz="0" w:space="0" w:color="auto"/>
            <w:right w:val="none" w:sz="0" w:space="0" w:color="auto"/>
          </w:divBdr>
        </w:div>
        <w:div w:id="1089698009">
          <w:marLeft w:val="1080"/>
          <w:marRight w:val="0"/>
          <w:marTop w:val="0"/>
          <w:marBottom w:val="0"/>
          <w:divBdr>
            <w:top w:val="none" w:sz="0" w:space="0" w:color="auto"/>
            <w:left w:val="none" w:sz="0" w:space="0" w:color="auto"/>
            <w:bottom w:val="none" w:sz="0" w:space="0" w:color="auto"/>
            <w:right w:val="none" w:sz="0" w:space="0" w:color="auto"/>
          </w:divBdr>
        </w:div>
        <w:div w:id="1444375799">
          <w:marLeft w:val="1080"/>
          <w:marRight w:val="0"/>
          <w:marTop w:val="0"/>
          <w:marBottom w:val="0"/>
          <w:divBdr>
            <w:top w:val="none" w:sz="0" w:space="0" w:color="auto"/>
            <w:left w:val="none" w:sz="0" w:space="0" w:color="auto"/>
            <w:bottom w:val="none" w:sz="0" w:space="0" w:color="auto"/>
            <w:right w:val="none" w:sz="0" w:space="0" w:color="auto"/>
          </w:divBdr>
        </w:div>
        <w:div w:id="2003317034">
          <w:marLeft w:val="1080"/>
          <w:marRight w:val="0"/>
          <w:marTop w:val="0"/>
          <w:marBottom w:val="0"/>
          <w:divBdr>
            <w:top w:val="none" w:sz="0" w:space="0" w:color="auto"/>
            <w:left w:val="none" w:sz="0" w:space="0" w:color="auto"/>
            <w:bottom w:val="none" w:sz="0" w:space="0" w:color="auto"/>
            <w:right w:val="none" w:sz="0" w:space="0" w:color="auto"/>
          </w:divBdr>
        </w:div>
        <w:div w:id="765031620">
          <w:marLeft w:val="1080"/>
          <w:marRight w:val="0"/>
          <w:marTop w:val="0"/>
          <w:marBottom w:val="0"/>
          <w:divBdr>
            <w:top w:val="none" w:sz="0" w:space="0" w:color="auto"/>
            <w:left w:val="none" w:sz="0" w:space="0" w:color="auto"/>
            <w:bottom w:val="none" w:sz="0" w:space="0" w:color="auto"/>
            <w:right w:val="none" w:sz="0" w:space="0" w:color="auto"/>
          </w:divBdr>
        </w:div>
        <w:div w:id="6357474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medialiaison@treasury.gov.au" TargetMode="External"/><Relationship Id="rId23" Type="http://schemas.openxmlformats.org/officeDocument/2006/relationships/image" Target="media/image3.jpeg"/><Relationship Id="rId28" Type="http://schemas.openxmlformats.org/officeDocument/2006/relationships/footer" Target="footer6.xml"/><Relationship Id="rId10" Type="http://schemas.openxmlformats.org/officeDocument/2006/relationships/hyperlink" Target="http://creativecommons.org/licenses/by/3.0/au/deed.en" TargetMode="External"/><Relationship Id="rId19" Type="http://schemas.openxmlformats.org/officeDocument/2006/relationships/header" Target="header4.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tsanhonour.gov.au" TargetMode="Externa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lossy - Health">
  <a:themeElements>
    <a:clrScheme name="Glossy - Health">
      <a:dk1>
        <a:sysClr val="windowText" lastClr="000000"/>
      </a:dk1>
      <a:lt1>
        <a:sysClr val="window" lastClr="FFFFFF"/>
      </a:lt1>
      <a:dk2>
        <a:srgbClr val="000000"/>
      </a:dk2>
      <a:lt2>
        <a:srgbClr val="EEECE1"/>
      </a:lt2>
      <a:accent1>
        <a:srgbClr val="0084BC"/>
      </a:accent1>
      <a:accent2>
        <a:srgbClr val="FCAF17"/>
      </a:accent2>
      <a:accent3>
        <a:srgbClr val="003150"/>
      </a:accent3>
      <a:accent4>
        <a:srgbClr val="808285"/>
      </a:accent4>
      <a:accent5>
        <a:srgbClr val="99CEE4"/>
      </a:accent5>
      <a:accent6>
        <a:srgbClr val="FEDFA2"/>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9A8A-6B39-4DCD-A220-C71581B6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4235</Words>
  <Characters>23487</Characters>
  <Application>Microsoft Office Word</Application>
  <DocSecurity>0</DocSecurity>
  <Lines>589</Lines>
  <Paragraphs>203</Paragraphs>
  <ScaleCrop>false</ScaleCrop>
  <HeadingPairs>
    <vt:vector size="2" baseType="variant">
      <vt:variant>
        <vt:lpstr>Title</vt:lpstr>
      </vt:variant>
      <vt:variant>
        <vt:i4>1</vt:i4>
      </vt:variant>
    </vt:vector>
  </HeadingPairs>
  <TitlesOfParts>
    <vt:vector size="1" baseType="lpstr">
      <vt:lpstr>Government response to the Review of the Tax Practitioners Board 2019</vt:lpstr>
    </vt:vector>
  </TitlesOfParts>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Review of the Tax Practitioners Board 2019</dc:title>
  <dc:creator>Australian Government</dc:creator>
  <cp:lastModifiedBy/>
  <cp:revision>1</cp:revision>
  <dcterms:created xsi:type="dcterms:W3CDTF">2025-04-29T00:17:00Z</dcterms:created>
  <dcterms:modified xsi:type="dcterms:W3CDTF">2025-04-29T00:19:00Z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2025-04-29T00:19:12Z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d5a1ddcd-7134-4db3-9990-70849757aec1</vt:lpwstr>
  </property>
  <property fmtid="{D5CDD505-2E9C-101B-9397-08002B2CF9AE}" pid="8" name="MSIP_Label_4f932d64-9ab1-4d9b-81d2-a3a8b82dd47d_ContentBits">
    <vt:lpwstr>0</vt:lpwstr>
  </property>
</Properties>
</file>