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val="0"/>
          <w:color w:val="auto"/>
          <w:spacing w:val="0"/>
          <w:sz w:val="22"/>
          <w:szCs w:val="20"/>
        </w:rPr>
        <w:id w:val="927544969"/>
        <w:docPartObj>
          <w:docPartGallery w:val="Cover Pages"/>
          <w:docPartUnique/>
        </w:docPartObj>
      </w:sdtPr>
      <w:sdtEndPr/>
      <w:sdtContent>
        <w:p w14:paraId="4A713B8B" w14:textId="77777777" w:rsidR="00777265" w:rsidRPr="00777265" w:rsidRDefault="00777265" w:rsidP="008073C1">
          <w:pPr>
            <w:pStyle w:val="Reporttitle"/>
          </w:pPr>
          <w:r w:rsidRPr="00777265">
            <w:t>Incentives for secondary earners and income support recipients</w:t>
          </w:r>
        </w:p>
        <w:p w14:paraId="5E956748" w14:textId="6C7F6275" w:rsidR="00081F98" w:rsidRPr="001C2639" w:rsidRDefault="00081F98" w:rsidP="001C2639">
          <w:pPr>
            <w:pStyle w:val="Heading1"/>
          </w:pPr>
          <w:r w:rsidRPr="001C2639">
            <w:t>Address to the Policy Research Conference</w:t>
          </w:r>
        </w:p>
        <w:p w14:paraId="5B58A870" w14:textId="1C005863" w:rsidR="00285BA3" w:rsidRPr="00266FDF" w:rsidRDefault="0064108B" w:rsidP="00266FDF">
          <w:pPr>
            <w:pStyle w:val="Authornameunderlined"/>
          </w:pPr>
          <w:r>
            <w:t>Presented by Dr Steven Kennedy PSM</w:t>
          </w:r>
          <w:r w:rsidR="00A37C39">
            <w:rPr>
              <w:rStyle w:val="FootnoteReference"/>
            </w:rPr>
            <w:footnoteReference w:id="2"/>
          </w:r>
          <w:r w:rsidR="00266FDF">
            <w:br/>
          </w:r>
          <w:r w:rsidR="002629F4">
            <w:t>3 April 2023</w:t>
          </w:r>
        </w:p>
        <w:tbl>
          <w:tblPr>
            <w:tblW w:w="5000" w:type="pct"/>
            <w:shd w:val="clear" w:color="auto" w:fill="F2F9FC"/>
            <w:tblCellMar>
              <w:top w:w="227" w:type="dxa"/>
              <w:left w:w="227" w:type="dxa"/>
              <w:bottom w:w="227" w:type="dxa"/>
              <w:right w:w="227" w:type="dxa"/>
            </w:tblCellMar>
            <w:tblLook w:val="01E0" w:firstRow="1" w:lastRow="1" w:firstColumn="1" w:lastColumn="1" w:noHBand="0" w:noVBand="0"/>
          </w:tblPr>
          <w:tblGrid>
            <w:gridCol w:w="9070"/>
          </w:tblGrid>
          <w:tr w:rsidR="003C2076" w14:paraId="6539A904" w14:textId="77777777" w:rsidTr="002D645E">
            <w:trPr>
              <w:tblHeader/>
            </w:trPr>
            <w:tc>
              <w:tcPr>
                <w:tcW w:w="5000" w:type="pct"/>
                <w:shd w:val="clear" w:color="auto" w:fill="FCEEE5" w:themeFill="accent6" w:themeFillTint="33"/>
                <w:hideMark/>
              </w:tcPr>
              <w:p w14:paraId="7342A594" w14:textId="77777777" w:rsidR="003C2076" w:rsidRPr="00FC04E2" w:rsidRDefault="003C2076" w:rsidP="00FC04E2">
                <w:pPr>
                  <w:pStyle w:val="BoxHeading"/>
                </w:pPr>
                <w:r w:rsidRPr="0008454E">
                  <w:t>Summary</w:t>
                </w:r>
              </w:p>
              <w:p w14:paraId="2A92BE1F" w14:textId="3D4278C8" w:rsidR="00667007" w:rsidRDefault="002A3392" w:rsidP="00680200">
                <w:pPr>
                  <w:pStyle w:val="BoxText"/>
                </w:pPr>
                <w:r>
                  <w:rPr>
                    <w:lang w:eastAsia="en-US"/>
                  </w:rPr>
                  <w:t xml:space="preserve">Some workers face </w:t>
                </w:r>
                <w:r w:rsidR="008A5139" w:rsidRPr="008A5139">
                  <w:rPr>
                    <w:lang w:eastAsia="en-US"/>
                  </w:rPr>
                  <w:t>complex and intersecting barriers to employment</w:t>
                </w:r>
                <w:r w:rsidR="00E44B84">
                  <w:rPr>
                    <w:lang w:eastAsia="en-US"/>
                  </w:rPr>
                  <w:t xml:space="preserve">. </w:t>
                </w:r>
                <w:r w:rsidR="00201FBA" w:rsidRPr="002E1906">
                  <w:t xml:space="preserve">Barriers can include </w:t>
                </w:r>
                <w:r w:rsidR="002E1906" w:rsidRPr="002E1906">
                  <w:t xml:space="preserve">lack of suitable job opportunities, gaps </w:t>
                </w:r>
                <w:r w:rsidR="002E1906">
                  <w:t>in a worker</w:t>
                </w:r>
                <w:r w:rsidR="0051795F">
                  <w:t>’</w:t>
                </w:r>
                <w:r w:rsidR="002E1906">
                  <w:t xml:space="preserve">s capabilities, and </w:t>
                </w:r>
                <w:r w:rsidR="00CC7AC9">
                  <w:t xml:space="preserve">appropriate incentives to undertake employment. </w:t>
                </w:r>
                <w:r w:rsidR="007337FE">
                  <w:t>Delivered in the lead up</w:t>
                </w:r>
                <w:r w:rsidR="0085551D">
                  <w:t xml:space="preserve"> to</w:t>
                </w:r>
                <w:r w:rsidR="007337FE">
                  <w:t xml:space="preserve"> the 2023 Employment White Paper, </w:t>
                </w:r>
                <w:r w:rsidR="00C14192">
                  <w:t>Dr Ke</w:t>
                </w:r>
                <w:r w:rsidR="00CD6B05">
                  <w:t>nnedy’s</w:t>
                </w:r>
                <w:r w:rsidR="00C14192">
                  <w:t xml:space="preserve"> </w:t>
                </w:r>
                <w:r w:rsidR="00CC7AC9">
                  <w:t>speech focuses on</w:t>
                </w:r>
                <w:r w:rsidR="0002739E">
                  <w:t xml:space="preserve"> how incentives</w:t>
                </w:r>
                <w:r w:rsidR="00CC7AC9">
                  <w:t xml:space="preserve"> </w:t>
                </w:r>
                <w:r w:rsidR="0002739E">
                  <w:t xml:space="preserve">shape decisions to participate in the labour market, including the decision to work and </w:t>
                </w:r>
                <w:r w:rsidR="00285AB2">
                  <w:t xml:space="preserve">how many hours </w:t>
                </w:r>
                <w:r w:rsidR="00CF6911">
                  <w:t>to work</w:t>
                </w:r>
                <w:r w:rsidR="00285AB2">
                  <w:t xml:space="preserve">. </w:t>
                </w:r>
              </w:p>
              <w:p w14:paraId="0F501DB7" w14:textId="3BCDD0AC" w:rsidR="00E8655D" w:rsidRDefault="00285AB2" w:rsidP="00526F2A">
                <w:pPr>
                  <w:pStyle w:val="BoxText"/>
                </w:pPr>
                <w:r>
                  <w:t xml:space="preserve">Secondary earners and income support recipients </w:t>
                </w:r>
                <w:r w:rsidR="00FE5370">
                  <w:t xml:space="preserve">are two cohorts </w:t>
                </w:r>
                <w:r w:rsidR="00680200">
                  <w:t>whose decisions to work are significantly affected by the tax</w:t>
                </w:r>
                <w:r w:rsidR="0051795F">
                  <w:noBreakHyphen/>
                </w:r>
                <w:r w:rsidR="00680200">
                  <w:t xml:space="preserve">transfer system. </w:t>
                </w:r>
                <w:r w:rsidR="00925AA1">
                  <w:t xml:space="preserve">Secondary earners </w:t>
                </w:r>
                <w:r w:rsidR="00B1475E">
                  <w:t xml:space="preserve">face </w:t>
                </w:r>
                <w:r w:rsidR="00504570">
                  <w:t xml:space="preserve">reduced incentives to take up </w:t>
                </w:r>
                <w:r w:rsidR="00A3521A">
                  <w:t>additional days of work</w:t>
                </w:r>
                <w:r w:rsidR="00504570">
                  <w:t xml:space="preserve">. </w:t>
                </w:r>
                <w:r w:rsidR="00C7614F">
                  <w:t xml:space="preserve">As women tend to </w:t>
                </w:r>
                <w:r w:rsidR="007209E2">
                  <w:t>do</w:t>
                </w:r>
                <w:r w:rsidR="00C7614F">
                  <w:t xml:space="preserve"> the majority of child caring and housework, </w:t>
                </w:r>
                <w:r w:rsidR="0033355F">
                  <w:t xml:space="preserve">they are </w:t>
                </w:r>
                <w:r w:rsidR="00E90264">
                  <w:t xml:space="preserve">also </w:t>
                </w:r>
                <w:r w:rsidR="0033355F">
                  <w:t>more likely to be secondary earners. The interaction of the tax</w:t>
                </w:r>
                <w:r w:rsidR="0051795F">
                  <w:noBreakHyphen/>
                </w:r>
                <w:r w:rsidR="0033355F">
                  <w:t xml:space="preserve">transfer system </w:t>
                </w:r>
                <w:r w:rsidR="00504570" w:rsidRPr="00BA2B0A">
                  <w:t>for secondary earners</w:t>
                </w:r>
                <w:r w:rsidR="0033355F">
                  <w:t xml:space="preserve"> can reduce incentives </w:t>
                </w:r>
                <w:r w:rsidR="00FC57D8">
                  <w:t xml:space="preserve">to undertake additional work, </w:t>
                </w:r>
                <w:r w:rsidR="00D52C08">
                  <w:t>with</w:t>
                </w:r>
                <w:r w:rsidR="0033355F">
                  <w:t xml:space="preserve"> earnings from additional work</w:t>
                </w:r>
                <w:r w:rsidR="00DB3097">
                  <w:t xml:space="preserve"> </w:t>
                </w:r>
                <w:r w:rsidR="0033355F">
                  <w:t>lost to income taxes, the</w:t>
                </w:r>
                <w:r w:rsidR="00504570">
                  <w:t xml:space="preserve"> </w:t>
                </w:r>
                <w:r w:rsidR="00A37681">
                  <w:t>withdrawal of transfer payments, and net childcare fees.</w:t>
                </w:r>
                <w:r w:rsidR="008B66D7">
                  <w:t xml:space="preserve"> </w:t>
                </w:r>
              </w:p>
              <w:p w14:paraId="62DDEABE" w14:textId="33744A38" w:rsidR="00AB19DD" w:rsidRDefault="00AB19DD" w:rsidP="00526F2A">
                <w:pPr>
                  <w:pStyle w:val="BoxText"/>
                </w:pPr>
                <w:r>
                  <w:t xml:space="preserve">Income support recipients also face reduced </w:t>
                </w:r>
                <w:r w:rsidR="00526F2A">
                  <w:t>incentives to work arising from the interactions in the tax</w:t>
                </w:r>
                <w:r w:rsidR="0051795F">
                  <w:noBreakHyphen/>
                </w:r>
                <w:r w:rsidR="00526F2A">
                  <w:t xml:space="preserve">transfer system. </w:t>
                </w:r>
                <w:r w:rsidR="001E0ED8">
                  <w:t>Income support recipients can face high effective marginal tax rates</w:t>
                </w:r>
                <w:r w:rsidR="00224A7D">
                  <w:t xml:space="preserve"> as additional </w:t>
                </w:r>
                <w:r w:rsidR="007646E7">
                  <w:t xml:space="preserve">labour income coincides with the withdrawal of transfer payments. </w:t>
                </w:r>
              </w:p>
              <w:p w14:paraId="0BB977E8" w14:textId="3EEA49EA" w:rsidR="000D31DF" w:rsidRDefault="00FC7497" w:rsidP="008C6B7E">
                <w:pPr>
                  <w:pStyle w:val="BoxText"/>
                  <w:rPr>
                    <w:lang w:eastAsia="en-US"/>
                  </w:rPr>
                </w:pPr>
                <w:r w:rsidRPr="00EA2CC8">
                  <w:t>N</w:t>
                </w:r>
                <w:r w:rsidR="00872423" w:rsidRPr="00EA2CC8">
                  <w:t>avigat</w:t>
                </w:r>
                <w:r w:rsidRPr="00EA2CC8">
                  <w:t>ing</w:t>
                </w:r>
                <w:r w:rsidR="00872423" w:rsidRPr="00EA2CC8">
                  <w:t xml:space="preserve"> the </w:t>
                </w:r>
                <w:r w:rsidR="0051795F">
                  <w:t>‘</w:t>
                </w:r>
                <w:r w:rsidR="00872423" w:rsidRPr="00EA2CC8">
                  <w:t>Iron Triangle</w:t>
                </w:r>
                <w:r w:rsidR="0051795F">
                  <w:t>’</w:t>
                </w:r>
                <w:r w:rsidR="00872423" w:rsidRPr="00EA2CC8">
                  <w:t xml:space="preserve"> of means testing</w:t>
                </w:r>
                <w:r w:rsidRPr="00EA2CC8">
                  <w:t xml:space="preserve"> </w:t>
                </w:r>
                <w:r w:rsidR="0001640E" w:rsidRPr="00EA2CC8">
                  <w:t>could</w:t>
                </w:r>
                <w:r w:rsidRPr="00EA2CC8">
                  <w:t xml:space="preserve"> improve incentives for secondary earners and income support recipients</w:t>
                </w:r>
                <w:r w:rsidR="0001640E" w:rsidRPr="00EA2CC8">
                  <w:t xml:space="preserve">. </w:t>
                </w:r>
                <w:r w:rsidR="00872423" w:rsidRPr="00EA2CC8">
                  <w:t>This describes the three</w:t>
                </w:r>
                <w:r w:rsidR="0051795F">
                  <w:noBreakHyphen/>
                </w:r>
                <w:r w:rsidR="00872423" w:rsidRPr="00EA2CC8">
                  <w:t>way trade</w:t>
                </w:r>
                <w:r w:rsidR="0051795F">
                  <w:noBreakHyphen/>
                </w:r>
                <w:r w:rsidR="00872423" w:rsidRPr="00EA2CC8">
                  <w:t xml:space="preserve">off between the adequacy of government payments (including for supporting job search), the costs to taxpayers, and the disincentives for people to get off the payment by earning income. </w:t>
                </w:r>
              </w:p>
            </w:tc>
          </w:tr>
        </w:tbl>
        <w:p w14:paraId="2C2DABB7" w14:textId="24171D05" w:rsidR="00E061DE" w:rsidRPr="00A37C39" w:rsidRDefault="004B3742" w:rsidP="00A37C39">
          <w:pPr>
            <w:sectPr w:rsidR="00E061DE" w:rsidRPr="00A37C39" w:rsidSect="00752BD8">
              <w:headerReference w:type="first" r:id="rId8"/>
              <w:footerReference w:type="first" r:id="rId9"/>
              <w:pgSz w:w="11906" w:h="16838" w:code="9"/>
              <w:pgMar w:top="1843" w:right="1418" w:bottom="1418" w:left="1418" w:header="709" w:footer="709" w:gutter="0"/>
              <w:pgNumType w:start="55"/>
              <w:cols w:space="708"/>
              <w:titlePg/>
              <w:docGrid w:linePitch="360"/>
            </w:sectPr>
          </w:pPr>
        </w:p>
      </w:sdtContent>
    </w:sdt>
    <w:p w14:paraId="0D33FA62" w14:textId="2BEDA80F" w:rsidR="006F2A51" w:rsidRDefault="006F2A51" w:rsidP="00B14369">
      <w:pPr>
        <w:pStyle w:val="Heading1Numbered"/>
        <w:rPr>
          <w:noProof/>
        </w:rPr>
      </w:pPr>
      <w:bookmarkStart w:id="0" w:name="_Toc48039786"/>
      <w:bookmarkStart w:id="1" w:name="_Toc128053039"/>
      <w:bookmarkStart w:id="2" w:name="_Toc135220534"/>
      <w:r w:rsidRPr="00F04934">
        <w:lastRenderedPageBreak/>
        <w:t>Introduction</w:t>
      </w:r>
    </w:p>
    <w:p w14:paraId="5B8D1A0E" w14:textId="644B4FF0" w:rsidR="0051192E" w:rsidRDefault="0051192E" w:rsidP="0051192E">
      <w:r>
        <w:t>I would like to acknowledge the Ngunnawal people, the Traditional Custodians of these lands, and their ongoing connection to Country. I pay my respects to their Elders</w:t>
      </w:r>
      <w:r w:rsidR="001324EB">
        <w:t xml:space="preserve"> – </w:t>
      </w:r>
      <w:r>
        <w:t>past and present</w:t>
      </w:r>
      <w:r w:rsidR="001324EB">
        <w:t xml:space="preserve"> – </w:t>
      </w:r>
      <w:r>
        <w:t xml:space="preserve">and extend my respect to any </w:t>
      </w:r>
      <w:r w:rsidR="00E50212">
        <w:t>First Nation</w:t>
      </w:r>
      <w:r>
        <w:t>s people who are with us today.</w:t>
      </w:r>
    </w:p>
    <w:p w14:paraId="4C5B8DAE" w14:textId="77777777" w:rsidR="00D83EB9" w:rsidRDefault="0051192E" w:rsidP="0051192E">
      <w:r>
        <w:t xml:space="preserve">I acknowledge the passing of Yunupingu and pay my respects to the Yolngu, the Gumatj clan, and the Yunupingu family. As the Prime Minister said Yunupingu was a leader, a statesman and a great Australian. He leaves a lasting legacy and is in our thoughts today. </w:t>
      </w:r>
    </w:p>
    <w:p w14:paraId="572A4020" w14:textId="6CE3A190" w:rsidR="00D83EB9" w:rsidRDefault="0010660C" w:rsidP="0010660C">
      <w:r w:rsidRPr="173B5957">
        <w:t xml:space="preserve">It is a pleasure to speak at </w:t>
      </w:r>
      <w:r w:rsidRPr="006648B1">
        <w:t xml:space="preserve">the </w:t>
      </w:r>
      <w:r>
        <w:t>Treasury</w:t>
      </w:r>
      <w:r w:rsidR="0051795F">
        <w:t>’</w:t>
      </w:r>
      <w:r>
        <w:t xml:space="preserve">s </w:t>
      </w:r>
      <w:r w:rsidRPr="006648B1">
        <w:t xml:space="preserve">first Policy Research Conference, which is jointly hosted </w:t>
      </w:r>
      <w:r>
        <w:t>with</w:t>
      </w:r>
      <w:r w:rsidRPr="006648B1">
        <w:t xml:space="preserve"> the </w:t>
      </w:r>
      <w:r>
        <w:t xml:space="preserve">Centre for Social Research and Methods at the </w:t>
      </w:r>
      <w:r w:rsidRPr="006648B1">
        <w:t xml:space="preserve">Australian National University. </w:t>
      </w:r>
      <w:r>
        <w:t>It is Treasury</w:t>
      </w:r>
      <w:r w:rsidR="0051795F">
        <w:t>’</w:t>
      </w:r>
      <w:r>
        <w:t xml:space="preserve">s intention that these </w:t>
      </w:r>
      <w:r w:rsidRPr="006648B1">
        <w:t>conference</w:t>
      </w:r>
      <w:r>
        <w:t>s</w:t>
      </w:r>
      <w:r w:rsidRPr="006648B1">
        <w:t xml:space="preserve"> </w:t>
      </w:r>
      <w:r>
        <w:t xml:space="preserve">will be an </w:t>
      </w:r>
      <w:r w:rsidRPr="006648B1">
        <w:t>opportunit</w:t>
      </w:r>
      <w:r>
        <w:t>y</w:t>
      </w:r>
      <w:r w:rsidRPr="006648B1">
        <w:t xml:space="preserve"> to discuss </w:t>
      </w:r>
      <w:r>
        <w:t>significant</w:t>
      </w:r>
      <w:r w:rsidRPr="006648B1">
        <w:t xml:space="preserve"> polic</w:t>
      </w:r>
      <w:r>
        <w:t>ies</w:t>
      </w:r>
      <w:r w:rsidRPr="006648B1">
        <w:t xml:space="preserve"> </w:t>
      </w:r>
      <w:r>
        <w:t>with Australia</w:t>
      </w:r>
      <w:r w:rsidR="0051795F">
        <w:t>’</w:t>
      </w:r>
      <w:r>
        <w:t xml:space="preserve">s top academics. </w:t>
      </w:r>
    </w:p>
    <w:p w14:paraId="243A6919" w14:textId="6BC10D86" w:rsidR="00D83EB9" w:rsidRPr="00D83EB9" w:rsidRDefault="00D83EB9" w:rsidP="00D83EB9">
      <w:r w:rsidRPr="00D83EB9">
        <w:t>Given the Australian Government will publish an employment white paper in September this year</w:t>
      </w:r>
      <w:r w:rsidR="0092392B">
        <w:t xml:space="preserve"> </w:t>
      </w:r>
      <w:r w:rsidR="0007735D">
        <w:t>(</w:t>
      </w:r>
      <w:r w:rsidR="00A900BC">
        <w:t>2023</w:t>
      </w:r>
      <w:r w:rsidR="0007735D">
        <w:t>)</w:t>
      </w:r>
      <w:r w:rsidRPr="00D83EB9">
        <w:t>, it was natural to choose the topic of full employment. These discussions will add to the voices we have been hearing through public submissions and consultations.</w:t>
      </w:r>
    </w:p>
    <w:p w14:paraId="75DBA41B" w14:textId="4164A78D" w:rsidR="000C277A" w:rsidRPr="000C277A" w:rsidRDefault="000C277A" w:rsidP="000C277A">
      <w:r w:rsidRPr="000C277A">
        <w:t>The Employment White Paper follows on from the Jobs and Skills Summit by further exploring the macroeconomic framework to promote full employment, productivity growth, and improving women</w:t>
      </w:r>
      <w:r w:rsidR="0051795F">
        <w:t>’</w:t>
      </w:r>
      <w:r w:rsidRPr="000C277A">
        <w:t>s workforce participation and equality.</w:t>
      </w:r>
    </w:p>
    <w:p w14:paraId="3F08E52C" w14:textId="4F64F227" w:rsidR="000C277A" w:rsidRPr="000C277A" w:rsidRDefault="000C277A" w:rsidP="000C277A">
      <w:r w:rsidRPr="000C277A">
        <w:t>It will also examine the changing structure of the workforce, job security, how Australia uses skills and training to expand job opportunities, and how to support those experiencing disadvantage in the labour market.</w:t>
      </w:r>
      <w:r w:rsidR="001C2FDC">
        <w:t xml:space="preserve"> </w:t>
      </w:r>
      <w:r w:rsidRPr="000C277A">
        <w:t>The interaction of the tax</w:t>
      </w:r>
      <w:r w:rsidRPr="000C277A">
        <w:rPr>
          <w:rFonts w:ascii="Cambria Math" w:hAnsi="Cambria Math" w:cs="Cambria Math"/>
        </w:rPr>
        <w:t>‑</w:t>
      </w:r>
      <w:r w:rsidRPr="000C277A">
        <w:t>transfer system with employment will be an underlying theme in all these domains and is the area I would like to explore today.</w:t>
      </w:r>
    </w:p>
    <w:p w14:paraId="53C7C32A" w14:textId="77777777" w:rsidR="00C54EE7" w:rsidRDefault="00C54EE7" w:rsidP="008308AE">
      <w:pPr>
        <w:rPr>
          <w:noProof/>
        </w:rPr>
        <w:sectPr w:rsidR="00C54EE7" w:rsidSect="004414BC">
          <w:headerReference w:type="even" r:id="rId10"/>
          <w:headerReference w:type="default" r:id="rId11"/>
          <w:footerReference w:type="even" r:id="rId12"/>
          <w:footerReference w:type="default" r:id="rId13"/>
          <w:headerReference w:type="first" r:id="rId14"/>
          <w:footerReference w:type="first" r:id="rId15"/>
          <w:footnotePr>
            <w:numStart w:val="40"/>
          </w:footnotePr>
          <w:pgSz w:w="11906" w:h="16838" w:code="9"/>
          <w:pgMar w:top="1843" w:right="1418" w:bottom="1418" w:left="1418" w:header="709" w:footer="709" w:gutter="0"/>
          <w:cols w:space="708"/>
          <w:docGrid w:linePitch="360"/>
        </w:sectPr>
      </w:pPr>
    </w:p>
    <w:p w14:paraId="43ED9AFD" w14:textId="373E3A23" w:rsidR="0043769E" w:rsidRDefault="006F2A51" w:rsidP="00414591">
      <w:pPr>
        <w:pStyle w:val="Heading1Numbered"/>
      </w:pPr>
      <w:r>
        <w:rPr>
          <w:noProof/>
        </w:rPr>
        <w:lastRenderedPageBreak/>
        <w:t>History of employment white papers</w:t>
      </w:r>
    </w:p>
    <w:p w14:paraId="18082849" w14:textId="3EDC6970" w:rsidR="008003AD" w:rsidRPr="008003AD" w:rsidRDefault="008003AD" w:rsidP="008003AD">
      <w:r w:rsidRPr="008003AD">
        <w:t>White papers are statements of government policy and intent. The 2023 Employment White Paper will be Australia</w:t>
      </w:r>
      <w:r w:rsidR="0051795F">
        <w:t>’</w:t>
      </w:r>
      <w:r w:rsidRPr="008003AD">
        <w:t>s third white paper on employment.</w:t>
      </w:r>
    </w:p>
    <w:p w14:paraId="248145EF" w14:textId="77777777" w:rsidR="008003AD" w:rsidRPr="008003AD" w:rsidRDefault="008003AD" w:rsidP="008003AD">
      <w:r w:rsidRPr="008003AD">
        <w:t xml:space="preserve">The first, titled </w:t>
      </w:r>
      <w:r w:rsidRPr="0072017E">
        <w:rPr>
          <w:rStyle w:val="Emphasis"/>
        </w:rPr>
        <w:t>Full Employment in Australia</w:t>
      </w:r>
      <w:r w:rsidRPr="008003AD">
        <w:t>, was published in 1945. It was conceived and drafted as World War Two was nearing its end and thoughts were turning to post</w:t>
      </w:r>
      <w:r w:rsidRPr="008003AD">
        <w:rPr>
          <w:rFonts w:ascii="Cambria Math" w:hAnsi="Cambria Math" w:cs="Cambria Math"/>
        </w:rPr>
        <w:t>‑</w:t>
      </w:r>
      <w:r w:rsidRPr="008003AD">
        <w:t>war reconstruction.</w:t>
      </w:r>
    </w:p>
    <w:p w14:paraId="3AF53666" w14:textId="01E10926" w:rsidR="008003AD" w:rsidRPr="008003AD" w:rsidRDefault="008003AD" w:rsidP="008003AD">
      <w:r w:rsidRPr="008003AD">
        <w:t>We know from Nugget Coombs</w:t>
      </w:r>
      <w:r w:rsidR="0051795F">
        <w:t>’</w:t>
      </w:r>
      <w:r w:rsidRPr="008003AD">
        <w:t xml:space="preserve"> writing that Australia</w:t>
      </w:r>
      <w:r w:rsidR="0051795F">
        <w:t>’</w:t>
      </w:r>
      <w:r w:rsidRPr="008003AD">
        <w:t>s harsh experience of the depression years</w:t>
      </w:r>
      <w:r w:rsidR="001324EB">
        <w:t xml:space="preserve"> – </w:t>
      </w:r>
      <w:r w:rsidRPr="008003AD">
        <w:t xml:space="preserve">when, at its worst, 1 in 5 workers were unemployed </w:t>
      </w:r>
      <w:r w:rsidRPr="00A92DB1">
        <w:t>(</w:t>
      </w:r>
      <w:r w:rsidR="005E3FA3">
        <w:t>Chart 3.1</w:t>
      </w:r>
      <w:r w:rsidRPr="00A92DB1">
        <w:t>)</w:t>
      </w:r>
      <w:r w:rsidR="001324EB">
        <w:t xml:space="preserve"> – </w:t>
      </w:r>
      <w:r w:rsidRPr="008003AD">
        <w:t>informed the drafting of the 1945 white paper. That white paper</w:t>
      </w:r>
      <w:r w:rsidR="0051795F">
        <w:t>’</w:t>
      </w:r>
      <w:r w:rsidRPr="008003AD">
        <w:t>s vision for full employment in peacetime Australia was also inspired by the levels of employment that were achieved when the nation mobilised to support the war effort.</w:t>
      </w:r>
    </w:p>
    <w:p w14:paraId="1C79F609" w14:textId="2495BAC7" w:rsidR="008868C6" w:rsidRPr="008868C6" w:rsidRDefault="008868C6" w:rsidP="008868C6">
      <w:r w:rsidRPr="008868C6">
        <w:t>The 1945 White Paper articulated a vision for a peacetime Australia that maintained wartime employment levels. Keynes</w:t>
      </w:r>
      <w:r w:rsidR="0051795F">
        <w:t>’</w:t>
      </w:r>
      <w:r w:rsidRPr="008868C6">
        <w:t xml:space="preserve"> </w:t>
      </w:r>
      <w:r w:rsidRPr="0072017E">
        <w:rPr>
          <w:rStyle w:val="Emphasis"/>
        </w:rPr>
        <w:t>General Theory of Employment, Interest and Money</w:t>
      </w:r>
      <w:r w:rsidRPr="008868C6">
        <w:t xml:space="preserve">, published in 1936, heavily influenced the policy prescriptions for maintaining </w:t>
      </w:r>
      <w:r w:rsidR="0051795F">
        <w:t>‘</w:t>
      </w:r>
      <w:r w:rsidRPr="008868C6">
        <w:t>full</w:t>
      </w:r>
      <w:r w:rsidR="0051795F">
        <w:t>’</w:t>
      </w:r>
      <w:r w:rsidRPr="008868C6">
        <w:t xml:space="preserve"> employment, in particular, the power of counter</w:t>
      </w:r>
      <w:r w:rsidRPr="008868C6">
        <w:rPr>
          <w:rFonts w:ascii="Cambria Math" w:hAnsi="Cambria Math" w:cs="Cambria Math"/>
        </w:rPr>
        <w:t>‑</w:t>
      </w:r>
      <w:r w:rsidRPr="008868C6">
        <w:t>cyclical policy to smooth periods of lower private sector demand.</w:t>
      </w:r>
    </w:p>
    <w:p w14:paraId="79CDD8B1" w14:textId="77777777" w:rsidR="008868C6" w:rsidRPr="008868C6" w:rsidRDefault="008868C6" w:rsidP="008868C6">
      <w:r w:rsidRPr="008868C6">
        <w:t>The framework laid out in 1945 was utilised by the Menzies Government in response to the 1951 Korean wool boom. Demand management was used to counter a large shock, although the shock in this case was a large positive price and income shock rather than insufficient aggregate demand.</w:t>
      </w:r>
    </w:p>
    <w:p w14:paraId="3BE27AEE" w14:textId="52BBC7DE" w:rsidR="00C73FFA" w:rsidRPr="00C73FFA" w:rsidRDefault="00C73FFA" w:rsidP="00C73FFA">
      <w:r w:rsidRPr="00C73FFA">
        <w:t>More recently, the Rudd Government</w:t>
      </w:r>
      <w:r w:rsidR="0051795F">
        <w:t>’</w:t>
      </w:r>
      <w:r w:rsidRPr="00C73FFA">
        <w:t>s response to the GFC and the Morrison Government</w:t>
      </w:r>
      <w:r w:rsidR="0051795F">
        <w:t>’</w:t>
      </w:r>
      <w:r w:rsidRPr="00C73FFA">
        <w:t>s response to the COVID</w:t>
      </w:r>
      <w:r w:rsidRPr="00C73FFA">
        <w:rPr>
          <w:rFonts w:ascii="Cambria Math" w:hAnsi="Cambria Math" w:cs="Cambria Math"/>
        </w:rPr>
        <w:t>‑</w:t>
      </w:r>
      <w:r w:rsidRPr="00C73FFA">
        <w:t>19 crisis stand as examples of counter</w:t>
      </w:r>
      <w:r w:rsidRPr="00C73FFA">
        <w:rPr>
          <w:rFonts w:ascii="Cambria Math" w:hAnsi="Cambria Math" w:cs="Cambria Math"/>
        </w:rPr>
        <w:t>‑</w:t>
      </w:r>
      <w:r w:rsidRPr="00C73FFA">
        <w:t>cyclical fiscal and monetary policy that successfully countered the prospect of high unemployment. These examples illustrate the primacy of good macroeconomic frameworks, above all other policies, in achieving sustained full employment.</w:t>
      </w:r>
    </w:p>
    <w:p w14:paraId="31B52AF0" w14:textId="5C612E3C" w:rsidR="00C73FFA" w:rsidRPr="00C73FFA" w:rsidRDefault="00C73FFA" w:rsidP="00C73FFA">
      <w:pPr>
        <w:rPr>
          <w:rFonts w:cstheme="minorHAnsi"/>
        </w:rPr>
      </w:pPr>
      <w:r w:rsidRPr="00C73FFA">
        <w:rPr>
          <w:rFonts w:cstheme="minorHAnsi"/>
        </w:rPr>
        <w:t>That is not to say that policies aimed at reducing the structural rate of unemployment do not play an important role as well. The next employment white paper</w:t>
      </w:r>
      <w:r w:rsidR="001324EB">
        <w:rPr>
          <w:rFonts w:cstheme="minorHAnsi"/>
        </w:rPr>
        <w:t xml:space="preserve"> – </w:t>
      </w:r>
      <w:r w:rsidRPr="00C73FFA">
        <w:rPr>
          <w:rFonts w:cstheme="minorHAnsi"/>
        </w:rPr>
        <w:t xml:space="preserve">titled </w:t>
      </w:r>
      <w:r w:rsidRPr="0072017E">
        <w:rPr>
          <w:rStyle w:val="Emphasis"/>
        </w:rPr>
        <w:t>Working Nation: The White Paper on employment and growth</w:t>
      </w:r>
      <w:r w:rsidRPr="00C73FFA">
        <w:rPr>
          <w:rFonts w:cstheme="minorHAnsi"/>
        </w:rPr>
        <w:t>, was published in 1994</w:t>
      </w:r>
      <w:r w:rsidR="001324EB">
        <w:rPr>
          <w:rFonts w:cstheme="minorHAnsi"/>
        </w:rPr>
        <w:t xml:space="preserve"> – </w:t>
      </w:r>
      <w:r w:rsidRPr="00C73FFA">
        <w:rPr>
          <w:rFonts w:cstheme="minorHAnsi"/>
        </w:rPr>
        <w:t>following a recession in which the unemployment rate had averaged 10</w:t>
      </w:r>
      <w:r w:rsidR="00E50212">
        <w:rPr>
          <w:rFonts w:cstheme="minorHAnsi"/>
        </w:rPr>
        <w:t> per c</w:t>
      </w:r>
      <w:r w:rsidRPr="00C73FFA">
        <w:rPr>
          <w:rFonts w:cstheme="minorHAnsi"/>
        </w:rPr>
        <w:t>ent in 1992 and 1993. During this period, the long</w:t>
      </w:r>
      <w:r w:rsidRPr="00C73FFA">
        <w:rPr>
          <w:rFonts w:ascii="Cambria Math" w:hAnsi="Cambria Math" w:cs="Cambria Math"/>
        </w:rPr>
        <w:t>‑</w:t>
      </w:r>
      <w:r w:rsidRPr="00C73FFA">
        <w:rPr>
          <w:rFonts w:cstheme="minorHAnsi"/>
        </w:rPr>
        <w:t xml:space="preserve">term unemployed represented an increasing proportion of the unemployed cohort and there was concern that the level of structural unemployment had increased. Addressing this was a key objective of </w:t>
      </w:r>
      <w:r w:rsidRPr="0072017E">
        <w:rPr>
          <w:rStyle w:val="Emphasis"/>
        </w:rPr>
        <w:t>Working Nation</w:t>
      </w:r>
      <w:r w:rsidRPr="00C73FFA">
        <w:rPr>
          <w:rFonts w:cstheme="minorHAnsi"/>
        </w:rPr>
        <w:t>.</w:t>
      </w:r>
    </w:p>
    <w:p w14:paraId="5DC904F2" w14:textId="485E553A" w:rsidR="00C73FFA" w:rsidRPr="005F6191" w:rsidRDefault="00C73FFA" w:rsidP="005F6191">
      <w:r w:rsidRPr="00C73FFA">
        <w:t>Policy responses included significant reform to income support, as well as to employment services, including initial steps towards the current quasi</w:t>
      </w:r>
      <w:r w:rsidRPr="00C73FFA">
        <w:rPr>
          <w:rFonts w:ascii="Cambria Math" w:hAnsi="Cambria Math" w:cs="Cambria Math"/>
        </w:rPr>
        <w:t>‑</w:t>
      </w:r>
      <w:r w:rsidRPr="00C73FFA">
        <w:t>market. These changes created much of the income support system we see today</w:t>
      </w:r>
      <w:r w:rsidR="001324EB">
        <w:t xml:space="preserve"> – </w:t>
      </w:r>
      <w:r w:rsidRPr="00C73FFA">
        <w:t>including removing the dollar</w:t>
      </w:r>
      <w:r w:rsidRPr="00C73FFA">
        <w:rPr>
          <w:rFonts w:ascii="Cambria Math" w:hAnsi="Cambria Math" w:cs="Cambria Math"/>
        </w:rPr>
        <w:t>‑</w:t>
      </w:r>
      <w:r w:rsidRPr="00C73FFA">
        <w:t>for</w:t>
      </w:r>
      <w:r w:rsidRPr="00C73FFA">
        <w:rPr>
          <w:rFonts w:ascii="Cambria Math" w:hAnsi="Cambria Math" w:cs="Cambria Math"/>
        </w:rPr>
        <w:t>‑</w:t>
      </w:r>
      <w:r w:rsidRPr="00C73FFA">
        <w:t>dollar benefit withdrawal rate in the means test to create incentives to take up part</w:t>
      </w:r>
      <w:r w:rsidRPr="00C73FFA">
        <w:rPr>
          <w:rFonts w:ascii="Cambria Math" w:hAnsi="Cambria Math" w:cs="Cambria Math"/>
        </w:rPr>
        <w:t>‑</w:t>
      </w:r>
      <w:r w:rsidRPr="00C73FFA">
        <w:t>time work.</w:t>
      </w:r>
    </w:p>
    <w:p w14:paraId="6BA5899C" w14:textId="77777777" w:rsidR="00C54EE7" w:rsidRDefault="00C54EE7" w:rsidP="00E7639A"/>
    <w:p w14:paraId="52B96642" w14:textId="0228A098" w:rsidR="00C54EE7" w:rsidRDefault="00C54EE7" w:rsidP="00E7639A">
      <w:pPr>
        <w:sectPr w:rsidR="00C54EE7" w:rsidSect="004414BC">
          <w:footnotePr>
            <w:numStart w:val="40"/>
          </w:footnotePr>
          <w:pgSz w:w="11906" w:h="16838" w:code="9"/>
          <w:pgMar w:top="1843" w:right="1418" w:bottom="1418" w:left="1418" w:header="709" w:footer="709" w:gutter="0"/>
          <w:cols w:space="708"/>
          <w:docGrid w:linePitch="360"/>
        </w:sectPr>
      </w:pPr>
    </w:p>
    <w:p w14:paraId="34B7FD17" w14:textId="0F6860F2" w:rsidR="0043769E" w:rsidRPr="006F2A51" w:rsidRDefault="0065165E" w:rsidP="00414591">
      <w:pPr>
        <w:pStyle w:val="Heading1Numbered"/>
      </w:pPr>
      <w:r w:rsidRPr="006F2A51">
        <w:lastRenderedPageBreak/>
        <w:t>The 2023 Employment White Paper</w:t>
      </w:r>
    </w:p>
    <w:p w14:paraId="683FF145" w14:textId="560BBABC" w:rsidR="004B4012" w:rsidRPr="004B4012" w:rsidRDefault="004B4012" w:rsidP="004B4012">
      <w:r w:rsidRPr="004B4012">
        <w:t>While the 1945 White Paper was published in the shadow of the Great Depression and World</w:t>
      </w:r>
      <w:r w:rsidR="00916F11">
        <w:t xml:space="preserve"> </w:t>
      </w:r>
      <w:r w:rsidRPr="004B4012">
        <w:t>War</w:t>
      </w:r>
      <w:r w:rsidR="00916F11">
        <w:t xml:space="preserve"> </w:t>
      </w:r>
      <w:r w:rsidRPr="004B4012">
        <w:t>Two, and the 1994 White Paper was published in the shadow of the worst recession in living memory, the 2023 White Paper will perhaps be remembered for being published in the shadow of the COVID</w:t>
      </w:r>
      <w:r w:rsidRPr="004B4012">
        <w:rPr>
          <w:rFonts w:ascii="Cambria Math" w:hAnsi="Cambria Math" w:cs="Cambria Math"/>
        </w:rPr>
        <w:t>‑</w:t>
      </w:r>
      <w:r w:rsidRPr="004B4012">
        <w:t>19 pandemic</w:t>
      </w:r>
      <w:r w:rsidR="00480482">
        <w:t xml:space="preserve">. </w:t>
      </w:r>
    </w:p>
    <w:p w14:paraId="1AC505A4" w14:textId="2BB004F0" w:rsidR="0087036A" w:rsidRDefault="00D93978" w:rsidP="00B35225">
      <w:pPr>
        <w:pStyle w:val="ChartMainHeading"/>
      </w:pPr>
      <w:bookmarkStart w:id="3" w:name="_Ref155781550"/>
      <w:r>
        <w:t>120</w:t>
      </w:r>
      <w:r w:rsidR="0072017E">
        <w:t> year</w:t>
      </w:r>
      <w:r>
        <w:t>s of unemployment in Australia</w:t>
      </w:r>
      <w:bookmarkEnd w:id="3"/>
      <w:r>
        <w:t xml:space="preserve"> </w:t>
      </w:r>
    </w:p>
    <w:p w14:paraId="137618F5" w14:textId="36E80A68" w:rsidR="0087036A" w:rsidRPr="00123183" w:rsidRDefault="00A1150C" w:rsidP="00123183">
      <w:pPr>
        <w:pStyle w:val="ChartGraphic"/>
      </w:pPr>
      <w:r w:rsidRPr="00A1150C">
        <w:rPr>
          <w:noProof/>
        </w:rPr>
        <w:drawing>
          <wp:inline distT="0" distB="0" distL="0" distR="0" wp14:anchorId="686756E2" wp14:editId="69F5709B">
            <wp:extent cx="5760000" cy="3083940"/>
            <wp:effectExtent l="0" t="0" r="0" b="0"/>
            <wp:docPr id="32" name="Picture 32" descr="Chart 1.1 - Title: 120 years of unemployment in Australia. The line chart shows the unemployment rate between 1901-02 and 2021-22. The 1945 White Paper on Full Employment was published following World War Two, and the 1994 White Paper was published when the unemployment rate was over 10 per 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hart 1.1 - Title: 120 years of unemployment in Australia. The line chart shows the unemployment rate between 1901-02 and 2021-22. The 1945 White Paper on Full Employment was published following World War Two, and the 1994 White Paper was published when the unemployment rate was over 10 per cen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60000" cy="3083940"/>
                    </a:xfrm>
                    <a:prstGeom prst="rect">
                      <a:avLst/>
                    </a:prstGeom>
                    <a:noFill/>
                    <a:ln>
                      <a:noFill/>
                    </a:ln>
                  </pic:spPr>
                </pic:pic>
              </a:graphicData>
            </a:graphic>
          </wp:inline>
        </w:drawing>
      </w:r>
    </w:p>
    <w:p w14:paraId="34A82135" w14:textId="1F164C53" w:rsidR="0087036A" w:rsidRPr="003E7416" w:rsidRDefault="0087036A" w:rsidP="003E7416">
      <w:pPr>
        <w:pStyle w:val="ChartorTableNote"/>
      </w:pPr>
      <w:r>
        <w:t xml:space="preserve">Source: </w:t>
      </w:r>
      <w:r w:rsidR="00B35225">
        <w:tab/>
      </w:r>
      <w:r w:rsidR="00B820A7">
        <w:t>RBA</w:t>
      </w:r>
      <w:r w:rsidR="004E171E">
        <w:t xml:space="preserve">, </w:t>
      </w:r>
      <w:r w:rsidR="00EB2084">
        <w:t>ABS</w:t>
      </w:r>
      <w:r>
        <w:t xml:space="preserve"> </w:t>
      </w:r>
      <w:r w:rsidR="00154C43">
        <w:t>Labour Force, Australia</w:t>
      </w:r>
      <w:r w:rsidR="004E171E">
        <w:t xml:space="preserve">. </w:t>
      </w:r>
    </w:p>
    <w:p w14:paraId="310EBC8E" w14:textId="77777777" w:rsidR="0087036A" w:rsidRPr="00AE453A" w:rsidRDefault="0087036A" w:rsidP="0087036A">
      <w:pPr>
        <w:pStyle w:val="ChartTableFiguresectionline"/>
      </w:pPr>
    </w:p>
    <w:p w14:paraId="0D9952FE" w14:textId="4EB63296" w:rsidR="00DC1AFA" w:rsidRDefault="007C2AE7" w:rsidP="00DC1AFA">
      <w:bookmarkStart w:id="4" w:name="_Hlk128660207"/>
      <w:r w:rsidRPr="007C2AE7">
        <w:rPr>
          <w:rFonts w:cstheme="minorHAnsi"/>
        </w:rPr>
        <w:t>The pandemic caused momentous upheaval for all Australians, including a brief recession</w:t>
      </w:r>
      <w:r w:rsidR="001324EB">
        <w:rPr>
          <w:rFonts w:cstheme="minorHAnsi"/>
        </w:rPr>
        <w:t xml:space="preserve"> – </w:t>
      </w:r>
      <w:r w:rsidRPr="007C2AE7">
        <w:rPr>
          <w:rFonts w:cstheme="minorHAnsi"/>
        </w:rPr>
        <w:t>the first in 29</w:t>
      </w:r>
      <w:r w:rsidR="0072017E">
        <w:rPr>
          <w:rFonts w:cstheme="minorHAnsi"/>
        </w:rPr>
        <w:t> year</w:t>
      </w:r>
      <w:r w:rsidRPr="007C2AE7">
        <w:rPr>
          <w:rFonts w:cstheme="minorHAnsi"/>
        </w:rPr>
        <w:t>s. The effects on the labour market were severe, with around 10</w:t>
      </w:r>
      <w:r w:rsidR="00E50212">
        <w:rPr>
          <w:rFonts w:cstheme="minorHAnsi"/>
        </w:rPr>
        <w:t> per c</w:t>
      </w:r>
      <w:r w:rsidRPr="007C2AE7">
        <w:rPr>
          <w:rFonts w:cstheme="minorHAnsi"/>
        </w:rPr>
        <w:t>ent of the labour force losing their jobs or being stood down on zero hours in April 2020. The effective unemployment rate peaked at around 15</w:t>
      </w:r>
      <w:r w:rsidR="00E50212">
        <w:rPr>
          <w:rFonts w:cstheme="minorHAnsi"/>
        </w:rPr>
        <w:t> per c</w:t>
      </w:r>
      <w:r w:rsidRPr="007C2AE7">
        <w:rPr>
          <w:rFonts w:cstheme="minorHAnsi"/>
        </w:rPr>
        <w:t>ent in the initial phases of the crisis.</w:t>
      </w:r>
      <w:r w:rsidR="00DC1AFA">
        <w:rPr>
          <w:rStyle w:val="FootnoteReference"/>
          <w:rFonts w:cstheme="minorHAnsi"/>
        </w:rPr>
        <w:footnoteReference w:id="3"/>
      </w:r>
      <w:r w:rsidR="00DC1AFA">
        <w:rPr>
          <w:rFonts w:cstheme="minorHAnsi"/>
        </w:rPr>
        <w:t xml:space="preserve"> </w:t>
      </w:r>
      <w:r w:rsidR="00A9194B" w:rsidRPr="00A9194B">
        <w:t>However, the effect on the official unemployment rate measure was much reduced due to the impact of policies such as JobKeeper. And reflecting the policy response and easing of restrictions, the economy has since recovered strongly.</w:t>
      </w:r>
    </w:p>
    <w:p w14:paraId="3EA1DAC9" w14:textId="64162D6D" w:rsidR="0078561B" w:rsidRPr="0078561B" w:rsidRDefault="0078561B" w:rsidP="0078561B">
      <w:r w:rsidRPr="0078561B">
        <w:t>As a result, the 2023 Employment White Paper is not being drafted in the wake of mass unemployment. Instead, Australia</w:t>
      </w:r>
      <w:r w:rsidR="0051795F">
        <w:t>’</w:t>
      </w:r>
      <w:r w:rsidRPr="0078561B">
        <w:t>s unemployment rate begins with a 3 for the first time since the 1970s. This has created opportunities for many who have previously been unable to obtain work, and for others to increase their hours of work. Many have also been able to find better jobs. But we should not take for granted that these conditions will persist.</w:t>
      </w:r>
    </w:p>
    <w:p w14:paraId="57855150" w14:textId="52063A57" w:rsidR="00971887" w:rsidRPr="00971887" w:rsidRDefault="00971887" w:rsidP="00123183">
      <w:r w:rsidRPr="00971887">
        <w:t>The ongoing effects of COVID</w:t>
      </w:r>
      <w:r w:rsidRPr="00971887">
        <w:rPr>
          <w:rFonts w:ascii="Cambria Math" w:hAnsi="Cambria Math" w:cs="Cambria Math"/>
        </w:rPr>
        <w:t>‑</w:t>
      </w:r>
      <w:r w:rsidRPr="00971887">
        <w:t>19, high inflation, rising interest rates, global economic uncertainty, and disrupted supply chains compound to challenge Australia</w:t>
      </w:r>
      <w:r w:rsidR="0051795F">
        <w:rPr>
          <w:rFonts w:cs="Calibri"/>
        </w:rPr>
        <w:t>’</w:t>
      </w:r>
      <w:r w:rsidRPr="00971887">
        <w:t xml:space="preserve">s low unemployment. There are also structural changes, which foreshadow a range of labour market challenges such as flagging </w:t>
      </w:r>
      <w:r w:rsidRPr="00971887">
        <w:lastRenderedPageBreak/>
        <w:t>productivity growth, technological changes, the transition to low emissions energy, and demographic change.</w:t>
      </w:r>
    </w:p>
    <w:p w14:paraId="65F0F54C" w14:textId="3A9BA6E0" w:rsidR="00DC1AFA" w:rsidRDefault="00971887" w:rsidP="00DC1AFA">
      <w:r w:rsidRPr="00971887">
        <w:t xml:space="preserve">Nor does our current low rate of unemployment mean we have accomplished all we need to in relation to improving employment outcomes. Structural barriers to employment remain and are experienced unevenly across our society, often rooted in discrimination and disadvantage. </w:t>
      </w:r>
      <w:r w:rsidR="00E50212">
        <w:t>First Nation</w:t>
      </w:r>
      <w:r w:rsidRPr="00971887">
        <w:t>s people still have fewer job opportunities than other Australians. Slightly over half working</w:t>
      </w:r>
      <w:r w:rsidRPr="00971887">
        <w:rPr>
          <w:rFonts w:ascii="Cambria Math" w:hAnsi="Cambria Math" w:cs="Cambria Math"/>
        </w:rPr>
        <w:t>‑</w:t>
      </w:r>
      <w:r w:rsidRPr="00971887">
        <w:t xml:space="preserve">age </w:t>
      </w:r>
      <w:r w:rsidR="00E50212">
        <w:t>First Nation</w:t>
      </w:r>
      <w:r w:rsidRPr="00971887">
        <w:t>s people (52</w:t>
      </w:r>
      <w:r w:rsidR="00E50212">
        <w:t> per c</w:t>
      </w:r>
      <w:r w:rsidRPr="00971887">
        <w:t>ent) were employed in 2021, compared to three</w:t>
      </w:r>
      <w:r w:rsidRPr="00971887">
        <w:rPr>
          <w:rFonts w:ascii="Cambria Math" w:hAnsi="Cambria Math" w:cs="Cambria Math"/>
        </w:rPr>
        <w:t>‑</w:t>
      </w:r>
      <w:r w:rsidRPr="00971887">
        <w:t>quarters (76</w:t>
      </w:r>
      <w:r w:rsidR="00E50212">
        <w:t> per c</w:t>
      </w:r>
      <w:r w:rsidRPr="00971887">
        <w:t>ent) of non</w:t>
      </w:r>
      <w:r w:rsidRPr="00971887">
        <w:rPr>
          <w:rFonts w:ascii="Cambria Math" w:hAnsi="Cambria Math" w:cs="Cambria Math"/>
        </w:rPr>
        <w:t>‑</w:t>
      </w:r>
      <w:r w:rsidRPr="00971887">
        <w:t>Indigenous Australians.</w:t>
      </w:r>
      <w:r w:rsidR="00DC1AFA">
        <w:rPr>
          <w:rStyle w:val="FootnoteReference"/>
        </w:rPr>
        <w:footnoteReference w:id="4"/>
      </w:r>
      <w:r w:rsidR="00DC1AFA">
        <w:t xml:space="preserve"> </w:t>
      </w:r>
      <w:r w:rsidR="00FB7ECE" w:rsidRPr="00FB7ECE">
        <w:t>Similarly, just 53</w:t>
      </w:r>
      <w:r w:rsidR="00E50212">
        <w:t> per c</w:t>
      </w:r>
      <w:r w:rsidR="00FB7ECE" w:rsidRPr="00FB7ECE">
        <w:t>ent of working</w:t>
      </w:r>
      <w:r w:rsidR="00FB7ECE" w:rsidRPr="00FB7ECE">
        <w:rPr>
          <w:rFonts w:ascii="Cambria Math" w:hAnsi="Cambria Math" w:cs="Cambria Math"/>
        </w:rPr>
        <w:t>‑</w:t>
      </w:r>
      <w:r w:rsidR="00FB7ECE" w:rsidRPr="00FB7ECE">
        <w:t>age people with disability were employed in 2018, basically unchanged over 15</w:t>
      </w:r>
      <w:r w:rsidR="0072017E">
        <w:t> year</w:t>
      </w:r>
      <w:r w:rsidR="00FB7ECE" w:rsidRPr="00FB7ECE">
        <w:t>s.</w:t>
      </w:r>
      <w:r w:rsidR="00DC1AFA">
        <w:rPr>
          <w:rStyle w:val="FootnoteReference"/>
        </w:rPr>
        <w:footnoteReference w:id="5"/>
      </w:r>
    </w:p>
    <w:bookmarkEnd w:id="4"/>
    <w:p w14:paraId="6EB2D81A" w14:textId="77777777" w:rsidR="00C54EE7" w:rsidRDefault="00C54EE7" w:rsidP="007F6F37"/>
    <w:p w14:paraId="0E14B7EF" w14:textId="5F0C1C9F" w:rsidR="00C54EE7" w:rsidRDefault="00C54EE7" w:rsidP="007F6F37">
      <w:pPr>
        <w:sectPr w:rsidR="00C54EE7" w:rsidSect="004414BC">
          <w:footnotePr>
            <w:numStart w:val="40"/>
          </w:footnotePr>
          <w:pgSz w:w="11906" w:h="16838" w:code="9"/>
          <w:pgMar w:top="1843" w:right="1418" w:bottom="1418" w:left="1418" w:header="709" w:footer="709" w:gutter="0"/>
          <w:cols w:space="708"/>
          <w:docGrid w:linePitch="360"/>
        </w:sectPr>
      </w:pPr>
    </w:p>
    <w:p w14:paraId="4F45B2A2" w14:textId="50121DDE" w:rsidR="00D051F1" w:rsidRPr="006F2A51" w:rsidRDefault="00D051F1" w:rsidP="00414591">
      <w:pPr>
        <w:pStyle w:val="Heading1Numbered"/>
      </w:pPr>
      <w:r w:rsidRPr="006F2A51">
        <w:lastRenderedPageBreak/>
        <w:t>The barriers framework</w:t>
      </w:r>
    </w:p>
    <w:p w14:paraId="17A06DC1" w14:textId="77777777" w:rsidR="00D051F1" w:rsidRDefault="00D051F1" w:rsidP="00735CA2">
      <w:r>
        <w:t xml:space="preserve">Given these challenges, we need to consider how to support more people to obtain </w:t>
      </w:r>
      <w:r w:rsidRPr="00E91A4E">
        <w:t>work</w:t>
      </w:r>
      <w:r>
        <w:t>. The</w:t>
      </w:r>
      <w:r>
        <w:rPr>
          <w:rFonts w:cstheme="minorHAnsi"/>
        </w:rPr>
        <w:t xml:space="preserve"> White Paper Terms of Reference specifically mention </w:t>
      </w:r>
      <w:r w:rsidRPr="00A718CE">
        <w:rPr>
          <w:rFonts w:cstheme="minorHAnsi"/>
        </w:rPr>
        <w:t>barriers and disincentives to work</w:t>
      </w:r>
      <w:r>
        <w:rPr>
          <w:rFonts w:cstheme="minorHAnsi"/>
        </w:rPr>
        <w:t xml:space="preserve">. </w:t>
      </w:r>
    </w:p>
    <w:p w14:paraId="009F3AEA" w14:textId="593DF646" w:rsidR="00D051F1" w:rsidRPr="00A718CE" w:rsidRDefault="00325769" w:rsidP="00735CA2">
      <w:r w:rsidRPr="00325769">
        <w:t>As part of developing the Employment White Paper, Treasury is using a framework to conceptualise the complex and intersecting nature of the barriers to employment, and the systemic inequalities that prevent labour force engagement. This is an adaptation of work done by the OECD to inform policy thinking around employment issues</w:t>
      </w:r>
      <w:r w:rsidR="00D051F1" w:rsidRPr="5867F594">
        <w:t>.</w:t>
      </w:r>
      <w:r w:rsidR="00D051F1">
        <w:rPr>
          <w:rStyle w:val="FootnoteReference"/>
          <w:szCs w:val="22"/>
        </w:rPr>
        <w:footnoteReference w:id="6"/>
      </w:r>
    </w:p>
    <w:p w14:paraId="77A3E684" w14:textId="6D069231" w:rsidR="00D051F1" w:rsidRDefault="00D051F1" w:rsidP="00D051F1">
      <w:r>
        <w:t>Treasury</w:t>
      </w:r>
      <w:r w:rsidR="0051795F">
        <w:t>’</w:t>
      </w:r>
      <w:r>
        <w:t>s</w:t>
      </w:r>
      <w:r w:rsidRPr="173B5957">
        <w:t xml:space="preserve"> </w:t>
      </w:r>
      <w:r>
        <w:t xml:space="preserve">adapted OECD </w:t>
      </w:r>
      <w:r w:rsidRPr="173B5957">
        <w:t xml:space="preserve">framework groups barriers into </w:t>
      </w:r>
      <w:r w:rsidR="00812480">
        <w:t>3</w:t>
      </w:r>
      <w:r w:rsidRPr="173B5957">
        <w:t xml:space="preserve"> categories: </w:t>
      </w:r>
      <w:r w:rsidR="0051795F">
        <w:t>‘</w:t>
      </w:r>
      <w:r w:rsidRPr="0086128C">
        <w:t>job</w:t>
      </w:r>
      <w:r>
        <w:t xml:space="preserve"> </w:t>
      </w:r>
      <w:r w:rsidRPr="173B5957">
        <w:t>opportunity</w:t>
      </w:r>
      <w:r w:rsidR="0051795F">
        <w:t>’</w:t>
      </w:r>
      <w:r w:rsidRPr="173B5957">
        <w:t xml:space="preserve">, </w:t>
      </w:r>
      <w:r w:rsidR="0051795F">
        <w:t>‘</w:t>
      </w:r>
      <w:r w:rsidRPr="173B5957">
        <w:t>capability</w:t>
      </w:r>
      <w:r w:rsidR="0051795F">
        <w:t>’</w:t>
      </w:r>
      <w:r w:rsidRPr="173B5957">
        <w:t xml:space="preserve"> and </w:t>
      </w:r>
      <w:r w:rsidR="0051795F">
        <w:t>‘</w:t>
      </w:r>
      <w:r w:rsidRPr="173B5957">
        <w:t>incentives</w:t>
      </w:r>
      <w:r w:rsidR="0051795F">
        <w:t>’</w:t>
      </w:r>
      <w:r w:rsidRPr="173B5957">
        <w:t>. In other words</w:t>
      </w:r>
      <w:r>
        <w:t>:</w:t>
      </w:r>
      <w:r w:rsidRPr="173B5957">
        <w:t xml:space="preserve"> </w:t>
      </w:r>
    </w:p>
    <w:p w14:paraId="1C1BBC36" w14:textId="77777777" w:rsidR="00325769" w:rsidRPr="00735CA2" w:rsidRDefault="00325769" w:rsidP="00916F11">
      <w:pPr>
        <w:pStyle w:val="Bullet"/>
        <w:rPr>
          <w:spacing w:val="-2"/>
        </w:rPr>
      </w:pPr>
      <w:r w:rsidRPr="00735CA2">
        <w:rPr>
          <w:spacing w:val="-2"/>
        </w:rPr>
        <w:t xml:space="preserve">Are there suitable job opportunities available? This includes considerations such as whether there is sufficient cyclical demand, suitable workplace conditions and hiring practices free of discrimination. </w:t>
      </w:r>
    </w:p>
    <w:p w14:paraId="0548B67E" w14:textId="77777777" w:rsidR="002A0BFC" w:rsidRPr="002A0BFC" w:rsidRDefault="002A0BFC" w:rsidP="00735CA2">
      <w:pPr>
        <w:pStyle w:val="Bullet"/>
      </w:pPr>
      <w:r w:rsidRPr="002A0BFC">
        <w:t>Does the person have the capability to take them up? This includes vocational barriers such as skills and experience, as well as non</w:t>
      </w:r>
      <w:r w:rsidRPr="002A0BFC">
        <w:rPr>
          <w:rFonts w:ascii="Cambria Math" w:hAnsi="Cambria Math" w:cs="Cambria Math"/>
        </w:rPr>
        <w:t>‑</w:t>
      </w:r>
      <w:r w:rsidRPr="002A0BFC">
        <w:t xml:space="preserve">vocational barriers such as health and access to transport. </w:t>
      </w:r>
    </w:p>
    <w:p w14:paraId="07AB0380" w14:textId="0FE5FDDD" w:rsidR="00D051F1" w:rsidRPr="006F4BCD" w:rsidRDefault="00D051F1" w:rsidP="00735CA2">
      <w:pPr>
        <w:pStyle w:val="Bullet"/>
      </w:pPr>
      <w:r w:rsidRPr="006F4BCD">
        <w:t xml:space="preserve">And do they have the right incentives to take on the role? </w:t>
      </w:r>
    </w:p>
    <w:p w14:paraId="332A21D3" w14:textId="77777777" w:rsidR="002A0BFC" w:rsidRPr="002A0BFC" w:rsidRDefault="002A0BFC" w:rsidP="002A0BFC">
      <w:pPr>
        <w:rPr>
          <w:rFonts w:cstheme="minorHAnsi"/>
          <w:szCs w:val="22"/>
        </w:rPr>
      </w:pPr>
      <w:r w:rsidRPr="002A0BFC">
        <w:rPr>
          <w:rFonts w:cstheme="minorHAnsi"/>
          <w:szCs w:val="22"/>
        </w:rPr>
        <w:t>Each of these categories can be a barrier in and of itself. However, a feature of this framework is recognising how these categories can compound to affect the way people engage with the labour market. Capability barriers, including poor health and limited education, become more difficult to overcome when there are fewer job opportunities.</w:t>
      </w:r>
    </w:p>
    <w:p w14:paraId="084B37F6" w14:textId="77777777" w:rsidR="002A0BFC" w:rsidRPr="002A0BFC" w:rsidRDefault="002A0BFC" w:rsidP="002A0BFC">
      <w:pPr>
        <w:rPr>
          <w:rFonts w:cstheme="minorHAnsi"/>
          <w:szCs w:val="22"/>
        </w:rPr>
      </w:pPr>
      <w:r w:rsidRPr="002A0BFC">
        <w:rPr>
          <w:rFonts w:cstheme="minorHAnsi"/>
          <w:szCs w:val="22"/>
        </w:rPr>
        <w:t>While opportunity and capability are important, the rest of my remarks will focus on the incentives category of this framework. I will discuss the role of the tax</w:t>
      </w:r>
      <w:r w:rsidRPr="002A0BFC">
        <w:rPr>
          <w:rFonts w:ascii="Cambria Math" w:hAnsi="Cambria Math" w:cs="Cambria Math"/>
          <w:szCs w:val="22"/>
        </w:rPr>
        <w:t>‑</w:t>
      </w:r>
      <w:r w:rsidRPr="002A0BFC">
        <w:rPr>
          <w:rFonts w:cstheme="minorHAnsi"/>
          <w:szCs w:val="22"/>
        </w:rPr>
        <w:t>transfer system in shaping decisions to participate in the labour market, including decisions about hours of work, focusing on secondary earners and those on income support.</w:t>
      </w:r>
    </w:p>
    <w:p w14:paraId="4612C82F" w14:textId="77777777" w:rsidR="002A0BFC" w:rsidRPr="002A0BFC" w:rsidRDefault="002A0BFC" w:rsidP="002A0BFC">
      <w:pPr>
        <w:rPr>
          <w:rFonts w:cstheme="minorHAnsi"/>
          <w:szCs w:val="22"/>
        </w:rPr>
      </w:pPr>
      <w:r w:rsidRPr="002A0BFC">
        <w:rPr>
          <w:rFonts w:cstheme="minorHAnsi"/>
          <w:szCs w:val="22"/>
        </w:rPr>
        <w:t>Both secondary earners and those on income support are significantly affected by the tax</w:t>
      </w:r>
      <w:r w:rsidRPr="002A0BFC">
        <w:rPr>
          <w:rFonts w:ascii="Cambria Math" w:hAnsi="Cambria Math" w:cs="Cambria Math"/>
          <w:szCs w:val="22"/>
        </w:rPr>
        <w:t>‑</w:t>
      </w:r>
      <w:r w:rsidRPr="002A0BFC">
        <w:rPr>
          <w:rFonts w:cstheme="minorHAnsi"/>
          <w:szCs w:val="22"/>
        </w:rPr>
        <w:t>transfer system, although incentive effects differ between the two groups.</w:t>
      </w:r>
    </w:p>
    <w:p w14:paraId="4EDDA0B1" w14:textId="77777777" w:rsidR="00CB7E9F" w:rsidRDefault="002A0BFC" w:rsidP="00CB7E9F">
      <w:pPr>
        <w:pStyle w:val="Bullet"/>
        <w:numPr>
          <w:ilvl w:val="0"/>
          <w:numId w:val="0"/>
        </w:numPr>
        <w:spacing w:after="0"/>
        <w:rPr>
          <w:rFonts w:cstheme="minorHAnsi"/>
        </w:rPr>
        <w:sectPr w:rsidR="00CB7E9F" w:rsidSect="004414BC">
          <w:footnotePr>
            <w:numStart w:val="40"/>
          </w:footnotePr>
          <w:pgSz w:w="11906" w:h="16838" w:code="9"/>
          <w:pgMar w:top="1843" w:right="1418" w:bottom="1418" w:left="1418" w:header="709" w:footer="709" w:gutter="0"/>
          <w:cols w:space="708"/>
          <w:docGrid w:linePitch="360"/>
        </w:sectPr>
      </w:pPr>
      <w:r w:rsidRPr="00007D24">
        <w:rPr>
          <w:rFonts w:cstheme="minorHAnsi"/>
        </w:rPr>
        <w:t>Research shows that secondary earners</w:t>
      </w:r>
      <w:r w:rsidR="001324EB">
        <w:rPr>
          <w:rFonts w:cstheme="minorHAnsi"/>
        </w:rPr>
        <w:t xml:space="preserve"> – </w:t>
      </w:r>
      <w:r w:rsidRPr="00007D24">
        <w:rPr>
          <w:rFonts w:cstheme="minorHAnsi"/>
        </w:rPr>
        <w:t>particularly women caring for younger children</w:t>
      </w:r>
      <w:r w:rsidR="001324EB">
        <w:rPr>
          <w:rFonts w:cstheme="minorHAnsi"/>
        </w:rPr>
        <w:t xml:space="preserve"> – </w:t>
      </w:r>
      <w:r w:rsidRPr="00007D24">
        <w:rPr>
          <w:rFonts w:cstheme="minorHAnsi"/>
        </w:rPr>
        <w:t>have relatively elastic labour supply, suggesting they are likely to be more responsive to financial incentives</w:t>
      </w:r>
      <w:r w:rsidR="00D051F1">
        <w:rPr>
          <w:szCs w:val="22"/>
        </w:rPr>
        <w:t>.</w:t>
      </w:r>
      <w:r w:rsidR="00D051F1">
        <w:rPr>
          <w:rStyle w:val="FootnoteReference"/>
          <w:szCs w:val="22"/>
        </w:rPr>
        <w:footnoteReference w:id="7"/>
      </w:r>
      <w:r w:rsidR="00D051F1" w:rsidRPr="473BB78B">
        <w:rPr>
          <w:szCs w:val="22"/>
        </w:rPr>
        <w:t xml:space="preserve"> </w:t>
      </w:r>
      <w:r w:rsidR="00D051F1" w:rsidRPr="00007D24">
        <w:rPr>
          <w:rFonts w:cstheme="minorHAnsi"/>
        </w:rPr>
        <w:t>Research also shows the elasticity of labour supply is higher at the lower end of the income distribution, which is where those on income support are most likely to be.</w:t>
      </w:r>
      <w:r w:rsidR="00D051F1" w:rsidRPr="000D3CF9">
        <w:rPr>
          <w:rStyle w:val="FootnoteReference"/>
        </w:rPr>
        <w:footnoteReference w:id="8"/>
      </w:r>
      <w:r w:rsidR="00D051F1" w:rsidRPr="00007D24">
        <w:rPr>
          <w:rFonts w:cstheme="minorHAnsi"/>
        </w:rPr>
        <w:t xml:space="preserve"> However, it is hard to generalise because income support recipients are a highly diverse group. Further, there are numerous confounding factors such as mutual obligations and access to concession cards.</w:t>
      </w:r>
    </w:p>
    <w:p w14:paraId="24443928" w14:textId="79E7B5F9" w:rsidR="000C5299" w:rsidRPr="00F25D2F" w:rsidRDefault="001A05EC" w:rsidP="00414591">
      <w:pPr>
        <w:pStyle w:val="Heading1Numbered"/>
      </w:pPr>
      <w:r>
        <w:lastRenderedPageBreak/>
        <w:t>S</w:t>
      </w:r>
      <w:r w:rsidR="000C5299">
        <w:t>econdary earners</w:t>
      </w:r>
    </w:p>
    <w:p w14:paraId="65079E79" w14:textId="6E468D24" w:rsidR="00544968" w:rsidRDefault="00544968" w:rsidP="00544968">
      <w:r w:rsidRPr="173B5957">
        <w:t xml:space="preserve">Despite </w:t>
      </w:r>
      <w:r>
        <w:t xml:space="preserve">the significant </w:t>
      </w:r>
      <w:r w:rsidRPr="173B5957">
        <w:t>increase</w:t>
      </w:r>
      <w:r>
        <w:t xml:space="preserve"> in women</w:t>
      </w:r>
      <w:r w:rsidR="0051795F">
        <w:t>’</w:t>
      </w:r>
      <w:r>
        <w:t>s</w:t>
      </w:r>
      <w:r w:rsidRPr="173B5957">
        <w:t xml:space="preserve"> </w:t>
      </w:r>
      <w:r>
        <w:t xml:space="preserve">labour force </w:t>
      </w:r>
      <w:r w:rsidRPr="173B5957">
        <w:t>participation</w:t>
      </w:r>
      <w:r>
        <w:t xml:space="preserve"> since the 1960s</w:t>
      </w:r>
      <w:r w:rsidRPr="173B5957">
        <w:t>, there remain key differences in the ways that women and men participate</w:t>
      </w:r>
      <w:r>
        <w:t>. These differences become particularly pronounced when families have children.</w:t>
      </w:r>
      <w:r>
        <w:rPr>
          <w:rStyle w:val="FootnoteReference"/>
        </w:rPr>
        <w:footnoteReference w:id="9"/>
      </w:r>
      <w:r>
        <w:t xml:space="preserve"> Women often take on the bulk of the responsibility for child caring and housework, reducing their working hours and earnings relative to their partner. This</w:t>
      </w:r>
      <w:r w:rsidR="0038005A">
        <w:t> </w:t>
      </w:r>
      <w:r>
        <w:t>means women are more likely to be the secondary earner</w:t>
      </w:r>
      <w:r w:rsidRPr="173B5957">
        <w:t xml:space="preserve">. </w:t>
      </w:r>
    </w:p>
    <w:p w14:paraId="70576BAF" w14:textId="6D9A9EAE" w:rsidR="00544968" w:rsidRPr="004F1648" w:rsidRDefault="00544968" w:rsidP="00544968">
      <w:pPr>
        <w:rPr>
          <w:rFonts w:cstheme="minorHAnsi"/>
        </w:rPr>
      </w:pPr>
      <w:r>
        <w:rPr>
          <w:rFonts w:cstheme="minorHAnsi"/>
        </w:rPr>
        <w:t>T</w:t>
      </w:r>
      <w:r w:rsidRPr="004F1648">
        <w:rPr>
          <w:rFonts w:cstheme="minorHAnsi"/>
        </w:rPr>
        <w:t>he financial incentive</w:t>
      </w:r>
      <w:r>
        <w:rPr>
          <w:rFonts w:cstheme="minorHAnsi"/>
        </w:rPr>
        <w:t>s</w:t>
      </w:r>
      <w:r w:rsidRPr="004F1648">
        <w:rPr>
          <w:rFonts w:cstheme="minorHAnsi"/>
        </w:rPr>
        <w:t xml:space="preserve"> </w:t>
      </w:r>
      <w:r>
        <w:rPr>
          <w:rFonts w:cstheme="minorHAnsi"/>
        </w:rPr>
        <w:t xml:space="preserve">for a secondary earner </w:t>
      </w:r>
      <w:r w:rsidRPr="004F1648">
        <w:rPr>
          <w:rFonts w:cstheme="minorHAnsi"/>
        </w:rPr>
        <w:t>to start working</w:t>
      </w:r>
      <w:r>
        <w:rPr>
          <w:rFonts w:cstheme="minorHAnsi"/>
        </w:rPr>
        <w:t xml:space="preserve"> (known as the extensive margin),</w:t>
      </w:r>
      <w:r w:rsidRPr="004F1648">
        <w:rPr>
          <w:rFonts w:cstheme="minorHAnsi"/>
        </w:rPr>
        <w:t xml:space="preserve"> </w:t>
      </w:r>
      <w:r>
        <w:rPr>
          <w:rFonts w:cstheme="minorHAnsi"/>
        </w:rPr>
        <w:t xml:space="preserve">and particularly to </w:t>
      </w:r>
      <w:r w:rsidRPr="004F1648">
        <w:rPr>
          <w:rFonts w:cstheme="minorHAnsi"/>
        </w:rPr>
        <w:t>take on extra day</w:t>
      </w:r>
      <w:r>
        <w:rPr>
          <w:rFonts w:cstheme="minorHAnsi"/>
        </w:rPr>
        <w:t>s</w:t>
      </w:r>
      <w:r w:rsidRPr="004F1648">
        <w:rPr>
          <w:rFonts w:cstheme="minorHAnsi"/>
        </w:rPr>
        <w:t xml:space="preserve"> of work</w:t>
      </w:r>
      <w:r>
        <w:rPr>
          <w:rFonts w:cstheme="minorHAnsi"/>
        </w:rPr>
        <w:t xml:space="preserve"> (called the intensive margin),</w:t>
      </w:r>
      <w:r w:rsidRPr="004F1648">
        <w:rPr>
          <w:rFonts w:cstheme="minorHAnsi"/>
        </w:rPr>
        <w:t xml:space="preserve"> </w:t>
      </w:r>
      <w:r>
        <w:rPr>
          <w:rFonts w:cstheme="minorHAnsi"/>
        </w:rPr>
        <w:t>can be</w:t>
      </w:r>
      <w:r w:rsidRPr="004F1648">
        <w:rPr>
          <w:rFonts w:cstheme="minorHAnsi"/>
        </w:rPr>
        <w:t xml:space="preserve"> dampened by tax</w:t>
      </w:r>
      <w:r w:rsidR="0051795F">
        <w:rPr>
          <w:rFonts w:cstheme="minorHAnsi"/>
        </w:rPr>
        <w:noBreakHyphen/>
      </w:r>
      <w:r w:rsidRPr="004F1648">
        <w:rPr>
          <w:rFonts w:cstheme="minorHAnsi"/>
        </w:rPr>
        <w:t xml:space="preserve">transfer settings. </w:t>
      </w:r>
    </w:p>
    <w:p w14:paraId="61B9ED7B" w14:textId="77777777" w:rsidR="00007D24" w:rsidRPr="00007D24" w:rsidRDefault="00007D24" w:rsidP="00EB0797">
      <w:pPr>
        <w:spacing w:after="0"/>
        <w:rPr>
          <w:rFonts w:cstheme="minorHAnsi"/>
          <w:szCs w:val="22"/>
        </w:rPr>
      </w:pPr>
      <w:r w:rsidRPr="00007D24">
        <w:rPr>
          <w:rFonts w:cstheme="minorHAnsi"/>
          <w:szCs w:val="22"/>
        </w:rPr>
        <w:t xml:space="preserve">This effect is often measured by the workforce disincentive rate. This rate captures the proportion of earnings from an additional day of work that is lost to income taxes, the withdrawal of transfer payments, and net childcare fees. Workforce disincentive rates provide a more realistic idea of the incentives driving work decisions for secondary earners than effective marginal tax rates because household decisions are often made about the number of days to work rather than additional hours. </w:t>
      </w:r>
    </w:p>
    <w:p w14:paraId="238414AD" w14:textId="655C084A" w:rsidR="005F6191" w:rsidRDefault="005E3FA3" w:rsidP="00E37C6B">
      <w:r>
        <w:t>Chart 5.1</w:t>
      </w:r>
      <w:r w:rsidR="00544968" w:rsidRPr="00A718CE">
        <w:t xml:space="preserve"> illustrates </w:t>
      </w:r>
      <w:r w:rsidR="00544968">
        <w:t xml:space="preserve">WDRs </w:t>
      </w:r>
      <w:r w:rsidR="00544968" w:rsidRPr="00A718CE">
        <w:t>for a secondary earner in a couple with three children aged 4, 8 and 10</w:t>
      </w:r>
      <w:r w:rsidR="00544968">
        <w:t xml:space="preserve"> in 2023</w:t>
      </w:r>
      <w:r w:rsidR="00480482">
        <w:t>–</w:t>
      </w:r>
      <w:r w:rsidR="00544968">
        <w:t>24.</w:t>
      </w:r>
      <w:r w:rsidR="00544968">
        <w:rPr>
          <w:rStyle w:val="FootnoteReference"/>
          <w:rFonts w:cstheme="minorHAnsi"/>
          <w:szCs w:val="22"/>
        </w:rPr>
        <w:footnoteReference w:id="10"/>
      </w:r>
      <w:r w:rsidR="00544968" w:rsidRPr="00A718CE" w:rsidDel="00C94770">
        <w:t xml:space="preserve"> </w:t>
      </w:r>
      <w:r w:rsidR="00544968">
        <w:t xml:space="preserve">The primary earner receives </w:t>
      </w:r>
      <w:r w:rsidR="00544968" w:rsidRPr="00676DE6">
        <w:t>$60,000</w:t>
      </w:r>
      <w:r w:rsidR="00544968" w:rsidRPr="00A718CE" w:rsidDel="00C94770">
        <w:t xml:space="preserve"> </w:t>
      </w:r>
      <w:r w:rsidR="00544968">
        <w:t>working full</w:t>
      </w:r>
      <w:r w:rsidR="0051795F">
        <w:noBreakHyphen/>
      </w:r>
      <w:r w:rsidR="00544968">
        <w:t>time while the</w:t>
      </w:r>
      <w:r w:rsidR="00544968" w:rsidRPr="00A718CE">
        <w:t xml:space="preserve"> </w:t>
      </w:r>
      <w:r w:rsidR="00544968">
        <w:t>secondary earner working part</w:t>
      </w:r>
      <w:r w:rsidR="0051795F">
        <w:noBreakHyphen/>
      </w:r>
      <w:r w:rsidR="00544968">
        <w:t>time receives a full</w:t>
      </w:r>
      <w:r w:rsidR="0051795F">
        <w:noBreakHyphen/>
      </w:r>
      <w:r w:rsidR="00544968">
        <w:t xml:space="preserve">time </w:t>
      </w:r>
      <w:r w:rsidR="00544968" w:rsidRPr="00257A61">
        <w:t xml:space="preserve">equivalent of </w:t>
      </w:r>
      <w:r w:rsidR="00544968" w:rsidRPr="004307DD">
        <w:t>$60,000</w:t>
      </w:r>
      <w:r w:rsidR="00544968" w:rsidRPr="00257A61">
        <w:t>.</w:t>
      </w:r>
      <w:r w:rsidR="00544968">
        <w:t xml:space="preserve"> The WDRs for the secondary earner</w:t>
      </w:r>
      <w:r w:rsidR="00544968" w:rsidRPr="00A718CE">
        <w:t xml:space="preserve"> in this family </w:t>
      </w:r>
      <w:r w:rsidR="00544968">
        <w:t>exceed 60</w:t>
      </w:r>
      <w:r w:rsidR="00E50212">
        <w:t> per c</w:t>
      </w:r>
      <w:r w:rsidR="00544968" w:rsidRPr="00A718CE">
        <w:t xml:space="preserve">ent when taking up more than one day of work. </w:t>
      </w:r>
      <w:r w:rsidR="00544968" w:rsidRPr="00C91143">
        <w:t>Further, over 80</w:t>
      </w:r>
      <w:r w:rsidR="00E50212">
        <w:t> per c</w:t>
      </w:r>
      <w:r w:rsidR="00544968" w:rsidRPr="00C91143">
        <w:t>ent of additional earnings are lost on the fifth day of work</w:t>
      </w:r>
      <w:r w:rsidR="00544968">
        <w:t xml:space="preserve"> due</w:t>
      </w:r>
      <w:r w:rsidR="00544968" w:rsidRPr="00C91143">
        <w:t xml:space="preserve"> to increased income tax and withdrawal of family payments, as well as out</w:t>
      </w:r>
      <w:r w:rsidR="0051795F">
        <w:noBreakHyphen/>
      </w:r>
      <w:r w:rsidR="00544968" w:rsidRPr="00C91143">
        <w:t>of</w:t>
      </w:r>
      <w:r w:rsidR="0051795F">
        <w:noBreakHyphen/>
      </w:r>
      <w:r w:rsidR="00544968" w:rsidRPr="00C91143">
        <w:t>pocket childcare costs.</w:t>
      </w:r>
    </w:p>
    <w:p w14:paraId="700E2DF4" w14:textId="125489EF" w:rsidR="009B12F3" w:rsidRDefault="00235526" w:rsidP="008B0DCB">
      <w:pPr>
        <w:pStyle w:val="ChartMainHeading"/>
      </w:pPr>
      <w:bookmarkStart w:id="5" w:name="_Ref155781712"/>
      <w:r w:rsidRPr="00235526">
        <w:lastRenderedPageBreak/>
        <w:t xml:space="preserve">Workforce disincentive rates for a secondary earner in a couple with three </w:t>
      </w:r>
      <w:r w:rsidR="00080570">
        <w:t>c</w:t>
      </w:r>
      <w:r w:rsidRPr="00235526">
        <w:t>hildren aged 4,</w:t>
      </w:r>
      <w:r w:rsidR="00C74EB4">
        <w:t xml:space="preserve"> </w:t>
      </w:r>
      <w:r w:rsidRPr="00235526">
        <w:t>8 and 10, and $60,000 primary earner income</w:t>
      </w:r>
      <w:bookmarkEnd w:id="5"/>
      <w:r w:rsidR="00197B15">
        <w:t xml:space="preserve"> </w:t>
      </w:r>
    </w:p>
    <w:p w14:paraId="6B05EF03" w14:textId="5DF8F92A" w:rsidR="009B12F3" w:rsidRPr="00A20C42" w:rsidRDefault="001045F2" w:rsidP="00A20C42">
      <w:pPr>
        <w:pStyle w:val="ChartGraphic"/>
      </w:pPr>
      <w:r>
        <w:rPr>
          <w:noProof/>
        </w:rPr>
        <w:drawing>
          <wp:inline distT="0" distB="0" distL="0" distR="0" wp14:anchorId="337BB7C5" wp14:editId="5BD2F931">
            <wp:extent cx="5760000" cy="3347692"/>
            <wp:effectExtent l="0" t="0" r="0" b="0"/>
            <wp:docPr id="1" name="Graphic 1" descr="Chart 1.2 - Workforce disincentive rates for a secondary earner in a couple with three children aged 4,8 and 10, and $60,000 primary earner income. The workforce disincentive rates for a secondary earner are above 60 per cent for a worker taking up more than one day of wor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art 1.2 - Workforce disincentive rates for a secondary earner in a couple with three children aged 4,8 and 10, and $60,000 primary earner income. The workforce disincentive rates for a secondary earner are above 60 per cent for a worker taking up more than one day of work. "/>
                    <pic:cNvPicPr/>
                  </pic:nvPicPr>
                  <pic:blipFill>
                    <a:blip r:embed="rId17">
                      <a:extLst>
                        <a:ext uri="{96DAC541-7B7A-43D3-8B79-37D633B846F1}">
                          <asvg:svgBlip xmlns:asvg="http://schemas.microsoft.com/office/drawing/2016/SVG/main" r:embed="rId18"/>
                        </a:ext>
                      </a:extLst>
                    </a:blip>
                    <a:stretch>
                      <a:fillRect/>
                    </a:stretch>
                  </pic:blipFill>
                  <pic:spPr>
                    <a:xfrm>
                      <a:off x="0" y="0"/>
                      <a:ext cx="5760000" cy="3347692"/>
                    </a:xfrm>
                    <a:prstGeom prst="rect">
                      <a:avLst/>
                    </a:prstGeom>
                  </pic:spPr>
                </pic:pic>
              </a:graphicData>
            </a:graphic>
          </wp:inline>
        </w:drawing>
      </w:r>
    </w:p>
    <w:p w14:paraId="7EAC8D99" w14:textId="0892D54E" w:rsidR="00E53BF7" w:rsidRPr="00C563D4" w:rsidRDefault="00E53BF7" w:rsidP="00A20C42">
      <w:pPr>
        <w:pStyle w:val="ChartorTableNote"/>
      </w:pPr>
      <w:r w:rsidRPr="00C563D4">
        <w:t xml:space="preserve">Source: </w:t>
      </w:r>
      <w:r w:rsidRPr="00C563D4">
        <w:tab/>
      </w:r>
      <w:r w:rsidRPr="00A20C42">
        <w:t>Treasury</w:t>
      </w:r>
      <w:r w:rsidR="0051795F">
        <w:t>’</w:t>
      </w:r>
      <w:r w:rsidRPr="00A20C42">
        <w:t>s</w:t>
      </w:r>
      <w:r>
        <w:t xml:space="preserve"> CAPITA model.</w:t>
      </w:r>
    </w:p>
    <w:p w14:paraId="5DAF2C37" w14:textId="1E71D34A" w:rsidR="009B12F3" w:rsidRPr="00D93EC4" w:rsidRDefault="00E53BF7" w:rsidP="00A20C42">
      <w:pPr>
        <w:pStyle w:val="ChartorTableNote"/>
      </w:pPr>
      <w:r w:rsidRPr="00D93EC4">
        <w:t xml:space="preserve">Note: </w:t>
      </w:r>
      <w:r w:rsidRPr="00D93EC4">
        <w:tab/>
      </w:r>
      <w:r w:rsidR="00864944" w:rsidRPr="00D93EC4">
        <w:t>Cameo is based on estimated tax and transfer policy settings for the 2023</w:t>
      </w:r>
      <w:r w:rsidR="00864944" w:rsidRPr="00D93EC4">
        <w:rPr>
          <w:rFonts w:ascii="Cambria Math" w:hAnsi="Cambria Math" w:cs="Cambria Math"/>
        </w:rPr>
        <w:t>‑</w:t>
      </w:r>
      <w:r w:rsidR="00864944" w:rsidRPr="00D93EC4">
        <w:t>24 financial year. Household is assumed to only receive private income from employment. Children under 6 are assumed to be in long day care (LDC) for 10 hours</w:t>
      </w:r>
      <w:r w:rsidR="0072017E">
        <w:t> per </w:t>
      </w:r>
      <w:r w:rsidR="00864944" w:rsidRPr="00D93EC4">
        <w:t xml:space="preserve">day worked by the secondary </w:t>
      </w:r>
      <w:r w:rsidR="00864944" w:rsidRPr="00A20C42">
        <w:t>earner</w:t>
      </w:r>
      <w:r w:rsidR="00864944" w:rsidRPr="00D93EC4">
        <w:t>, for 50 weeks</w:t>
      </w:r>
      <w:r w:rsidR="0072017E">
        <w:t> per </w:t>
      </w:r>
      <w:r w:rsidR="00864944" w:rsidRPr="00D93EC4">
        <w:t>year, at a cost of $10.80/hr. Children over 6 are assumed to be in out</w:t>
      </w:r>
      <w:r w:rsidR="00864944" w:rsidRPr="00D93EC4">
        <w:rPr>
          <w:rFonts w:ascii="Cambria Math" w:hAnsi="Cambria Math" w:cs="Cambria Math"/>
        </w:rPr>
        <w:t>‑</w:t>
      </w:r>
      <w:r w:rsidR="00864944" w:rsidRPr="00D93EC4">
        <w:t>of</w:t>
      </w:r>
      <w:r w:rsidR="00864944" w:rsidRPr="00D93EC4">
        <w:rPr>
          <w:rFonts w:ascii="Cambria Math" w:hAnsi="Cambria Math" w:cs="Cambria Math"/>
        </w:rPr>
        <w:t>‑</w:t>
      </w:r>
      <w:r w:rsidR="00864944" w:rsidRPr="00D93EC4">
        <w:t>school</w:t>
      </w:r>
      <w:r w:rsidR="00864944" w:rsidRPr="00D93EC4">
        <w:rPr>
          <w:rFonts w:ascii="Cambria Math" w:hAnsi="Cambria Math" w:cs="Cambria Math"/>
        </w:rPr>
        <w:t>‑</w:t>
      </w:r>
      <w:r w:rsidR="00864944" w:rsidRPr="00D93EC4">
        <w:t>hours care (OSHC) for 4 hours</w:t>
      </w:r>
      <w:r w:rsidR="0072017E">
        <w:t> per </w:t>
      </w:r>
      <w:r w:rsidR="00864944" w:rsidRPr="00D93EC4">
        <w:t>day, at a cost of $7.85/hr.</w:t>
      </w:r>
    </w:p>
    <w:p w14:paraId="24402A00" w14:textId="77777777" w:rsidR="009B12F3" w:rsidRPr="00AE453A" w:rsidRDefault="009B12F3" w:rsidP="009B12F3">
      <w:pPr>
        <w:pStyle w:val="ChartTableFiguresectionline"/>
      </w:pPr>
    </w:p>
    <w:p w14:paraId="4F1806DC" w14:textId="653CAA99" w:rsidR="005F6191" w:rsidRDefault="00C86BC7" w:rsidP="004234AE">
      <w:r w:rsidRPr="00C86BC7">
        <w:t>While employment decisions are complex and clearly encompass non</w:t>
      </w:r>
      <w:r w:rsidRPr="00C86BC7">
        <w:rPr>
          <w:rFonts w:ascii="Cambria Math" w:hAnsi="Cambria Math" w:cs="Cambria Math"/>
        </w:rPr>
        <w:t>‑</w:t>
      </w:r>
      <w:r w:rsidRPr="00C86BC7">
        <w:t>financial as well as financial factors, Australian women with dependent children, often secondary earners, are less likely to be in full</w:t>
      </w:r>
      <w:r w:rsidRPr="00C86BC7">
        <w:rPr>
          <w:rFonts w:ascii="Cambria Math" w:hAnsi="Cambria Math" w:cs="Cambria Math"/>
        </w:rPr>
        <w:t>‑</w:t>
      </w:r>
      <w:r w:rsidRPr="00C86BC7">
        <w:t>time employment than in comparable countries such as New Zealand, the USA, Canada, and the UK</w:t>
      </w:r>
      <w:r w:rsidR="005C255E">
        <w:t xml:space="preserve"> (</w:t>
      </w:r>
      <w:r w:rsidR="005E3FA3">
        <w:t>Chart 5.2</w:t>
      </w:r>
      <w:r w:rsidR="005C255E">
        <w:t>)</w:t>
      </w:r>
      <w:r w:rsidRPr="00C86BC7">
        <w:t>. While Australia</w:t>
      </w:r>
      <w:r w:rsidR="0051795F">
        <w:t>’</w:t>
      </w:r>
      <w:r w:rsidRPr="00C86BC7">
        <w:t>s overall employment rate for women with dependent children is similar</w:t>
      </w:r>
      <w:r w:rsidR="003C0EAF">
        <w:t xml:space="preserve"> </w:t>
      </w:r>
      <w:r w:rsidRPr="00C86BC7">
        <w:t>to these countries</w:t>
      </w:r>
      <w:r w:rsidR="00480482">
        <w:t xml:space="preserve">. </w:t>
      </w:r>
    </w:p>
    <w:p w14:paraId="4E2ED596" w14:textId="03039054" w:rsidR="00544968" w:rsidRPr="008906B7" w:rsidRDefault="00DB65C9" w:rsidP="008B0DCB">
      <w:pPr>
        <w:pStyle w:val="ChartMainHeading"/>
      </w:pPr>
      <w:bookmarkStart w:id="6" w:name="_Ref155781727"/>
      <w:r w:rsidRPr="00DB65C9">
        <w:lastRenderedPageBreak/>
        <w:t xml:space="preserve">Employment rates for mothers with dependent children depicting </w:t>
      </w:r>
      <w:r w:rsidR="00080570">
        <w:t>c</w:t>
      </w:r>
      <w:r w:rsidRPr="00DB65C9">
        <w:t>omposition of full</w:t>
      </w:r>
      <w:r w:rsidR="00406DF1">
        <w:t>-</w:t>
      </w:r>
      <w:r w:rsidRPr="00DB65C9">
        <w:t>time and part</w:t>
      </w:r>
      <w:r w:rsidR="0051795F">
        <w:noBreakHyphen/>
      </w:r>
      <w:r w:rsidRPr="00DB65C9">
        <w:t>time (2019)</w:t>
      </w:r>
      <w:bookmarkEnd w:id="6"/>
      <w:r w:rsidR="009A52AE">
        <w:t xml:space="preserve"> </w:t>
      </w:r>
    </w:p>
    <w:p w14:paraId="5F2AD6CD" w14:textId="19A96DA1" w:rsidR="00544968" w:rsidRDefault="002824E6" w:rsidP="00C323BA">
      <w:pPr>
        <w:pStyle w:val="ChartGraphic"/>
        <w:rPr>
          <w:rFonts w:cstheme="minorHAnsi"/>
          <w:szCs w:val="22"/>
          <w:highlight w:val="yellow"/>
        </w:rPr>
      </w:pPr>
      <w:r>
        <w:rPr>
          <w:noProof/>
        </w:rPr>
        <w:drawing>
          <wp:inline distT="0" distB="0" distL="0" distR="0" wp14:anchorId="014720C7" wp14:editId="7BD506B6">
            <wp:extent cx="5759450" cy="2950845"/>
            <wp:effectExtent l="0" t="0" r="0" b="0"/>
            <wp:docPr id="3" name="Graphic 3" descr="Chart 1.3 . Employment rates for mothers with dependent children depicting composition of full time and part-time. Australia's overall employment rate for women with dependent children is similar to the United States, Canada, New Zealand and the United Kingdom. Mothers with dependent children in Australia are more likely to work part time than comparable countr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Chart 1.3 . Employment rates for mothers with dependent children depicting composition of full time and part-time. Australia's overall employment rate for women with dependent children is similar to the United States, Canada, New Zealand and the United Kingdom. Mothers with dependent children in Australia are more likely to work part time than comparable countries. "/>
                    <pic:cNvPicPr/>
                  </pic:nvPicPr>
                  <pic:blipFill>
                    <a:blip r:embed="rId19">
                      <a:extLst>
                        <a:ext uri="{96DAC541-7B7A-43D3-8B79-37D633B846F1}">
                          <asvg:svgBlip xmlns:asvg="http://schemas.microsoft.com/office/drawing/2016/SVG/main" r:embed="rId20"/>
                        </a:ext>
                      </a:extLst>
                    </a:blip>
                    <a:stretch>
                      <a:fillRect/>
                    </a:stretch>
                  </pic:blipFill>
                  <pic:spPr>
                    <a:xfrm>
                      <a:off x="0" y="0"/>
                      <a:ext cx="5759450" cy="2950845"/>
                    </a:xfrm>
                    <a:prstGeom prst="rect">
                      <a:avLst/>
                    </a:prstGeom>
                  </pic:spPr>
                </pic:pic>
              </a:graphicData>
            </a:graphic>
          </wp:inline>
        </w:drawing>
      </w:r>
    </w:p>
    <w:p w14:paraId="7AFB451C" w14:textId="54D9180F" w:rsidR="004E5DE7" w:rsidRDefault="004E5DE7" w:rsidP="008B0DCB">
      <w:pPr>
        <w:pStyle w:val="ChartorTableNote"/>
      </w:pPr>
      <w:r w:rsidRPr="00C563D4">
        <w:t xml:space="preserve">Source: </w:t>
      </w:r>
      <w:r w:rsidRPr="00C563D4">
        <w:tab/>
      </w:r>
      <w:r>
        <w:t xml:space="preserve">Treasury (2023) analysis of </w:t>
      </w:r>
      <w:r w:rsidR="009C7EAC" w:rsidRPr="000B1FD2">
        <w:t>OECD 2019, Chart LMF1.2.A Maternal employment rates</w:t>
      </w:r>
      <w:r w:rsidR="009C7EAC">
        <w:t>.</w:t>
      </w:r>
    </w:p>
    <w:p w14:paraId="58A6E4E3" w14:textId="77777777" w:rsidR="004E5DE7" w:rsidRPr="00AE453A" w:rsidRDefault="004E5DE7" w:rsidP="004E5DE7">
      <w:pPr>
        <w:pStyle w:val="ChartTableFiguresectionline"/>
      </w:pPr>
    </w:p>
    <w:p w14:paraId="460F52AA" w14:textId="5866D757" w:rsidR="003C0EAF" w:rsidRPr="003C0EAF" w:rsidRDefault="003C0EAF" w:rsidP="003C0EAF">
      <w:pPr>
        <w:rPr>
          <w:rFonts w:cstheme="minorHAnsi"/>
          <w:szCs w:val="22"/>
        </w:rPr>
      </w:pPr>
      <w:r w:rsidRPr="003C0EAF">
        <w:rPr>
          <w:rFonts w:cstheme="minorHAnsi"/>
          <w:szCs w:val="22"/>
        </w:rPr>
        <w:t>The Government has shown interest in women</w:t>
      </w:r>
      <w:r w:rsidR="0051795F">
        <w:rPr>
          <w:rFonts w:cstheme="minorHAnsi"/>
          <w:szCs w:val="22"/>
        </w:rPr>
        <w:t>’</w:t>
      </w:r>
      <w:r w:rsidRPr="003C0EAF">
        <w:rPr>
          <w:rFonts w:cstheme="minorHAnsi"/>
          <w:szCs w:val="22"/>
        </w:rPr>
        <w:t>s employment outcomes through its changes to the Child Care Subsidy. Treasury modelled the Government</w:t>
      </w:r>
      <w:r w:rsidR="0051795F">
        <w:rPr>
          <w:rFonts w:cstheme="minorHAnsi"/>
          <w:szCs w:val="22"/>
        </w:rPr>
        <w:t>’</w:t>
      </w:r>
      <w:r w:rsidRPr="003C0EAF">
        <w:rPr>
          <w:rFonts w:cstheme="minorHAnsi"/>
          <w:szCs w:val="22"/>
        </w:rPr>
        <w:t>s increase of the Child Care Subsidy to a maximum of 90</w:t>
      </w:r>
      <w:r w:rsidR="00E50212">
        <w:rPr>
          <w:rFonts w:cstheme="minorHAnsi"/>
          <w:szCs w:val="22"/>
        </w:rPr>
        <w:t> per c</w:t>
      </w:r>
      <w:r w:rsidRPr="003C0EAF">
        <w:rPr>
          <w:rFonts w:cstheme="minorHAnsi"/>
          <w:szCs w:val="22"/>
        </w:rPr>
        <w:t>ent in the October 2022–23 Budget and estimated that women with young children could work up to 1.4</w:t>
      </w:r>
      <w:r w:rsidR="0072017E">
        <w:rPr>
          <w:rFonts w:cstheme="minorHAnsi"/>
          <w:szCs w:val="22"/>
        </w:rPr>
        <w:t> million</w:t>
      </w:r>
      <w:r w:rsidRPr="003C0EAF">
        <w:rPr>
          <w:rFonts w:cstheme="minorHAnsi"/>
          <w:szCs w:val="22"/>
        </w:rPr>
        <w:t xml:space="preserve"> more hours</w:t>
      </w:r>
      <w:r w:rsidR="0072017E">
        <w:rPr>
          <w:rFonts w:cstheme="minorHAnsi"/>
          <w:szCs w:val="22"/>
        </w:rPr>
        <w:t> per </w:t>
      </w:r>
      <w:r w:rsidRPr="003C0EAF">
        <w:rPr>
          <w:rFonts w:cstheme="minorHAnsi"/>
          <w:szCs w:val="22"/>
        </w:rPr>
        <w:t>week in 2023–24 with these reforms, which is the equivalent to adding an extra 37,000 full</w:t>
      </w:r>
      <w:r w:rsidRPr="003C0EAF">
        <w:rPr>
          <w:rFonts w:ascii="Cambria Math" w:hAnsi="Cambria Math" w:cs="Cambria Math"/>
          <w:szCs w:val="22"/>
        </w:rPr>
        <w:t>‑</w:t>
      </w:r>
      <w:r w:rsidRPr="003C0EAF">
        <w:rPr>
          <w:rFonts w:cstheme="minorHAnsi"/>
          <w:szCs w:val="22"/>
        </w:rPr>
        <w:t>time workers to the economy.</w:t>
      </w:r>
    </w:p>
    <w:p w14:paraId="1C64F6FC" w14:textId="0915F413" w:rsidR="003C0EAF" w:rsidRPr="003C0EAF" w:rsidRDefault="003C0EAF" w:rsidP="003C0EAF">
      <w:pPr>
        <w:rPr>
          <w:szCs w:val="22"/>
        </w:rPr>
      </w:pPr>
      <w:r w:rsidRPr="003C0EAF">
        <w:rPr>
          <w:szCs w:val="22"/>
        </w:rPr>
        <w:t>The Government has also commissioned the Productivity Commission to review the child care sector and consider a universal 90</w:t>
      </w:r>
      <w:r w:rsidR="00E50212">
        <w:rPr>
          <w:szCs w:val="22"/>
        </w:rPr>
        <w:t> per c</w:t>
      </w:r>
      <w:r w:rsidRPr="003C0EAF">
        <w:rPr>
          <w:szCs w:val="22"/>
        </w:rPr>
        <w:t>ent child care subsidy rate, as well as tasking the Australian Competition and Consumer Commission (ACCC) to examine childcare pricing.</w:t>
      </w:r>
    </w:p>
    <w:p w14:paraId="624676C3" w14:textId="77777777" w:rsidR="001A05EC" w:rsidRDefault="001A05EC" w:rsidP="00FE06DB"/>
    <w:p w14:paraId="2B3FC5E8" w14:textId="73FD94E8" w:rsidR="001A05EC" w:rsidRDefault="001A05EC" w:rsidP="00FE06DB">
      <w:pPr>
        <w:sectPr w:rsidR="001A05EC" w:rsidSect="004414BC">
          <w:footnotePr>
            <w:numStart w:val="40"/>
          </w:footnotePr>
          <w:pgSz w:w="11906" w:h="16838" w:code="9"/>
          <w:pgMar w:top="1843" w:right="1418" w:bottom="1418" w:left="1418" w:header="709" w:footer="709" w:gutter="0"/>
          <w:cols w:space="708"/>
          <w:docGrid w:linePitch="360"/>
        </w:sectPr>
      </w:pPr>
    </w:p>
    <w:p w14:paraId="444F1922" w14:textId="53C4FA61" w:rsidR="000C5299" w:rsidRPr="00D41CA6" w:rsidRDefault="00544968" w:rsidP="00414591">
      <w:pPr>
        <w:pStyle w:val="Heading1Numbered"/>
      </w:pPr>
      <w:r>
        <w:lastRenderedPageBreak/>
        <w:t>Income support recipients</w:t>
      </w:r>
    </w:p>
    <w:p w14:paraId="273B9D2D" w14:textId="77777777" w:rsidR="003C0EAF" w:rsidRPr="003C0EAF" w:rsidRDefault="003C0EAF" w:rsidP="003C0EAF">
      <w:pPr>
        <w:rPr>
          <w:szCs w:val="22"/>
        </w:rPr>
      </w:pPr>
      <w:r w:rsidRPr="003C0EAF">
        <w:rPr>
          <w:szCs w:val="22"/>
        </w:rPr>
        <w:t>Income support recipients, those people receiving payments such as unemployment benefits and pensions, can also experience work disincentives resulting from the tax</w:t>
      </w:r>
      <w:r w:rsidRPr="003C0EAF">
        <w:rPr>
          <w:rFonts w:ascii="Cambria Math" w:hAnsi="Cambria Math" w:cs="Cambria Math"/>
          <w:szCs w:val="22"/>
        </w:rPr>
        <w:t>‑</w:t>
      </w:r>
      <w:r w:rsidRPr="003C0EAF">
        <w:rPr>
          <w:szCs w:val="22"/>
        </w:rPr>
        <w:t>transfer system. I will focus on the JobSeeker Payment as it is most directly linked to the labour market.</w:t>
      </w:r>
    </w:p>
    <w:p w14:paraId="420DFCFB" w14:textId="083EB051" w:rsidR="000D49A2" w:rsidRDefault="00BE73DD" w:rsidP="00F42B15">
      <w:r w:rsidRPr="00BE73DD">
        <w:t>Conversations around JobSeeker often assume that recipients are unemployed. This leads to an analysis of benefit rates relative to the minimum wage. The reality is far more complex. Around one</w:t>
      </w:r>
      <w:r w:rsidRPr="00BE73DD">
        <w:rPr>
          <w:rFonts w:ascii="Cambria Math" w:hAnsi="Cambria Math" w:cs="Cambria Math"/>
        </w:rPr>
        <w:t>‑</w:t>
      </w:r>
      <w:r w:rsidRPr="00BE73DD">
        <w:t>quarter of JobSeeker Payment recipients had some form of earnings in the previous fortnight, with many employed in part</w:t>
      </w:r>
      <w:r w:rsidRPr="00BE73DD">
        <w:rPr>
          <w:rFonts w:ascii="Cambria Math" w:hAnsi="Cambria Math" w:cs="Cambria Math"/>
        </w:rPr>
        <w:t>‑</w:t>
      </w:r>
      <w:r w:rsidRPr="00BE73DD">
        <w:t>time, entry level jobs. Indeed, reforms like the Working Credit, which allows JobSeeker recipients to accumulate credits while not working that can be drawn down to reduce withdrawal rates when working, have sought to incentivise part</w:t>
      </w:r>
      <w:r w:rsidRPr="00BE73DD">
        <w:rPr>
          <w:rFonts w:ascii="Cambria Math" w:hAnsi="Cambria Math" w:cs="Cambria Math"/>
        </w:rPr>
        <w:t>‑</w:t>
      </w:r>
      <w:r w:rsidRPr="00BE73DD">
        <w:t>time work as a stepping stone to full</w:t>
      </w:r>
      <w:r w:rsidRPr="00BE73DD">
        <w:rPr>
          <w:rFonts w:ascii="Cambria Math" w:hAnsi="Cambria Math" w:cs="Cambria Math"/>
        </w:rPr>
        <w:t>‑</w:t>
      </w:r>
      <w:r w:rsidRPr="00BE73DD">
        <w:t>time employment and self</w:t>
      </w:r>
      <w:r w:rsidRPr="00BE73DD">
        <w:rPr>
          <w:rFonts w:ascii="Cambria Math" w:hAnsi="Cambria Math" w:cs="Cambria Math"/>
        </w:rPr>
        <w:t>‑</w:t>
      </w:r>
      <w:r w:rsidRPr="00BE73DD">
        <w:t>sufficiency</w:t>
      </w:r>
      <w:r w:rsidR="000D49A2">
        <w:t>.</w:t>
      </w:r>
      <w:r w:rsidR="000D49A2">
        <w:rPr>
          <w:rStyle w:val="FootnoteReference"/>
          <w:szCs w:val="22"/>
        </w:rPr>
        <w:footnoteReference w:id="11"/>
      </w:r>
      <w:r w:rsidR="000D49A2">
        <w:t xml:space="preserve"> </w:t>
      </w:r>
    </w:p>
    <w:p w14:paraId="05FA59BF" w14:textId="77777777" w:rsidR="00BE73DD" w:rsidRPr="00BE73DD" w:rsidRDefault="00BE73DD" w:rsidP="00BE73DD">
      <w:pPr>
        <w:rPr>
          <w:rFonts w:cstheme="minorHAnsi"/>
          <w:szCs w:val="22"/>
        </w:rPr>
      </w:pPr>
      <w:r w:rsidRPr="00BE73DD">
        <w:rPr>
          <w:rFonts w:cstheme="minorHAnsi"/>
          <w:szCs w:val="22"/>
        </w:rPr>
        <w:t>Given this complexity as people move from unemployment into work, it is useful to think about effective marginal tax rates, or EMTRs, to measure financial disincentives for income support recipients. It is the proportion of each additional dollar earned that is lost through increasing tax and decreasing transfer payments. While conceptually very similar to workforce disincentive rates, EMTRs are more useful for understanding how incentives change as the level of earned income increases.</w:t>
      </w:r>
    </w:p>
    <w:p w14:paraId="25C3D2E7" w14:textId="56B5BE00" w:rsidR="00BE73DD" w:rsidRPr="00BE73DD" w:rsidRDefault="00BE73DD" w:rsidP="00BE73DD">
      <w:pPr>
        <w:rPr>
          <w:szCs w:val="22"/>
        </w:rPr>
      </w:pPr>
      <w:r w:rsidRPr="00BE73DD">
        <w:rPr>
          <w:szCs w:val="22"/>
        </w:rPr>
        <w:t>Income support recipients experience high EMTRs if they earn less than $30,000</w:t>
      </w:r>
      <w:r w:rsidR="0072017E">
        <w:rPr>
          <w:szCs w:val="22"/>
        </w:rPr>
        <w:t> per </w:t>
      </w:r>
      <w:r w:rsidRPr="00BE73DD">
        <w:rPr>
          <w:szCs w:val="22"/>
        </w:rPr>
        <w:t>annum</w:t>
      </w:r>
      <w:r w:rsidR="001324EB">
        <w:rPr>
          <w:szCs w:val="22"/>
        </w:rPr>
        <w:t xml:space="preserve"> – </w:t>
      </w:r>
      <w:r w:rsidRPr="00BE73DD">
        <w:rPr>
          <w:szCs w:val="22"/>
        </w:rPr>
        <w:t>primarily due to the withdrawal of transfer payments as their labour income increases in this range.</w:t>
      </w:r>
    </w:p>
    <w:p w14:paraId="0D85A24B" w14:textId="2CBAC9CC" w:rsidR="000C6980" w:rsidRPr="000C6980" w:rsidRDefault="005E3FA3" w:rsidP="000C6980">
      <w:pPr>
        <w:rPr>
          <w:szCs w:val="22"/>
        </w:rPr>
      </w:pPr>
      <w:r>
        <w:rPr>
          <w:szCs w:val="22"/>
        </w:rPr>
        <w:t>Chart 6.1</w:t>
      </w:r>
      <w:r w:rsidR="000C6980">
        <w:rPr>
          <w:szCs w:val="22"/>
        </w:rPr>
        <w:t xml:space="preserve"> </w:t>
      </w:r>
      <w:r w:rsidR="000C6980" w:rsidRPr="000C6980">
        <w:rPr>
          <w:szCs w:val="22"/>
        </w:rPr>
        <w:t>shows that a single person on JobSeeker Payment with no children on an annual income of less than $33,000 will generally face an EMTR of more than 60</w:t>
      </w:r>
      <w:r w:rsidR="00E50212">
        <w:rPr>
          <w:szCs w:val="22"/>
        </w:rPr>
        <w:t> per c</w:t>
      </w:r>
      <w:r w:rsidR="000C6980" w:rsidRPr="000C6980">
        <w:rPr>
          <w:szCs w:val="22"/>
        </w:rPr>
        <w:t>ent when working while still receiving payment. At an income of around $33,000 the EMTR falls substantially because the recipient is no longer receiving JobSeeker Payment and hence not subject to the sharp taper rate.</w:t>
      </w:r>
    </w:p>
    <w:p w14:paraId="479611A7" w14:textId="185A7C5F" w:rsidR="000C1284" w:rsidRPr="004E5DE7" w:rsidRDefault="004E5DE7" w:rsidP="008B0DCB">
      <w:pPr>
        <w:pStyle w:val="ChartMainHeading"/>
      </w:pPr>
      <w:bookmarkStart w:id="7" w:name="_Ref155781747"/>
      <w:r w:rsidRPr="004E5DE7">
        <w:lastRenderedPageBreak/>
        <w:t>EMTRs for a single person on JobSeeker Payment with no children (2022–23)</w:t>
      </w:r>
      <w:bookmarkEnd w:id="7"/>
    </w:p>
    <w:p w14:paraId="6EF0A52F" w14:textId="0A4C1AC6" w:rsidR="00BE354D" w:rsidRDefault="00623DB3" w:rsidP="00C323BA">
      <w:pPr>
        <w:pStyle w:val="ChartGraphic"/>
      </w:pPr>
      <w:r>
        <w:rPr>
          <w:noProof/>
        </w:rPr>
        <w:drawing>
          <wp:inline distT="0" distB="0" distL="0" distR="0" wp14:anchorId="17C2D185" wp14:editId="70292B4A">
            <wp:extent cx="5609817" cy="3240000"/>
            <wp:effectExtent l="0" t="0" r="0" b="0"/>
            <wp:docPr id="9" name="Chart 9" descr="Chart 1.4. Effective Marginal Tax Rates for a single person on JobSeeker Payment with no children (2022–23). The chart shows that a single person on JobSeeker Payment with no children on an annual income of less than $33,000 will generally face an Effective Marginal Tax Rate of more than 60 per cent when working while still receiving payment. At an income of $33,000 and over the Effective Marginal Tax Rate falls substantially to below 40 per cent as the recipient is no longer receiving the JobSeeker Payment. ">
              <a:extLst xmlns:a="http://schemas.openxmlformats.org/drawingml/2006/main">
                <a:ext uri="{FF2B5EF4-FFF2-40B4-BE49-F238E27FC236}">
                  <a16:creationId xmlns:a16="http://schemas.microsoft.com/office/drawing/2014/main" id="{7D529D4B-7E8D-4F5A-BA41-2B0E0DF8C7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5235FC7" w14:textId="2E20EC9E" w:rsidR="009E4FA9" w:rsidRDefault="009E4FA9" w:rsidP="008B0DCB">
      <w:pPr>
        <w:pStyle w:val="ChartorTableNote"/>
      </w:pPr>
      <w:r w:rsidRPr="00C563D4">
        <w:t xml:space="preserve">Source: </w:t>
      </w:r>
      <w:r w:rsidRPr="00C563D4">
        <w:tab/>
      </w:r>
      <w:r w:rsidR="009C3B41">
        <w:t>Treasury</w:t>
      </w:r>
      <w:r w:rsidR="0051795F">
        <w:t>’</w:t>
      </w:r>
      <w:r w:rsidR="009C3B41">
        <w:t>s CAPITA model</w:t>
      </w:r>
    </w:p>
    <w:p w14:paraId="4560581B" w14:textId="36E0D177" w:rsidR="009C3B41" w:rsidRPr="009E4FA9" w:rsidRDefault="009C3B41" w:rsidP="008B0DCB">
      <w:pPr>
        <w:pStyle w:val="ChartorTableNote"/>
      </w:pPr>
      <w:r>
        <w:t xml:space="preserve">Note: </w:t>
      </w:r>
      <w:r>
        <w:tab/>
      </w:r>
      <w:r w:rsidR="003F41AB">
        <w:t xml:space="preserve">JobSeeker recipient has no </w:t>
      </w:r>
      <w:r w:rsidR="003F41AB" w:rsidRPr="008B0DCB">
        <w:t>children</w:t>
      </w:r>
      <w:r w:rsidR="003F41AB">
        <w:t>.</w:t>
      </w:r>
    </w:p>
    <w:p w14:paraId="2943A482" w14:textId="77777777" w:rsidR="00996AF7" w:rsidRDefault="00996AF7" w:rsidP="00996AF7">
      <w:pPr>
        <w:pStyle w:val="ChartTableFiguresectionline"/>
      </w:pPr>
    </w:p>
    <w:p w14:paraId="0029EBED" w14:textId="7A3A4A5C" w:rsidR="000C6980" w:rsidRPr="000C6980" w:rsidRDefault="000C6980" w:rsidP="000C6980">
      <w:pPr>
        <w:rPr>
          <w:szCs w:val="22"/>
        </w:rPr>
      </w:pPr>
      <w:r w:rsidRPr="000C6980">
        <w:rPr>
          <w:szCs w:val="22"/>
        </w:rPr>
        <w:t>However, many income support recipients who face opportunity or capability barriers to employment will not experience a smooth transition to an income level where they cease receiving payments because they only have the capacity to work part</w:t>
      </w:r>
      <w:r w:rsidRPr="000C6980">
        <w:rPr>
          <w:rFonts w:ascii="Cambria Math" w:hAnsi="Cambria Math" w:cs="Cambria Math"/>
          <w:szCs w:val="22"/>
        </w:rPr>
        <w:t>‑</w:t>
      </w:r>
      <w:r w:rsidRPr="000C6980">
        <w:rPr>
          <w:szCs w:val="22"/>
        </w:rPr>
        <w:t>time.</w:t>
      </w:r>
    </w:p>
    <w:p w14:paraId="6410FAC4" w14:textId="7E1A20AA" w:rsidR="000D49A2" w:rsidRDefault="00B81F7C" w:rsidP="0020181D">
      <w:pPr>
        <w:spacing w:after="0"/>
        <w:rPr>
          <w:szCs w:val="22"/>
        </w:rPr>
      </w:pPr>
      <w:r w:rsidRPr="00B81F7C">
        <w:rPr>
          <w:rFonts w:cstheme="minorHAnsi"/>
          <w:szCs w:val="22"/>
        </w:rPr>
        <w:t>Over 2021, around 67</w:t>
      </w:r>
      <w:r w:rsidR="00E50212">
        <w:rPr>
          <w:rFonts w:cstheme="minorHAnsi"/>
          <w:szCs w:val="22"/>
        </w:rPr>
        <w:t> per c</w:t>
      </w:r>
      <w:r w:rsidRPr="00B81F7C">
        <w:rPr>
          <w:rFonts w:cstheme="minorHAnsi"/>
          <w:szCs w:val="22"/>
        </w:rPr>
        <w:t>ent of JobSeeker Payment recipients exited within 12 months (40</w:t>
      </w:r>
      <w:r w:rsidR="00E50212">
        <w:rPr>
          <w:rFonts w:cstheme="minorHAnsi"/>
          <w:szCs w:val="22"/>
        </w:rPr>
        <w:t> per c</w:t>
      </w:r>
      <w:r w:rsidRPr="00B81F7C">
        <w:rPr>
          <w:rFonts w:cstheme="minorHAnsi"/>
          <w:szCs w:val="22"/>
        </w:rPr>
        <w:t>ent within 6 months) but those who remain often face barriers that inhibit their capacity to work full</w:t>
      </w:r>
      <w:r w:rsidRPr="00B81F7C">
        <w:rPr>
          <w:rFonts w:ascii="Cambria Math" w:hAnsi="Cambria Math" w:cs="Cambria Math"/>
          <w:szCs w:val="22"/>
        </w:rPr>
        <w:t>‑</w:t>
      </w:r>
      <w:r w:rsidRPr="00B81F7C">
        <w:rPr>
          <w:rFonts w:cstheme="minorHAnsi"/>
          <w:szCs w:val="22"/>
        </w:rPr>
        <w:t>time. For example, roughly 43</w:t>
      </w:r>
      <w:r w:rsidR="00E50212">
        <w:rPr>
          <w:rFonts w:cstheme="minorHAnsi"/>
          <w:szCs w:val="22"/>
        </w:rPr>
        <w:t> per c</w:t>
      </w:r>
      <w:r w:rsidRPr="00B81F7C">
        <w:rPr>
          <w:rFonts w:cstheme="minorHAnsi"/>
          <w:szCs w:val="22"/>
        </w:rPr>
        <w:t>ent of JobSeeker Payment recipients have been assessed as having only partial capacity to work, which means they have an impairment that will prevent them from working more than 30 hours</w:t>
      </w:r>
      <w:r w:rsidR="0072017E">
        <w:rPr>
          <w:rFonts w:cstheme="minorHAnsi"/>
          <w:szCs w:val="22"/>
        </w:rPr>
        <w:t> per </w:t>
      </w:r>
      <w:r w:rsidRPr="00B81F7C">
        <w:rPr>
          <w:rFonts w:cstheme="minorHAnsi"/>
          <w:szCs w:val="22"/>
        </w:rPr>
        <w:t>week over the next two</w:t>
      </w:r>
      <w:r w:rsidR="0072017E">
        <w:rPr>
          <w:rFonts w:cstheme="minorHAnsi"/>
          <w:szCs w:val="22"/>
        </w:rPr>
        <w:t> year</w:t>
      </w:r>
      <w:r w:rsidRPr="00B81F7C">
        <w:rPr>
          <w:rFonts w:cstheme="minorHAnsi"/>
          <w:szCs w:val="22"/>
        </w:rPr>
        <w:t>s</w:t>
      </w:r>
      <w:r w:rsidR="000D49A2">
        <w:rPr>
          <w:szCs w:val="22"/>
        </w:rPr>
        <w:t>.</w:t>
      </w:r>
      <w:r w:rsidR="000D49A2">
        <w:rPr>
          <w:rStyle w:val="FootnoteReference"/>
          <w:szCs w:val="22"/>
        </w:rPr>
        <w:footnoteReference w:id="12"/>
      </w:r>
      <w:r w:rsidR="000D49A2">
        <w:rPr>
          <w:szCs w:val="22"/>
        </w:rPr>
        <w:t xml:space="preserve"> </w:t>
      </w:r>
      <w:r w:rsidR="000D49A2" w:rsidRPr="003061A2">
        <w:rPr>
          <w:szCs w:val="22"/>
        </w:rPr>
        <w:t xml:space="preserve">For an individual on the minimum wage, </w:t>
      </w:r>
      <w:r w:rsidR="000D49A2">
        <w:rPr>
          <w:szCs w:val="22"/>
        </w:rPr>
        <w:t>30 hours</w:t>
      </w:r>
      <w:r w:rsidR="0072017E">
        <w:rPr>
          <w:szCs w:val="22"/>
        </w:rPr>
        <w:t> per </w:t>
      </w:r>
      <w:r w:rsidR="000D49A2">
        <w:rPr>
          <w:szCs w:val="22"/>
        </w:rPr>
        <w:t xml:space="preserve">week, equates to an annual income of around </w:t>
      </w:r>
      <w:r w:rsidR="000D49A2" w:rsidRPr="003061A2">
        <w:rPr>
          <w:szCs w:val="22"/>
        </w:rPr>
        <w:t>$30,000</w:t>
      </w:r>
      <w:r w:rsidR="000D49A2">
        <w:rPr>
          <w:szCs w:val="22"/>
        </w:rPr>
        <w:t>, which means they are likely to be subject to high EMTRs.</w:t>
      </w:r>
    </w:p>
    <w:p w14:paraId="2B665715" w14:textId="7AA5ED6B" w:rsidR="00114C61" w:rsidRDefault="00114C61" w:rsidP="00114C61">
      <w:pPr>
        <w:rPr>
          <w:szCs w:val="22"/>
        </w:rPr>
      </w:pPr>
      <w:r w:rsidRPr="00114C61">
        <w:rPr>
          <w:szCs w:val="22"/>
        </w:rPr>
        <w:t>The example I have discussed illustrates the disincentives many income recipients face to increasing their hours of work. It does not say anything about the incentives to work related to, or adequacy of, the level of income support payments. Income support payments are a critical part of Australia</w:t>
      </w:r>
      <w:r w:rsidR="0051795F">
        <w:rPr>
          <w:szCs w:val="22"/>
        </w:rPr>
        <w:t>’</w:t>
      </w:r>
      <w:r w:rsidRPr="00114C61">
        <w:rPr>
          <w:szCs w:val="22"/>
        </w:rPr>
        <w:t>s welfare system and enable people to buy basic goods they need to support job search and participation in the labour market. The adequacy of payments will also vary with individual circumstances. A similar point has been made in discussions about the JobSeeker rate and in submissions to the White Paper. Although the size of these effects is hard to measure, they are important considerations for the design of support payments.</w:t>
      </w:r>
    </w:p>
    <w:p w14:paraId="3F951B40" w14:textId="77777777" w:rsidR="001A05EC" w:rsidRDefault="001A05EC" w:rsidP="00114C61">
      <w:pPr>
        <w:rPr>
          <w:szCs w:val="22"/>
        </w:rPr>
      </w:pPr>
    </w:p>
    <w:p w14:paraId="1D25347D" w14:textId="07616CBC" w:rsidR="001A05EC" w:rsidRDefault="001A05EC" w:rsidP="00114C61">
      <w:pPr>
        <w:rPr>
          <w:szCs w:val="22"/>
        </w:rPr>
        <w:sectPr w:rsidR="001A05EC" w:rsidSect="004414BC">
          <w:footnotePr>
            <w:numStart w:val="40"/>
          </w:footnotePr>
          <w:pgSz w:w="11906" w:h="16838" w:code="9"/>
          <w:pgMar w:top="1843" w:right="1418" w:bottom="1418" w:left="1418" w:header="709" w:footer="709" w:gutter="0"/>
          <w:cols w:space="708"/>
          <w:docGrid w:linePitch="360"/>
        </w:sectPr>
      </w:pPr>
    </w:p>
    <w:p w14:paraId="1D0EB32C" w14:textId="35AA91EC" w:rsidR="0065165E" w:rsidRPr="00D11243" w:rsidRDefault="0065165E" w:rsidP="00414591">
      <w:pPr>
        <w:pStyle w:val="Heading1Numbered"/>
      </w:pPr>
      <w:r>
        <w:lastRenderedPageBreak/>
        <w:t>Policy options</w:t>
      </w:r>
    </w:p>
    <w:p w14:paraId="257A10E4" w14:textId="40878DF2" w:rsidR="00114C61" w:rsidRPr="00114C61" w:rsidRDefault="00114C61" w:rsidP="00114C61">
      <w:pPr>
        <w:rPr>
          <w:rFonts w:cstheme="minorHAnsi"/>
          <w:szCs w:val="22"/>
        </w:rPr>
      </w:pPr>
      <w:r w:rsidRPr="00114C61">
        <w:rPr>
          <w:rFonts w:cstheme="minorHAnsi"/>
          <w:szCs w:val="22"/>
        </w:rPr>
        <w:t xml:space="preserve">If we want to improve incentives for secondary earners and income support recipients then we must navigate the </w:t>
      </w:r>
      <w:r w:rsidR="0051795F">
        <w:rPr>
          <w:rFonts w:cstheme="minorHAnsi"/>
          <w:szCs w:val="22"/>
        </w:rPr>
        <w:t>‘</w:t>
      </w:r>
      <w:r w:rsidRPr="00114C61">
        <w:rPr>
          <w:rFonts w:cstheme="minorHAnsi"/>
          <w:szCs w:val="22"/>
        </w:rPr>
        <w:t>Iron Triangle</w:t>
      </w:r>
      <w:r w:rsidR="0051795F">
        <w:rPr>
          <w:rFonts w:cstheme="minorHAnsi"/>
          <w:szCs w:val="22"/>
        </w:rPr>
        <w:t>’</w:t>
      </w:r>
      <w:r w:rsidRPr="00114C61">
        <w:rPr>
          <w:rFonts w:cstheme="minorHAnsi"/>
          <w:szCs w:val="22"/>
        </w:rPr>
        <w:t xml:space="preserve"> of means testing. This describes the three</w:t>
      </w:r>
      <w:r w:rsidRPr="00114C61">
        <w:rPr>
          <w:rFonts w:ascii="Cambria Math" w:hAnsi="Cambria Math" w:cs="Cambria Math"/>
          <w:szCs w:val="22"/>
        </w:rPr>
        <w:t>‑</w:t>
      </w:r>
      <w:r w:rsidRPr="00114C61">
        <w:rPr>
          <w:rFonts w:cstheme="minorHAnsi"/>
          <w:szCs w:val="22"/>
        </w:rPr>
        <w:t>way trade</w:t>
      </w:r>
      <w:r w:rsidRPr="00114C61">
        <w:rPr>
          <w:rFonts w:ascii="Cambria Math" w:hAnsi="Cambria Math" w:cs="Cambria Math"/>
          <w:szCs w:val="22"/>
        </w:rPr>
        <w:t>‑</w:t>
      </w:r>
      <w:r w:rsidRPr="00114C61">
        <w:rPr>
          <w:rFonts w:cstheme="minorHAnsi"/>
          <w:szCs w:val="22"/>
        </w:rPr>
        <w:t>off between the adequacy of government payments (including for supporting job search), the costs to taxpayers, and the disincentives for people to get off the payment by earning income.</w:t>
      </w:r>
    </w:p>
    <w:p w14:paraId="17FA1A88" w14:textId="77777777" w:rsidR="00DA52E4" w:rsidRPr="0020181D" w:rsidRDefault="00DA52E4" w:rsidP="0020181D">
      <w:pPr>
        <w:pStyle w:val="Heading2"/>
      </w:pPr>
      <w:r w:rsidRPr="00F25D2F">
        <w:t>Transfer payment design</w:t>
      </w:r>
    </w:p>
    <w:p w14:paraId="65696558" w14:textId="77777777" w:rsidR="00114C61" w:rsidRPr="00114C61" w:rsidRDefault="00114C61" w:rsidP="00114C61">
      <w:pPr>
        <w:rPr>
          <w:szCs w:val="22"/>
        </w:rPr>
      </w:pPr>
      <w:r w:rsidRPr="00114C61">
        <w:rPr>
          <w:szCs w:val="22"/>
        </w:rPr>
        <w:t>In Australia, incentives and disincentives for secondary earners and income support recipients are most visible through eligibility for and withdrawal of transfer payments. Therefore, increasing work incentives for secondary earners or income support recipients, without reducing the payment level, requires relaxing or removing income</w:t>
      </w:r>
      <w:r w:rsidRPr="00114C61">
        <w:rPr>
          <w:rFonts w:ascii="Cambria Math" w:hAnsi="Cambria Math" w:cs="Cambria Math"/>
          <w:szCs w:val="22"/>
        </w:rPr>
        <w:t>‑</w:t>
      </w:r>
      <w:r w:rsidRPr="00114C61">
        <w:rPr>
          <w:szCs w:val="22"/>
        </w:rPr>
        <w:t>based means tests.</w:t>
      </w:r>
    </w:p>
    <w:p w14:paraId="2298A85E" w14:textId="18DAFC08" w:rsidR="00114C61" w:rsidRDefault="00114C61" w:rsidP="00114C61">
      <w:pPr>
        <w:rPr>
          <w:szCs w:val="22"/>
        </w:rPr>
      </w:pPr>
      <w:r w:rsidRPr="00114C61">
        <w:rPr>
          <w:szCs w:val="22"/>
        </w:rPr>
        <w:t>One option is reducing taper rates. This is the amount a payment is reduced per dollar increase in income.</w:t>
      </w:r>
    </w:p>
    <w:p w14:paraId="0DA0282A" w14:textId="77777777" w:rsidR="004B49A7" w:rsidRPr="004B49A7" w:rsidRDefault="004B49A7" w:rsidP="004B49A7">
      <w:pPr>
        <w:rPr>
          <w:szCs w:val="22"/>
        </w:rPr>
      </w:pPr>
      <w:r w:rsidRPr="004B49A7">
        <w:rPr>
          <w:szCs w:val="22"/>
        </w:rPr>
        <w:t xml:space="preserve">Another option to increase incentives to work is to increase the amount of credit that income support recipients can accumulate through arrangements like Working Credit, which helps smooth the transition from being on income support to coming off payments. This is particularly important for those working variable hours. The Government has implemented an option like this for Age Pensioners and Veterans Pensioners on a temporary basis until 31 December 2023. </w:t>
      </w:r>
    </w:p>
    <w:p w14:paraId="3FA9891D" w14:textId="3D32AE13" w:rsidR="00DA52E4" w:rsidRPr="0020181D" w:rsidRDefault="00DA52E4" w:rsidP="0020181D">
      <w:pPr>
        <w:pStyle w:val="Heading2"/>
      </w:pPr>
      <w:r w:rsidRPr="00F41A5E">
        <w:t>Trade</w:t>
      </w:r>
      <w:r w:rsidR="00AB1A4A">
        <w:t>-</w:t>
      </w:r>
      <w:r w:rsidRPr="00F41A5E">
        <w:t>offs</w:t>
      </w:r>
      <w:r w:rsidR="001324EB">
        <w:t xml:space="preserve"> – </w:t>
      </w:r>
      <w:r>
        <w:t>f</w:t>
      </w:r>
      <w:r w:rsidRPr="00F41A5E">
        <w:t xml:space="preserve">iscal considerations and the role of the tax system </w:t>
      </w:r>
    </w:p>
    <w:p w14:paraId="48E589F3" w14:textId="77777777" w:rsidR="00CA735E" w:rsidRPr="00CA735E" w:rsidRDefault="00CA735E" w:rsidP="00CA735E">
      <w:pPr>
        <w:rPr>
          <w:rFonts w:cstheme="minorHAnsi"/>
          <w:szCs w:val="22"/>
        </w:rPr>
      </w:pPr>
      <w:r w:rsidRPr="00CA735E">
        <w:rPr>
          <w:rFonts w:cstheme="minorHAnsi"/>
          <w:szCs w:val="22"/>
        </w:rPr>
        <w:t>However, as demonstrated by the Iron Triangle, there are trade</w:t>
      </w:r>
      <w:r w:rsidRPr="00CA735E">
        <w:rPr>
          <w:rFonts w:ascii="Cambria Math" w:hAnsi="Cambria Math" w:cs="Cambria Math"/>
          <w:szCs w:val="22"/>
        </w:rPr>
        <w:t>‑</w:t>
      </w:r>
      <w:r w:rsidRPr="00CA735E">
        <w:rPr>
          <w:rFonts w:cstheme="minorHAnsi"/>
          <w:szCs w:val="22"/>
        </w:rPr>
        <w:t>offs with any changes to current settings. Any improvement in transfer payment incentives will ultimately have a budgetary cost if there are no other changes. Given our fiscal challenges over coming decades, any package of changes will need to be revenue</w:t>
      </w:r>
      <w:r w:rsidRPr="00CA735E">
        <w:rPr>
          <w:rFonts w:ascii="Cambria Math" w:hAnsi="Cambria Math" w:cs="Cambria Math"/>
          <w:szCs w:val="22"/>
        </w:rPr>
        <w:t>‑</w:t>
      </w:r>
      <w:r w:rsidRPr="00CA735E">
        <w:rPr>
          <w:rFonts w:cstheme="minorHAnsi"/>
          <w:szCs w:val="22"/>
        </w:rPr>
        <w:t>neutral in the near term and revenue</w:t>
      </w:r>
      <w:r w:rsidRPr="00CA735E">
        <w:rPr>
          <w:rFonts w:ascii="Cambria Math" w:hAnsi="Cambria Math" w:cs="Cambria Math"/>
          <w:szCs w:val="22"/>
        </w:rPr>
        <w:t>‑</w:t>
      </w:r>
      <w:r w:rsidRPr="00CA735E">
        <w:rPr>
          <w:rFonts w:cstheme="minorHAnsi"/>
          <w:szCs w:val="22"/>
        </w:rPr>
        <w:t>positive in the long term.</w:t>
      </w:r>
    </w:p>
    <w:p w14:paraId="2546473D" w14:textId="36350307" w:rsidR="00CA735E" w:rsidRPr="00CA735E" w:rsidRDefault="00CA735E" w:rsidP="00CA735E">
      <w:pPr>
        <w:rPr>
          <w:szCs w:val="22"/>
        </w:rPr>
      </w:pPr>
      <w:r w:rsidRPr="00CA735E">
        <w:rPr>
          <w:szCs w:val="22"/>
        </w:rPr>
        <w:t>Revenue raising is not and should not be the only objective of tax reform. Taxes influence behaviour, so it is important that any reform adheres to core tax policy design principles, such as the 2009 Henry Tax Review</w:t>
      </w:r>
      <w:r w:rsidR="0051795F">
        <w:rPr>
          <w:szCs w:val="22"/>
        </w:rPr>
        <w:t>’</w:t>
      </w:r>
      <w:r w:rsidRPr="00CA735E">
        <w:rPr>
          <w:szCs w:val="22"/>
        </w:rPr>
        <w:t>s principles of equity, efficiency, and simplicity. This means the tax system should aim to treat individuals with similar economic capacity in the same way, raise and redistribute revenue at the least possible economic cost, and be simple to understand.</w:t>
      </w:r>
    </w:p>
    <w:p w14:paraId="4DA34FAF" w14:textId="6F282A03" w:rsidR="003B0922" w:rsidRPr="003B0922" w:rsidRDefault="003B0922" w:rsidP="003B0922">
      <w:pPr>
        <w:rPr>
          <w:rFonts w:cstheme="minorHAnsi"/>
          <w:szCs w:val="22"/>
        </w:rPr>
      </w:pPr>
      <w:r w:rsidRPr="003B0922">
        <w:rPr>
          <w:rFonts w:cstheme="minorHAnsi"/>
          <w:szCs w:val="22"/>
        </w:rPr>
        <w:t>Australia</w:t>
      </w:r>
      <w:r w:rsidR="0051795F">
        <w:rPr>
          <w:rFonts w:cstheme="minorHAnsi"/>
          <w:szCs w:val="22"/>
        </w:rPr>
        <w:t>’</w:t>
      </w:r>
      <w:r w:rsidRPr="003B0922">
        <w:rPr>
          <w:rFonts w:cstheme="minorHAnsi"/>
          <w:szCs w:val="22"/>
        </w:rPr>
        <w:t>s tax system is not always consistent with these principles. For example, it is easier to reduce tax on income from passive sources than it is for salary and wage income</w:t>
      </w:r>
      <w:r w:rsidR="0051795F">
        <w:rPr>
          <w:rFonts w:cstheme="minorHAnsi"/>
          <w:szCs w:val="22"/>
        </w:rPr>
        <w:t xml:space="preserve">. </w:t>
      </w:r>
    </w:p>
    <w:p w14:paraId="2AD33186" w14:textId="77777777" w:rsidR="003B0922" w:rsidRPr="003B0922" w:rsidRDefault="003B0922" w:rsidP="003B0922">
      <w:pPr>
        <w:rPr>
          <w:szCs w:val="22"/>
        </w:rPr>
      </w:pPr>
      <w:r w:rsidRPr="003B0922">
        <w:rPr>
          <w:szCs w:val="22"/>
        </w:rPr>
        <w:t>There are non</w:t>
      </w:r>
      <w:r w:rsidRPr="003B0922">
        <w:rPr>
          <w:rFonts w:ascii="Cambria Math" w:hAnsi="Cambria Math" w:cs="Cambria Math"/>
          <w:szCs w:val="22"/>
        </w:rPr>
        <w:t>‑</w:t>
      </w:r>
      <w:r w:rsidRPr="003B0922">
        <w:rPr>
          <w:szCs w:val="22"/>
        </w:rPr>
        <w:t>tax opportunities to make participation incentives clearer to income support recipients and secondary earners which could help drive participation. Key reports such as the McClure Review and Henry Tax Review have found that individuals find it difficult to understand the complex interactions between tax, welfare payments, and additional earnings from work. People are more likely to rely on rules of thumb and put significant weight on losing benefits such as a Health Care Card or social housing. These findings have been reinforced by the stakeholder engagement Treasury has been undertaking for the Employment White Paper.</w:t>
      </w:r>
    </w:p>
    <w:p w14:paraId="073A5C2B" w14:textId="77777777" w:rsidR="001A05EC" w:rsidRPr="001A05EC" w:rsidRDefault="001A05EC" w:rsidP="001A05EC"/>
    <w:p w14:paraId="69F5D22D" w14:textId="1EF3BA2F" w:rsidR="001A05EC" w:rsidRPr="001A05EC" w:rsidRDefault="001A05EC" w:rsidP="001A05EC">
      <w:pPr>
        <w:sectPr w:rsidR="001A05EC" w:rsidRPr="001A05EC" w:rsidSect="004414BC">
          <w:footnotePr>
            <w:numStart w:val="40"/>
          </w:footnotePr>
          <w:pgSz w:w="11906" w:h="16838" w:code="9"/>
          <w:pgMar w:top="1843" w:right="1418" w:bottom="1418" w:left="1418" w:header="709" w:footer="709" w:gutter="0"/>
          <w:cols w:space="708"/>
          <w:docGrid w:linePitch="360"/>
        </w:sectPr>
      </w:pPr>
    </w:p>
    <w:p w14:paraId="7C6F5F79" w14:textId="0DC65A0E" w:rsidR="00DA52E4" w:rsidRDefault="00DA52E4" w:rsidP="00414591">
      <w:pPr>
        <w:pStyle w:val="Heading1Numbered"/>
      </w:pPr>
      <w:r>
        <w:lastRenderedPageBreak/>
        <w:t>Conclusion</w:t>
      </w:r>
    </w:p>
    <w:p w14:paraId="09048BE8" w14:textId="55EC0507" w:rsidR="003B0922" w:rsidRPr="003B0922" w:rsidRDefault="003B0922" w:rsidP="003B0922">
      <w:pPr>
        <w:rPr>
          <w:szCs w:val="22"/>
        </w:rPr>
      </w:pPr>
      <w:r w:rsidRPr="003B0922">
        <w:rPr>
          <w:szCs w:val="22"/>
        </w:rPr>
        <w:t>I have used this speech to highlight one barrier to participation</w:t>
      </w:r>
      <w:r w:rsidR="001324EB">
        <w:rPr>
          <w:szCs w:val="22"/>
        </w:rPr>
        <w:t xml:space="preserve"> – </w:t>
      </w:r>
      <w:r w:rsidRPr="003B0922">
        <w:rPr>
          <w:szCs w:val="22"/>
        </w:rPr>
        <w:t>disincentives to work in current tax</w:t>
      </w:r>
      <w:r w:rsidRPr="003B0922">
        <w:rPr>
          <w:rFonts w:ascii="Cambria Math" w:hAnsi="Cambria Math" w:cs="Cambria Math"/>
          <w:szCs w:val="22"/>
        </w:rPr>
        <w:t>‑</w:t>
      </w:r>
      <w:r w:rsidRPr="003B0922">
        <w:rPr>
          <w:szCs w:val="22"/>
        </w:rPr>
        <w:t>transfer settings.</w:t>
      </w:r>
      <w:r w:rsidR="005F6191">
        <w:rPr>
          <w:szCs w:val="22"/>
        </w:rPr>
        <w:t xml:space="preserve"> </w:t>
      </w:r>
      <w:r w:rsidRPr="003B0922">
        <w:rPr>
          <w:szCs w:val="22"/>
        </w:rPr>
        <w:t>Secondary earners face high disincentives to take additional days of work, particularly the fifth day.</w:t>
      </w:r>
    </w:p>
    <w:p w14:paraId="038E56DC" w14:textId="0294FD94" w:rsidR="003B0922" w:rsidRPr="003B0922" w:rsidRDefault="003B0922" w:rsidP="003B0922">
      <w:pPr>
        <w:rPr>
          <w:szCs w:val="22"/>
        </w:rPr>
      </w:pPr>
      <w:r w:rsidRPr="003B0922">
        <w:rPr>
          <w:szCs w:val="22"/>
        </w:rPr>
        <w:t>Income support recipients face steep disincentives when working part</w:t>
      </w:r>
      <w:r w:rsidRPr="003B0922">
        <w:rPr>
          <w:rFonts w:ascii="Cambria Math" w:hAnsi="Cambria Math" w:cs="Cambria Math"/>
          <w:szCs w:val="22"/>
        </w:rPr>
        <w:t>‑</w:t>
      </w:r>
      <w:r w:rsidRPr="003B0922">
        <w:rPr>
          <w:szCs w:val="22"/>
        </w:rPr>
        <w:t>time, which permanently reduce the returns to work for those who are unable to work full</w:t>
      </w:r>
      <w:r w:rsidRPr="003B0922">
        <w:rPr>
          <w:rFonts w:ascii="Cambria Math" w:hAnsi="Cambria Math" w:cs="Cambria Math"/>
          <w:szCs w:val="22"/>
        </w:rPr>
        <w:t>‑</w:t>
      </w:r>
      <w:r w:rsidRPr="003B0922">
        <w:rPr>
          <w:szCs w:val="22"/>
        </w:rPr>
        <w:t>time.</w:t>
      </w:r>
      <w:r w:rsidR="005F6191">
        <w:rPr>
          <w:szCs w:val="22"/>
        </w:rPr>
        <w:t xml:space="preserve"> </w:t>
      </w:r>
      <w:r w:rsidRPr="003B0922">
        <w:rPr>
          <w:szCs w:val="22"/>
        </w:rPr>
        <w:t>Addressing these work disincentives requires making changes to current tax</w:t>
      </w:r>
      <w:r w:rsidRPr="003B0922">
        <w:rPr>
          <w:rFonts w:ascii="Cambria Math" w:hAnsi="Cambria Math" w:cs="Cambria Math"/>
          <w:szCs w:val="22"/>
        </w:rPr>
        <w:t>‑</w:t>
      </w:r>
      <w:r w:rsidRPr="003B0922">
        <w:rPr>
          <w:szCs w:val="22"/>
        </w:rPr>
        <w:t>transfer settings, and this will have fiscal consequences in a tight budgetary environment.</w:t>
      </w:r>
    </w:p>
    <w:p w14:paraId="309B8F8F" w14:textId="77777777" w:rsidR="00751A4C" w:rsidRPr="00751A4C" w:rsidRDefault="00751A4C" w:rsidP="00751A4C">
      <w:pPr>
        <w:rPr>
          <w:rFonts w:cstheme="minorHAnsi"/>
          <w:szCs w:val="22"/>
        </w:rPr>
      </w:pPr>
      <w:r w:rsidRPr="00751A4C">
        <w:rPr>
          <w:rFonts w:cstheme="minorHAnsi"/>
          <w:szCs w:val="22"/>
        </w:rPr>
        <w:t xml:space="preserve">Further, for changes to have significant impact, macroeconomic policy must seek to maintain full employment or close to it. In conditions of higher unemployment, secondary earners may struggle to increase their participation, and income support recipients are likely to find it more difficult to get work. </w:t>
      </w:r>
    </w:p>
    <w:p w14:paraId="38D7DE55" w14:textId="4FFC6BA5" w:rsidR="00751A4C" w:rsidRPr="00751A4C" w:rsidRDefault="00751A4C" w:rsidP="00751A4C">
      <w:pPr>
        <w:rPr>
          <w:rFonts w:cstheme="minorHAnsi"/>
          <w:szCs w:val="22"/>
        </w:rPr>
      </w:pPr>
      <w:r w:rsidRPr="00751A4C">
        <w:rPr>
          <w:rFonts w:cstheme="minorHAnsi"/>
          <w:szCs w:val="22"/>
        </w:rPr>
        <w:t>I would like to finish with one obvious point and one point that is often overlooked.</w:t>
      </w:r>
      <w:r w:rsidR="00BD01F1">
        <w:rPr>
          <w:rFonts w:cstheme="minorHAnsi"/>
          <w:szCs w:val="22"/>
        </w:rPr>
        <w:t xml:space="preserve"> </w:t>
      </w:r>
      <w:r w:rsidRPr="00751A4C">
        <w:rPr>
          <w:rFonts w:cstheme="minorHAnsi"/>
          <w:szCs w:val="22"/>
        </w:rPr>
        <w:t>The obvious point is that increasing labour force participation provides financial benefits to workers through wages and to the Commonwealth through additional revenue and reduced welfare costs.</w:t>
      </w:r>
    </w:p>
    <w:p w14:paraId="667D9EC9" w14:textId="77777777" w:rsidR="00751A4C" w:rsidRPr="00751A4C" w:rsidRDefault="00751A4C" w:rsidP="00751A4C">
      <w:pPr>
        <w:rPr>
          <w:szCs w:val="22"/>
        </w:rPr>
      </w:pPr>
      <w:r w:rsidRPr="00751A4C">
        <w:rPr>
          <w:szCs w:val="22"/>
        </w:rPr>
        <w:t>The point often overlooked is that there are health and wellbeing benefits associated with being employed. Research finds there are, for most people, clear physical and mental health benefits. For example, HILDA data shows that working is associated with better mental health and lower rates of psychological distress. We also know that there are strong intergenerational benefits as children with parents who work are more likely to work themselves.</w:t>
      </w:r>
    </w:p>
    <w:p w14:paraId="75657FAB" w14:textId="77777777" w:rsidR="00751A4C" w:rsidRPr="00751A4C" w:rsidRDefault="00751A4C" w:rsidP="00751A4C">
      <w:r w:rsidRPr="00751A4C">
        <w:t>Just as the previous employment white papers made substantial contributions to Australian society, the 2023 Employment White Paper will explore how to extend the benefits of work to people who face barriers to employment.</w:t>
      </w:r>
    </w:p>
    <w:p w14:paraId="3DE1795B" w14:textId="15356882" w:rsidR="0065165E" w:rsidRPr="005F6191" w:rsidRDefault="00751A4C" w:rsidP="0043769E">
      <w:r w:rsidRPr="00751A4C">
        <w:t>But it is critical that any future directions consider system simplicity and fiscal responsibility. This is another way the 2023 White Paper will, like its predecessors, be a product of its time.</w:t>
      </w:r>
      <w:bookmarkEnd w:id="0"/>
      <w:bookmarkEnd w:id="1"/>
      <w:bookmarkEnd w:id="2"/>
    </w:p>
    <w:sectPr w:rsidR="0065165E" w:rsidRPr="005F6191" w:rsidSect="004414BC">
      <w:footnotePr>
        <w:numStart w:val="40"/>
      </w:footnotePr>
      <w:pgSz w:w="11906" w:h="16838" w:code="9"/>
      <w:pgMar w:top="1843"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4352D" w14:textId="77777777" w:rsidR="00C81723" w:rsidRDefault="00C81723">
      <w:pPr>
        <w:spacing w:before="0" w:after="0"/>
      </w:pPr>
      <w:r>
        <w:separator/>
      </w:r>
    </w:p>
  </w:endnote>
  <w:endnote w:type="continuationSeparator" w:id="0">
    <w:p w14:paraId="6A5971A5" w14:textId="77777777" w:rsidR="00C81723" w:rsidRDefault="00C81723">
      <w:pPr>
        <w:spacing w:before="0" w:after="0"/>
      </w:pPr>
      <w:r>
        <w:continuationSeparator/>
      </w:r>
    </w:p>
  </w:endnote>
  <w:endnote w:type="continuationNotice" w:id="1">
    <w:p w14:paraId="6432BFDA" w14:textId="77777777" w:rsidR="00C81723" w:rsidRDefault="00C8172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9999999">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Univers 45 Light">
    <w:altName w:val="Calibri"/>
    <w:charset w:val="00"/>
    <w:family w:val="auto"/>
    <w:pitch w:val="variable"/>
    <w:sig w:usb0="8000002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B9BD7" w14:textId="1348CB96" w:rsidR="00F71097" w:rsidRDefault="00F71097" w:rsidP="00F71097">
    <w:pPr>
      <w:pStyle w:val="Footer"/>
      <w:jc w:val="right"/>
    </w:pPr>
    <w:r w:rsidRPr="00103F3C">
      <w:rPr>
        <w:noProof/>
        <w:position w:val="-8"/>
      </w:rPr>
      <w:drawing>
        <wp:inline distT="0" distB="0" distL="0" distR="0" wp14:anchorId="3B822FD7" wp14:editId="0C7223F9">
          <wp:extent cx="1324800" cy="201600"/>
          <wp:effectExtent l="0" t="0" r="0" b="825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rsidRPr="0064444F">
      <w:rPr>
        <w:b/>
        <w:bCs/>
      </w:rPr>
      <w:tab/>
    </w:r>
    <w:r w:rsidRPr="0064444F">
      <w:rPr>
        <w:b/>
        <w:bCs/>
      </w:rPr>
      <w:fldChar w:fldCharType="begin"/>
    </w:r>
    <w:r w:rsidRPr="0064444F">
      <w:rPr>
        <w:b/>
        <w:bCs/>
      </w:rPr>
      <w:instrText xml:space="preserve"> STYLEREF  "Report title"  \* MERGEFORMAT </w:instrText>
    </w:r>
    <w:r w:rsidRPr="0064444F">
      <w:rPr>
        <w:b/>
        <w:bCs/>
      </w:rPr>
      <w:fldChar w:fldCharType="separate"/>
    </w:r>
    <w:r w:rsidR="004B3742" w:rsidRPr="004B3742">
      <w:rPr>
        <w:noProof/>
        <w:lang w:val="en-US"/>
      </w:rPr>
      <w:t>Incentives for secondary earners and income support recipients</w:t>
    </w:r>
    <w:r w:rsidRPr="0064444F">
      <w:rPr>
        <w:b/>
        <w:bCs/>
        <w:noProof/>
        <w:lang w:val="en-US"/>
      </w:rPr>
      <w:fldChar w:fldCharType="end"/>
    </w:r>
    <w:r>
      <w:t xml:space="preserve">  </w:t>
    </w:r>
    <w:r w:rsidRPr="00D1425F">
      <w:t xml:space="preserve">|  </w:t>
    </w:r>
    <w:r w:rsidR="00752BD8" w:rsidRPr="00D1425F">
      <w:fldChar w:fldCharType="begin"/>
    </w:r>
    <w:r w:rsidR="00752BD8" w:rsidRPr="00D1425F">
      <w:instrText xml:space="preserve"> PAGE   \* MERGEFORMAT </w:instrText>
    </w:r>
    <w:r w:rsidR="00752BD8" w:rsidRPr="00D1425F">
      <w:fldChar w:fldCharType="separate"/>
    </w:r>
    <w:r w:rsidR="00752BD8">
      <w:t>55</w:t>
    </w:r>
    <w:r w:rsidR="00752BD8" w:rsidRPr="00D1425F">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A8EB4" w14:textId="796CBB7F" w:rsidR="002567AD" w:rsidRPr="0027070B" w:rsidRDefault="002567AD" w:rsidP="0027070B">
    <w:pPr>
      <w:pStyle w:val="FooterEven"/>
    </w:pPr>
    <w:r w:rsidRPr="002567AD">
      <w:fldChar w:fldCharType="begin"/>
    </w:r>
    <w:r w:rsidRPr="002567AD">
      <w:instrText xml:space="preserve"> PAGE   \* MERGEFORMAT </w:instrText>
    </w:r>
    <w:r w:rsidRPr="002567AD">
      <w:fldChar w:fldCharType="separate"/>
    </w:r>
    <w:r w:rsidRPr="002567AD">
      <w:t>2</w:t>
    </w:r>
    <w:r w:rsidRPr="002567AD">
      <w:fldChar w:fldCharType="end"/>
    </w:r>
    <w:r w:rsidRPr="002567AD">
      <w:t xml:space="preserve"> | </w:t>
    </w:r>
    <w:r w:rsidR="004B3742">
      <w:fldChar w:fldCharType="begin"/>
    </w:r>
    <w:r w:rsidR="004B3742">
      <w:instrText>STYLEREF  "Heading 1 Numbered" \l  \* MERGEFORMAT</w:instrText>
    </w:r>
    <w:r w:rsidR="004B3742">
      <w:fldChar w:fldCharType="separate"/>
    </w:r>
    <w:r w:rsidR="005E3FA3" w:rsidRPr="005E3FA3">
      <w:rPr>
        <w:b/>
        <w:bCs/>
        <w:lang w:val="en-US"/>
      </w:rPr>
      <w:t>Introduction</w:t>
    </w:r>
    <w:r w:rsidR="004B3742">
      <w:rPr>
        <w:b/>
        <w:bCs/>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FEE1F" w14:textId="30327B83" w:rsidR="002567AD" w:rsidRPr="004526B0" w:rsidRDefault="004526B0" w:rsidP="004526B0">
    <w:pPr>
      <w:pStyle w:val="Footer"/>
      <w:jc w:val="right"/>
    </w:pPr>
    <w:r w:rsidRPr="00103F3C">
      <w:rPr>
        <w:noProof/>
        <w:position w:val="-8"/>
      </w:rPr>
      <w:drawing>
        <wp:inline distT="0" distB="0" distL="0" distR="0" wp14:anchorId="7459CBB5" wp14:editId="33E8E27B">
          <wp:extent cx="1324800" cy="201600"/>
          <wp:effectExtent l="0" t="0" r="0" b="8255"/>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004B3742">
      <w:fldChar w:fldCharType="begin"/>
    </w:r>
    <w:r w:rsidR="004B3742">
      <w:instrText xml:space="preserve"> STYLEREF  "Report title"  \* MERGEFORMAT </w:instrText>
    </w:r>
    <w:r w:rsidR="004B3742">
      <w:fldChar w:fldCharType="separate"/>
    </w:r>
    <w:r w:rsidR="004B3742" w:rsidRPr="004B3742">
      <w:rPr>
        <w:noProof/>
        <w:lang w:val="en-US"/>
      </w:rPr>
      <w:t>Incentives for secondary earners and income</w:t>
    </w:r>
    <w:r w:rsidR="004B3742">
      <w:rPr>
        <w:noProof/>
      </w:rPr>
      <w:t xml:space="preserve"> support recipients</w:t>
    </w:r>
    <w:r w:rsidR="004B3742">
      <w:rPr>
        <w:noProof/>
      </w:rPr>
      <w:fldChar w:fldCharType="end"/>
    </w:r>
    <w:r>
      <w:t xml:space="preserve">  </w:t>
    </w:r>
    <w:r w:rsidRPr="00D1425F">
      <w:t xml:space="preserve">|  </w:t>
    </w:r>
    <w:r w:rsidRPr="00D1425F">
      <w:fldChar w:fldCharType="begin"/>
    </w:r>
    <w:r w:rsidRPr="00D1425F">
      <w:instrText xml:space="preserve"> PAGE   \* MERGEFORMAT </w:instrText>
    </w:r>
    <w:r w:rsidRPr="00D1425F">
      <w:fldChar w:fldCharType="separate"/>
    </w:r>
    <w:r>
      <w:t>3</w:t>
    </w:r>
    <w:r w:rsidRPr="00D1425F">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055EF" w14:textId="77777777" w:rsidR="002567AD" w:rsidRPr="00095D88" w:rsidRDefault="002567AD" w:rsidP="00095D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6C3AB" w14:textId="77777777" w:rsidR="00C81723" w:rsidRPr="00742AAF" w:rsidRDefault="00C81723" w:rsidP="000F6233">
      <w:pPr>
        <w:rPr>
          <w:color w:val="D9D9D9" w:themeColor="background1" w:themeShade="D9"/>
        </w:rPr>
      </w:pPr>
      <w:r w:rsidRPr="00742AAF">
        <w:rPr>
          <w:color w:val="D9D9D9" w:themeColor="background1" w:themeShade="D9"/>
        </w:rPr>
        <w:separator/>
      </w:r>
    </w:p>
  </w:footnote>
  <w:footnote w:type="continuationSeparator" w:id="0">
    <w:p w14:paraId="18CA5872" w14:textId="77777777" w:rsidR="00C81723" w:rsidRPr="00B737EB" w:rsidRDefault="00C81723">
      <w:pPr>
        <w:spacing w:before="0" w:after="0"/>
        <w:rPr>
          <w:color w:val="2C384A" w:themeColor="accent1"/>
        </w:rPr>
      </w:pPr>
      <w:r w:rsidRPr="00B737EB">
        <w:rPr>
          <w:color w:val="2C384A" w:themeColor="accent1"/>
        </w:rPr>
        <w:continuationSeparator/>
      </w:r>
    </w:p>
  </w:footnote>
  <w:footnote w:type="continuationNotice" w:id="1">
    <w:p w14:paraId="6578DA9D" w14:textId="77777777" w:rsidR="00C81723" w:rsidRDefault="00C81723">
      <w:pPr>
        <w:spacing w:before="0" w:after="0"/>
      </w:pPr>
    </w:p>
  </w:footnote>
  <w:footnote w:id="2">
    <w:p w14:paraId="21BD2827" w14:textId="7F6251F1" w:rsidR="00997B7E" w:rsidRPr="00B35225" w:rsidRDefault="00A37C39" w:rsidP="00997B7E">
      <w:pPr>
        <w:pStyle w:val="FootnoteText"/>
      </w:pPr>
      <w:r w:rsidRPr="00B35225">
        <w:footnoteRef/>
      </w:r>
      <w:r w:rsidRPr="00B35225">
        <w:t xml:space="preserve"> </w:t>
      </w:r>
      <w:r w:rsidRPr="00B35225">
        <w:tab/>
      </w:r>
      <w:r w:rsidR="002B5E46" w:rsidRPr="00B35225">
        <w:t>I would</w:t>
      </w:r>
      <w:r w:rsidR="002B5E46" w:rsidRPr="00B35225">
        <w:rPr>
          <w:rStyle w:val="FootnoteTextChar"/>
        </w:rPr>
        <w:t xml:space="preserve"> like to express my appreciation to Kurt Nakkan, Michael Bathgate, Elizabeth Baldwin, Alice Shen, Alex Heath, Nick Latimer, Louise Rawlings, Jesse Sondhu, Simon Foat, Myles Burleigh, and Doug Watkins for their assistance preparing this address.</w:t>
      </w:r>
      <w:r w:rsidR="00997B7E">
        <w:rPr>
          <w:rStyle w:val="FootnoteTextChar"/>
        </w:rPr>
        <w:br/>
      </w:r>
      <w:r w:rsidR="00997B7E" w:rsidRPr="009E3BBC">
        <w:rPr>
          <w:rStyle w:val="FootnoteTextChar"/>
        </w:rPr>
        <w:t xml:space="preserve">I would also like to thank Professor Jeff Borland for his </w:t>
      </w:r>
      <w:r w:rsidR="00997B7E" w:rsidRPr="00FC04E2">
        <w:rPr>
          <w:rStyle w:val="FootnoteTextChar"/>
        </w:rPr>
        <w:t>comments</w:t>
      </w:r>
      <w:r w:rsidR="00997B7E" w:rsidRPr="009E3BBC">
        <w:rPr>
          <w:rStyle w:val="FootnoteTextChar"/>
        </w:rPr>
        <w:t xml:space="preserve"> on an earlier version of this address.</w:t>
      </w:r>
    </w:p>
  </w:footnote>
  <w:footnote w:id="3">
    <w:p w14:paraId="1329F06F" w14:textId="266E377D" w:rsidR="00DC1AFA" w:rsidRDefault="00DC1AFA" w:rsidP="00735CA2">
      <w:pPr>
        <w:pStyle w:val="FootnoteText"/>
      </w:pPr>
      <w:r w:rsidRPr="00A763A9">
        <w:footnoteRef/>
      </w:r>
      <w:r>
        <w:t xml:space="preserve"> </w:t>
      </w:r>
      <w:r w:rsidR="00A763A9">
        <w:tab/>
      </w:r>
      <w:hyperlink r:id="rId1" w:history="1">
        <w:r w:rsidRPr="00AB1A4A">
          <w:rPr>
            <w:rStyle w:val="Hyperlink"/>
          </w:rPr>
          <w:t>https://treasury.gov.au/speech/opening</w:t>
        </w:r>
        <w:r w:rsidR="00AB1A4A" w:rsidRPr="00AB1A4A">
          <w:rPr>
            <w:rStyle w:val="Hyperlink"/>
          </w:rPr>
          <w:t>-</w:t>
        </w:r>
        <w:r w:rsidRPr="00AB1A4A">
          <w:rPr>
            <w:rStyle w:val="Hyperlink"/>
          </w:rPr>
          <w:t>statement</w:t>
        </w:r>
        <w:r w:rsidR="00AB1A4A" w:rsidRPr="00AB1A4A">
          <w:rPr>
            <w:rStyle w:val="Hyperlink"/>
          </w:rPr>
          <w:t>-</w:t>
        </w:r>
        <w:r w:rsidRPr="00AB1A4A">
          <w:rPr>
            <w:rStyle w:val="Hyperlink"/>
          </w:rPr>
          <w:t>economics</w:t>
        </w:r>
        <w:r w:rsidR="00AB1A4A" w:rsidRPr="00AB1A4A">
          <w:rPr>
            <w:rStyle w:val="Hyperlink"/>
          </w:rPr>
          <w:t>-</w:t>
        </w:r>
        <w:r w:rsidRPr="00AB1A4A">
          <w:rPr>
            <w:rStyle w:val="Hyperlink"/>
          </w:rPr>
          <w:t>legislation</w:t>
        </w:r>
        <w:r w:rsidR="00AB1A4A" w:rsidRPr="00AB1A4A">
          <w:rPr>
            <w:rStyle w:val="Hyperlink"/>
          </w:rPr>
          <w:t>-</w:t>
        </w:r>
        <w:r w:rsidRPr="00AB1A4A">
          <w:rPr>
            <w:rStyle w:val="Hyperlink"/>
          </w:rPr>
          <w:t>committee</w:t>
        </w:r>
      </w:hyperlink>
    </w:p>
  </w:footnote>
  <w:footnote w:id="4">
    <w:p w14:paraId="4AF99CF4" w14:textId="3E5736D5" w:rsidR="00DC1AFA" w:rsidRDefault="00DC1AFA" w:rsidP="00DC1AFA">
      <w:pPr>
        <w:pStyle w:val="FootnoteText"/>
      </w:pPr>
      <w:r w:rsidRPr="00A763A9">
        <w:footnoteRef/>
      </w:r>
      <w:r>
        <w:t xml:space="preserve"> </w:t>
      </w:r>
      <w:r w:rsidR="00A763A9">
        <w:tab/>
      </w:r>
      <w:r>
        <w:t>2021 Census.</w:t>
      </w:r>
    </w:p>
  </w:footnote>
  <w:footnote w:id="5">
    <w:p w14:paraId="6507132E" w14:textId="4DB3C457" w:rsidR="00DC1AFA" w:rsidRDefault="00DC1AFA" w:rsidP="00DC1AFA">
      <w:pPr>
        <w:pStyle w:val="FootnoteText"/>
      </w:pPr>
      <w:r w:rsidRPr="00A763A9">
        <w:footnoteRef/>
      </w:r>
      <w:r w:rsidRPr="00C91143">
        <w:t xml:space="preserve"> </w:t>
      </w:r>
      <w:r w:rsidR="00A763A9">
        <w:tab/>
      </w:r>
      <w:r w:rsidRPr="00C91143">
        <w:t>ABS</w:t>
      </w:r>
      <w:r>
        <w:t>,</w:t>
      </w:r>
      <w:r w:rsidRPr="00C91143">
        <w:t xml:space="preserve"> </w:t>
      </w:r>
      <w:r w:rsidRPr="0072017E">
        <w:rPr>
          <w:rStyle w:val="Emphasis"/>
        </w:rPr>
        <w:t>Disability, Ageing and Carers, Australia,</w:t>
      </w:r>
      <w:r w:rsidRPr="00C91143">
        <w:t xml:space="preserve"> 2018</w:t>
      </w:r>
      <w:r>
        <w:t>.</w:t>
      </w:r>
    </w:p>
  </w:footnote>
  <w:footnote w:id="6">
    <w:p w14:paraId="31F6A31F" w14:textId="33AADA87" w:rsidR="00D051F1" w:rsidRDefault="00D051F1" w:rsidP="00D051F1">
      <w:pPr>
        <w:pStyle w:val="FootnoteText"/>
      </w:pPr>
      <w:r w:rsidRPr="00A763A9">
        <w:footnoteRef/>
      </w:r>
      <w:r>
        <w:t xml:space="preserve"> </w:t>
      </w:r>
      <w:r w:rsidR="00A763A9">
        <w:tab/>
      </w:r>
      <w:r>
        <w:t>Immervoll et al. 2019.</w:t>
      </w:r>
    </w:p>
  </w:footnote>
  <w:footnote w:id="7">
    <w:p w14:paraId="5DDC9BE0" w14:textId="4638D011" w:rsidR="00D051F1" w:rsidRPr="00B35225" w:rsidRDefault="00D051F1" w:rsidP="00B35225">
      <w:pPr>
        <w:pStyle w:val="FootnoteText"/>
      </w:pPr>
      <w:r w:rsidRPr="00A763A9">
        <w:footnoteRef/>
      </w:r>
      <w:r>
        <w:t xml:space="preserve"> </w:t>
      </w:r>
      <w:r w:rsidR="000A2987">
        <w:tab/>
      </w:r>
      <w:r w:rsidRPr="00D5339A">
        <w:t>Breunig</w:t>
      </w:r>
      <w:r w:rsidRPr="00B23E25">
        <w:t xml:space="preserve"> et al</w:t>
      </w:r>
      <w:r w:rsidR="00F112DC">
        <w:t>.</w:t>
      </w:r>
      <w:r w:rsidRPr="00B23E25">
        <w:t xml:space="preserve"> 2011, </w:t>
      </w:r>
      <w:r w:rsidR="0051795F">
        <w:t>‘</w:t>
      </w:r>
      <w:r w:rsidRPr="00B23E25">
        <w:t>Child care availability, quality and affordability: are local problems related to labour supply?</w:t>
      </w:r>
      <w:r w:rsidR="0051795F">
        <w:t>’</w:t>
      </w:r>
      <w:r w:rsidRPr="00B23E25">
        <w:t>, The Economic Record, Vol. 87, No. 276, pp. 109</w:t>
      </w:r>
      <w:r w:rsidR="00480482">
        <w:t>–</w:t>
      </w:r>
      <w:r w:rsidRPr="00B23E25">
        <w:t>124</w:t>
      </w:r>
      <w:r w:rsidR="00050874">
        <w:t>;</w:t>
      </w:r>
      <w:r w:rsidR="00717B55">
        <w:br/>
        <w:t>Alexander Bick and Nicola Fuchs</w:t>
      </w:r>
      <w:r w:rsidR="00717B55">
        <w:noBreakHyphen/>
        <w:t xml:space="preserve">Schundeln 2017, ‘Quantifying the Disincentive Effects of Joint Taxation on Married Women’s Labor Supply’, </w:t>
      </w:r>
      <w:r w:rsidR="00717B55" w:rsidRPr="0072017E">
        <w:rPr>
          <w:rStyle w:val="Emphasis"/>
        </w:rPr>
        <w:t>American Economic Review</w:t>
      </w:r>
      <w:r w:rsidR="00717B55">
        <w:t>, Vol. 107, No. 5, pp. 100–104</w:t>
      </w:r>
      <w:r w:rsidR="00050874">
        <w:t>;</w:t>
      </w:r>
      <w:r w:rsidR="00717B55">
        <w:br/>
        <w:t xml:space="preserve">Breunig, Gong and King 2011, ‘Partnered women’s labour supply and child care costs in Australia: measurement error and the child care price’, </w:t>
      </w:r>
      <w:r w:rsidR="00717B55" w:rsidRPr="0072017E">
        <w:rPr>
          <w:rStyle w:val="Emphasis"/>
        </w:rPr>
        <w:t>The Economic Record</w:t>
      </w:r>
      <w:r w:rsidR="00717B55">
        <w:t>, Vol. 88, No. 1, pp. 51–69</w:t>
      </w:r>
      <w:r w:rsidR="00050874">
        <w:t>;</w:t>
      </w:r>
      <w:r w:rsidR="00717B55">
        <w:br/>
        <w:t xml:space="preserve">Apps et al. 2012, ‘Labor supply heterogeneity and demand for child care of mothers with young children’, </w:t>
      </w:r>
      <w:r w:rsidR="00717B55" w:rsidRPr="0072017E">
        <w:rPr>
          <w:rStyle w:val="Emphasis"/>
        </w:rPr>
        <w:t>IZA</w:t>
      </w:r>
      <w:r w:rsidR="00717B55">
        <w:t xml:space="preserve"> </w:t>
      </w:r>
      <w:r w:rsidR="00717B55" w:rsidRPr="0072017E">
        <w:rPr>
          <w:rStyle w:val="Emphasis"/>
        </w:rPr>
        <w:t>Discussion Papers</w:t>
      </w:r>
      <w:r w:rsidR="00717B55">
        <w:t>, No. 7007</w:t>
      </w:r>
      <w:r w:rsidR="00050874">
        <w:t>;</w:t>
      </w:r>
      <w:r w:rsidR="00717B55">
        <w:br/>
      </w:r>
      <w:r w:rsidR="00717B55" w:rsidRPr="00C91143">
        <w:t>Conventional thinking is that secondary earners have higher labour supply elasticities. However, this has been questioned in some studies</w:t>
      </w:r>
      <w:r w:rsidR="00717B55">
        <w:t xml:space="preserve"> – </w:t>
      </w:r>
      <w:r w:rsidR="00717B55" w:rsidRPr="00C91143">
        <w:t xml:space="preserve">see example Bargain </w:t>
      </w:r>
      <w:r w:rsidR="00717B55" w:rsidRPr="00E46176">
        <w:t>et al.</w:t>
      </w:r>
      <w:r w:rsidR="00717B55" w:rsidRPr="00C91143">
        <w:t xml:space="preserve"> 2013.</w:t>
      </w:r>
    </w:p>
  </w:footnote>
  <w:footnote w:id="8">
    <w:p w14:paraId="3AC58AEE" w14:textId="22A8CCD4" w:rsidR="00D051F1" w:rsidRDefault="00D051F1" w:rsidP="00D051F1">
      <w:pPr>
        <w:pStyle w:val="FootnoteText"/>
      </w:pPr>
      <w:r w:rsidRPr="003B0F6B">
        <w:footnoteRef/>
      </w:r>
      <w:r>
        <w:t xml:space="preserve"> </w:t>
      </w:r>
      <w:r w:rsidR="00DF18C4">
        <w:tab/>
      </w:r>
      <w:r>
        <w:t xml:space="preserve">Treasury 2007, </w:t>
      </w:r>
      <w:r w:rsidR="0051795F">
        <w:t>‘</w:t>
      </w:r>
      <w:r>
        <w:t>Australian labour supply elasticities: comparison and critical review</w:t>
      </w:r>
      <w:r w:rsidR="0051795F">
        <w:t>’</w:t>
      </w:r>
      <w:r>
        <w:t xml:space="preserve">. </w:t>
      </w:r>
    </w:p>
  </w:footnote>
  <w:footnote w:id="9">
    <w:p w14:paraId="25F5D77F" w14:textId="578B5659" w:rsidR="00544968" w:rsidRPr="00EC5C0A" w:rsidRDefault="00544968" w:rsidP="007A2B2A">
      <w:pPr>
        <w:pStyle w:val="FootnoteText"/>
        <w:spacing w:before="120"/>
      </w:pPr>
      <w:r w:rsidRPr="003B0F6B">
        <w:footnoteRef/>
      </w:r>
      <w:r>
        <w:t xml:space="preserve"> </w:t>
      </w:r>
      <w:r w:rsidR="00DF18C4">
        <w:tab/>
      </w:r>
      <w:r>
        <w:t xml:space="preserve">Bahar et al. 2022, </w:t>
      </w:r>
      <w:r w:rsidR="0051795F">
        <w:t>‘</w:t>
      </w:r>
      <w:r>
        <w:t>Children and the gender earnings gap</w:t>
      </w:r>
      <w:r w:rsidR="0051795F">
        <w:t>’</w:t>
      </w:r>
      <w:r>
        <w:t xml:space="preserve">, </w:t>
      </w:r>
      <w:r w:rsidRPr="0072017E">
        <w:rPr>
          <w:rStyle w:val="Emphasis"/>
        </w:rPr>
        <w:t>Treasury Round Up.</w:t>
      </w:r>
    </w:p>
  </w:footnote>
  <w:footnote w:id="10">
    <w:p w14:paraId="6358DDCE" w14:textId="1E44A102" w:rsidR="00544968" w:rsidRDefault="00544968" w:rsidP="00544968">
      <w:pPr>
        <w:pStyle w:val="FootnoteText"/>
      </w:pPr>
      <w:r w:rsidRPr="003B0F6B">
        <w:footnoteRef/>
      </w:r>
      <w:r>
        <w:t xml:space="preserve"> </w:t>
      </w:r>
      <w:r w:rsidR="00DF18C4">
        <w:tab/>
      </w:r>
      <w:r>
        <w:t>i.e.</w:t>
      </w:r>
      <w:r w:rsidRPr="00DC31F8">
        <w:t xml:space="preserve"> once the Government</w:t>
      </w:r>
      <w:r w:rsidR="0051795F">
        <w:t>’</w:t>
      </w:r>
      <w:r w:rsidRPr="00DC31F8">
        <w:t>s changes to the Child Care Subsidy come into effect</w:t>
      </w:r>
      <w:r>
        <w:t>.</w:t>
      </w:r>
    </w:p>
  </w:footnote>
  <w:footnote w:id="11">
    <w:p w14:paraId="1069D821" w14:textId="451F8E8A" w:rsidR="000D49A2" w:rsidRPr="00C304BB" w:rsidRDefault="000D49A2" w:rsidP="00C304BB">
      <w:pPr>
        <w:pStyle w:val="FootnoteText"/>
      </w:pPr>
      <w:r w:rsidRPr="00C304BB">
        <w:footnoteRef/>
      </w:r>
      <w:r w:rsidRPr="00C304BB">
        <w:t xml:space="preserve"> </w:t>
      </w:r>
      <w:r w:rsidR="00DF18C4" w:rsidRPr="00C304BB">
        <w:tab/>
      </w:r>
      <w:r w:rsidRPr="00C304BB">
        <w:t xml:space="preserve">Whiteford 2023, </w:t>
      </w:r>
      <w:r w:rsidR="0051795F" w:rsidRPr="00C304BB">
        <w:t>‘</w:t>
      </w:r>
      <w:r w:rsidRPr="00C304BB">
        <w:t>Report to the Robodebt Royal Commission</w:t>
      </w:r>
      <w:r w:rsidR="0051795F" w:rsidRPr="00C304BB">
        <w:t>’</w:t>
      </w:r>
      <w:r w:rsidRPr="00C304BB">
        <w:t xml:space="preserve">, </w:t>
      </w:r>
      <w:hyperlink r:id="rId2" w:history="1">
        <w:r w:rsidR="00F42B15" w:rsidRPr="00C304BB">
          <w:rPr>
            <w:rStyle w:val="Hyperlink"/>
          </w:rPr>
          <w:t>https://robodebt.royalcommission.gov.au/publications/professor</w:t>
        </w:r>
        <w:r w:rsidR="00AB1A4A">
          <w:rPr>
            <w:rStyle w:val="Hyperlink"/>
          </w:rPr>
          <w:t>-</w:t>
        </w:r>
        <w:r w:rsidR="00F42B15" w:rsidRPr="00C304BB">
          <w:rPr>
            <w:rStyle w:val="Hyperlink"/>
          </w:rPr>
          <w:t>peter</w:t>
        </w:r>
        <w:r w:rsidR="00AB1A4A">
          <w:rPr>
            <w:rStyle w:val="Hyperlink"/>
          </w:rPr>
          <w:t>-</w:t>
        </w:r>
        <w:r w:rsidR="00F42B15" w:rsidRPr="00C304BB">
          <w:rPr>
            <w:rStyle w:val="Hyperlink"/>
          </w:rPr>
          <w:t>whiteford</w:t>
        </w:r>
        <w:r w:rsidR="00AB1A4A">
          <w:rPr>
            <w:rStyle w:val="Hyperlink"/>
          </w:rPr>
          <w:t>-</w:t>
        </w:r>
        <w:r w:rsidR="00F42B15" w:rsidRPr="00C304BB">
          <w:rPr>
            <w:rStyle w:val="Hyperlink"/>
          </w:rPr>
          <w:t>report</w:t>
        </w:r>
        <w:r w:rsidR="00AB1A4A">
          <w:rPr>
            <w:rStyle w:val="Hyperlink"/>
          </w:rPr>
          <w:t>-</w:t>
        </w:r>
        <w:r w:rsidR="00F42B15" w:rsidRPr="00C304BB">
          <w:rPr>
            <w:rStyle w:val="Hyperlink"/>
          </w:rPr>
          <w:t>robodebt</w:t>
        </w:r>
        <w:r w:rsidR="00AB1A4A">
          <w:rPr>
            <w:rStyle w:val="Hyperlink"/>
          </w:rPr>
          <w:t>-</w:t>
        </w:r>
        <w:r w:rsidR="00F42B15" w:rsidRPr="00C304BB">
          <w:rPr>
            <w:rStyle w:val="Hyperlink"/>
          </w:rPr>
          <w:t>royal</w:t>
        </w:r>
        <w:r w:rsidR="00AB1A4A">
          <w:rPr>
            <w:rStyle w:val="Hyperlink"/>
          </w:rPr>
          <w:t>-</w:t>
        </w:r>
        <w:r w:rsidR="00F42B15" w:rsidRPr="00C304BB">
          <w:rPr>
            <w:rStyle w:val="Hyperlink"/>
          </w:rPr>
          <w:t>commission</w:t>
        </w:r>
      </w:hyperlink>
    </w:p>
  </w:footnote>
  <w:footnote w:id="12">
    <w:p w14:paraId="47951260" w14:textId="5B8EA94C" w:rsidR="000D49A2" w:rsidRDefault="000D49A2" w:rsidP="00142989">
      <w:pPr>
        <w:pStyle w:val="FootnoteText"/>
      </w:pPr>
      <w:r w:rsidRPr="005009D1">
        <w:footnoteRef/>
      </w:r>
      <w:r>
        <w:t xml:space="preserve"> </w:t>
      </w:r>
      <w:r w:rsidR="00DF18C4">
        <w:tab/>
      </w:r>
      <w:r w:rsidRPr="00142989">
        <w:t>Department</w:t>
      </w:r>
      <w:r>
        <w:t xml:space="preserve"> of Social Services, Expanded DSS Demographic Dataset, December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38139" w14:textId="3A0E9679" w:rsidR="003A4690" w:rsidRDefault="003A4690" w:rsidP="003A4690">
    <w:pPr>
      <w:pStyle w:val="Header"/>
    </w:pPr>
    <w:r>
      <w:rPr>
        <w:noProof/>
      </w:rPr>
      <w:drawing>
        <wp:anchor distT="0" distB="0" distL="114300" distR="114300" simplePos="0" relativeHeight="251658241" behindDoc="1" locked="0" layoutInCell="1" allowOverlap="1" wp14:anchorId="39CFAAB3" wp14:editId="6ED46845">
          <wp:simplePos x="0" y="0"/>
          <wp:positionH relativeFrom="page">
            <wp:align>left</wp:align>
          </wp:positionH>
          <wp:positionV relativeFrom="page">
            <wp:align>top</wp:align>
          </wp:positionV>
          <wp:extent cx="7524000" cy="1036800"/>
          <wp:effectExtent l="0" t="0" r="127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Picture 20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4000" cy="1036800"/>
                  </a:xfrm>
                  <a:prstGeom prst="rect">
                    <a:avLst/>
                  </a:prstGeom>
                  <a:extLst>
                    <a:ext uri="{FAA26D3D-D897-4be2-8F04-BA451C77F1D7}">
                      <ma14:placeholderFlag xmlns:oel="http://schemas.microsoft.com/office/2019/extlst"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t xml:space="preserve">Treasury Round Up  |  </w:t>
    </w:r>
    <w:r w:rsidR="007D3341">
      <w:t>March</w:t>
    </w:r>
    <w:r>
      <w:t xml:space="preserve"> </w:t>
    </w:r>
    <w:r w:rsidR="00DF11CC">
      <w:t>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A6E26" w14:textId="77777777" w:rsidR="002567AD" w:rsidRPr="00AC75E2" w:rsidRDefault="002567AD" w:rsidP="00AC75E2">
    <w:pPr>
      <w:pStyle w:val="HeaderEven"/>
    </w:pPr>
    <w:r>
      <w:rPr>
        <w:noProof/>
      </w:rPr>
      <w:drawing>
        <wp:anchor distT="0" distB="0" distL="114300" distR="114300" simplePos="0" relativeHeight="251658240" behindDoc="1" locked="1" layoutInCell="1" allowOverlap="1" wp14:anchorId="23A70626" wp14:editId="163BD45B">
          <wp:simplePos x="0" y="0"/>
          <wp:positionH relativeFrom="page">
            <wp:posOffset>3810</wp:posOffset>
          </wp:positionH>
          <wp:positionV relativeFrom="page">
            <wp:posOffset>0</wp:posOffset>
          </wp:positionV>
          <wp:extent cx="7551420" cy="1083310"/>
          <wp:effectExtent l="0" t="0" r="0" b="254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51420" cy="1083310"/>
                  </a:xfrm>
                  <a:prstGeom prst="rect">
                    <a:avLst/>
                  </a:prstGeom>
                </pic:spPr>
              </pic:pic>
            </a:graphicData>
          </a:graphic>
          <wp14:sizeRelH relativeFrom="margin">
            <wp14:pctWidth>0</wp14:pctWidth>
          </wp14:sizeRelH>
          <wp14:sizeRelV relativeFrom="margin">
            <wp14:pctHeight>0</wp14:pctHeight>
          </wp14:sizeRelV>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C7B3C" w14:textId="5B6201DB" w:rsidR="002567AD" w:rsidRPr="00F60198" w:rsidRDefault="00675615" w:rsidP="00675615">
    <w:pPr>
      <w:pStyle w:val="Header"/>
    </w:pPr>
    <w:r>
      <w:rPr>
        <w:noProof/>
      </w:rPr>
      <w:drawing>
        <wp:anchor distT="0" distB="0" distL="114300" distR="114300" simplePos="0" relativeHeight="251658242" behindDoc="1" locked="0" layoutInCell="1" allowOverlap="1" wp14:anchorId="5AB2A136" wp14:editId="11DF8457">
          <wp:simplePos x="0" y="0"/>
          <wp:positionH relativeFrom="page">
            <wp:align>left</wp:align>
          </wp:positionH>
          <wp:positionV relativeFrom="page">
            <wp:align>top</wp:align>
          </wp:positionV>
          <wp:extent cx="7524000" cy="1036800"/>
          <wp:effectExtent l="0" t="0" r="1270" b="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Picture 20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4000" cy="1036800"/>
                  </a:xfrm>
                  <a:prstGeom prst="rect">
                    <a:avLst/>
                  </a:prstGeom>
                  <a:extLst>
                    <a:ext uri="{FAA26D3D-D897-4be2-8F04-BA451C77F1D7}">
                      <ma14:placeholderFlag xmlns:oel="http://schemas.microsoft.com/office/2019/extlst"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t xml:space="preserve">Treasury Round Up  |  </w:t>
    </w:r>
    <w:r w:rsidR="00AD4540">
      <w:t>March</w:t>
    </w:r>
    <w:r>
      <w:t xml:space="preserve"> 202</w:t>
    </w:r>
    <w:r w:rsidR="00DF11CC">
      <w:t>4</w:t>
    </w:r>
    <w:r w:rsidR="002567AD" w:rsidRPr="00F60198">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C4D63" w14:textId="77777777" w:rsidR="002567AD" w:rsidRPr="00095D88" w:rsidRDefault="002567AD" w:rsidP="00095D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64A063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DE681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1C8C2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6A91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B78A1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DC38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41C78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96EE73A"/>
    <w:lvl w:ilvl="0">
      <w:start w:val="1"/>
      <w:numFmt w:val="bullet"/>
      <w:lvlText w:val="-"/>
      <w:lvlJc w:val="left"/>
      <w:pPr>
        <w:tabs>
          <w:tab w:val="num" w:pos="623"/>
        </w:tabs>
        <w:ind w:left="623" w:hanging="340"/>
      </w:pPr>
      <w:rPr>
        <w:rFonts w:ascii="9999999" w:hAnsi="9999999" w:cs="Courier New" w:hint="default"/>
      </w:rPr>
    </w:lvl>
  </w:abstractNum>
  <w:abstractNum w:abstractNumId="8" w15:restartNumberingAfterBreak="0">
    <w:nsid w:val="FFFFFF88"/>
    <w:multiLevelType w:val="singleLevel"/>
    <w:tmpl w:val="86A85B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C1E110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942C8"/>
    <w:multiLevelType w:val="multilevel"/>
    <w:tmpl w:val="B17EC1AE"/>
    <w:lvl w:ilvl="0">
      <w:start w:val="1"/>
      <w:numFmt w:val="decimal"/>
      <w:pStyle w:val="BoxHeadingPolicy"/>
      <w:lvlText w:val="Policy direction %1"/>
      <w:lvlJc w:val="left"/>
      <w:pPr>
        <w:ind w:left="0" w:firstLine="0"/>
      </w:pPr>
      <w:rPr>
        <w:rFonts w:ascii="Calibri Light" w:hAnsi="Calibri Light" w:hint="default"/>
        <w:b/>
        <w:i w:val="0"/>
        <w:sz w:val="26"/>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1"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2" w15:restartNumberingAfterBreak="0">
    <w:nsid w:val="0B8F13AF"/>
    <w:multiLevelType w:val="multilevel"/>
    <w:tmpl w:val="3E663956"/>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DEB1DC8"/>
    <w:multiLevelType w:val="multilevel"/>
    <w:tmpl w:val="DC1A4F9A"/>
    <w:lvl w:ilvl="0">
      <w:start w:val="1"/>
      <w:numFmt w:val="lowerLetter"/>
      <w:pStyle w:val="ChartandTableFootnoteAlpha"/>
      <w:lvlText w:val="(%1)"/>
      <w:lvlJc w:val="left"/>
      <w:pPr>
        <w:tabs>
          <w:tab w:val="num" w:pos="284"/>
        </w:tabs>
        <w:ind w:left="851" w:hanging="567"/>
      </w:pPr>
      <w:rPr>
        <w:rFonts w:asciiTheme="minorHAnsi" w:hAnsiTheme="minorHAnsi" w:hint="default"/>
        <w:b w:val="0"/>
        <w:i w:val="0"/>
        <w:caps w:val="0"/>
        <w:strike w:val="0"/>
        <w:dstrike w:val="0"/>
        <w:vanish w:val="0"/>
        <w:color w:val="auto"/>
        <w:sz w:val="16"/>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E0C0FEA"/>
    <w:multiLevelType w:val="multilevel"/>
    <w:tmpl w:val="143A4AF6"/>
    <w:styleLink w:val="StyleBulletedSymbolsymbol11ptLeft4cmHanging05"/>
    <w:lvl w:ilvl="0">
      <w:start w:val="1"/>
      <w:numFmt w:val="bullet"/>
      <w:lvlText w:val=""/>
      <w:lvlJc w:val="left"/>
      <w:pPr>
        <w:tabs>
          <w:tab w:val="num" w:pos="340"/>
        </w:tabs>
        <w:ind w:left="340" w:hanging="340"/>
      </w:pPr>
      <w:rPr>
        <w:rFonts w:ascii="Calibri" w:hAnsi="Calibri"/>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0653560"/>
    <w:multiLevelType w:val="multilevel"/>
    <w:tmpl w:val="72F8140E"/>
    <w:styleLink w:val="OutlineList"/>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77B46D1"/>
    <w:multiLevelType w:val="singleLevel"/>
    <w:tmpl w:val="890880B8"/>
    <w:lvl w:ilvl="0">
      <w:start w:val="1"/>
      <w:numFmt w:val="bullet"/>
      <w:lvlText w:val=""/>
      <w:lvlJc w:val="left"/>
      <w:pPr>
        <w:tabs>
          <w:tab w:val="num" w:pos="340"/>
        </w:tabs>
        <w:ind w:left="340" w:hanging="340"/>
      </w:pPr>
      <w:rPr>
        <w:rFonts w:ascii="Symbol" w:hAnsi="Symbol" w:hint="default"/>
        <w:color w:val="auto"/>
        <w:sz w:val="22"/>
      </w:rPr>
    </w:lvl>
  </w:abstractNum>
  <w:abstractNum w:abstractNumId="17"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08C2710"/>
    <w:multiLevelType w:val="multilevel"/>
    <w:tmpl w:val="29D2B774"/>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9" w15:restartNumberingAfterBreak="0">
    <w:nsid w:val="3238442C"/>
    <w:multiLevelType w:val="multilevel"/>
    <w:tmpl w:val="20C6D62C"/>
    <w:styleLink w:val="ChartandTableFootnoteAlphaList"/>
    <w:lvl w:ilvl="0">
      <w:start w:val="1"/>
      <w:numFmt w:val="lowerLetter"/>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D7B47B4"/>
    <w:multiLevelType w:val="multilevel"/>
    <w:tmpl w:val="EDCE922A"/>
    <w:name w:val="StandardNumberedList"/>
    <w:lvl w:ilvl="0">
      <w:start w:val="1"/>
      <w:numFmt w:val="decimal"/>
      <w:pStyle w:val="OutlineNumbered1"/>
      <w:lvlText w:val="%1."/>
      <w:lvlJc w:val="left"/>
      <w:pPr>
        <w:tabs>
          <w:tab w:val="num" w:pos="472"/>
        </w:tabs>
        <w:ind w:left="472" w:hanging="472"/>
      </w:pPr>
    </w:lvl>
    <w:lvl w:ilvl="1">
      <w:start w:val="1"/>
      <w:numFmt w:val="decimal"/>
      <w:pStyle w:val="OutlineNumbered2"/>
      <w:lvlText w:val="%1.%2."/>
      <w:lvlJc w:val="left"/>
      <w:pPr>
        <w:tabs>
          <w:tab w:val="num" w:pos="944"/>
        </w:tabs>
        <w:ind w:left="944" w:hanging="472"/>
      </w:pPr>
    </w:lvl>
    <w:lvl w:ilvl="2">
      <w:start w:val="1"/>
      <w:numFmt w:val="decimal"/>
      <w:pStyle w:val="OutlineNumbered3"/>
      <w:lvlText w:val="%1.%2.%3."/>
      <w:lvlJc w:val="left"/>
      <w:pPr>
        <w:tabs>
          <w:tab w:val="num" w:pos="1416"/>
        </w:tabs>
        <w:ind w:left="1416" w:hanging="472"/>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9283B4E"/>
    <w:multiLevelType w:val="multilevel"/>
    <w:tmpl w:val="F128315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Restart w:val="1"/>
      <w:lvlText w:val="Chart %1.%5"/>
      <w:lvlJc w:val="left"/>
      <w:pPr>
        <w:ind w:left="1418" w:hanging="1418"/>
      </w:pPr>
      <w:rPr>
        <w:rFonts w:hint="default"/>
      </w:rPr>
    </w:lvl>
    <w:lvl w:ilvl="5">
      <w:start w:val="1"/>
      <w:numFmt w:val="decimal"/>
      <w:lvlRestart w:val="1"/>
      <w:lvlText w:val="Table %1.%6."/>
      <w:lvlJc w:val="left"/>
      <w:pPr>
        <w:ind w:left="1418" w:hanging="1418"/>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6C9273A"/>
    <w:multiLevelType w:val="multilevel"/>
    <w:tmpl w:val="8C12F2D8"/>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567" w:hanging="567"/>
      </w:pPr>
      <w:rPr>
        <w:rFonts w:hint="default"/>
      </w:rPr>
    </w:lvl>
    <w:lvl w:ilvl="3">
      <w:start w:val="1"/>
      <w:numFmt w:val="decimal"/>
      <w:pStyle w:val="Heading4Numbered"/>
      <w:lvlText w:val="%1.%2.%3.%4"/>
      <w:lvlJc w:val="left"/>
      <w:pPr>
        <w:ind w:left="567" w:hanging="567"/>
      </w:pPr>
      <w:rPr>
        <w:rFonts w:hint="default"/>
      </w:rPr>
    </w:lvl>
    <w:lvl w:ilvl="4">
      <w:start w:val="1"/>
      <w:numFmt w:val="decimal"/>
      <w:lvlRestart w:val="1"/>
      <w:pStyle w:val="ChartMainHeading"/>
      <w:lvlText w:val="Chart %1.%5"/>
      <w:lvlJc w:val="left"/>
      <w:pPr>
        <w:ind w:left="1134" w:hanging="1134"/>
      </w:pPr>
      <w:rPr>
        <w:rFonts w:hint="default"/>
      </w:rPr>
    </w:lvl>
    <w:lvl w:ilvl="5">
      <w:start w:val="1"/>
      <w:numFmt w:val="decimal"/>
      <w:lvlRestart w:val="1"/>
      <w:pStyle w:val="TableMainHeading"/>
      <w:lvlText w:val="Table %1.%6"/>
      <w:lvlJc w:val="left"/>
      <w:pPr>
        <w:ind w:left="1134" w:hanging="1134"/>
      </w:pPr>
      <w:rPr>
        <w:rFonts w:hint="default"/>
      </w:rPr>
    </w:lvl>
    <w:lvl w:ilvl="6">
      <w:start w:val="1"/>
      <w:numFmt w:val="decimal"/>
      <w:lvlRestart w:val="1"/>
      <w:pStyle w:val="BoxHeadingNumbered"/>
      <w:lvlText w:val="Box %1.%7"/>
      <w:lvlJc w:val="left"/>
      <w:pPr>
        <w:ind w:left="1134" w:hanging="1134"/>
      </w:pPr>
      <w:rPr>
        <w:rFonts w:hint="default"/>
      </w:rPr>
    </w:lvl>
    <w:lvl w:ilvl="7">
      <w:start w:val="1"/>
      <w:numFmt w:val="decimal"/>
      <w:lvlRestart w:val="1"/>
      <w:pStyle w:val="FigureMainHeading"/>
      <w:lvlText w:val="Figure %1.%8"/>
      <w:lvlJc w:val="left"/>
      <w:pPr>
        <w:ind w:left="1134" w:hanging="1134"/>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57AD61FE"/>
    <w:multiLevelType w:val="singleLevel"/>
    <w:tmpl w:val="12BC0E22"/>
    <w:lvl w:ilvl="0">
      <w:start w:val="1"/>
      <w:numFmt w:val="bullet"/>
      <w:lvlText w:val=""/>
      <w:lvlJc w:val="left"/>
      <w:pPr>
        <w:tabs>
          <w:tab w:val="num" w:pos="340"/>
        </w:tabs>
        <w:ind w:left="340" w:hanging="340"/>
      </w:pPr>
      <w:rPr>
        <w:rFonts w:ascii="Symbol" w:hAnsi="Symbol" w:hint="default"/>
        <w:color w:val="auto"/>
        <w:sz w:val="22"/>
      </w:rPr>
    </w:lvl>
  </w:abstractNum>
  <w:abstractNum w:abstractNumId="25" w15:restartNumberingAfterBreak="0">
    <w:nsid w:val="5B8E0DED"/>
    <w:multiLevelType w:val="hybridMultilevel"/>
    <w:tmpl w:val="420E9DAE"/>
    <w:lvl w:ilvl="0" w:tplc="5BCC39D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7334467"/>
    <w:multiLevelType w:val="multilevel"/>
    <w:tmpl w:val="F37ECF38"/>
    <w:styleLink w:val="StyleBulletedSymbolsymbol11ptLeft4cmHanging051"/>
    <w:lvl w:ilvl="0">
      <w:start w:val="1"/>
      <w:numFmt w:val="bullet"/>
      <w:lvlText w:val=""/>
      <w:lvlJc w:val="left"/>
      <w:pPr>
        <w:tabs>
          <w:tab w:val="num" w:pos="340"/>
        </w:tabs>
        <w:ind w:left="340" w:hanging="34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D6B5224"/>
    <w:multiLevelType w:val="multilevel"/>
    <w:tmpl w:val="99D04666"/>
    <w:lvl w:ilvl="0">
      <w:start w:val="1"/>
      <w:numFmt w:val="bullet"/>
      <w:pStyle w:val="Bullet"/>
      <w:lvlText w:val="•"/>
      <w:lvlJc w:val="left"/>
      <w:pPr>
        <w:ind w:left="284" w:hanging="284"/>
      </w:pPr>
      <w:rPr>
        <w:rFonts w:ascii="Times New Roman" w:hAnsi="Times New Roman" w:cs="Times New Roman" w:hint="default"/>
        <w:color w:val="auto"/>
      </w:rPr>
    </w:lvl>
    <w:lvl w:ilvl="1">
      <w:start w:val="1"/>
      <w:numFmt w:val="bullet"/>
      <w:pStyle w:val="Dash"/>
      <w:lvlText w:val="–"/>
      <w:lvlJc w:val="left"/>
      <w:pPr>
        <w:ind w:left="568" w:hanging="284"/>
      </w:pPr>
      <w:rPr>
        <w:rFonts w:ascii="Times New Roman" w:hAnsi="Times New Roman" w:cs="Times New Roman" w:hint="default"/>
      </w:rPr>
    </w:lvl>
    <w:lvl w:ilvl="2">
      <w:start w:val="1"/>
      <w:numFmt w:val="bullet"/>
      <w:pStyle w:val="DoubleDot"/>
      <w:lvlText w:val=":"/>
      <w:lvlJc w:val="left"/>
      <w:pPr>
        <w:ind w:left="852" w:hanging="284"/>
      </w:pPr>
      <w:rPr>
        <w:rFonts w:ascii="Times New Roman" w:hAnsi="Times New Roman" w:cs="Times New Roman"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8" w15:restartNumberingAfterBreak="0">
    <w:nsid w:val="7FA36AF1"/>
    <w:multiLevelType w:val="multilevel"/>
    <w:tmpl w:val="6B5AB944"/>
    <w:lvl w:ilvl="0">
      <w:start w:val="1"/>
      <w:numFmt w:val="bullet"/>
      <w:lvlRestart w:val="0"/>
      <w:pStyle w:val="TableTextBullet"/>
      <w:lvlText w:val="•"/>
      <w:lvlJc w:val="left"/>
      <w:pPr>
        <w:ind w:left="284" w:hanging="284"/>
      </w:pPr>
      <w:rPr>
        <w:rFonts w:ascii="Times New Roman" w:hAnsi="Times New Roman" w:cs="Times New Roman" w:hint="default"/>
        <w:b w:val="0"/>
        <w:i w:val="0"/>
        <w:sz w:val="20"/>
      </w:rPr>
    </w:lvl>
    <w:lvl w:ilvl="1">
      <w:start w:val="1"/>
      <w:numFmt w:val="bullet"/>
      <w:pStyle w:val="TableTextDash"/>
      <w:lvlText w:val="–"/>
      <w:lvlJc w:val="left"/>
      <w:pPr>
        <w:tabs>
          <w:tab w:val="num" w:pos="567"/>
        </w:tabs>
        <w:ind w:left="568" w:hanging="284"/>
      </w:pPr>
      <w:rPr>
        <w:rFonts w:hint="default"/>
        <w:b w:val="0"/>
        <w:i w:val="0"/>
      </w:rPr>
    </w:lvl>
    <w:lvl w:ilvl="2">
      <w:start w:val="1"/>
      <w:numFmt w:val="bullet"/>
      <w:lvlText w:val=":"/>
      <w:lvlJc w:val="left"/>
      <w:pPr>
        <w:tabs>
          <w:tab w:val="num" w:pos="850"/>
        </w:tabs>
        <w:ind w:left="852" w:hanging="284"/>
      </w:pPr>
      <w:rPr>
        <w:rFonts w:hint="default"/>
        <w:b w:val="0"/>
        <w:i w:val="0"/>
      </w:rPr>
    </w:lvl>
    <w:lvl w:ilvl="3">
      <w:start w:val="1"/>
      <w:numFmt w:val="decimal"/>
      <w:lvlText w:val="(%4)"/>
      <w:lvlJc w:val="left"/>
      <w:pPr>
        <w:tabs>
          <w:tab w:val="num" w:pos="1440"/>
        </w:tabs>
        <w:ind w:left="1136" w:hanging="284"/>
      </w:pPr>
      <w:rPr>
        <w:rFonts w:hint="default"/>
        <w:b w:val="0"/>
        <w:i w:val="0"/>
      </w:rPr>
    </w:lvl>
    <w:lvl w:ilvl="4">
      <w:start w:val="1"/>
      <w:numFmt w:val="lowerLetter"/>
      <w:lvlText w:val="(%5)"/>
      <w:lvlJc w:val="left"/>
      <w:pPr>
        <w:tabs>
          <w:tab w:val="num" w:pos="1800"/>
        </w:tabs>
        <w:ind w:left="1420" w:hanging="284"/>
      </w:pPr>
      <w:rPr>
        <w:rFonts w:hint="default"/>
        <w:b w:val="0"/>
        <w:i w:val="0"/>
      </w:rPr>
    </w:lvl>
    <w:lvl w:ilvl="5">
      <w:start w:val="1"/>
      <w:numFmt w:val="lowerRoman"/>
      <w:lvlText w:val="(%6)"/>
      <w:lvlJc w:val="left"/>
      <w:pPr>
        <w:tabs>
          <w:tab w:val="num" w:pos="2160"/>
        </w:tabs>
        <w:ind w:left="1704" w:hanging="284"/>
      </w:pPr>
      <w:rPr>
        <w:rFonts w:hint="default"/>
        <w:b w:val="0"/>
        <w:i w:val="0"/>
      </w:rPr>
    </w:lvl>
    <w:lvl w:ilvl="6">
      <w:start w:val="1"/>
      <w:numFmt w:val="decimal"/>
      <w:lvlText w:val="%7."/>
      <w:lvlJc w:val="left"/>
      <w:pPr>
        <w:tabs>
          <w:tab w:val="num" w:pos="2520"/>
        </w:tabs>
        <w:ind w:left="1988" w:hanging="284"/>
      </w:pPr>
      <w:rPr>
        <w:rFonts w:hint="default"/>
        <w:b w:val="0"/>
        <w:i w:val="0"/>
      </w:rPr>
    </w:lvl>
    <w:lvl w:ilvl="7">
      <w:start w:val="1"/>
      <w:numFmt w:val="lowerLetter"/>
      <w:lvlText w:val="%8."/>
      <w:lvlJc w:val="left"/>
      <w:pPr>
        <w:tabs>
          <w:tab w:val="num" w:pos="2880"/>
        </w:tabs>
        <w:ind w:left="2272" w:hanging="284"/>
      </w:pPr>
      <w:rPr>
        <w:rFonts w:hint="default"/>
        <w:b w:val="0"/>
        <w:i w:val="0"/>
      </w:rPr>
    </w:lvl>
    <w:lvl w:ilvl="8">
      <w:start w:val="1"/>
      <w:numFmt w:val="lowerRoman"/>
      <w:lvlText w:val="%9."/>
      <w:lvlJc w:val="left"/>
      <w:pPr>
        <w:tabs>
          <w:tab w:val="num" w:pos="3240"/>
        </w:tabs>
        <w:ind w:left="2556" w:hanging="284"/>
      </w:pPr>
      <w:rPr>
        <w:rFonts w:hint="default"/>
        <w:b w:val="0"/>
        <w:i w:val="0"/>
      </w:rPr>
    </w:lvl>
  </w:abstractNum>
  <w:num w:numId="1">
    <w:abstractNumId w:val="11"/>
  </w:num>
  <w:num w:numId="2">
    <w:abstractNumId w:val="20"/>
  </w:num>
  <w:num w:numId="3">
    <w:abstractNumId w:val="15"/>
  </w:num>
  <w:num w:numId="4">
    <w:abstractNumId w:val="17"/>
  </w:num>
  <w:num w:numId="5">
    <w:abstractNumId w:val="19"/>
  </w:num>
  <w:num w:numId="6">
    <w:abstractNumId w:val="27"/>
  </w:num>
  <w:num w:numId="7">
    <w:abstractNumId w:val="28"/>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4"/>
  </w:num>
  <w:num w:numId="11">
    <w:abstractNumId w:val="26"/>
  </w:num>
  <w:num w:numId="12">
    <w:abstractNumId w:val="21"/>
  </w:num>
  <w:num w:numId="13">
    <w:abstractNumId w:val="23"/>
  </w:num>
  <w:num w:numId="14">
    <w:abstractNumId w:val="24"/>
  </w:num>
  <w:num w:numId="15">
    <w:abstractNumId w:val="25"/>
  </w:num>
  <w:num w:numId="16">
    <w:abstractNumId w:val="16"/>
  </w:num>
  <w:num w:numId="17">
    <w:abstractNumId w:val="7"/>
  </w:num>
  <w:num w:numId="18">
    <w:abstractNumId w:val="18"/>
  </w:num>
  <w:num w:numId="19">
    <w:abstractNumId w:val="12"/>
  </w:num>
  <w:num w:numId="20">
    <w:abstractNumId w:val="9"/>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False"/>
  </w:docVars>
  <w:rsids>
    <w:rsidRoot w:val="00B53BC2"/>
    <w:rsid w:val="000038D9"/>
    <w:rsid w:val="00005F9C"/>
    <w:rsid w:val="00007944"/>
    <w:rsid w:val="00007D24"/>
    <w:rsid w:val="00011725"/>
    <w:rsid w:val="00012C62"/>
    <w:rsid w:val="000136AD"/>
    <w:rsid w:val="0001396A"/>
    <w:rsid w:val="0001528B"/>
    <w:rsid w:val="0001640E"/>
    <w:rsid w:val="0001777F"/>
    <w:rsid w:val="0002540B"/>
    <w:rsid w:val="0002544D"/>
    <w:rsid w:val="00025B92"/>
    <w:rsid w:val="0002739E"/>
    <w:rsid w:val="00033DD4"/>
    <w:rsid w:val="00033F15"/>
    <w:rsid w:val="00034E74"/>
    <w:rsid w:val="00034ED6"/>
    <w:rsid w:val="000378E1"/>
    <w:rsid w:val="000421C5"/>
    <w:rsid w:val="00042317"/>
    <w:rsid w:val="0004274D"/>
    <w:rsid w:val="00043348"/>
    <w:rsid w:val="0004483F"/>
    <w:rsid w:val="00046CB4"/>
    <w:rsid w:val="00050874"/>
    <w:rsid w:val="0005138B"/>
    <w:rsid w:val="00051E27"/>
    <w:rsid w:val="000522B7"/>
    <w:rsid w:val="0005344D"/>
    <w:rsid w:val="00053717"/>
    <w:rsid w:val="00055E2C"/>
    <w:rsid w:val="00056880"/>
    <w:rsid w:val="000675D1"/>
    <w:rsid w:val="00067E8B"/>
    <w:rsid w:val="00073521"/>
    <w:rsid w:val="000736C9"/>
    <w:rsid w:val="00075627"/>
    <w:rsid w:val="0007735D"/>
    <w:rsid w:val="000775DE"/>
    <w:rsid w:val="00080570"/>
    <w:rsid w:val="00081F98"/>
    <w:rsid w:val="0008454E"/>
    <w:rsid w:val="00086045"/>
    <w:rsid w:val="000871DA"/>
    <w:rsid w:val="00087FAF"/>
    <w:rsid w:val="00093941"/>
    <w:rsid w:val="00095D88"/>
    <w:rsid w:val="00097BDB"/>
    <w:rsid w:val="000A2987"/>
    <w:rsid w:val="000A3D4A"/>
    <w:rsid w:val="000A55D9"/>
    <w:rsid w:val="000B093F"/>
    <w:rsid w:val="000B10E1"/>
    <w:rsid w:val="000B302A"/>
    <w:rsid w:val="000B588F"/>
    <w:rsid w:val="000B63FC"/>
    <w:rsid w:val="000B6AE9"/>
    <w:rsid w:val="000C1284"/>
    <w:rsid w:val="000C2516"/>
    <w:rsid w:val="000C277A"/>
    <w:rsid w:val="000C45FD"/>
    <w:rsid w:val="000C5299"/>
    <w:rsid w:val="000C571D"/>
    <w:rsid w:val="000C59CF"/>
    <w:rsid w:val="000C5F40"/>
    <w:rsid w:val="000C6980"/>
    <w:rsid w:val="000D195D"/>
    <w:rsid w:val="000D31DF"/>
    <w:rsid w:val="000D3CF9"/>
    <w:rsid w:val="000D3DF2"/>
    <w:rsid w:val="000D49A2"/>
    <w:rsid w:val="000D5610"/>
    <w:rsid w:val="000E0B15"/>
    <w:rsid w:val="000E0B74"/>
    <w:rsid w:val="000E367A"/>
    <w:rsid w:val="000E5174"/>
    <w:rsid w:val="000E719E"/>
    <w:rsid w:val="000E747E"/>
    <w:rsid w:val="000E7901"/>
    <w:rsid w:val="000F2F11"/>
    <w:rsid w:val="000F53AE"/>
    <w:rsid w:val="000F6233"/>
    <w:rsid w:val="00100221"/>
    <w:rsid w:val="00103F3C"/>
    <w:rsid w:val="001045F2"/>
    <w:rsid w:val="001063B7"/>
    <w:rsid w:val="0010660C"/>
    <w:rsid w:val="00107F93"/>
    <w:rsid w:val="001103C8"/>
    <w:rsid w:val="001118CB"/>
    <w:rsid w:val="00114C61"/>
    <w:rsid w:val="00116CA7"/>
    <w:rsid w:val="0012156E"/>
    <w:rsid w:val="00122F11"/>
    <w:rsid w:val="00123183"/>
    <w:rsid w:val="00130D21"/>
    <w:rsid w:val="00131DC3"/>
    <w:rsid w:val="001324EB"/>
    <w:rsid w:val="00135E4C"/>
    <w:rsid w:val="00136AC4"/>
    <w:rsid w:val="001373F5"/>
    <w:rsid w:val="00142989"/>
    <w:rsid w:val="001452F7"/>
    <w:rsid w:val="001475AD"/>
    <w:rsid w:val="001479E5"/>
    <w:rsid w:val="00150A91"/>
    <w:rsid w:val="00151B3B"/>
    <w:rsid w:val="001522D3"/>
    <w:rsid w:val="00152E78"/>
    <w:rsid w:val="00153D94"/>
    <w:rsid w:val="00154C43"/>
    <w:rsid w:val="001574C0"/>
    <w:rsid w:val="00160069"/>
    <w:rsid w:val="001606CF"/>
    <w:rsid w:val="0016128D"/>
    <w:rsid w:val="0016260D"/>
    <w:rsid w:val="00164599"/>
    <w:rsid w:val="0017089D"/>
    <w:rsid w:val="00170E70"/>
    <w:rsid w:val="00170F5C"/>
    <w:rsid w:val="00171A96"/>
    <w:rsid w:val="001763F3"/>
    <w:rsid w:val="001805A8"/>
    <w:rsid w:val="00183757"/>
    <w:rsid w:val="00186E66"/>
    <w:rsid w:val="00187AE3"/>
    <w:rsid w:val="00190929"/>
    <w:rsid w:val="0019101A"/>
    <w:rsid w:val="0019226D"/>
    <w:rsid w:val="00195C8E"/>
    <w:rsid w:val="00195E07"/>
    <w:rsid w:val="0019600E"/>
    <w:rsid w:val="0019646C"/>
    <w:rsid w:val="001972D2"/>
    <w:rsid w:val="00197B15"/>
    <w:rsid w:val="001A05EC"/>
    <w:rsid w:val="001A0D43"/>
    <w:rsid w:val="001A3E9B"/>
    <w:rsid w:val="001B4203"/>
    <w:rsid w:val="001B5EB6"/>
    <w:rsid w:val="001B6A7A"/>
    <w:rsid w:val="001C2639"/>
    <w:rsid w:val="001C2FDC"/>
    <w:rsid w:val="001C358D"/>
    <w:rsid w:val="001C40A0"/>
    <w:rsid w:val="001C60B7"/>
    <w:rsid w:val="001C61E5"/>
    <w:rsid w:val="001C6AD7"/>
    <w:rsid w:val="001C7ADB"/>
    <w:rsid w:val="001D1A35"/>
    <w:rsid w:val="001D34E8"/>
    <w:rsid w:val="001D70C4"/>
    <w:rsid w:val="001E0ED8"/>
    <w:rsid w:val="001E1B4C"/>
    <w:rsid w:val="001E1F59"/>
    <w:rsid w:val="001E4CE3"/>
    <w:rsid w:val="001F0A0C"/>
    <w:rsid w:val="001F18F7"/>
    <w:rsid w:val="001F19FB"/>
    <w:rsid w:val="001F1AD3"/>
    <w:rsid w:val="001F1B27"/>
    <w:rsid w:val="001F1DAA"/>
    <w:rsid w:val="001F25E1"/>
    <w:rsid w:val="001F688E"/>
    <w:rsid w:val="00200969"/>
    <w:rsid w:val="00201320"/>
    <w:rsid w:val="002015F0"/>
    <w:rsid w:val="0020181D"/>
    <w:rsid w:val="00201FBA"/>
    <w:rsid w:val="002108AF"/>
    <w:rsid w:val="00211B91"/>
    <w:rsid w:val="0021314B"/>
    <w:rsid w:val="00213BCF"/>
    <w:rsid w:val="00215FBA"/>
    <w:rsid w:val="00221AC1"/>
    <w:rsid w:val="00221EC0"/>
    <w:rsid w:val="0022206D"/>
    <w:rsid w:val="00224A7D"/>
    <w:rsid w:val="00231049"/>
    <w:rsid w:val="002310B9"/>
    <w:rsid w:val="002314D2"/>
    <w:rsid w:val="00231763"/>
    <w:rsid w:val="0023305C"/>
    <w:rsid w:val="00234FB2"/>
    <w:rsid w:val="00235526"/>
    <w:rsid w:val="00240521"/>
    <w:rsid w:val="00241881"/>
    <w:rsid w:val="0024294C"/>
    <w:rsid w:val="002461BA"/>
    <w:rsid w:val="0024773D"/>
    <w:rsid w:val="002543D8"/>
    <w:rsid w:val="00255CFE"/>
    <w:rsid w:val="0025652F"/>
    <w:rsid w:val="002567AD"/>
    <w:rsid w:val="002629F4"/>
    <w:rsid w:val="002630A6"/>
    <w:rsid w:val="00263B6C"/>
    <w:rsid w:val="00264A04"/>
    <w:rsid w:val="00264AE2"/>
    <w:rsid w:val="00266FDF"/>
    <w:rsid w:val="002705C3"/>
    <w:rsid w:val="0027070B"/>
    <w:rsid w:val="00271A0B"/>
    <w:rsid w:val="00272939"/>
    <w:rsid w:val="0027590B"/>
    <w:rsid w:val="002767BF"/>
    <w:rsid w:val="00277A4A"/>
    <w:rsid w:val="00277D4C"/>
    <w:rsid w:val="00277DF4"/>
    <w:rsid w:val="002824E6"/>
    <w:rsid w:val="00283CEF"/>
    <w:rsid w:val="00285969"/>
    <w:rsid w:val="00285AB2"/>
    <w:rsid w:val="00285BA3"/>
    <w:rsid w:val="0029275F"/>
    <w:rsid w:val="00292F38"/>
    <w:rsid w:val="00295B30"/>
    <w:rsid w:val="002A0BFC"/>
    <w:rsid w:val="002A117C"/>
    <w:rsid w:val="002A3392"/>
    <w:rsid w:val="002A4CBC"/>
    <w:rsid w:val="002A6C16"/>
    <w:rsid w:val="002A74EF"/>
    <w:rsid w:val="002A7A31"/>
    <w:rsid w:val="002B0326"/>
    <w:rsid w:val="002B0F1E"/>
    <w:rsid w:val="002B3829"/>
    <w:rsid w:val="002B5E46"/>
    <w:rsid w:val="002C1FAD"/>
    <w:rsid w:val="002C22EF"/>
    <w:rsid w:val="002C3F3A"/>
    <w:rsid w:val="002D2AE1"/>
    <w:rsid w:val="002D3F01"/>
    <w:rsid w:val="002D499E"/>
    <w:rsid w:val="002D4B5F"/>
    <w:rsid w:val="002D645E"/>
    <w:rsid w:val="002E13B8"/>
    <w:rsid w:val="002E18BF"/>
    <w:rsid w:val="002E1906"/>
    <w:rsid w:val="002E1E99"/>
    <w:rsid w:val="002E1FB6"/>
    <w:rsid w:val="002E3197"/>
    <w:rsid w:val="002E454C"/>
    <w:rsid w:val="002E584D"/>
    <w:rsid w:val="002E6B1C"/>
    <w:rsid w:val="002E6E9C"/>
    <w:rsid w:val="002F1A59"/>
    <w:rsid w:val="002F3A03"/>
    <w:rsid w:val="002F3D53"/>
    <w:rsid w:val="002F617F"/>
    <w:rsid w:val="002F63A1"/>
    <w:rsid w:val="002F69DA"/>
    <w:rsid w:val="00300109"/>
    <w:rsid w:val="00300CFE"/>
    <w:rsid w:val="00301755"/>
    <w:rsid w:val="003028E9"/>
    <w:rsid w:val="003037C5"/>
    <w:rsid w:val="00305225"/>
    <w:rsid w:val="0030665E"/>
    <w:rsid w:val="00306894"/>
    <w:rsid w:val="003122F4"/>
    <w:rsid w:val="003209D6"/>
    <w:rsid w:val="00320C93"/>
    <w:rsid w:val="00325769"/>
    <w:rsid w:val="003268D5"/>
    <w:rsid w:val="0032728A"/>
    <w:rsid w:val="0032782F"/>
    <w:rsid w:val="00330790"/>
    <w:rsid w:val="00331D7F"/>
    <w:rsid w:val="0033355F"/>
    <w:rsid w:val="00333C8A"/>
    <w:rsid w:val="0033755F"/>
    <w:rsid w:val="00340E22"/>
    <w:rsid w:val="00342A01"/>
    <w:rsid w:val="00344093"/>
    <w:rsid w:val="003448F6"/>
    <w:rsid w:val="00344A64"/>
    <w:rsid w:val="00347AD0"/>
    <w:rsid w:val="00347CF6"/>
    <w:rsid w:val="00350759"/>
    <w:rsid w:val="00354D27"/>
    <w:rsid w:val="003556E7"/>
    <w:rsid w:val="00355FD4"/>
    <w:rsid w:val="003563F7"/>
    <w:rsid w:val="0035738A"/>
    <w:rsid w:val="00363839"/>
    <w:rsid w:val="00363B58"/>
    <w:rsid w:val="00364A44"/>
    <w:rsid w:val="00367B03"/>
    <w:rsid w:val="00375655"/>
    <w:rsid w:val="0038005A"/>
    <w:rsid w:val="0038058F"/>
    <w:rsid w:val="003812A1"/>
    <w:rsid w:val="00383459"/>
    <w:rsid w:val="0038381C"/>
    <w:rsid w:val="003858A6"/>
    <w:rsid w:val="00386420"/>
    <w:rsid w:val="00390AC9"/>
    <w:rsid w:val="00392DCC"/>
    <w:rsid w:val="00393951"/>
    <w:rsid w:val="00394B31"/>
    <w:rsid w:val="003971B6"/>
    <w:rsid w:val="00397BB5"/>
    <w:rsid w:val="003A10AF"/>
    <w:rsid w:val="003A151A"/>
    <w:rsid w:val="003A2695"/>
    <w:rsid w:val="003A34F0"/>
    <w:rsid w:val="003A3789"/>
    <w:rsid w:val="003A4690"/>
    <w:rsid w:val="003A5B36"/>
    <w:rsid w:val="003A5DA0"/>
    <w:rsid w:val="003B0922"/>
    <w:rsid w:val="003B0F6B"/>
    <w:rsid w:val="003B1A77"/>
    <w:rsid w:val="003B29AE"/>
    <w:rsid w:val="003B29F2"/>
    <w:rsid w:val="003B3582"/>
    <w:rsid w:val="003C0EAF"/>
    <w:rsid w:val="003C2076"/>
    <w:rsid w:val="003C24B4"/>
    <w:rsid w:val="003C2DAE"/>
    <w:rsid w:val="003C5F49"/>
    <w:rsid w:val="003D1F19"/>
    <w:rsid w:val="003D2ACB"/>
    <w:rsid w:val="003D5699"/>
    <w:rsid w:val="003D6FE1"/>
    <w:rsid w:val="003E20D6"/>
    <w:rsid w:val="003E4D87"/>
    <w:rsid w:val="003E7416"/>
    <w:rsid w:val="003E7904"/>
    <w:rsid w:val="003F0378"/>
    <w:rsid w:val="003F1986"/>
    <w:rsid w:val="003F33D4"/>
    <w:rsid w:val="003F3FC2"/>
    <w:rsid w:val="003F41AB"/>
    <w:rsid w:val="003F714F"/>
    <w:rsid w:val="004000DC"/>
    <w:rsid w:val="00401082"/>
    <w:rsid w:val="0040415A"/>
    <w:rsid w:val="004050D9"/>
    <w:rsid w:val="00406DF1"/>
    <w:rsid w:val="004074E4"/>
    <w:rsid w:val="00410819"/>
    <w:rsid w:val="00412F64"/>
    <w:rsid w:val="00414591"/>
    <w:rsid w:val="00416762"/>
    <w:rsid w:val="00416E55"/>
    <w:rsid w:val="00421955"/>
    <w:rsid w:val="004223B2"/>
    <w:rsid w:val="004234AE"/>
    <w:rsid w:val="00423F79"/>
    <w:rsid w:val="0042518A"/>
    <w:rsid w:val="004276A0"/>
    <w:rsid w:val="004340E1"/>
    <w:rsid w:val="0043769E"/>
    <w:rsid w:val="004414BC"/>
    <w:rsid w:val="00441EE9"/>
    <w:rsid w:val="00444A63"/>
    <w:rsid w:val="00445265"/>
    <w:rsid w:val="00451BE7"/>
    <w:rsid w:val="004526B0"/>
    <w:rsid w:val="004541DA"/>
    <w:rsid w:val="004559CE"/>
    <w:rsid w:val="00460710"/>
    <w:rsid w:val="00460AFB"/>
    <w:rsid w:val="00460D02"/>
    <w:rsid w:val="00460E1A"/>
    <w:rsid w:val="00461CFD"/>
    <w:rsid w:val="004621A8"/>
    <w:rsid w:val="00463DF8"/>
    <w:rsid w:val="00464204"/>
    <w:rsid w:val="004647E3"/>
    <w:rsid w:val="004650F4"/>
    <w:rsid w:val="00471071"/>
    <w:rsid w:val="004713D5"/>
    <w:rsid w:val="00474582"/>
    <w:rsid w:val="00475085"/>
    <w:rsid w:val="00476CF6"/>
    <w:rsid w:val="00477AA8"/>
    <w:rsid w:val="00480482"/>
    <w:rsid w:val="00482E77"/>
    <w:rsid w:val="00483C3F"/>
    <w:rsid w:val="00484C3B"/>
    <w:rsid w:val="00486DD1"/>
    <w:rsid w:val="00492FCB"/>
    <w:rsid w:val="00495423"/>
    <w:rsid w:val="004A0DCB"/>
    <w:rsid w:val="004A0F11"/>
    <w:rsid w:val="004A3EAA"/>
    <w:rsid w:val="004A775E"/>
    <w:rsid w:val="004A7C1E"/>
    <w:rsid w:val="004A7D97"/>
    <w:rsid w:val="004B27CB"/>
    <w:rsid w:val="004B3742"/>
    <w:rsid w:val="004B4012"/>
    <w:rsid w:val="004B4677"/>
    <w:rsid w:val="004B49A7"/>
    <w:rsid w:val="004B5133"/>
    <w:rsid w:val="004C0081"/>
    <w:rsid w:val="004C14FC"/>
    <w:rsid w:val="004C2902"/>
    <w:rsid w:val="004C41B6"/>
    <w:rsid w:val="004D0D58"/>
    <w:rsid w:val="004D5502"/>
    <w:rsid w:val="004D6E37"/>
    <w:rsid w:val="004D7D87"/>
    <w:rsid w:val="004E00EA"/>
    <w:rsid w:val="004E0B8C"/>
    <w:rsid w:val="004E171E"/>
    <w:rsid w:val="004E1FB0"/>
    <w:rsid w:val="004E5DE7"/>
    <w:rsid w:val="004E6B14"/>
    <w:rsid w:val="004F4B92"/>
    <w:rsid w:val="004F7C91"/>
    <w:rsid w:val="005009D1"/>
    <w:rsid w:val="00501B6C"/>
    <w:rsid w:val="00501D18"/>
    <w:rsid w:val="00502204"/>
    <w:rsid w:val="00502A9D"/>
    <w:rsid w:val="00504570"/>
    <w:rsid w:val="00506C12"/>
    <w:rsid w:val="00506D50"/>
    <w:rsid w:val="0051192E"/>
    <w:rsid w:val="00512C0A"/>
    <w:rsid w:val="00514124"/>
    <w:rsid w:val="00514F85"/>
    <w:rsid w:val="00515B1C"/>
    <w:rsid w:val="00516785"/>
    <w:rsid w:val="0051795F"/>
    <w:rsid w:val="00520337"/>
    <w:rsid w:val="005210F6"/>
    <w:rsid w:val="0052419D"/>
    <w:rsid w:val="00526F2A"/>
    <w:rsid w:val="005301F8"/>
    <w:rsid w:val="005312FC"/>
    <w:rsid w:val="005328E7"/>
    <w:rsid w:val="00532C6D"/>
    <w:rsid w:val="00533E51"/>
    <w:rsid w:val="0053569E"/>
    <w:rsid w:val="005356CD"/>
    <w:rsid w:val="0053603D"/>
    <w:rsid w:val="00536FF3"/>
    <w:rsid w:val="0053742A"/>
    <w:rsid w:val="00537A66"/>
    <w:rsid w:val="00537A67"/>
    <w:rsid w:val="00537C85"/>
    <w:rsid w:val="00541D29"/>
    <w:rsid w:val="00543F23"/>
    <w:rsid w:val="00544968"/>
    <w:rsid w:val="005453E6"/>
    <w:rsid w:val="005506A5"/>
    <w:rsid w:val="005532E7"/>
    <w:rsid w:val="00562F17"/>
    <w:rsid w:val="00565037"/>
    <w:rsid w:val="0056582C"/>
    <w:rsid w:val="00565C0D"/>
    <w:rsid w:val="005700A7"/>
    <w:rsid w:val="0057015D"/>
    <w:rsid w:val="0057083E"/>
    <w:rsid w:val="005776B2"/>
    <w:rsid w:val="00577BC3"/>
    <w:rsid w:val="0058561D"/>
    <w:rsid w:val="00586605"/>
    <w:rsid w:val="005868DE"/>
    <w:rsid w:val="00586F0E"/>
    <w:rsid w:val="0058771C"/>
    <w:rsid w:val="005877AC"/>
    <w:rsid w:val="005907DB"/>
    <w:rsid w:val="00592250"/>
    <w:rsid w:val="00592A69"/>
    <w:rsid w:val="00593DD5"/>
    <w:rsid w:val="005966B7"/>
    <w:rsid w:val="005A08B7"/>
    <w:rsid w:val="005A1E33"/>
    <w:rsid w:val="005B0603"/>
    <w:rsid w:val="005B2612"/>
    <w:rsid w:val="005B4214"/>
    <w:rsid w:val="005B5E04"/>
    <w:rsid w:val="005B5E2A"/>
    <w:rsid w:val="005B73CB"/>
    <w:rsid w:val="005C02A4"/>
    <w:rsid w:val="005C194A"/>
    <w:rsid w:val="005C20D2"/>
    <w:rsid w:val="005C255E"/>
    <w:rsid w:val="005C2A13"/>
    <w:rsid w:val="005C32FE"/>
    <w:rsid w:val="005C503A"/>
    <w:rsid w:val="005C5C3D"/>
    <w:rsid w:val="005C74A9"/>
    <w:rsid w:val="005D024A"/>
    <w:rsid w:val="005D359E"/>
    <w:rsid w:val="005D4521"/>
    <w:rsid w:val="005D4FD4"/>
    <w:rsid w:val="005D6D64"/>
    <w:rsid w:val="005D76D0"/>
    <w:rsid w:val="005E1F97"/>
    <w:rsid w:val="005E3FA3"/>
    <w:rsid w:val="005F383A"/>
    <w:rsid w:val="005F4DBB"/>
    <w:rsid w:val="005F4E14"/>
    <w:rsid w:val="005F594F"/>
    <w:rsid w:val="005F6191"/>
    <w:rsid w:val="005F74CC"/>
    <w:rsid w:val="00601188"/>
    <w:rsid w:val="00601650"/>
    <w:rsid w:val="00603E91"/>
    <w:rsid w:val="00604EEF"/>
    <w:rsid w:val="00605AFD"/>
    <w:rsid w:val="00606690"/>
    <w:rsid w:val="006123D4"/>
    <w:rsid w:val="0061445B"/>
    <w:rsid w:val="00623DB3"/>
    <w:rsid w:val="00624C4B"/>
    <w:rsid w:val="00627F92"/>
    <w:rsid w:val="00632306"/>
    <w:rsid w:val="00632EFD"/>
    <w:rsid w:val="00633F96"/>
    <w:rsid w:val="006356D3"/>
    <w:rsid w:val="00636955"/>
    <w:rsid w:val="00636DE9"/>
    <w:rsid w:val="0064101B"/>
    <w:rsid w:val="0064108B"/>
    <w:rsid w:val="0064444F"/>
    <w:rsid w:val="006469CC"/>
    <w:rsid w:val="0065165E"/>
    <w:rsid w:val="006525C1"/>
    <w:rsid w:val="00653F69"/>
    <w:rsid w:val="00667007"/>
    <w:rsid w:val="00672B5D"/>
    <w:rsid w:val="0067364A"/>
    <w:rsid w:val="00675615"/>
    <w:rsid w:val="0067622C"/>
    <w:rsid w:val="00677848"/>
    <w:rsid w:val="00680200"/>
    <w:rsid w:val="00682249"/>
    <w:rsid w:val="00682E0F"/>
    <w:rsid w:val="00685CF7"/>
    <w:rsid w:val="00686165"/>
    <w:rsid w:val="00687EDE"/>
    <w:rsid w:val="00687F49"/>
    <w:rsid w:val="00691CB5"/>
    <w:rsid w:val="006923DF"/>
    <w:rsid w:val="006A37F5"/>
    <w:rsid w:val="006A54B9"/>
    <w:rsid w:val="006B0C86"/>
    <w:rsid w:val="006B1D2C"/>
    <w:rsid w:val="006B25CF"/>
    <w:rsid w:val="006B38FF"/>
    <w:rsid w:val="006B4DB6"/>
    <w:rsid w:val="006B571E"/>
    <w:rsid w:val="006B583A"/>
    <w:rsid w:val="006B6F1F"/>
    <w:rsid w:val="006C099B"/>
    <w:rsid w:val="006C1892"/>
    <w:rsid w:val="006C1E6F"/>
    <w:rsid w:val="006C22EF"/>
    <w:rsid w:val="006C5B73"/>
    <w:rsid w:val="006C645D"/>
    <w:rsid w:val="006C757E"/>
    <w:rsid w:val="006C77FA"/>
    <w:rsid w:val="006D07B5"/>
    <w:rsid w:val="006E1A81"/>
    <w:rsid w:val="006E2273"/>
    <w:rsid w:val="006E2A66"/>
    <w:rsid w:val="006E2BA4"/>
    <w:rsid w:val="006E2D2A"/>
    <w:rsid w:val="006E3CC3"/>
    <w:rsid w:val="006F1849"/>
    <w:rsid w:val="006F2558"/>
    <w:rsid w:val="006F2A51"/>
    <w:rsid w:val="006F2F20"/>
    <w:rsid w:val="006F6B3A"/>
    <w:rsid w:val="006F72D0"/>
    <w:rsid w:val="007036B7"/>
    <w:rsid w:val="007068EE"/>
    <w:rsid w:val="00706E8E"/>
    <w:rsid w:val="00707CE1"/>
    <w:rsid w:val="00717B55"/>
    <w:rsid w:val="0072017E"/>
    <w:rsid w:val="00720821"/>
    <w:rsid w:val="007209E2"/>
    <w:rsid w:val="00722B53"/>
    <w:rsid w:val="00725D62"/>
    <w:rsid w:val="00732BC8"/>
    <w:rsid w:val="007337FE"/>
    <w:rsid w:val="00735CA2"/>
    <w:rsid w:val="007371CE"/>
    <w:rsid w:val="00741106"/>
    <w:rsid w:val="00742366"/>
    <w:rsid w:val="0074285A"/>
    <w:rsid w:val="00742AAF"/>
    <w:rsid w:val="00744484"/>
    <w:rsid w:val="00746A18"/>
    <w:rsid w:val="007473E9"/>
    <w:rsid w:val="0074759A"/>
    <w:rsid w:val="007479BE"/>
    <w:rsid w:val="007509DD"/>
    <w:rsid w:val="00751A4C"/>
    <w:rsid w:val="007521CE"/>
    <w:rsid w:val="00752BD8"/>
    <w:rsid w:val="007562DF"/>
    <w:rsid w:val="007608BD"/>
    <w:rsid w:val="00763327"/>
    <w:rsid w:val="00763474"/>
    <w:rsid w:val="007646E7"/>
    <w:rsid w:val="00766184"/>
    <w:rsid w:val="007745C9"/>
    <w:rsid w:val="00777265"/>
    <w:rsid w:val="0078188E"/>
    <w:rsid w:val="0078257B"/>
    <w:rsid w:val="00782D62"/>
    <w:rsid w:val="00783D75"/>
    <w:rsid w:val="00784C0A"/>
    <w:rsid w:val="0078561B"/>
    <w:rsid w:val="00794B40"/>
    <w:rsid w:val="00796E26"/>
    <w:rsid w:val="00797870"/>
    <w:rsid w:val="00797E83"/>
    <w:rsid w:val="007A06C1"/>
    <w:rsid w:val="007A1079"/>
    <w:rsid w:val="007A1AE5"/>
    <w:rsid w:val="007A2B2A"/>
    <w:rsid w:val="007A7C24"/>
    <w:rsid w:val="007B2677"/>
    <w:rsid w:val="007B3CFD"/>
    <w:rsid w:val="007B76AB"/>
    <w:rsid w:val="007C0F60"/>
    <w:rsid w:val="007C2AE7"/>
    <w:rsid w:val="007C77C8"/>
    <w:rsid w:val="007D21D0"/>
    <w:rsid w:val="007D3341"/>
    <w:rsid w:val="007D592B"/>
    <w:rsid w:val="007D5AA6"/>
    <w:rsid w:val="007D7A91"/>
    <w:rsid w:val="007E6456"/>
    <w:rsid w:val="007F05F4"/>
    <w:rsid w:val="007F23DF"/>
    <w:rsid w:val="007F6F37"/>
    <w:rsid w:val="008003AD"/>
    <w:rsid w:val="008073C1"/>
    <w:rsid w:val="008103C1"/>
    <w:rsid w:val="00810569"/>
    <w:rsid w:val="00811943"/>
    <w:rsid w:val="00812480"/>
    <w:rsid w:val="00815C81"/>
    <w:rsid w:val="00816443"/>
    <w:rsid w:val="0082363B"/>
    <w:rsid w:val="008277B0"/>
    <w:rsid w:val="008308AE"/>
    <w:rsid w:val="00830A76"/>
    <w:rsid w:val="008311B8"/>
    <w:rsid w:val="0083161B"/>
    <w:rsid w:val="00831971"/>
    <w:rsid w:val="00834243"/>
    <w:rsid w:val="00835E04"/>
    <w:rsid w:val="008374C4"/>
    <w:rsid w:val="00840B15"/>
    <w:rsid w:val="008479E3"/>
    <w:rsid w:val="0085551D"/>
    <w:rsid w:val="00856E6A"/>
    <w:rsid w:val="00857969"/>
    <w:rsid w:val="008643E6"/>
    <w:rsid w:val="00864944"/>
    <w:rsid w:val="0086603F"/>
    <w:rsid w:val="008675FD"/>
    <w:rsid w:val="0087036A"/>
    <w:rsid w:val="00872423"/>
    <w:rsid w:val="00875AD4"/>
    <w:rsid w:val="0088124C"/>
    <w:rsid w:val="00882CC4"/>
    <w:rsid w:val="00883123"/>
    <w:rsid w:val="008844AC"/>
    <w:rsid w:val="008868C6"/>
    <w:rsid w:val="008906B7"/>
    <w:rsid w:val="00890F5C"/>
    <w:rsid w:val="00891061"/>
    <w:rsid w:val="00893918"/>
    <w:rsid w:val="00896D1C"/>
    <w:rsid w:val="00897F46"/>
    <w:rsid w:val="008A343E"/>
    <w:rsid w:val="008A5139"/>
    <w:rsid w:val="008A7C97"/>
    <w:rsid w:val="008B0979"/>
    <w:rsid w:val="008B0DCB"/>
    <w:rsid w:val="008B0FC4"/>
    <w:rsid w:val="008B1485"/>
    <w:rsid w:val="008B66D7"/>
    <w:rsid w:val="008B67C5"/>
    <w:rsid w:val="008B6FDB"/>
    <w:rsid w:val="008C2D6A"/>
    <w:rsid w:val="008C3156"/>
    <w:rsid w:val="008C38C9"/>
    <w:rsid w:val="008C53BF"/>
    <w:rsid w:val="008C6B7E"/>
    <w:rsid w:val="008C7F71"/>
    <w:rsid w:val="008D1B66"/>
    <w:rsid w:val="008D1DCB"/>
    <w:rsid w:val="008D339F"/>
    <w:rsid w:val="008D4E3E"/>
    <w:rsid w:val="008E0448"/>
    <w:rsid w:val="008E177A"/>
    <w:rsid w:val="008E24D2"/>
    <w:rsid w:val="008E6292"/>
    <w:rsid w:val="008E6A76"/>
    <w:rsid w:val="008F14D8"/>
    <w:rsid w:val="008F23EB"/>
    <w:rsid w:val="008F2F66"/>
    <w:rsid w:val="0090102D"/>
    <w:rsid w:val="009050D5"/>
    <w:rsid w:val="00906599"/>
    <w:rsid w:val="00906E61"/>
    <w:rsid w:val="009141A6"/>
    <w:rsid w:val="00916F11"/>
    <w:rsid w:val="00917E28"/>
    <w:rsid w:val="009220B5"/>
    <w:rsid w:val="0092239F"/>
    <w:rsid w:val="0092392B"/>
    <w:rsid w:val="00923F62"/>
    <w:rsid w:val="00924E16"/>
    <w:rsid w:val="00925AA1"/>
    <w:rsid w:val="00925AA5"/>
    <w:rsid w:val="00926838"/>
    <w:rsid w:val="00927431"/>
    <w:rsid w:val="00927DA8"/>
    <w:rsid w:val="00927E94"/>
    <w:rsid w:val="00931094"/>
    <w:rsid w:val="00931604"/>
    <w:rsid w:val="00932DB0"/>
    <w:rsid w:val="0093332A"/>
    <w:rsid w:val="0093540D"/>
    <w:rsid w:val="00936515"/>
    <w:rsid w:val="0093687E"/>
    <w:rsid w:val="0094006A"/>
    <w:rsid w:val="0094019D"/>
    <w:rsid w:val="00941A2D"/>
    <w:rsid w:val="00942C11"/>
    <w:rsid w:val="00943428"/>
    <w:rsid w:val="0094351F"/>
    <w:rsid w:val="009471F7"/>
    <w:rsid w:val="009473B4"/>
    <w:rsid w:val="0095303A"/>
    <w:rsid w:val="009547F8"/>
    <w:rsid w:val="00955A38"/>
    <w:rsid w:val="00962ACF"/>
    <w:rsid w:val="00971887"/>
    <w:rsid w:val="009728FA"/>
    <w:rsid w:val="009729D4"/>
    <w:rsid w:val="00980759"/>
    <w:rsid w:val="00980AAA"/>
    <w:rsid w:val="009817B0"/>
    <w:rsid w:val="009821CE"/>
    <w:rsid w:val="00984D60"/>
    <w:rsid w:val="00992A76"/>
    <w:rsid w:val="00996AF7"/>
    <w:rsid w:val="00997B7E"/>
    <w:rsid w:val="009A016E"/>
    <w:rsid w:val="009A0478"/>
    <w:rsid w:val="009A277C"/>
    <w:rsid w:val="009A52AE"/>
    <w:rsid w:val="009A658F"/>
    <w:rsid w:val="009A672D"/>
    <w:rsid w:val="009A71B1"/>
    <w:rsid w:val="009B088F"/>
    <w:rsid w:val="009B0CED"/>
    <w:rsid w:val="009B12F3"/>
    <w:rsid w:val="009B2249"/>
    <w:rsid w:val="009B5FB3"/>
    <w:rsid w:val="009B649B"/>
    <w:rsid w:val="009B668C"/>
    <w:rsid w:val="009B7E3A"/>
    <w:rsid w:val="009C3B41"/>
    <w:rsid w:val="009C481A"/>
    <w:rsid w:val="009C4E50"/>
    <w:rsid w:val="009C7C53"/>
    <w:rsid w:val="009C7EAC"/>
    <w:rsid w:val="009D0A36"/>
    <w:rsid w:val="009D2CFF"/>
    <w:rsid w:val="009D67D4"/>
    <w:rsid w:val="009E04B2"/>
    <w:rsid w:val="009E0CA5"/>
    <w:rsid w:val="009E171B"/>
    <w:rsid w:val="009E250C"/>
    <w:rsid w:val="009E3BBC"/>
    <w:rsid w:val="009E3CC9"/>
    <w:rsid w:val="009E4B1E"/>
    <w:rsid w:val="009E4FA9"/>
    <w:rsid w:val="009E6166"/>
    <w:rsid w:val="009F0B84"/>
    <w:rsid w:val="009F28A9"/>
    <w:rsid w:val="009F4A8C"/>
    <w:rsid w:val="009F601D"/>
    <w:rsid w:val="00A00B3D"/>
    <w:rsid w:val="00A015E8"/>
    <w:rsid w:val="00A027E9"/>
    <w:rsid w:val="00A03796"/>
    <w:rsid w:val="00A05DDA"/>
    <w:rsid w:val="00A07D47"/>
    <w:rsid w:val="00A10593"/>
    <w:rsid w:val="00A1150C"/>
    <w:rsid w:val="00A12BBC"/>
    <w:rsid w:val="00A12F62"/>
    <w:rsid w:val="00A14FE9"/>
    <w:rsid w:val="00A15469"/>
    <w:rsid w:val="00A1614A"/>
    <w:rsid w:val="00A20C42"/>
    <w:rsid w:val="00A250DF"/>
    <w:rsid w:val="00A27D0E"/>
    <w:rsid w:val="00A3312D"/>
    <w:rsid w:val="00A3521A"/>
    <w:rsid w:val="00A3749B"/>
    <w:rsid w:val="00A3764C"/>
    <w:rsid w:val="00A37681"/>
    <w:rsid w:val="00A37C39"/>
    <w:rsid w:val="00A37D87"/>
    <w:rsid w:val="00A41A99"/>
    <w:rsid w:val="00A436A0"/>
    <w:rsid w:val="00A4478B"/>
    <w:rsid w:val="00A45C52"/>
    <w:rsid w:val="00A4618E"/>
    <w:rsid w:val="00A46F2F"/>
    <w:rsid w:val="00A47BE5"/>
    <w:rsid w:val="00A50D88"/>
    <w:rsid w:val="00A51392"/>
    <w:rsid w:val="00A54654"/>
    <w:rsid w:val="00A55BEC"/>
    <w:rsid w:val="00A56923"/>
    <w:rsid w:val="00A62E42"/>
    <w:rsid w:val="00A62F6C"/>
    <w:rsid w:val="00A64A71"/>
    <w:rsid w:val="00A70CFB"/>
    <w:rsid w:val="00A7236C"/>
    <w:rsid w:val="00A72960"/>
    <w:rsid w:val="00A72D8F"/>
    <w:rsid w:val="00A74815"/>
    <w:rsid w:val="00A763A9"/>
    <w:rsid w:val="00A8082F"/>
    <w:rsid w:val="00A876CF"/>
    <w:rsid w:val="00A900BC"/>
    <w:rsid w:val="00A917FF"/>
    <w:rsid w:val="00A9194B"/>
    <w:rsid w:val="00A91D92"/>
    <w:rsid w:val="00A93401"/>
    <w:rsid w:val="00A94850"/>
    <w:rsid w:val="00A97160"/>
    <w:rsid w:val="00AA1CAD"/>
    <w:rsid w:val="00AA1F87"/>
    <w:rsid w:val="00AA2034"/>
    <w:rsid w:val="00AA3EBC"/>
    <w:rsid w:val="00AA6602"/>
    <w:rsid w:val="00AB19DD"/>
    <w:rsid w:val="00AB1A4A"/>
    <w:rsid w:val="00AB3682"/>
    <w:rsid w:val="00AC28DE"/>
    <w:rsid w:val="00AC3196"/>
    <w:rsid w:val="00AC4065"/>
    <w:rsid w:val="00AC481F"/>
    <w:rsid w:val="00AC5141"/>
    <w:rsid w:val="00AC75E2"/>
    <w:rsid w:val="00AD110A"/>
    <w:rsid w:val="00AD4540"/>
    <w:rsid w:val="00AD6AA2"/>
    <w:rsid w:val="00AD7FC2"/>
    <w:rsid w:val="00AE2F90"/>
    <w:rsid w:val="00AE3ABA"/>
    <w:rsid w:val="00AE5B79"/>
    <w:rsid w:val="00AF076E"/>
    <w:rsid w:val="00AF33ED"/>
    <w:rsid w:val="00AF50BE"/>
    <w:rsid w:val="00AF60B7"/>
    <w:rsid w:val="00AF6C95"/>
    <w:rsid w:val="00B0343C"/>
    <w:rsid w:val="00B03DD6"/>
    <w:rsid w:val="00B061C9"/>
    <w:rsid w:val="00B077D4"/>
    <w:rsid w:val="00B0783D"/>
    <w:rsid w:val="00B11C5D"/>
    <w:rsid w:val="00B13996"/>
    <w:rsid w:val="00B14369"/>
    <w:rsid w:val="00B1475E"/>
    <w:rsid w:val="00B1669E"/>
    <w:rsid w:val="00B214C6"/>
    <w:rsid w:val="00B23C16"/>
    <w:rsid w:val="00B23E25"/>
    <w:rsid w:val="00B25C66"/>
    <w:rsid w:val="00B263DC"/>
    <w:rsid w:val="00B27E52"/>
    <w:rsid w:val="00B30242"/>
    <w:rsid w:val="00B310CD"/>
    <w:rsid w:val="00B32C04"/>
    <w:rsid w:val="00B35225"/>
    <w:rsid w:val="00B3583B"/>
    <w:rsid w:val="00B3740E"/>
    <w:rsid w:val="00B37A8F"/>
    <w:rsid w:val="00B37F7F"/>
    <w:rsid w:val="00B4069A"/>
    <w:rsid w:val="00B40DC4"/>
    <w:rsid w:val="00B4108D"/>
    <w:rsid w:val="00B414AB"/>
    <w:rsid w:val="00B5226C"/>
    <w:rsid w:val="00B53BC2"/>
    <w:rsid w:val="00B55154"/>
    <w:rsid w:val="00B55B04"/>
    <w:rsid w:val="00B5772F"/>
    <w:rsid w:val="00B60449"/>
    <w:rsid w:val="00B60D88"/>
    <w:rsid w:val="00B60E97"/>
    <w:rsid w:val="00B63D7A"/>
    <w:rsid w:val="00B64B02"/>
    <w:rsid w:val="00B65347"/>
    <w:rsid w:val="00B65DE1"/>
    <w:rsid w:val="00B70F75"/>
    <w:rsid w:val="00B72AF0"/>
    <w:rsid w:val="00B737EB"/>
    <w:rsid w:val="00B775EE"/>
    <w:rsid w:val="00B81F7C"/>
    <w:rsid w:val="00B820A7"/>
    <w:rsid w:val="00B829FE"/>
    <w:rsid w:val="00B82F03"/>
    <w:rsid w:val="00B833EC"/>
    <w:rsid w:val="00B87927"/>
    <w:rsid w:val="00B902BB"/>
    <w:rsid w:val="00B935A2"/>
    <w:rsid w:val="00B93FB5"/>
    <w:rsid w:val="00B946B7"/>
    <w:rsid w:val="00B97EF4"/>
    <w:rsid w:val="00BA204A"/>
    <w:rsid w:val="00BA2B0A"/>
    <w:rsid w:val="00BA34AD"/>
    <w:rsid w:val="00BA3B9B"/>
    <w:rsid w:val="00BA5302"/>
    <w:rsid w:val="00BB00F3"/>
    <w:rsid w:val="00BB043A"/>
    <w:rsid w:val="00BB0C1B"/>
    <w:rsid w:val="00BB1DDF"/>
    <w:rsid w:val="00BB42BC"/>
    <w:rsid w:val="00BC2C45"/>
    <w:rsid w:val="00BC40C1"/>
    <w:rsid w:val="00BC6E69"/>
    <w:rsid w:val="00BC73F5"/>
    <w:rsid w:val="00BD01F1"/>
    <w:rsid w:val="00BD02AF"/>
    <w:rsid w:val="00BD1B68"/>
    <w:rsid w:val="00BD26AA"/>
    <w:rsid w:val="00BD2B12"/>
    <w:rsid w:val="00BD454F"/>
    <w:rsid w:val="00BE354D"/>
    <w:rsid w:val="00BE58E7"/>
    <w:rsid w:val="00BE73DD"/>
    <w:rsid w:val="00BE7EA5"/>
    <w:rsid w:val="00C01DCC"/>
    <w:rsid w:val="00C02E72"/>
    <w:rsid w:val="00C03E3A"/>
    <w:rsid w:val="00C04FFA"/>
    <w:rsid w:val="00C05B39"/>
    <w:rsid w:val="00C06F6B"/>
    <w:rsid w:val="00C14192"/>
    <w:rsid w:val="00C15075"/>
    <w:rsid w:val="00C173A0"/>
    <w:rsid w:val="00C17DB5"/>
    <w:rsid w:val="00C202B3"/>
    <w:rsid w:val="00C204F5"/>
    <w:rsid w:val="00C21EE0"/>
    <w:rsid w:val="00C30297"/>
    <w:rsid w:val="00C304BB"/>
    <w:rsid w:val="00C316AF"/>
    <w:rsid w:val="00C323BA"/>
    <w:rsid w:val="00C324BC"/>
    <w:rsid w:val="00C3567C"/>
    <w:rsid w:val="00C36998"/>
    <w:rsid w:val="00C3776E"/>
    <w:rsid w:val="00C40625"/>
    <w:rsid w:val="00C406B9"/>
    <w:rsid w:val="00C4464C"/>
    <w:rsid w:val="00C45400"/>
    <w:rsid w:val="00C50B48"/>
    <w:rsid w:val="00C54EE7"/>
    <w:rsid w:val="00C555AC"/>
    <w:rsid w:val="00C563D4"/>
    <w:rsid w:val="00C573E3"/>
    <w:rsid w:val="00C61193"/>
    <w:rsid w:val="00C648CA"/>
    <w:rsid w:val="00C6678E"/>
    <w:rsid w:val="00C713ED"/>
    <w:rsid w:val="00C72318"/>
    <w:rsid w:val="00C724E6"/>
    <w:rsid w:val="00C724FE"/>
    <w:rsid w:val="00C72C14"/>
    <w:rsid w:val="00C73A31"/>
    <w:rsid w:val="00C73FFA"/>
    <w:rsid w:val="00C747A5"/>
    <w:rsid w:val="00C74EB4"/>
    <w:rsid w:val="00C7614F"/>
    <w:rsid w:val="00C76D2D"/>
    <w:rsid w:val="00C8018C"/>
    <w:rsid w:val="00C80C40"/>
    <w:rsid w:val="00C81247"/>
    <w:rsid w:val="00C81723"/>
    <w:rsid w:val="00C85314"/>
    <w:rsid w:val="00C86BC7"/>
    <w:rsid w:val="00C90C54"/>
    <w:rsid w:val="00C9123C"/>
    <w:rsid w:val="00C964E0"/>
    <w:rsid w:val="00C96F51"/>
    <w:rsid w:val="00C97914"/>
    <w:rsid w:val="00CA0116"/>
    <w:rsid w:val="00CA103D"/>
    <w:rsid w:val="00CA111A"/>
    <w:rsid w:val="00CA1A7A"/>
    <w:rsid w:val="00CA2867"/>
    <w:rsid w:val="00CA3178"/>
    <w:rsid w:val="00CA391B"/>
    <w:rsid w:val="00CA4BC0"/>
    <w:rsid w:val="00CA4BD7"/>
    <w:rsid w:val="00CA5CA8"/>
    <w:rsid w:val="00CA735E"/>
    <w:rsid w:val="00CB011F"/>
    <w:rsid w:val="00CB0157"/>
    <w:rsid w:val="00CB1717"/>
    <w:rsid w:val="00CB28E9"/>
    <w:rsid w:val="00CB5205"/>
    <w:rsid w:val="00CB7E9F"/>
    <w:rsid w:val="00CC38AC"/>
    <w:rsid w:val="00CC559D"/>
    <w:rsid w:val="00CC6B37"/>
    <w:rsid w:val="00CC7864"/>
    <w:rsid w:val="00CC7AC9"/>
    <w:rsid w:val="00CC7F86"/>
    <w:rsid w:val="00CD0C13"/>
    <w:rsid w:val="00CD2673"/>
    <w:rsid w:val="00CD654B"/>
    <w:rsid w:val="00CD6B05"/>
    <w:rsid w:val="00CD6C25"/>
    <w:rsid w:val="00CE0C08"/>
    <w:rsid w:val="00CE223E"/>
    <w:rsid w:val="00CF00F6"/>
    <w:rsid w:val="00CF1A71"/>
    <w:rsid w:val="00CF2D9E"/>
    <w:rsid w:val="00CF300D"/>
    <w:rsid w:val="00CF3F0D"/>
    <w:rsid w:val="00CF6911"/>
    <w:rsid w:val="00CF755F"/>
    <w:rsid w:val="00D024EB"/>
    <w:rsid w:val="00D03ECB"/>
    <w:rsid w:val="00D04021"/>
    <w:rsid w:val="00D051F1"/>
    <w:rsid w:val="00D101F7"/>
    <w:rsid w:val="00D107E8"/>
    <w:rsid w:val="00D10A12"/>
    <w:rsid w:val="00D11243"/>
    <w:rsid w:val="00D11EC7"/>
    <w:rsid w:val="00D145F5"/>
    <w:rsid w:val="00D147FB"/>
    <w:rsid w:val="00D150A9"/>
    <w:rsid w:val="00D17BB1"/>
    <w:rsid w:val="00D2198D"/>
    <w:rsid w:val="00D246B2"/>
    <w:rsid w:val="00D25639"/>
    <w:rsid w:val="00D26647"/>
    <w:rsid w:val="00D27FCB"/>
    <w:rsid w:val="00D316A1"/>
    <w:rsid w:val="00D323ED"/>
    <w:rsid w:val="00D329F1"/>
    <w:rsid w:val="00D355F0"/>
    <w:rsid w:val="00D41CA6"/>
    <w:rsid w:val="00D43AC8"/>
    <w:rsid w:val="00D45318"/>
    <w:rsid w:val="00D4589C"/>
    <w:rsid w:val="00D50879"/>
    <w:rsid w:val="00D51256"/>
    <w:rsid w:val="00D51610"/>
    <w:rsid w:val="00D52C08"/>
    <w:rsid w:val="00D52EEB"/>
    <w:rsid w:val="00D5339A"/>
    <w:rsid w:val="00D54B1D"/>
    <w:rsid w:val="00D56113"/>
    <w:rsid w:val="00D643F4"/>
    <w:rsid w:val="00D66CA9"/>
    <w:rsid w:val="00D67FA5"/>
    <w:rsid w:val="00D72B0E"/>
    <w:rsid w:val="00D73B89"/>
    <w:rsid w:val="00D75EE8"/>
    <w:rsid w:val="00D800B6"/>
    <w:rsid w:val="00D833D9"/>
    <w:rsid w:val="00D83624"/>
    <w:rsid w:val="00D83638"/>
    <w:rsid w:val="00D83BD9"/>
    <w:rsid w:val="00D83EB9"/>
    <w:rsid w:val="00D84B05"/>
    <w:rsid w:val="00D85448"/>
    <w:rsid w:val="00D93978"/>
    <w:rsid w:val="00D93EC4"/>
    <w:rsid w:val="00D94DCF"/>
    <w:rsid w:val="00D94EAE"/>
    <w:rsid w:val="00D9616F"/>
    <w:rsid w:val="00DA09A7"/>
    <w:rsid w:val="00DA52E4"/>
    <w:rsid w:val="00DA5724"/>
    <w:rsid w:val="00DA586F"/>
    <w:rsid w:val="00DA5D25"/>
    <w:rsid w:val="00DA6090"/>
    <w:rsid w:val="00DB08DA"/>
    <w:rsid w:val="00DB130A"/>
    <w:rsid w:val="00DB3097"/>
    <w:rsid w:val="00DB35F3"/>
    <w:rsid w:val="00DB65C9"/>
    <w:rsid w:val="00DB78CD"/>
    <w:rsid w:val="00DB7B89"/>
    <w:rsid w:val="00DB7F09"/>
    <w:rsid w:val="00DC00E8"/>
    <w:rsid w:val="00DC03D5"/>
    <w:rsid w:val="00DC1AFA"/>
    <w:rsid w:val="00DC1C56"/>
    <w:rsid w:val="00DC3292"/>
    <w:rsid w:val="00DC4756"/>
    <w:rsid w:val="00DC6379"/>
    <w:rsid w:val="00DC6AAD"/>
    <w:rsid w:val="00DD2807"/>
    <w:rsid w:val="00DD336F"/>
    <w:rsid w:val="00DD502F"/>
    <w:rsid w:val="00DD53D1"/>
    <w:rsid w:val="00DD7C50"/>
    <w:rsid w:val="00DD7E97"/>
    <w:rsid w:val="00DE2763"/>
    <w:rsid w:val="00DE3A53"/>
    <w:rsid w:val="00DE3C77"/>
    <w:rsid w:val="00DE56BE"/>
    <w:rsid w:val="00DE70F1"/>
    <w:rsid w:val="00DF11CC"/>
    <w:rsid w:val="00DF18C4"/>
    <w:rsid w:val="00DF204A"/>
    <w:rsid w:val="00DF2175"/>
    <w:rsid w:val="00DF59F4"/>
    <w:rsid w:val="00DF6018"/>
    <w:rsid w:val="00DF6F61"/>
    <w:rsid w:val="00DF715E"/>
    <w:rsid w:val="00E00443"/>
    <w:rsid w:val="00E00BDC"/>
    <w:rsid w:val="00E016F8"/>
    <w:rsid w:val="00E03758"/>
    <w:rsid w:val="00E061DE"/>
    <w:rsid w:val="00E062C0"/>
    <w:rsid w:val="00E06AB9"/>
    <w:rsid w:val="00E06C74"/>
    <w:rsid w:val="00E101C6"/>
    <w:rsid w:val="00E14326"/>
    <w:rsid w:val="00E16BEA"/>
    <w:rsid w:val="00E22C80"/>
    <w:rsid w:val="00E22D51"/>
    <w:rsid w:val="00E2324F"/>
    <w:rsid w:val="00E23FCD"/>
    <w:rsid w:val="00E31903"/>
    <w:rsid w:val="00E31F6B"/>
    <w:rsid w:val="00E3363F"/>
    <w:rsid w:val="00E349A7"/>
    <w:rsid w:val="00E37C6B"/>
    <w:rsid w:val="00E4126F"/>
    <w:rsid w:val="00E415B2"/>
    <w:rsid w:val="00E44B84"/>
    <w:rsid w:val="00E44CAE"/>
    <w:rsid w:val="00E4615B"/>
    <w:rsid w:val="00E46D7C"/>
    <w:rsid w:val="00E50212"/>
    <w:rsid w:val="00E50A6F"/>
    <w:rsid w:val="00E50E7C"/>
    <w:rsid w:val="00E5119F"/>
    <w:rsid w:val="00E513CE"/>
    <w:rsid w:val="00E51545"/>
    <w:rsid w:val="00E51B6C"/>
    <w:rsid w:val="00E51D9E"/>
    <w:rsid w:val="00E537D1"/>
    <w:rsid w:val="00E53BF7"/>
    <w:rsid w:val="00E55534"/>
    <w:rsid w:val="00E567E6"/>
    <w:rsid w:val="00E56971"/>
    <w:rsid w:val="00E61484"/>
    <w:rsid w:val="00E650B1"/>
    <w:rsid w:val="00E7017C"/>
    <w:rsid w:val="00E711D7"/>
    <w:rsid w:val="00E74EA3"/>
    <w:rsid w:val="00E751B5"/>
    <w:rsid w:val="00E7639A"/>
    <w:rsid w:val="00E815E1"/>
    <w:rsid w:val="00E82301"/>
    <w:rsid w:val="00E8655D"/>
    <w:rsid w:val="00E90264"/>
    <w:rsid w:val="00E902B0"/>
    <w:rsid w:val="00E902E8"/>
    <w:rsid w:val="00E908F0"/>
    <w:rsid w:val="00E90FBE"/>
    <w:rsid w:val="00E9296B"/>
    <w:rsid w:val="00E97C19"/>
    <w:rsid w:val="00EA23AC"/>
    <w:rsid w:val="00EA2CC8"/>
    <w:rsid w:val="00EA2D0F"/>
    <w:rsid w:val="00EA327A"/>
    <w:rsid w:val="00EA398F"/>
    <w:rsid w:val="00EA4BE9"/>
    <w:rsid w:val="00EA7C3D"/>
    <w:rsid w:val="00EB0797"/>
    <w:rsid w:val="00EB091A"/>
    <w:rsid w:val="00EB1805"/>
    <w:rsid w:val="00EB2084"/>
    <w:rsid w:val="00EB2BAF"/>
    <w:rsid w:val="00EB4B0B"/>
    <w:rsid w:val="00EB6878"/>
    <w:rsid w:val="00EC1E0E"/>
    <w:rsid w:val="00EC20F6"/>
    <w:rsid w:val="00EC236D"/>
    <w:rsid w:val="00EC6B16"/>
    <w:rsid w:val="00ED0D1C"/>
    <w:rsid w:val="00ED4110"/>
    <w:rsid w:val="00ED490E"/>
    <w:rsid w:val="00ED5A20"/>
    <w:rsid w:val="00ED5D87"/>
    <w:rsid w:val="00EE1447"/>
    <w:rsid w:val="00EE19B9"/>
    <w:rsid w:val="00EE1BF1"/>
    <w:rsid w:val="00EE3DEE"/>
    <w:rsid w:val="00EE3E75"/>
    <w:rsid w:val="00EE4864"/>
    <w:rsid w:val="00EE5C02"/>
    <w:rsid w:val="00EE7744"/>
    <w:rsid w:val="00EF03E1"/>
    <w:rsid w:val="00EF145E"/>
    <w:rsid w:val="00EF2BBB"/>
    <w:rsid w:val="00EF62D8"/>
    <w:rsid w:val="00F0082D"/>
    <w:rsid w:val="00F015AB"/>
    <w:rsid w:val="00F045E0"/>
    <w:rsid w:val="00F04934"/>
    <w:rsid w:val="00F0537B"/>
    <w:rsid w:val="00F07C90"/>
    <w:rsid w:val="00F112DC"/>
    <w:rsid w:val="00F15A4D"/>
    <w:rsid w:val="00F16A79"/>
    <w:rsid w:val="00F17B80"/>
    <w:rsid w:val="00F20F38"/>
    <w:rsid w:val="00F20F8A"/>
    <w:rsid w:val="00F2128C"/>
    <w:rsid w:val="00F25D2F"/>
    <w:rsid w:val="00F26082"/>
    <w:rsid w:val="00F304A4"/>
    <w:rsid w:val="00F33DB8"/>
    <w:rsid w:val="00F34D45"/>
    <w:rsid w:val="00F4022E"/>
    <w:rsid w:val="00F405C8"/>
    <w:rsid w:val="00F4161E"/>
    <w:rsid w:val="00F41FDE"/>
    <w:rsid w:val="00F42B15"/>
    <w:rsid w:val="00F4650A"/>
    <w:rsid w:val="00F51D7F"/>
    <w:rsid w:val="00F52E7A"/>
    <w:rsid w:val="00F5365A"/>
    <w:rsid w:val="00F544C1"/>
    <w:rsid w:val="00F5693B"/>
    <w:rsid w:val="00F57BED"/>
    <w:rsid w:val="00F60198"/>
    <w:rsid w:val="00F619F8"/>
    <w:rsid w:val="00F65B47"/>
    <w:rsid w:val="00F669CD"/>
    <w:rsid w:val="00F71097"/>
    <w:rsid w:val="00F720B3"/>
    <w:rsid w:val="00F73225"/>
    <w:rsid w:val="00F737DB"/>
    <w:rsid w:val="00F7613A"/>
    <w:rsid w:val="00F81437"/>
    <w:rsid w:val="00F814A8"/>
    <w:rsid w:val="00F81ECA"/>
    <w:rsid w:val="00F82746"/>
    <w:rsid w:val="00F836F9"/>
    <w:rsid w:val="00F845D7"/>
    <w:rsid w:val="00F864AE"/>
    <w:rsid w:val="00F92279"/>
    <w:rsid w:val="00F95502"/>
    <w:rsid w:val="00F96DEE"/>
    <w:rsid w:val="00FA5184"/>
    <w:rsid w:val="00FA5919"/>
    <w:rsid w:val="00FA63D4"/>
    <w:rsid w:val="00FA7E67"/>
    <w:rsid w:val="00FB4D21"/>
    <w:rsid w:val="00FB762B"/>
    <w:rsid w:val="00FB7ECE"/>
    <w:rsid w:val="00FC04E2"/>
    <w:rsid w:val="00FC4D4C"/>
    <w:rsid w:val="00FC4E42"/>
    <w:rsid w:val="00FC5245"/>
    <w:rsid w:val="00FC57D8"/>
    <w:rsid w:val="00FC5BC3"/>
    <w:rsid w:val="00FC6ADA"/>
    <w:rsid w:val="00FC7185"/>
    <w:rsid w:val="00FC7497"/>
    <w:rsid w:val="00FC7D13"/>
    <w:rsid w:val="00FD0E1C"/>
    <w:rsid w:val="00FD233A"/>
    <w:rsid w:val="00FD4BAC"/>
    <w:rsid w:val="00FD4E0E"/>
    <w:rsid w:val="00FD710F"/>
    <w:rsid w:val="00FE06DB"/>
    <w:rsid w:val="00FE0901"/>
    <w:rsid w:val="00FE2E69"/>
    <w:rsid w:val="00FE496C"/>
    <w:rsid w:val="00FE5370"/>
    <w:rsid w:val="00FE574F"/>
    <w:rsid w:val="00FE6D3D"/>
    <w:rsid w:val="00FE7EAF"/>
    <w:rsid w:val="00FF1B44"/>
    <w:rsid w:val="00FF3748"/>
    <w:rsid w:val="00FF7A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D2F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uiPriority="9"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CFE"/>
    <w:pPr>
      <w:spacing w:before="120" w:after="120" w:line="240" w:lineRule="auto"/>
    </w:pPr>
    <w:rPr>
      <w:rFonts w:ascii="Calibri" w:eastAsia="Times New Roman" w:hAnsi="Calibri" w:cs="Times New Roman"/>
      <w:kern w:val="18"/>
      <w:szCs w:val="20"/>
      <w:lang w:eastAsia="en-AU"/>
    </w:rPr>
  </w:style>
  <w:style w:type="paragraph" w:styleId="Heading1">
    <w:name w:val="heading 1"/>
    <w:basedOn w:val="Normal"/>
    <w:next w:val="Normal"/>
    <w:link w:val="Heading1Char"/>
    <w:qFormat/>
    <w:rsid w:val="00255CFE"/>
    <w:pPr>
      <w:keepNext/>
      <w:spacing w:before="600" w:after="240" w:line="460" w:lineRule="exact"/>
      <w:outlineLvl w:val="0"/>
    </w:pPr>
    <w:rPr>
      <w:rFonts w:cs="Arial"/>
      <w:b/>
      <w:color w:val="5D779D" w:themeColor="accent3"/>
      <w:kern w:val="32"/>
      <w:sz w:val="36"/>
      <w:szCs w:val="36"/>
    </w:rPr>
  </w:style>
  <w:style w:type="paragraph" w:styleId="Heading2">
    <w:name w:val="heading 2"/>
    <w:basedOn w:val="Normal"/>
    <w:next w:val="Normal"/>
    <w:link w:val="Heading2Char"/>
    <w:qFormat/>
    <w:rsid w:val="00255CFE"/>
    <w:pPr>
      <w:keepNext/>
      <w:spacing w:before="240" w:line="460" w:lineRule="exact"/>
      <w:outlineLvl w:val="1"/>
    </w:pPr>
    <w:rPr>
      <w:rFonts w:cs="Arial"/>
      <w:iCs/>
      <w:color w:val="2C384A"/>
      <w:kern w:val="32"/>
      <w:sz w:val="32"/>
      <w:szCs w:val="28"/>
    </w:rPr>
  </w:style>
  <w:style w:type="paragraph" w:styleId="Heading3">
    <w:name w:val="heading 3"/>
    <w:basedOn w:val="Normal"/>
    <w:next w:val="Normal"/>
    <w:link w:val="Heading3Char"/>
    <w:qFormat/>
    <w:rsid w:val="00255CFE"/>
    <w:pPr>
      <w:keepNext/>
      <w:spacing w:before="240" w:after="0" w:line="276" w:lineRule="auto"/>
      <w:outlineLvl w:val="2"/>
    </w:pPr>
    <w:rPr>
      <w:rFonts w:cs="Arial"/>
      <w:b/>
      <w:color w:val="5D779D" w:themeColor="accent3"/>
      <w:kern w:val="32"/>
      <w:sz w:val="28"/>
      <w:szCs w:val="26"/>
    </w:rPr>
  </w:style>
  <w:style w:type="paragraph" w:styleId="Heading4">
    <w:name w:val="heading 4"/>
    <w:basedOn w:val="Normal"/>
    <w:next w:val="Normal"/>
    <w:link w:val="Heading4Char"/>
    <w:qFormat/>
    <w:rsid w:val="00255CFE"/>
    <w:pPr>
      <w:keepNext/>
      <w:spacing w:before="180" w:after="0" w:line="276" w:lineRule="auto"/>
      <w:outlineLvl w:val="3"/>
    </w:pPr>
    <w:rPr>
      <w:rFonts w:cs="Arial"/>
      <w:color w:val="2C384A" w:themeColor="accent1"/>
      <w:kern w:val="32"/>
      <w:sz w:val="26"/>
      <w:szCs w:val="26"/>
    </w:rPr>
  </w:style>
  <w:style w:type="paragraph" w:styleId="Heading5">
    <w:name w:val="heading 5"/>
    <w:basedOn w:val="Normal"/>
    <w:next w:val="Normal"/>
    <w:link w:val="Heading5Char"/>
    <w:rsid w:val="00255CFE"/>
    <w:pPr>
      <w:keepNext/>
      <w:spacing w:before="240" w:after="0" w:line="276" w:lineRule="auto"/>
      <w:outlineLvl w:val="4"/>
    </w:pPr>
    <w:rPr>
      <w:rFonts w:asciiTheme="majorHAnsi" w:hAnsiTheme="majorHAnsi" w:cs="Arial"/>
      <w:b/>
      <w:iCs/>
      <w:color w:val="000000" w:themeColor="text1"/>
      <w:kern w:val="32"/>
      <w:sz w:val="24"/>
      <w:szCs w:val="24"/>
    </w:rPr>
  </w:style>
  <w:style w:type="paragraph" w:styleId="Heading6">
    <w:name w:val="heading 6"/>
    <w:basedOn w:val="Normal"/>
    <w:next w:val="Normal"/>
    <w:link w:val="Heading6Char"/>
    <w:rsid w:val="00255CFE"/>
    <w:pPr>
      <w:keepNext/>
      <w:spacing w:after="0" w:line="276" w:lineRule="auto"/>
      <w:outlineLvl w:val="5"/>
    </w:pPr>
    <w:rPr>
      <w:rFonts w:cs="Arial"/>
      <w:b/>
      <w:bCs/>
      <w:color w:val="000000" w:themeColor="text1"/>
      <w:kern w:val="32"/>
      <w:szCs w:val="22"/>
    </w:rPr>
  </w:style>
  <w:style w:type="paragraph" w:styleId="Heading7">
    <w:name w:val="heading 7"/>
    <w:basedOn w:val="Normal"/>
    <w:next w:val="Normal"/>
    <w:link w:val="Heading7Char"/>
    <w:uiPriority w:val="9"/>
    <w:unhideWhenUsed/>
    <w:rsid w:val="00255CFE"/>
    <w:pPr>
      <w:keepNext/>
      <w:keepLines/>
      <w:spacing w:before="40"/>
      <w:outlineLvl w:val="6"/>
    </w:pPr>
    <w:rPr>
      <w:rFonts w:asciiTheme="majorHAnsi" w:eastAsiaTheme="majorEastAsia" w:hAnsiTheme="majorHAnsi" w:cstheme="majorBidi"/>
      <w:iCs/>
      <w:color w:val="161B24" w:themeColor="accent1" w:themeShade="7F"/>
    </w:rPr>
  </w:style>
  <w:style w:type="paragraph" w:styleId="Heading8">
    <w:name w:val="heading 8"/>
    <w:basedOn w:val="Normal"/>
    <w:next w:val="Normal"/>
    <w:link w:val="Heading8Char"/>
    <w:uiPriority w:val="9"/>
    <w:unhideWhenUsed/>
    <w:rsid w:val="00255CF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255CFE"/>
    <w:pPr>
      <w:keepNext/>
      <w:keepLines/>
      <w:spacing w:before="40"/>
      <w:outlineLvl w:val="8"/>
    </w:pPr>
    <w:rPr>
      <w:rFonts w:asciiTheme="majorHAnsi" w:eastAsiaTheme="majorEastAsia" w:hAnsiTheme="majorHAnsi" w:cstheme="majorBid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5CFE"/>
    <w:rPr>
      <w:rFonts w:ascii="Calibri" w:eastAsia="Times New Roman" w:hAnsi="Calibri" w:cs="Arial"/>
      <w:b/>
      <w:color w:val="5D779D" w:themeColor="accent3"/>
      <w:kern w:val="32"/>
      <w:sz w:val="36"/>
      <w:szCs w:val="36"/>
      <w:lang w:eastAsia="en-AU"/>
    </w:rPr>
  </w:style>
  <w:style w:type="character" w:customStyle="1" w:styleId="Heading2Char">
    <w:name w:val="Heading 2 Char"/>
    <w:basedOn w:val="DefaultParagraphFont"/>
    <w:link w:val="Heading2"/>
    <w:rsid w:val="00255CFE"/>
    <w:rPr>
      <w:rFonts w:ascii="Calibri" w:eastAsia="Times New Roman" w:hAnsi="Calibri" w:cs="Arial"/>
      <w:iCs/>
      <w:color w:val="2C384A"/>
      <w:kern w:val="32"/>
      <w:sz w:val="32"/>
      <w:szCs w:val="28"/>
      <w:lang w:eastAsia="en-AU"/>
    </w:rPr>
  </w:style>
  <w:style w:type="character" w:customStyle="1" w:styleId="Heading3Char">
    <w:name w:val="Heading 3 Char"/>
    <w:basedOn w:val="DefaultParagraphFont"/>
    <w:link w:val="Heading3"/>
    <w:rsid w:val="00255CFE"/>
    <w:rPr>
      <w:rFonts w:ascii="Calibri" w:eastAsia="Times New Roman" w:hAnsi="Calibri" w:cs="Arial"/>
      <w:b/>
      <w:color w:val="5D779D" w:themeColor="accent3"/>
      <w:kern w:val="32"/>
      <w:sz w:val="28"/>
      <w:szCs w:val="26"/>
      <w:lang w:eastAsia="en-AU"/>
    </w:rPr>
  </w:style>
  <w:style w:type="character" w:customStyle="1" w:styleId="Heading4Char">
    <w:name w:val="Heading 4 Char"/>
    <w:basedOn w:val="DefaultParagraphFont"/>
    <w:link w:val="Heading4"/>
    <w:rsid w:val="00255CFE"/>
    <w:rPr>
      <w:rFonts w:ascii="Calibri" w:eastAsia="Times New Roman" w:hAnsi="Calibri" w:cs="Arial"/>
      <w:color w:val="2C384A" w:themeColor="accent1"/>
      <w:kern w:val="32"/>
      <w:sz w:val="26"/>
      <w:szCs w:val="26"/>
      <w:lang w:eastAsia="en-AU"/>
    </w:rPr>
  </w:style>
  <w:style w:type="character" w:customStyle="1" w:styleId="Heading5Char">
    <w:name w:val="Heading 5 Char"/>
    <w:basedOn w:val="DefaultParagraphFont"/>
    <w:link w:val="Heading5"/>
    <w:rsid w:val="00255CFE"/>
    <w:rPr>
      <w:rFonts w:asciiTheme="majorHAnsi" w:eastAsia="Times New Roman" w:hAnsiTheme="majorHAnsi" w:cs="Arial"/>
      <w:b/>
      <w:iCs/>
      <w:color w:val="000000" w:themeColor="text1"/>
      <w:kern w:val="32"/>
      <w:sz w:val="24"/>
      <w:szCs w:val="24"/>
      <w:lang w:eastAsia="en-AU"/>
    </w:rPr>
  </w:style>
  <w:style w:type="character" w:customStyle="1" w:styleId="Heading6Char">
    <w:name w:val="Heading 6 Char"/>
    <w:basedOn w:val="DefaultParagraphFont"/>
    <w:link w:val="Heading6"/>
    <w:rsid w:val="00255CFE"/>
    <w:rPr>
      <w:rFonts w:ascii="Calibri" w:eastAsia="Times New Roman" w:hAnsi="Calibri" w:cs="Arial"/>
      <w:b/>
      <w:bCs/>
      <w:color w:val="000000" w:themeColor="text1"/>
      <w:kern w:val="32"/>
      <w:lang w:eastAsia="en-AU"/>
    </w:rPr>
  </w:style>
  <w:style w:type="paragraph" w:customStyle="1" w:styleId="ChartGraphic">
    <w:name w:val="Chart Graphic"/>
    <w:basedOn w:val="Normal"/>
    <w:next w:val="Normal"/>
    <w:rsid w:val="00255CFE"/>
    <w:pPr>
      <w:keepNext/>
      <w:spacing w:before="0" w:after="0"/>
      <w:jc w:val="center"/>
    </w:pPr>
    <w:rPr>
      <w:rFonts w:ascii="Calibri Light" w:hAnsi="Calibri Light"/>
      <w:color w:val="004A7F"/>
      <w:sz w:val="20"/>
    </w:rPr>
  </w:style>
  <w:style w:type="paragraph" w:customStyle="1" w:styleId="AlphaParagraph">
    <w:name w:val="Alpha Paragraph"/>
    <w:basedOn w:val="Normal"/>
    <w:rsid w:val="00AE5B79"/>
    <w:pPr>
      <w:numPr>
        <w:ilvl w:val="1"/>
        <w:numId w:val="4"/>
      </w:numPr>
      <w:spacing w:before="0"/>
    </w:pPr>
  </w:style>
  <w:style w:type="character" w:customStyle="1" w:styleId="DashChar">
    <w:name w:val="Dash Char"/>
    <w:basedOn w:val="DefaultParagraphFont"/>
    <w:link w:val="Dash"/>
    <w:locked/>
    <w:rsid w:val="00255CFE"/>
    <w:rPr>
      <w:rFonts w:ascii="Calibri" w:eastAsia="Times New Roman" w:hAnsi="Calibri" w:cs="Times New Roman"/>
      <w:kern w:val="18"/>
      <w:szCs w:val="20"/>
      <w:lang w:eastAsia="en-AU"/>
    </w:rPr>
  </w:style>
  <w:style w:type="character" w:customStyle="1" w:styleId="DoubleDotChar">
    <w:name w:val="Double Dot Char"/>
    <w:basedOn w:val="DefaultParagraphFont"/>
    <w:link w:val="DoubleDot"/>
    <w:locked/>
    <w:rsid w:val="00255CFE"/>
    <w:rPr>
      <w:rFonts w:ascii="Calibri" w:eastAsia="Times New Roman" w:hAnsi="Calibri" w:cs="Times New Roman"/>
      <w:kern w:val="18"/>
      <w:szCs w:val="20"/>
      <w:lang w:eastAsia="en-AU"/>
    </w:rPr>
  </w:style>
  <w:style w:type="character" w:customStyle="1" w:styleId="BulletChar">
    <w:name w:val="Bullet Char"/>
    <w:aliases w:val="Body Char,Bullet + line Char,Bullets Char,L Char,List Paragraph1 Char,List Paragraph11 Char,List Paragraph2 Char,Number Char,Recommendation Char,b + line Char,b + line Char Char,b Char,b Char Char,b1 Char,level 1 Char"/>
    <w:basedOn w:val="DefaultParagraphFont"/>
    <w:link w:val="Bullet"/>
    <w:locked/>
    <w:rsid w:val="00255CFE"/>
    <w:rPr>
      <w:rFonts w:ascii="Calibri" w:eastAsia="Times New Roman" w:hAnsi="Calibri" w:cs="Times New Roman"/>
      <w:kern w:val="18"/>
      <w:szCs w:val="20"/>
      <w:lang w:eastAsia="en-AU"/>
    </w:rPr>
  </w:style>
  <w:style w:type="paragraph" w:customStyle="1" w:styleId="BoxHeadingNumbered">
    <w:name w:val="Box Heading Numbered"/>
    <w:basedOn w:val="BoxHeading"/>
    <w:next w:val="BoxText"/>
    <w:qFormat/>
    <w:rsid w:val="00255CFE"/>
    <w:pPr>
      <w:framePr w:hSpace="181" w:wrap="around" w:vAnchor="text" w:hAnchor="margin" w:y="143"/>
      <w:numPr>
        <w:ilvl w:val="6"/>
        <w:numId w:val="13"/>
      </w:numPr>
    </w:pPr>
  </w:style>
  <w:style w:type="paragraph" w:customStyle="1" w:styleId="BoxText">
    <w:name w:val="Box Text"/>
    <w:basedOn w:val="Normal"/>
    <w:link w:val="BoxTextChar"/>
    <w:rsid w:val="00255CFE"/>
    <w:pPr>
      <w:spacing w:before="60" w:after="60"/>
    </w:pPr>
  </w:style>
  <w:style w:type="paragraph" w:customStyle="1" w:styleId="Bullet">
    <w:name w:val="Bullet"/>
    <w:aliases w:val="Body,BodyNum,Bullet + line,Bullet Char1,Bullet Char1 Char Char Char,Bullet Char1 Char Char Char Char,Bullet Char1 Char Char Char Char Char,b,b + line,b1,b1 Char Char Char,bulleted,level 1"/>
    <w:basedOn w:val="Normal"/>
    <w:link w:val="BulletChar"/>
    <w:qFormat/>
    <w:rsid w:val="00255CFE"/>
    <w:pPr>
      <w:numPr>
        <w:numId w:val="6"/>
      </w:numPr>
      <w:spacing w:before="0"/>
    </w:pPr>
  </w:style>
  <w:style w:type="paragraph" w:customStyle="1" w:styleId="ChartandTableFootnoteAlpha">
    <w:name w:val="Chart and Table Footnote Alpha"/>
    <w:basedOn w:val="ChartorTableNote"/>
    <w:uiPriority w:val="2"/>
    <w:rsid w:val="00AE5B79"/>
    <w:pPr>
      <w:numPr>
        <w:numId w:val="8"/>
      </w:numPr>
      <w:contextualSpacing/>
    </w:pPr>
    <w:rPr>
      <w:szCs w:val="16"/>
    </w:rPr>
  </w:style>
  <w:style w:type="paragraph" w:customStyle="1" w:styleId="ChartMainHeading">
    <w:name w:val="Chart Main Heading"/>
    <w:basedOn w:val="Normal"/>
    <w:next w:val="ChartGraphic"/>
    <w:qFormat/>
    <w:rsid w:val="00F81ECA"/>
    <w:pPr>
      <w:keepNext/>
      <w:numPr>
        <w:ilvl w:val="4"/>
        <w:numId w:val="13"/>
      </w:numPr>
      <w:pBdr>
        <w:top w:val="single" w:sz="12" w:space="3" w:color="2C384A" w:themeColor="accent1"/>
      </w:pBdr>
      <w:spacing w:before="360"/>
    </w:pPr>
    <w:rPr>
      <w:b/>
      <w:color w:val="2C384A" w:themeColor="accent1"/>
      <w:kern w:val="16"/>
      <w:sz w:val="24"/>
    </w:rPr>
  </w:style>
  <w:style w:type="paragraph" w:customStyle="1" w:styleId="ChartorTableNote">
    <w:name w:val="Chart or Table Note"/>
    <w:next w:val="Normal"/>
    <w:rsid w:val="00A20C42"/>
    <w:pPr>
      <w:spacing w:after="0" w:line="240" w:lineRule="auto"/>
      <w:ind w:left="851" w:hanging="851"/>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uiPriority w:val="2"/>
    <w:rsid w:val="00AE5B79"/>
    <w:pPr>
      <w:ind w:right="284"/>
    </w:pPr>
    <w:rPr>
      <w:bCs/>
    </w:rPr>
  </w:style>
  <w:style w:type="paragraph" w:customStyle="1" w:styleId="ReportDate">
    <w:name w:val="Report Date"/>
    <w:basedOn w:val="Normal"/>
    <w:link w:val="ReportDateChar"/>
    <w:rsid w:val="00255CFE"/>
    <w:pPr>
      <w:keepNext/>
      <w:spacing w:before="240" w:after="360"/>
      <w:ind w:left="3119"/>
    </w:pPr>
    <w:rPr>
      <w:rFonts w:ascii="Calibri Light" w:hAnsi="Calibri Light"/>
      <w:color w:val="FFFFFF" w:themeColor="background1"/>
      <w:sz w:val="32"/>
    </w:rPr>
  </w:style>
  <w:style w:type="paragraph" w:customStyle="1" w:styleId="Dash">
    <w:name w:val="Dash"/>
    <w:basedOn w:val="Normal"/>
    <w:link w:val="DashChar"/>
    <w:qFormat/>
    <w:rsid w:val="00255CFE"/>
    <w:pPr>
      <w:numPr>
        <w:ilvl w:val="1"/>
        <w:numId w:val="6"/>
      </w:numPr>
      <w:spacing w:before="0"/>
    </w:pPr>
  </w:style>
  <w:style w:type="paragraph" w:customStyle="1" w:styleId="DoubleDot">
    <w:name w:val="Double Dot"/>
    <w:basedOn w:val="Normal"/>
    <w:link w:val="DoubleDotChar"/>
    <w:qFormat/>
    <w:rsid w:val="00255CFE"/>
    <w:pPr>
      <w:numPr>
        <w:ilvl w:val="2"/>
        <w:numId w:val="6"/>
      </w:numPr>
      <w:spacing w:before="0"/>
    </w:pPr>
  </w:style>
  <w:style w:type="paragraph" w:customStyle="1" w:styleId="TableMainHeading">
    <w:name w:val="Table Main Heading"/>
    <w:basedOn w:val="ChartMainHeading"/>
    <w:qFormat/>
    <w:rsid w:val="00255CFE"/>
    <w:pPr>
      <w:numPr>
        <w:ilvl w:val="5"/>
      </w:numPr>
    </w:pPr>
  </w:style>
  <w:style w:type="paragraph" w:customStyle="1" w:styleId="FooterEven">
    <w:name w:val="Footer Even"/>
    <w:basedOn w:val="Footer"/>
    <w:uiPriority w:val="99"/>
    <w:rsid w:val="00AE5B79"/>
    <w:pPr>
      <w:keepNext/>
      <w:tabs>
        <w:tab w:val="right" w:pos="9072"/>
      </w:tabs>
    </w:pPr>
    <w:rPr>
      <w:noProof/>
      <w:color w:val="2C384A" w:themeColor="accent1"/>
    </w:rPr>
  </w:style>
  <w:style w:type="paragraph" w:customStyle="1" w:styleId="FooterOdd">
    <w:name w:val="Footer Odd"/>
    <w:basedOn w:val="Footer"/>
    <w:uiPriority w:val="99"/>
    <w:rsid w:val="00AE5B79"/>
    <w:pPr>
      <w:keepNext/>
      <w:tabs>
        <w:tab w:val="right" w:pos="9072"/>
      </w:tabs>
      <w:jc w:val="right"/>
    </w:pPr>
    <w:rPr>
      <w:color w:val="2C384A" w:themeColor="accent1"/>
    </w:rPr>
  </w:style>
  <w:style w:type="character" w:styleId="Hyperlink">
    <w:name w:val="Hyperlink"/>
    <w:uiPriority w:val="99"/>
    <w:rsid w:val="00255CFE"/>
    <w:rPr>
      <w:color w:val="5D779D" w:themeColor="accent3"/>
      <w:u w:val="single"/>
    </w:rPr>
  </w:style>
  <w:style w:type="paragraph" w:customStyle="1" w:styleId="OutlineNumbered1">
    <w:name w:val="Outline Numbered 1"/>
    <w:basedOn w:val="Normal"/>
    <w:link w:val="OutlineNumbered1Char"/>
    <w:rsid w:val="00255CFE"/>
    <w:pPr>
      <w:keepNext/>
      <w:numPr>
        <w:numId w:val="12"/>
      </w:numPr>
      <w:spacing w:before="0" w:after="0"/>
      <w:ind w:left="567" w:hanging="567"/>
    </w:pPr>
    <w:rPr>
      <w:rFonts w:asciiTheme="minorHAnsi" w:hAnsiTheme="minorHAnsi"/>
      <w:kern w:val="16"/>
    </w:rPr>
  </w:style>
  <w:style w:type="paragraph" w:customStyle="1" w:styleId="OutlineNumbered2">
    <w:name w:val="Outline Numbered 2"/>
    <w:basedOn w:val="Normal"/>
    <w:link w:val="OutlineNumbered2Char"/>
    <w:rsid w:val="00255CFE"/>
    <w:pPr>
      <w:keepNext/>
      <w:numPr>
        <w:ilvl w:val="1"/>
        <w:numId w:val="12"/>
      </w:numPr>
      <w:spacing w:before="0" w:after="0"/>
      <w:jc w:val="center"/>
    </w:pPr>
    <w:rPr>
      <w:rFonts w:ascii="Calibri Light" w:hAnsi="Calibri Light"/>
      <w:color w:val="004A7F"/>
      <w:kern w:val="16"/>
      <w:sz w:val="20"/>
    </w:rPr>
  </w:style>
  <w:style w:type="paragraph" w:customStyle="1" w:styleId="OutlineNumbered3">
    <w:name w:val="Outline Numbered 3"/>
    <w:basedOn w:val="Normal"/>
    <w:link w:val="OutlineNumbered3Char"/>
    <w:rsid w:val="00255CFE"/>
    <w:pPr>
      <w:keepNext/>
      <w:numPr>
        <w:ilvl w:val="2"/>
        <w:numId w:val="12"/>
      </w:numPr>
      <w:spacing w:before="0" w:after="0"/>
      <w:jc w:val="center"/>
    </w:pPr>
    <w:rPr>
      <w:rFonts w:ascii="Calibri Light" w:hAnsi="Calibri Light"/>
      <w:color w:val="004A7F"/>
      <w:kern w:val="16"/>
      <w:sz w:val="20"/>
    </w:rPr>
  </w:style>
  <w:style w:type="paragraph" w:customStyle="1" w:styleId="SingleParagraph">
    <w:name w:val="Single Paragraph"/>
    <w:basedOn w:val="Normal"/>
    <w:link w:val="SingleParagraphChar"/>
    <w:rsid w:val="00AE5B79"/>
    <w:pPr>
      <w:spacing w:before="0" w:after="0"/>
    </w:pPr>
  </w:style>
  <w:style w:type="paragraph" w:customStyle="1" w:styleId="TableSecondHeading">
    <w:name w:val="Table Second Heading"/>
    <w:basedOn w:val="Normal"/>
    <w:next w:val="Normal"/>
    <w:uiPriority w:val="1"/>
    <w:rsid w:val="00AE5B79"/>
    <w:pPr>
      <w:keepNext/>
      <w:spacing w:before="0"/>
    </w:pPr>
    <w:rPr>
      <w:b/>
      <w:color w:val="5D779D" w:themeColor="accent3"/>
    </w:rPr>
  </w:style>
  <w:style w:type="paragraph" w:customStyle="1" w:styleId="TableColumnHeadingCentred">
    <w:name w:val="Table Column Heading Centred"/>
    <w:basedOn w:val="TableTextLeft"/>
    <w:uiPriority w:val="1"/>
    <w:rsid w:val="00AE5B79"/>
    <w:pPr>
      <w:jc w:val="center"/>
    </w:pPr>
    <w:rPr>
      <w:b/>
      <w:color w:val="2C384A" w:themeColor="accent1"/>
      <w:sz w:val="20"/>
    </w:rPr>
  </w:style>
  <w:style w:type="paragraph" w:customStyle="1" w:styleId="TableColumnHeadingLeft">
    <w:name w:val="Table Column Heading Left"/>
    <w:basedOn w:val="TableTextLeft"/>
    <w:uiPriority w:val="1"/>
    <w:rsid w:val="00AE5B79"/>
    <w:rPr>
      <w:b/>
      <w:color w:val="2C384A" w:themeColor="accent1"/>
      <w:sz w:val="20"/>
    </w:rPr>
  </w:style>
  <w:style w:type="paragraph" w:customStyle="1" w:styleId="TableColumnHeadingRight">
    <w:name w:val="Table Column Heading Right"/>
    <w:basedOn w:val="TableTextLeft"/>
    <w:uiPriority w:val="1"/>
    <w:rsid w:val="00AE5B79"/>
    <w:pPr>
      <w:jc w:val="right"/>
    </w:pPr>
    <w:rPr>
      <w:b/>
      <w:color w:val="2C384A" w:themeColor="accent1"/>
      <w:sz w:val="20"/>
    </w:rPr>
  </w:style>
  <w:style w:type="table" w:styleId="TableGrid">
    <w:name w:val="Table Grid"/>
    <w:basedOn w:val="TableNormal"/>
    <w:uiPriority w:val="59"/>
    <w:rsid w:val="00255CFE"/>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Centered">
    <w:name w:val="Table Text Centered"/>
    <w:basedOn w:val="TableTextRight"/>
    <w:uiPriority w:val="1"/>
    <w:rsid w:val="00AE5B79"/>
    <w:pPr>
      <w:jc w:val="center"/>
    </w:pPr>
  </w:style>
  <w:style w:type="paragraph" w:customStyle="1" w:styleId="TableTextLeft">
    <w:name w:val="Table Text Left"/>
    <w:basedOn w:val="TableTextRight"/>
    <w:uiPriority w:val="1"/>
    <w:rsid w:val="00AE5B79"/>
    <w:pPr>
      <w:jc w:val="left"/>
    </w:pPr>
  </w:style>
  <w:style w:type="paragraph" w:customStyle="1" w:styleId="TableTextRight">
    <w:name w:val="Table Text Right"/>
    <w:basedOn w:val="Normal"/>
    <w:uiPriority w:val="1"/>
    <w:rsid w:val="00AE5B79"/>
    <w:pPr>
      <w:spacing w:before="40" w:after="40"/>
      <w:jc w:val="right"/>
    </w:pPr>
    <w:rPr>
      <w:color w:val="000000"/>
      <w:sz w:val="18"/>
    </w:rPr>
  </w:style>
  <w:style w:type="paragraph" w:styleId="TOC1">
    <w:name w:val="toc 1"/>
    <w:basedOn w:val="Normal"/>
    <w:next w:val="Normal"/>
    <w:uiPriority w:val="39"/>
    <w:rsid w:val="00255CFE"/>
    <w:pPr>
      <w:keepNext/>
      <w:tabs>
        <w:tab w:val="right" w:leader="dot" w:pos="9072"/>
      </w:tabs>
      <w:spacing w:before="180" w:after="0"/>
      <w:ind w:right="-2"/>
    </w:pPr>
    <w:rPr>
      <w:rFonts w:ascii="Calibri Light" w:hAnsi="Calibri Light"/>
      <w:b/>
      <w:noProof/>
      <w:color w:val="2C384A" w:themeColor="accent1"/>
      <w:szCs w:val="22"/>
    </w:rPr>
  </w:style>
  <w:style w:type="paragraph" w:styleId="TOC2">
    <w:name w:val="toc 2"/>
    <w:basedOn w:val="Normal"/>
    <w:next w:val="Normal"/>
    <w:uiPriority w:val="39"/>
    <w:rsid w:val="00255CFE"/>
    <w:pPr>
      <w:keepNext/>
      <w:tabs>
        <w:tab w:val="right" w:leader="dot" w:pos="9072"/>
      </w:tabs>
      <w:spacing w:before="40" w:after="20"/>
      <w:ind w:right="-2"/>
    </w:pPr>
    <w:rPr>
      <w:rFonts w:ascii="Calibri Light" w:hAnsi="Calibri Light"/>
      <w:noProof/>
      <w:color w:val="5D779D" w:themeColor="accent3"/>
    </w:rPr>
  </w:style>
  <w:style w:type="paragraph" w:styleId="TOC3">
    <w:name w:val="toc 3"/>
    <w:basedOn w:val="Normal"/>
    <w:next w:val="Normal"/>
    <w:autoRedefine/>
    <w:uiPriority w:val="39"/>
    <w:unhideWhenUsed/>
    <w:rsid w:val="00255CFE"/>
    <w:pPr>
      <w:spacing w:after="100"/>
      <w:ind w:left="440"/>
    </w:pPr>
  </w:style>
  <w:style w:type="numbering" w:customStyle="1" w:styleId="OutlineList">
    <w:name w:val="OutlineList"/>
    <w:uiPriority w:val="99"/>
    <w:rsid w:val="00AE5B79"/>
    <w:pPr>
      <w:numPr>
        <w:numId w:val="3"/>
      </w:numPr>
    </w:pPr>
  </w:style>
  <w:style w:type="numbering" w:customStyle="1" w:styleId="BulletedList">
    <w:name w:val="Bulleted List"/>
    <w:uiPriority w:val="99"/>
    <w:rsid w:val="00AE5B79"/>
  </w:style>
  <w:style w:type="numbering" w:customStyle="1" w:styleId="BoxBulletedList">
    <w:name w:val="Box Bulleted List"/>
    <w:uiPriority w:val="99"/>
    <w:rsid w:val="00255CFE"/>
    <w:pPr>
      <w:numPr>
        <w:numId w:val="1"/>
      </w:numPr>
    </w:pPr>
  </w:style>
  <w:style w:type="numbering" w:customStyle="1" w:styleId="OneLevelList">
    <w:name w:val="OneLevelList"/>
    <w:uiPriority w:val="99"/>
    <w:rsid w:val="00AE5B79"/>
    <w:pPr>
      <w:numPr>
        <w:numId w:val="2"/>
      </w:numPr>
    </w:pPr>
  </w:style>
  <w:style w:type="numbering" w:customStyle="1" w:styleId="ChartandTableFootnoteAlphaList">
    <w:name w:val="ChartandTableFootnoteAlphaList"/>
    <w:uiPriority w:val="99"/>
    <w:rsid w:val="00AE5B79"/>
    <w:pPr>
      <w:numPr>
        <w:numId w:val="5"/>
      </w:numPr>
    </w:pPr>
  </w:style>
  <w:style w:type="paragraph" w:customStyle="1" w:styleId="Heading1Numbered">
    <w:name w:val="Heading 1 Numbered"/>
    <w:basedOn w:val="Heading1"/>
    <w:next w:val="Normal"/>
    <w:qFormat/>
    <w:rsid w:val="00255CFE"/>
    <w:pPr>
      <w:numPr>
        <w:numId w:val="13"/>
      </w:numPr>
    </w:pPr>
  </w:style>
  <w:style w:type="character" w:customStyle="1" w:styleId="SingleParagraphChar">
    <w:name w:val="Single Paragraph Char"/>
    <w:basedOn w:val="DefaultParagraphFont"/>
    <w:link w:val="SingleParagraph"/>
    <w:rsid w:val="00AE5B79"/>
    <w:rPr>
      <w:rFonts w:ascii="Calibri Light" w:eastAsia="Times New Roman" w:hAnsi="Calibri Light" w:cs="Times New Roman"/>
      <w:szCs w:val="20"/>
      <w:lang w:eastAsia="en-AU"/>
    </w:rPr>
  </w:style>
  <w:style w:type="paragraph" w:customStyle="1" w:styleId="Heading2Numbered">
    <w:name w:val="Heading 2 Numbered"/>
    <w:basedOn w:val="Heading2"/>
    <w:next w:val="Normal"/>
    <w:qFormat/>
    <w:rsid w:val="00255CFE"/>
    <w:pPr>
      <w:numPr>
        <w:ilvl w:val="1"/>
        <w:numId w:val="13"/>
      </w:numPr>
    </w:pPr>
  </w:style>
  <w:style w:type="paragraph" w:customStyle="1" w:styleId="Heading3Numbered">
    <w:name w:val="Heading 3 Numbered"/>
    <w:basedOn w:val="Heading3"/>
    <w:next w:val="Normal"/>
    <w:qFormat/>
    <w:rsid w:val="00255CFE"/>
    <w:pPr>
      <w:numPr>
        <w:ilvl w:val="2"/>
        <w:numId w:val="13"/>
      </w:numPr>
    </w:pPr>
  </w:style>
  <w:style w:type="paragraph" w:styleId="Title">
    <w:name w:val="Title"/>
    <w:basedOn w:val="Normal"/>
    <w:next w:val="Normal"/>
    <w:link w:val="TitleChar"/>
    <w:uiPriority w:val="10"/>
    <w:rsid w:val="00AE5B79"/>
    <w:pPr>
      <w:tabs>
        <w:tab w:val="left" w:pos="6379"/>
      </w:tabs>
      <w:spacing w:before="1800" w:after="240" w:line="600" w:lineRule="exact"/>
      <w:ind w:right="1134"/>
      <w:contextualSpacing/>
    </w:pPr>
    <w:rPr>
      <w:rFonts w:asciiTheme="majorHAnsi" w:hAnsiTheme="majorHAnsi" w:cstheme="majorHAnsi"/>
      <w:b/>
      <w:color w:val="2C384A" w:themeColor="accent1"/>
      <w:spacing w:val="5"/>
      <w:kern w:val="28"/>
      <w:sz w:val="56"/>
      <w:szCs w:val="52"/>
    </w:rPr>
  </w:style>
  <w:style w:type="character" w:customStyle="1" w:styleId="TitleChar">
    <w:name w:val="Title Char"/>
    <w:basedOn w:val="DefaultParagraphFont"/>
    <w:link w:val="Title"/>
    <w:uiPriority w:val="10"/>
    <w:rsid w:val="00AE5B79"/>
    <w:rPr>
      <w:rFonts w:asciiTheme="majorHAnsi" w:eastAsia="Times New Roman" w:hAnsiTheme="majorHAnsi" w:cstheme="majorHAnsi"/>
      <w:b/>
      <w:color w:val="2C384A" w:themeColor="accent1"/>
      <w:spacing w:val="5"/>
      <w:kern w:val="28"/>
      <w:sz w:val="56"/>
      <w:szCs w:val="52"/>
      <w:lang w:eastAsia="en-AU"/>
    </w:rPr>
  </w:style>
  <w:style w:type="paragraph" w:styleId="Subtitle">
    <w:name w:val="Subtitle"/>
    <w:aliases w:val="Theme subtitle"/>
    <w:basedOn w:val="Normal"/>
    <w:next w:val="Normal"/>
    <w:link w:val="SubtitleChar"/>
    <w:uiPriority w:val="11"/>
    <w:rsid w:val="00255CFE"/>
    <w:pPr>
      <w:numPr>
        <w:ilvl w:val="1"/>
      </w:numPr>
      <w:spacing w:before="6720"/>
      <w:ind w:left="3119"/>
    </w:pPr>
    <w:rPr>
      <w:rFonts w:ascii="Calibri Light" w:eastAsiaTheme="majorEastAsia" w:hAnsi="Calibri Light" w:cstheme="majorBidi"/>
      <w:iCs/>
      <w:color w:val="FFFFFF" w:themeColor="background1"/>
      <w:sz w:val="44"/>
      <w:szCs w:val="44"/>
    </w:rPr>
  </w:style>
  <w:style w:type="character" w:customStyle="1" w:styleId="SubtitleChar">
    <w:name w:val="Subtitle Char"/>
    <w:aliases w:val="Theme subtitle Char"/>
    <w:basedOn w:val="DefaultParagraphFont"/>
    <w:link w:val="Subtitle"/>
    <w:uiPriority w:val="11"/>
    <w:rsid w:val="00255CFE"/>
    <w:rPr>
      <w:rFonts w:ascii="Calibri Light" w:eastAsiaTheme="majorEastAsia" w:hAnsi="Calibri Light" w:cstheme="majorBidi"/>
      <w:iCs/>
      <w:color w:val="FFFFFF" w:themeColor="background1"/>
      <w:kern w:val="18"/>
      <w:sz w:val="44"/>
      <w:szCs w:val="44"/>
      <w:lang w:eastAsia="en-AU"/>
    </w:rPr>
  </w:style>
  <w:style w:type="character" w:styleId="SubtleEmphasis">
    <w:name w:val="Subtle Emphasis"/>
    <w:basedOn w:val="DefaultParagraphFont"/>
    <w:uiPriority w:val="19"/>
    <w:rsid w:val="00255CFE"/>
    <w:rPr>
      <w:i/>
      <w:iCs/>
      <w:color w:val="404040" w:themeColor="text1" w:themeTint="BF"/>
    </w:rPr>
  </w:style>
  <w:style w:type="paragraph" w:styleId="Footer">
    <w:name w:val="footer"/>
    <w:basedOn w:val="Normal"/>
    <w:link w:val="FooterChar"/>
    <w:uiPriority w:val="99"/>
    <w:rsid w:val="00255CFE"/>
    <w:pPr>
      <w:tabs>
        <w:tab w:val="right" w:pos="11340"/>
      </w:tabs>
    </w:pPr>
    <w:rPr>
      <w:sz w:val="20"/>
    </w:rPr>
  </w:style>
  <w:style w:type="character" w:customStyle="1" w:styleId="FooterChar">
    <w:name w:val="Footer Char"/>
    <w:basedOn w:val="DefaultParagraphFont"/>
    <w:link w:val="Footer"/>
    <w:uiPriority w:val="99"/>
    <w:rsid w:val="00255CFE"/>
    <w:rPr>
      <w:rFonts w:ascii="Calibri" w:eastAsia="Times New Roman" w:hAnsi="Calibri" w:cs="Times New Roman"/>
      <w:kern w:val="18"/>
      <w:sz w:val="20"/>
      <w:szCs w:val="20"/>
      <w:lang w:eastAsia="en-AU"/>
    </w:rPr>
  </w:style>
  <w:style w:type="paragraph" w:styleId="Header">
    <w:name w:val="header"/>
    <w:basedOn w:val="Normal"/>
    <w:link w:val="HeaderChar"/>
    <w:uiPriority w:val="99"/>
    <w:unhideWhenUsed/>
    <w:rsid w:val="00255CFE"/>
    <w:pPr>
      <w:tabs>
        <w:tab w:val="center" w:pos="4513"/>
        <w:tab w:val="right" w:pos="9026"/>
      </w:tabs>
      <w:spacing w:after="0"/>
      <w:jc w:val="right"/>
    </w:pPr>
    <w:rPr>
      <w:sz w:val="20"/>
    </w:rPr>
  </w:style>
  <w:style w:type="character" w:customStyle="1" w:styleId="HeaderChar">
    <w:name w:val="Header Char"/>
    <w:basedOn w:val="DefaultParagraphFont"/>
    <w:link w:val="Header"/>
    <w:uiPriority w:val="99"/>
    <w:rsid w:val="00255CFE"/>
    <w:rPr>
      <w:rFonts w:ascii="Calibri" w:eastAsia="Times New Roman" w:hAnsi="Calibri" w:cs="Times New Roman"/>
      <w:kern w:val="18"/>
      <w:sz w:val="20"/>
      <w:szCs w:val="20"/>
      <w:lang w:eastAsia="en-AU"/>
    </w:rPr>
  </w:style>
  <w:style w:type="character" w:styleId="PlaceholderText">
    <w:name w:val="Placeholder Text"/>
    <w:basedOn w:val="DefaultParagraphFont"/>
    <w:uiPriority w:val="99"/>
    <w:semiHidden/>
    <w:rsid w:val="00255CFE"/>
    <w:rPr>
      <w:color w:val="808080"/>
    </w:rPr>
  </w:style>
  <w:style w:type="paragraph" w:customStyle="1" w:styleId="AppendixHeading">
    <w:name w:val="Appendix Heading"/>
    <w:basedOn w:val="Heading1"/>
    <w:next w:val="Normal"/>
    <w:rsid w:val="00AE5B79"/>
  </w:style>
  <w:style w:type="paragraph" w:customStyle="1" w:styleId="HeadingBase">
    <w:name w:val="Heading Base"/>
    <w:rsid w:val="00AE5B79"/>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255CFE"/>
    <w:rPr>
      <w:rFonts w:ascii="Calibri Light" w:eastAsia="Times New Roman" w:hAnsi="Calibri Light" w:cs="Times New Roman"/>
      <w:color w:val="FFFFFF" w:themeColor="background1"/>
      <w:kern w:val="18"/>
      <w:sz w:val="32"/>
      <w:szCs w:val="20"/>
      <w:lang w:eastAsia="en-AU"/>
    </w:rPr>
  </w:style>
  <w:style w:type="paragraph" w:customStyle="1" w:styleId="NotesHeading">
    <w:name w:val="Notes Heading"/>
    <w:basedOn w:val="Normal"/>
    <w:uiPriority w:val="10"/>
    <w:semiHidden/>
    <w:rsid w:val="00AE5B79"/>
    <w:pPr>
      <w:keepNext/>
      <w:spacing w:before="240" w:after="360"/>
      <w:jc w:val="center"/>
    </w:pPr>
    <w:rPr>
      <w:rFonts w:ascii="Century Gothic" w:hAnsi="Century Gothic"/>
      <w:smallCaps/>
      <w:color w:val="5F5F5F" w:themeColor="text2"/>
      <w:sz w:val="36"/>
      <w:szCs w:val="36"/>
    </w:rPr>
  </w:style>
  <w:style w:type="paragraph" w:styleId="ListParagraph">
    <w:name w:val="List Paragraph"/>
    <w:basedOn w:val="Normal"/>
    <w:link w:val="ListParagraphChar"/>
    <w:uiPriority w:val="34"/>
    <w:qFormat/>
    <w:rsid w:val="00255CFE"/>
    <w:pPr>
      <w:ind w:left="720"/>
      <w:contextualSpacing/>
    </w:pPr>
  </w:style>
  <w:style w:type="paragraph" w:customStyle="1" w:styleId="TableTextIndented">
    <w:name w:val="Table Text Indented"/>
    <w:basedOn w:val="TableTextLeft"/>
    <w:uiPriority w:val="1"/>
    <w:rsid w:val="00AE5B79"/>
    <w:pPr>
      <w:ind w:left="284"/>
    </w:pPr>
  </w:style>
  <w:style w:type="paragraph" w:customStyle="1" w:styleId="TableHeadingContinued">
    <w:name w:val="Table Heading Continued"/>
    <w:basedOn w:val="TableMainHeading"/>
    <w:next w:val="TableGraphic"/>
    <w:uiPriority w:val="1"/>
    <w:rsid w:val="00AE5B79"/>
  </w:style>
  <w:style w:type="paragraph" w:customStyle="1" w:styleId="TableGraphic">
    <w:name w:val="Table Graphic"/>
    <w:basedOn w:val="HeadingBase"/>
    <w:next w:val="Normal"/>
    <w:uiPriority w:val="1"/>
    <w:rsid w:val="00AE5B79"/>
    <w:pPr>
      <w:spacing w:after="0"/>
    </w:pPr>
  </w:style>
  <w:style w:type="paragraph" w:customStyle="1" w:styleId="HeaderEven">
    <w:name w:val="Header Even"/>
    <w:basedOn w:val="Header"/>
    <w:uiPriority w:val="99"/>
    <w:qFormat/>
    <w:rsid w:val="00AE5B79"/>
    <w:pPr>
      <w:jc w:val="left"/>
    </w:pPr>
    <w:rPr>
      <w:color w:val="002C47"/>
    </w:rPr>
  </w:style>
  <w:style w:type="paragraph" w:customStyle="1" w:styleId="HeaderOdd">
    <w:name w:val="Header Odd"/>
    <w:basedOn w:val="Header"/>
    <w:uiPriority w:val="99"/>
    <w:qFormat/>
    <w:rsid w:val="00AE5B79"/>
    <w:rPr>
      <w:color w:val="002C47"/>
    </w:rPr>
  </w:style>
  <w:style w:type="paragraph" w:styleId="FootnoteText">
    <w:name w:val="footnote text"/>
    <w:basedOn w:val="Normal"/>
    <w:link w:val="FootnoteTextChar"/>
    <w:uiPriority w:val="99"/>
    <w:rsid w:val="00CB7E9F"/>
    <w:pPr>
      <w:spacing w:before="0" w:after="60" w:line="228" w:lineRule="auto"/>
      <w:ind w:left="425" w:hanging="425"/>
    </w:pPr>
    <w:rPr>
      <w:sz w:val="20"/>
    </w:rPr>
  </w:style>
  <w:style w:type="character" w:customStyle="1" w:styleId="FootnoteTextChar">
    <w:name w:val="Footnote Text Char"/>
    <w:basedOn w:val="DefaultParagraphFont"/>
    <w:link w:val="FootnoteText"/>
    <w:uiPriority w:val="99"/>
    <w:rsid w:val="00CB7E9F"/>
    <w:rPr>
      <w:rFonts w:ascii="Calibri" w:eastAsia="Times New Roman" w:hAnsi="Calibri" w:cs="Times New Roman"/>
      <w:kern w:val="18"/>
      <w:sz w:val="20"/>
      <w:szCs w:val="20"/>
      <w:lang w:eastAsia="en-AU"/>
    </w:rPr>
  </w:style>
  <w:style w:type="character" w:styleId="FootnoteReference">
    <w:name w:val="footnote reference"/>
    <w:aliases w:val="Style 30,Style 20,AFPC Footnote Reference,AFPC Footnote Reference1,fr,(NECG) Footnote Reference,4_G,Odwołanie przypisu,Footnote symbol,Footnote Reference Number,Appel note de bas de p,Appel note de bas de p + (Asian) Batang,Black,Nota"/>
    <w:basedOn w:val="DefaultParagraphFont"/>
    <w:uiPriority w:val="99"/>
    <w:rsid w:val="00255CFE"/>
    <w:rPr>
      <w:vertAlign w:val="superscript"/>
    </w:rPr>
  </w:style>
  <w:style w:type="paragraph" w:styleId="BalloonText">
    <w:name w:val="Balloon Text"/>
    <w:basedOn w:val="Normal"/>
    <w:link w:val="BalloonTextChar"/>
    <w:semiHidden/>
    <w:rsid w:val="00255CFE"/>
    <w:rPr>
      <w:rFonts w:ascii="Tahoma" w:hAnsi="Tahoma" w:cs="Tahoma"/>
      <w:sz w:val="16"/>
      <w:szCs w:val="16"/>
    </w:rPr>
  </w:style>
  <w:style w:type="character" w:customStyle="1" w:styleId="BalloonTextChar">
    <w:name w:val="Balloon Text Char"/>
    <w:basedOn w:val="DefaultParagraphFont"/>
    <w:link w:val="BalloonText"/>
    <w:semiHidden/>
    <w:rsid w:val="00255CFE"/>
    <w:rPr>
      <w:rFonts w:ascii="Tahoma" w:eastAsia="Times New Roman" w:hAnsi="Tahoma" w:cs="Tahoma"/>
      <w:kern w:val="18"/>
      <w:sz w:val="16"/>
      <w:szCs w:val="16"/>
      <w:lang w:eastAsia="en-AU"/>
    </w:rPr>
  </w:style>
  <w:style w:type="character" w:customStyle="1" w:styleId="BoxTextChar">
    <w:name w:val="Box Text Char"/>
    <w:basedOn w:val="DefaultParagraphFont"/>
    <w:link w:val="BoxText"/>
    <w:locked/>
    <w:rsid w:val="00255CFE"/>
    <w:rPr>
      <w:rFonts w:ascii="Calibri" w:eastAsia="Times New Roman" w:hAnsi="Calibri" w:cs="Times New Roman"/>
      <w:kern w:val="18"/>
      <w:szCs w:val="20"/>
      <w:lang w:eastAsia="en-AU"/>
    </w:rPr>
  </w:style>
  <w:style w:type="paragraph" w:customStyle="1" w:styleId="Boxbullet">
    <w:name w:val="Box bullet"/>
    <w:basedOn w:val="Bullet"/>
    <w:qFormat/>
    <w:rsid w:val="00255CFE"/>
    <w:pPr>
      <w:spacing w:after="60"/>
    </w:pPr>
    <w:rPr>
      <w:color w:val="0D0D0D" w:themeColor="text1" w:themeTint="F2"/>
    </w:rPr>
  </w:style>
  <w:style w:type="paragraph" w:customStyle="1" w:styleId="Boxdash">
    <w:name w:val="Box dash"/>
    <w:basedOn w:val="Dash"/>
    <w:rsid w:val="00255CFE"/>
    <w:pPr>
      <w:numPr>
        <w:ilvl w:val="0"/>
        <w:numId w:val="0"/>
      </w:numPr>
      <w:spacing w:after="60" w:line="276" w:lineRule="auto"/>
    </w:pPr>
    <w:rPr>
      <w:rFonts w:eastAsiaTheme="minorHAnsi"/>
      <w:color w:val="0D0D0D" w:themeColor="text1" w:themeTint="F2"/>
    </w:rPr>
  </w:style>
  <w:style w:type="paragraph" w:customStyle="1" w:styleId="Boxdoubledot">
    <w:name w:val="Box double dot"/>
    <w:basedOn w:val="DoubleDot"/>
    <w:rsid w:val="00255CFE"/>
    <w:pPr>
      <w:numPr>
        <w:ilvl w:val="0"/>
        <w:numId w:val="0"/>
      </w:numPr>
      <w:spacing w:after="60" w:line="276" w:lineRule="auto"/>
    </w:pPr>
    <w:rPr>
      <w:rFonts w:eastAsiaTheme="minorHAnsi"/>
      <w:color w:val="0D0D0D" w:themeColor="text1" w:themeTint="F2"/>
    </w:rPr>
  </w:style>
  <w:style w:type="paragraph" w:customStyle="1" w:styleId="Instructions">
    <w:name w:val="Instructions"/>
    <w:basedOn w:val="Normal"/>
    <w:uiPriority w:val="1"/>
    <w:semiHidden/>
    <w:qFormat/>
    <w:rsid w:val="00AE5B79"/>
    <w:pPr>
      <w:shd w:val="clear" w:color="auto" w:fill="FFFF00"/>
      <w:ind w:left="170" w:hanging="170"/>
    </w:pPr>
    <w:rPr>
      <w:rFonts w:asciiTheme="minorHAnsi" w:hAnsiTheme="minorHAnsi"/>
      <w:sz w:val="20"/>
      <w:szCs w:val="24"/>
    </w:rPr>
  </w:style>
  <w:style w:type="character" w:styleId="CommentReference">
    <w:name w:val="annotation reference"/>
    <w:basedOn w:val="DefaultParagraphFont"/>
    <w:uiPriority w:val="99"/>
    <w:semiHidden/>
    <w:unhideWhenUsed/>
    <w:rsid w:val="00AE5B79"/>
    <w:rPr>
      <w:sz w:val="16"/>
      <w:szCs w:val="16"/>
    </w:rPr>
  </w:style>
  <w:style w:type="paragraph" w:styleId="CommentText">
    <w:name w:val="annotation text"/>
    <w:basedOn w:val="Normal"/>
    <w:link w:val="CommentTextChar"/>
    <w:uiPriority w:val="99"/>
    <w:unhideWhenUsed/>
    <w:rsid w:val="00AE5B79"/>
    <w:rPr>
      <w:sz w:val="20"/>
    </w:rPr>
  </w:style>
  <w:style w:type="character" w:customStyle="1" w:styleId="CommentTextChar">
    <w:name w:val="Comment Text Char"/>
    <w:basedOn w:val="DefaultParagraphFont"/>
    <w:link w:val="CommentText"/>
    <w:uiPriority w:val="99"/>
    <w:rsid w:val="00AE5B79"/>
    <w:rPr>
      <w:rFonts w:ascii="Calibri" w:eastAsia="Times New Roman" w:hAnsi="Calibri" w:cs="Times New Roman"/>
      <w:sz w:val="20"/>
      <w:szCs w:val="20"/>
      <w:lang w:eastAsia="en-AU"/>
    </w:rPr>
  </w:style>
  <w:style w:type="paragraph" w:customStyle="1" w:styleId="SecurityClassificationHeader">
    <w:name w:val="Security Classification Header"/>
    <w:link w:val="SecurityClassificationHeaderChar"/>
    <w:rsid w:val="00255CFE"/>
    <w:pPr>
      <w:spacing w:before="60" w:after="60" w:line="240" w:lineRule="auto"/>
      <w:jc w:val="center"/>
    </w:pPr>
    <w:rPr>
      <w:rFonts w:ascii="Calibri" w:eastAsia="Times New Roman" w:hAnsi="Calibri" w:cs="Calibri"/>
      <w:b/>
      <w:noProof/>
      <w:color w:val="FF0000"/>
      <w:sz w:val="24"/>
      <w:szCs w:val="20"/>
      <w:lang w:eastAsia="en-AU"/>
    </w:rPr>
  </w:style>
  <w:style w:type="character" w:customStyle="1" w:styleId="SecurityClassificationHeaderChar">
    <w:name w:val="Security Classification Header Char"/>
    <w:basedOn w:val="DefaultParagraphFont"/>
    <w:link w:val="SecurityClassificationHeader"/>
    <w:rsid w:val="00255CFE"/>
    <w:rPr>
      <w:rFonts w:ascii="Calibri" w:eastAsia="Times New Roman" w:hAnsi="Calibri" w:cs="Calibri"/>
      <w:b/>
      <w:noProof/>
      <w:color w:val="FF0000"/>
      <w:sz w:val="24"/>
      <w:szCs w:val="20"/>
      <w:lang w:eastAsia="en-AU"/>
    </w:rPr>
  </w:style>
  <w:style w:type="paragraph" w:customStyle="1" w:styleId="SecurityClassificationFooter">
    <w:name w:val="Security Classification Footer"/>
    <w:link w:val="SecurityClassificationFooterChar"/>
    <w:rsid w:val="00255CFE"/>
    <w:pPr>
      <w:spacing w:before="60" w:after="60" w:line="240" w:lineRule="auto"/>
      <w:jc w:val="center"/>
    </w:pPr>
    <w:rPr>
      <w:rFonts w:ascii="Calibri" w:eastAsia="Times New Roman" w:hAnsi="Calibri" w:cs="Calibri"/>
      <w:b/>
      <w:noProof/>
      <w:color w:val="FF0000"/>
      <w:sz w:val="24"/>
      <w:szCs w:val="24"/>
      <w:lang w:eastAsia="en-AU"/>
    </w:rPr>
  </w:style>
  <w:style w:type="character" w:customStyle="1" w:styleId="SecurityClassificationFooterChar">
    <w:name w:val="Security Classification Footer Char"/>
    <w:basedOn w:val="DefaultParagraphFont"/>
    <w:link w:val="SecurityClassificationFooter"/>
    <w:rsid w:val="00255CFE"/>
    <w:rPr>
      <w:rFonts w:ascii="Calibri" w:eastAsia="Times New Roman" w:hAnsi="Calibri" w:cs="Calibri"/>
      <w:b/>
      <w:noProof/>
      <w:color w:val="FF0000"/>
      <w:sz w:val="24"/>
      <w:szCs w:val="24"/>
      <w:lang w:eastAsia="en-AU"/>
    </w:rPr>
  </w:style>
  <w:style w:type="paragraph" w:customStyle="1" w:styleId="DLMSecurityHeader">
    <w:name w:val="DLM Security Header"/>
    <w:link w:val="DLMSecurityHeaderChar"/>
    <w:rsid w:val="00255CFE"/>
    <w:pPr>
      <w:spacing w:before="60" w:after="240" w:line="240" w:lineRule="auto"/>
      <w:jc w:val="center"/>
    </w:pPr>
    <w:rPr>
      <w:rFonts w:ascii="Calibri" w:eastAsia="Times New Roman" w:hAnsi="Calibri" w:cs="Calibri"/>
      <w:b/>
      <w:noProof/>
      <w:color w:val="FF0000"/>
      <w:sz w:val="24"/>
      <w:szCs w:val="20"/>
      <w:lang w:eastAsia="en-AU"/>
    </w:rPr>
  </w:style>
  <w:style w:type="character" w:customStyle="1" w:styleId="DLMSecurityHeaderChar">
    <w:name w:val="DLM Security Header Char"/>
    <w:basedOn w:val="DefaultParagraphFont"/>
    <w:link w:val="DLMSecurityHeader"/>
    <w:rsid w:val="00255CFE"/>
    <w:rPr>
      <w:rFonts w:ascii="Calibri" w:eastAsia="Times New Roman" w:hAnsi="Calibri" w:cs="Calibri"/>
      <w:b/>
      <w:noProof/>
      <w:color w:val="FF0000"/>
      <w:sz w:val="24"/>
      <w:szCs w:val="20"/>
      <w:lang w:eastAsia="en-AU"/>
    </w:rPr>
  </w:style>
  <w:style w:type="paragraph" w:customStyle="1" w:styleId="DLMSecurityFooter">
    <w:name w:val="DLM Security Footer"/>
    <w:link w:val="DLMSecurityFooterChar"/>
    <w:rsid w:val="00255CFE"/>
    <w:pPr>
      <w:spacing w:before="240" w:after="60" w:line="240" w:lineRule="auto"/>
      <w:jc w:val="center"/>
    </w:pPr>
    <w:rPr>
      <w:rFonts w:ascii="Calibri" w:eastAsia="Times New Roman" w:hAnsi="Calibri" w:cs="Calibri"/>
      <w:b/>
      <w:noProof/>
      <w:color w:val="FF0000"/>
      <w:sz w:val="24"/>
      <w:szCs w:val="24"/>
      <w:lang w:eastAsia="en-AU"/>
    </w:rPr>
  </w:style>
  <w:style w:type="character" w:customStyle="1" w:styleId="DLMSecurityFooterChar">
    <w:name w:val="DLM Security Footer Char"/>
    <w:basedOn w:val="DefaultParagraphFont"/>
    <w:link w:val="DLMSecurityFooter"/>
    <w:rsid w:val="00255CFE"/>
    <w:rPr>
      <w:rFonts w:ascii="Calibri" w:eastAsia="Times New Roman" w:hAnsi="Calibri" w:cs="Calibri"/>
      <w:b/>
      <w:noProof/>
      <w:color w:val="FF0000"/>
      <w:sz w:val="24"/>
      <w:szCs w:val="24"/>
      <w:lang w:eastAsia="en-AU"/>
    </w:rPr>
  </w:style>
  <w:style w:type="character" w:styleId="FollowedHyperlink">
    <w:name w:val="FollowedHyperlink"/>
    <w:basedOn w:val="DefaultParagraphFont"/>
    <w:semiHidden/>
    <w:unhideWhenUsed/>
    <w:rsid w:val="00255CFE"/>
    <w:rPr>
      <w:color w:val="844D9E" w:themeColor="followedHyperlink"/>
      <w:u w:val="single"/>
    </w:rPr>
  </w:style>
  <w:style w:type="paragraph" w:styleId="Quote">
    <w:name w:val="Quote"/>
    <w:basedOn w:val="Normal"/>
    <w:next w:val="Normal"/>
    <w:link w:val="QuoteChar"/>
    <w:uiPriority w:val="29"/>
    <w:rsid w:val="00AE5B79"/>
    <w:pPr>
      <w:keepLines/>
      <w:spacing w:before="240" w:after="240"/>
      <w:ind w:left="709" w:right="709"/>
      <w:jc w:val="center"/>
    </w:pPr>
    <w:rPr>
      <w:rFonts w:asciiTheme="minorHAnsi" w:hAnsiTheme="minorHAnsi"/>
      <w:i/>
      <w:iCs/>
      <w:color w:val="2C384A" w:themeColor="accent1"/>
    </w:rPr>
  </w:style>
  <w:style w:type="character" w:customStyle="1" w:styleId="QuoteChar">
    <w:name w:val="Quote Char"/>
    <w:basedOn w:val="DefaultParagraphFont"/>
    <w:link w:val="Quote"/>
    <w:uiPriority w:val="29"/>
    <w:rsid w:val="00AE5B79"/>
    <w:rPr>
      <w:rFonts w:eastAsia="Times New Roman" w:cs="Times New Roman"/>
      <w:i/>
      <w:iCs/>
      <w:color w:val="2C384A" w:themeColor="accent1"/>
      <w:szCs w:val="20"/>
      <w:lang w:eastAsia="en-AU"/>
    </w:rPr>
  </w:style>
  <w:style w:type="character" w:styleId="UnresolvedMention">
    <w:name w:val="Unresolved Mention"/>
    <w:basedOn w:val="DefaultParagraphFont"/>
    <w:uiPriority w:val="99"/>
    <w:semiHidden/>
    <w:unhideWhenUsed/>
    <w:rsid w:val="00255CFE"/>
    <w:rPr>
      <w:color w:val="605E5C"/>
      <w:shd w:val="clear" w:color="auto" w:fill="E1DFDD"/>
    </w:rPr>
  </w:style>
  <w:style w:type="character" w:customStyle="1" w:styleId="Heading7Char">
    <w:name w:val="Heading 7 Char"/>
    <w:basedOn w:val="DefaultParagraphFont"/>
    <w:link w:val="Heading7"/>
    <w:uiPriority w:val="9"/>
    <w:rsid w:val="00255CFE"/>
    <w:rPr>
      <w:rFonts w:asciiTheme="majorHAnsi" w:eastAsiaTheme="majorEastAsia" w:hAnsiTheme="majorHAnsi" w:cstheme="majorBidi"/>
      <w:iCs/>
      <w:color w:val="161B24" w:themeColor="accent1" w:themeShade="7F"/>
      <w:kern w:val="18"/>
      <w:szCs w:val="20"/>
      <w:lang w:eastAsia="en-AU"/>
    </w:rPr>
  </w:style>
  <w:style w:type="paragraph" w:customStyle="1" w:styleId="Heading4Numbered">
    <w:name w:val="Heading 4 Numbered"/>
    <w:basedOn w:val="Heading4"/>
    <w:next w:val="Normal"/>
    <w:qFormat/>
    <w:rsid w:val="00255CFE"/>
    <w:pPr>
      <w:numPr>
        <w:ilvl w:val="3"/>
        <w:numId w:val="13"/>
      </w:numPr>
    </w:pPr>
  </w:style>
  <w:style w:type="paragraph" w:customStyle="1" w:styleId="Heading5Numbered">
    <w:name w:val="Heading 5 Numbered"/>
    <w:basedOn w:val="Heading5"/>
    <w:next w:val="Normal"/>
    <w:unhideWhenUsed/>
    <w:rsid w:val="00AE5B79"/>
  </w:style>
  <w:style w:type="paragraph" w:customStyle="1" w:styleId="Heading6Numbered">
    <w:name w:val="Heading 6 Numbered"/>
    <w:basedOn w:val="Heading6"/>
    <w:next w:val="Normal"/>
    <w:rsid w:val="00AE5B79"/>
  </w:style>
  <w:style w:type="paragraph" w:customStyle="1" w:styleId="Heading7Numbered">
    <w:name w:val="Heading 7 Numbered"/>
    <w:basedOn w:val="Heading7"/>
    <w:next w:val="Normal"/>
    <w:rsid w:val="00AE5B79"/>
  </w:style>
  <w:style w:type="paragraph" w:customStyle="1" w:styleId="TableTextBullet">
    <w:name w:val="Table Text Bullet"/>
    <w:basedOn w:val="TableTextLeft"/>
    <w:uiPriority w:val="1"/>
    <w:qFormat/>
    <w:rsid w:val="00AE5B79"/>
    <w:pPr>
      <w:numPr>
        <w:numId w:val="7"/>
      </w:numPr>
    </w:pPr>
  </w:style>
  <w:style w:type="paragraph" w:customStyle="1" w:styleId="TableTextDash">
    <w:name w:val="Table Text Dash"/>
    <w:basedOn w:val="TableTextLeft"/>
    <w:uiPriority w:val="1"/>
    <w:qFormat/>
    <w:rsid w:val="00AE5B79"/>
    <w:pPr>
      <w:numPr>
        <w:ilvl w:val="1"/>
        <w:numId w:val="7"/>
      </w:numPr>
    </w:pPr>
  </w:style>
  <w:style w:type="paragraph" w:customStyle="1" w:styleId="ChartTableFiguresectionline">
    <w:name w:val="Chart Table Figure section line"/>
    <w:basedOn w:val="Normal"/>
    <w:qFormat/>
    <w:rsid w:val="00255CFE"/>
    <w:pPr>
      <w:widowControl w:val="0"/>
      <w:pBdr>
        <w:bottom w:val="single" w:sz="12" w:space="0" w:color="2C384A" w:themeColor="accent1"/>
      </w:pBdr>
      <w:spacing w:before="60" w:after="360"/>
      <w:jc w:val="center"/>
    </w:pPr>
    <w:rPr>
      <w:rFonts w:ascii="Calibri Light" w:hAnsi="Calibri Light"/>
      <w:color w:val="FFFFFF" w:themeColor="background1"/>
      <w:kern w:val="16"/>
      <w:sz w:val="2"/>
    </w:rPr>
  </w:style>
  <w:style w:type="paragraph" w:styleId="CommentSubject">
    <w:name w:val="annotation subject"/>
    <w:basedOn w:val="CommentText"/>
    <w:next w:val="CommentText"/>
    <w:link w:val="CommentSubjectChar"/>
    <w:uiPriority w:val="99"/>
    <w:semiHidden/>
    <w:unhideWhenUsed/>
    <w:rsid w:val="00AE5B79"/>
    <w:rPr>
      <w:rFonts w:ascii="Calibri Light" w:hAnsi="Calibri Light"/>
      <w:b/>
      <w:bCs/>
    </w:rPr>
  </w:style>
  <w:style w:type="character" w:customStyle="1" w:styleId="CommentSubjectChar">
    <w:name w:val="Comment Subject Char"/>
    <w:basedOn w:val="CommentTextChar"/>
    <w:link w:val="CommentSubject"/>
    <w:uiPriority w:val="99"/>
    <w:semiHidden/>
    <w:rsid w:val="00AE5B79"/>
    <w:rPr>
      <w:rFonts w:ascii="Calibri Light" w:eastAsia="Times New Roman" w:hAnsi="Calibri Light" w:cs="Times New Roman"/>
      <w:b/>
      <w:bCs/>
      <w:sz w:val="20"/>
      <w:szCs w:val="20"/>
      <w:lang w:eastAsia="en-AU"/>
    </w:rPr>
  </w:style>
  <w:style w:type="character" w:styleId="Strong">
    <w:name w:val="Strong"/>
    <w:basedOn w:val="DefaultParagraphFont"/>
    <w:qFormat/>
    <w:rsid w:val="00AE5B79"/>
    <w:rPr>
      <w:b/>
      <w:bCs/>
    </w:rPr>
  </w:style>
  <w:style w:type="paragraph" w:customStyle="1" w:styleId="FigureMainHeading">
    <w:name w:val="Figure Main Heading"/>
    <w:basedOn w:val="ChartMainHeading"/>
    <w:next w:val="ChartGraphic"/>
    <w:qFormat/>
    <w:rsid w:val="00255CFE"/>
    <w:pPr>
      <w:numPr>
        <w:ilvl w:val="7"/>
      </w:numPr>
    </w:pPr>
  </w:style>
  <w:style w:type="paragraph" w:customStyle="1" w:styleId="FigureSecondHeading">
    <w:name w:val="Figure Second Heading"/>
    <w:basedOn w:val="ChartGraphic"/>
    <w:qFormat/>
    <w:rsid w:val="00255CFE"/>
    <w:pPr>
      <w:spacing w:after="60"/>
      <w:jc w:val="left"/>
    </w:pPr>
    <w:rPr>
      <w:rFonts w:asciiTheme="minorHAnsi" w:hAnsiTheme="minorHAnsi"/>
      <w:color w:val="5D779D" w:themeColor="accent3"/>
      <w:sz w:val="24"/>
    </w:rPr>
  </w:style>
  <w:style w:type="paragraph" w:customStyle="1" w:styleId="BoxHeadingPolicy">
    <w:name w:val="Box Heading Policy"/>
    <w:basedOn w:val="BoxHeading"/>
    <w:qFormat/>
    <w:rsid w:val="00AE5B79"/>
    <w:pPr>
      <w:numPr>
        <w:numId w:val="9"/>
      </w:numPr>
      <w:ind w:left="2268" w:hanging="2268"/>
    </w:pPr>
    <w:rPr>
      <w:bCs/>
    </w:rPr>
  </w:style>
  <w:style w:type="paragraph" w:customStyle="1" w:styleId="BoxHeading">
    <w:name w:val="Box Heading"/>
    <w:basedOn w:val="Normal"/>
    <w:next w:val="Normal"/>
    <w:qFormat/>
    <w:rsid w:val="00255CFE"/>
    <w:pPr>
      <w:keepNext/>
      <w:spacing w:before="0"/>
    </w:pPr>
    <w:rPr>
      <w:b/>
      <w:color w:val="2C384A" w:themeColor="accent1"/>
      <w:sz w:val="26"/>
      <w:szCs w:val="26"/>
    </w:rPr>
  </w:style>
  <w:style w:type="paragraph" w:customStyle="1" w:styleId="BoxSubheading">
    <w:name w:val="Box Subheading"/>
    <w:basedOn w:val="BoxHeading"/>
    <w:qFormat/>
    <w:rsid w:val="00AE5B79"/>
    <w:rPr>
      <w:rFonts w:asciiTheme="minorHAnsi" w:hAnsiTheme="minorHAnsi"/>
      <w:b w:val="0"/>
      <w:sz w:val="22"/>
    </w:rPr>
  </w:style>
  <w:style w:type="character" w:customStyle="1" w:styleId="ui-provider">
    <w:name w:val="ui-provider"/>
    <w:basedOn w:val="DefaultParagraphFont"/>
    <w:rsid w:val="00B061C9"/>
  </w:style>
  <w:style w:type="paragraph" w:styleId="Revision">
    <w:name w:val="Revision"/>
    <w:hidden/>
    <w:uiPriority w:val="99"/>
    <w:semiHidden/>
    <w:rsid w:val="00255CFE"/>
    <w:pPr>
      <w:spacing w:after="0" w:line="240" w:lineRule="auto"/>
    </w:pPr>
    <w:rPr>
      <w:rFonts w:ascii="Calibri Light" w:hAnsi="Calibri Light" w:cs="Times New Roman"/>
      <w:color w:val="0D0D0D" w:themeColor="text1" w:themeTint="F2"/>
      <w:szCs w:val="20"/>
    </w:rPr>
  </w:style>
  <w:style w:type="paragraph" w:styleId="NormalWeb">
    <w:name w:val="Normal (Web)"/>
    <w:basedOn w:val="Normal"/>
    <w:rsid w:val="00255CFE"/>
    <w:pPr>
      <w:spacing w:before="100" w:beforeAutospacing="1" w:after="100" w:afterAutospacing="1"/>
    </w:pPr>
  </w:style>
  <w:style w:type="character" w:styleId="Mention">
    <w:name w:val="Mention"/>
    <w:basedOn w:val="DefaultParagraphFont"/>
    <w:uiPriority w:val="99"/>
    <w:unhideWhenUsed/>
    <w:rsid w:val="00AE5B79"/>
    <w:rPr>
      <w:color w:val="2B579A"/>
      <w:shd w:val="clear" w:color="auto" w:fill="E1DFDD"/>
    </w:rPr>
  </w:style>
  <w:style w:type="character" w:styleId="Emphasis">
    <w:name w:val="Emphasis"/>
    <w:basedOn w:val="DefaultParagraphFont"/>
    <w:uiPriority w:val="20"/>
    <w:rsid w:val="00B077D4"/>
    <w:rPr>
      <w:i/>
      <w:iCs/>
    </w:rPr>
  </w:style>
  <w:style w:type="character" w:customStyle="1" w:styleId="Heading8Char">
    <w:name w:val="Heading 8 Char"/>
    <w:basedOn w:val="DefaultParagraphFont"/>
    <w:link w:val="Heading8"/>
    <w:uiPriority w:val="9"/>
    <w:rsid w:val="00255CFE"/>
    <w:rPr>
      <w:rFonts w:asciiTheme="majorHAnsi" w:eastAsiaTheme="majorEastAsia" w:hAnsiTheme="majorHAnsi" w:cstheme="majorBidi"/>
      <w:color w:val="272727" w:themeColor="text1" w:themeTint="D8"/>
      <w:kern w:val="18"/>
      <w:sz w:val="21"/>
      <w:szCs w:val="21"/>
      <w:lang w:eastAsia="en-AU"/>
    </w:rPr>
  </w:style>
  <w:style w:type="character" w:customStyle="1" w:styleId="Heading9Char">
    <w:name w:val="Heading 9 Char"/>
    <w:basedOn w:val="DefaultParagraphFont"/>
    <w:link w:val="Heading9"/>
    <w:uiPriority w:val="9"/>
    <w:rsid w:val="00255CFE"/>
    <w:rPr>
      <w:rFonts w:asciiTheme="majorHAnsi" w:eastAsiaTheme="majorEastAsia" w:hAnsiTheme="majorHAnsi" w:cstheme="majorBidi"/>
      <w:iCs/>
      <w:color w:val="272727" w:themeColor="text1" w:themeTint="D8"/>
      <w:kern w:val="18"/>
      <w:sz w:val="21"/>
      <w:szCs w:val="21"/>
      <w:lang w:eastAsia="en-AU"/>
    </w:rPr>
  </w:style>
  <w:style w:type="paragraph" w:customStyle="1" w:styleId="Reporttitle">
    <w:name w:val="Report title"/>
    <w:basedOn w:val="Normal"/>
    <w:qFormat/>
    <w:rsid w:val="00255CFE"/>
    <w:pPr>
      <w:spacing w:before="960" w:after="240"/>
      <w:outlineLvl w:val="0"/>
    </w:pPr>
    <w:rPr>
      <w:b/>
      <w:color w:val="2C384A" w:themeColor="accent1"/>
      <w:spacing w:val="-14"/>
      <w:sz w:val="44"/>
      <w:szCs w:val="68"/>
    </w:rPr>
  </w:style>
  <w:style w:type="table" w:customStyle="1" w:styleId="TableGrid1">
    <w:name w:val="Table Grid1"/>
    <w:basedOn w:val="TableNormal"/>
    <w:next w:val="TableGrid"/>
    <w:uiPriority w:val="59"/>
    <w:rsid w:val="00255CFE"/>
    <w:pPr>
      <w:spacing w:after="0" w:line="240" w:lineRule="auto"/>
    </w:pPr>
    <w:rPr>
      <w:rFonts w:ascii="Calibri" w:hAnsi="Calibri" w:cs="Times New Roman"/>
      <w:sz w:val="20"/>
      <w:szCs w:val="20"/>
    </w:rPr>
    <w:tblPr>
      <w:tblBorders>
        <w:top w:val="single" w:sz="2" w:space="0" w:color="2E74B5"/>
        <w:left w:val="single" w:sz="2" w:space="0" w:color="2E74B5"/>
        <w:bottom w:val="single" w:sz="2" w:space="0" w:color="2E74B5"/>
        <w:right w:val="single" w:sz="2" w:space="0" w:color="2E74B5"/>
        <w:insideH w:val="single" w:sz="2" w:space="0" w:color="2E74B5"/>
        <w:insideV w:val="single" w:sz="2" w:space="0" w:color="2E74B5"/>
      </w:tblBorders>
    </w:tblPr>
    <w:tblStylePr w:type="firstRow">
      <w:rPr>
        <w:rFonts w:ascii="Calibri" w:hAnsi="Calibri"/>
        <w:b/>
        <w:i w:val="0"/>
        <w:color w:val="FFFFFF"/>
        <w:sz w:val="20"/>
      </w:rPr>
      <w:tblPr/>
      <w:tcPr>
        <w:shd w:val="clear" w:color="auto" w:fill="2E74B5"/>
      </w:tcPr>
    </w:tblStylePr>
  </w:style>
  <w:style w:type="paragraph" w:customStyle="1" w:styleId="Introtext">
    <w:name w:val="Intro text"/>
    <w:basedOn w:val="Normal"/>
    <w:qFormat/>
    <w:rsid w:val="00255CFE"/>
    <w:pPr>
      <w:numPr>
        <w:ilvl w:val="1"/>
      </w:numPr>
      <w:spacing w:after="240"/>
    </w:pPr>
    <w:rPr>
      <w:rFonts w:eastAsiaTheme="minorEastAsia" w:cstheme="minorBidi"/>
      <w:color w:val="10263B"/>
      <w:sz w:val="26"/>
      <w:szCs w:val="26"/>
      <w:lang w:eastAsia="zh-CN"/>
    </w:rPr>
  </w:style>
  <w:style w:type="paragraph" w:styleId="NoSpacing">
    <w:name w:val="No Spacing"/>
    <w:link w:val="NoSpacingChar"/>
    <w:uiPriority w:val="1"/>
    <w:qFormat/>
    <w:rsid w:val="00255CFE"/>
    <w:pPr>
      <w:spacing w:after="0" w:line="240" w:lineRule="auto"/>
    </w:pPr>
    <w:rPr>
      <w:rFonts w:eastAsiaTheme="minorEastAsia"/>
      <w:lang w:val="en-US"/>
    </w:rPr>
  </w:style>
  <w:style w:type="paragraph" w:customStyle="1" w:styleId="Default">
    <w:name w:val="Default"/>
    <w:rsid w:val="00255CFE"/>
    <w:pPr>
      <w:autoSpaceDE w:val="0"/>
      <w:autoSpaceDN w:val="0"/>
      <w:adjustRightInd w:val="0"/>
      <w:spacing w:after="0" w:line="240" w:lineRule="auto"/>
    </w:pPr>
    <w:rPr>
      <w:rFonts w:ascii="Verdana" w:eastAsia="Times New Roman" w:hAnsi="Verdana" w:cs="Verdana"/>
      <w:color w:val="000000"/>
      <w:sz w:val="24"/>
      <w:szCs w:val="24"/>
      <w:lang w:eastAsia="en-AU"/>
    </w:rPr>
  </w:style>
  <w:style w:type="table" w:customStyle="1" w:styleId="GridTable5Dark-Accent61">
    <w:name w:val="Grid Table 5 Dark - Accent 61"/>
    <w:basedOn w:val="TableNormal"/>
    <w:uiPriority w:val="50"/>
    <w:rsid w:val="00255CFE"/>
    <w:pPr>
      <w:spacing w:before="100" w:after="0" w:line="240" w:lineRule="auto"/>
    </w:pPr>
    <w:rPr>
      <w:rFonts w:eastAsiaTheme="minorEastAsia"/>
      <w:sz w:val="20"/>
      <w:szCs w:val="20"/>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E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E8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E8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E8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E81" w:themeFill="accent6"/>
      </w:tcPr>
    </w:tblStylePr>
    <w:tblStylePr w:type="band1Vert">
      <w:tblPr/>
      <w:tcPr>
        <w:shd w:val="clear" w:color="auto" w:fill="F9DECC" w:themeFill="accent6" w:themeFillTint="66"/>
      </w:tcPr>
    </w:tblStylePr>
    <w:tblStylePr w:type="band1Horz">
      <w:tblPr/>
      <w:tcPr>
        <w:shd w:val="clear" w:color="auto" w:fill="F9DECC" w:themeFill="accent6" w:themeFillTint="66"/>
      </w:tcPr>
    </w:tblStylePr>
  </w:style>
  <w:style w:type="paragraph" w:customStyle="1" w:styleId="KeyContactsName">
    <w:name w:val="KeyContacts Name"/>
    <w:basedOn w:val="Normal"/>
    <w:next w:val="Normal"/>
    <w:semiHidden/>
    <w:rsid w:val="00255CFE"/>
    <w:pPr>
      <w:framePr w:w="2058" w:h="13054" w:hRule="exact" w:wrap="around" w:vAnchor="text" w:hAnchor="page" w:x="965" w:y="1"/>
      <w:pBdr>
        <w:top w:val="single" w:sz="18" w:space="1" w:color="CCD6E3"/>
        <w:left w:val="single" w:sz="18" w:space="4" w:color="CCD6E3"/>
        <w:bottom w:val="single" w:sz="18" w:space="1" w:color="CCD6E3"/>
        <w:right w:val="single" w:sz="18" w:space="4" w:color="CCD6E3"/>
      </w:pBdr>
      <w:shd w:val="clear" w:color="auto" w:fill="CCD6E3"/>
      <w:spacing w:before="240" w:after="0" w:afterAutospacing="1" w:line="264" w:lineRule="auto"/>
    </w:pPr>
    <w:rPr>
      <w:rFonts w:ascii="Univers 45 Light" w:hAnsi="Univers 45 Light"/>
      <w:b/>
      <w:color w:val="0C2D83"/>
      <w:sz w:val="18"/>
      <w:szCs w:val="24"/>
      <w:lang w:val="en-GB"/>
    </w:rPr>
  </w:style>
  <w:style w:type="character" w:customStyle="1" w:styleId="ListParagraphChar">
    <w:name w:val="List Paragraph Char"/>
    <w:basedOn w:val="DefaultParagraphFont"/>
    <w:link w:val="ListParagraph"/>
    <w:uiPriority w:val="34"/>
    <w:rsid w:val="00255CFE"/>
    <w:rPr>
      <w:rFonts w:ascii="Calibri" w:eastAsia="Times New Roman" w:hAnsi="Calibri" w:cs="Times New Roman"/>
      <w:kern w:val="18"/>
      <w:szCs w:val="20"/>
      <w:lang w:eastAsia="en-AU"/>
    </w:rPr>
  </w:style>
  <w:style w:type="table" w:customStyle="1" w:styleId="ListTable4-Accent61">
    <w:name w:val="List Table 4 - Accent 61"/>
    <w:basedOn w:val="TableNormal"/>
    <w:uiPriority w:val="49"/>
    <w:rsid w:val="00255CFE"/>
    <w:pPr>
      <w:spacing w:before="100" w:after="0" w:line="240" w:lineRule="auto"/>
    </w:pPr>
    <w:rPr>
      <w:rFonts w:eastAsiaTheme="minorEastAsia"/>
      <w:sz w:val="20"/>
      <w:szCs w:val="20"/>
      <w:lang w:eastAsia="en-AU"/>
    </w:rPr>
    <w:tblPr>
      <w:tblStyleRowBandSize w:val="1"/>
      <w:tblStyleColBandSize w:val="1"/>
      <w:tblBorders>
        <w:top w:val="single" w:sz="4" w:space="0" w:color="F6CEB3" w:themeColor="accent6" w:themeTint="99"/>
        <w:left w:val="single" w:sz="4" w:space="0" w:color="F6CEB3" w:themeColor="accent6" w:themeTint="99"/>
        <w:bottom w:val="single" w:sz="4" w:space="0" w:color="F6CEB3" w:themeColor="accent6" w:themeTint="99"/>
        <w:right w:val="single" w:sz="4" w:space="0" w:color="F6CEB3" w:themeColor="accent6" w:themeTint="99"/>
        <w:insideH w:val="single" w:sz="4" w:space="0" w:color="F6CEB3" w:themeColor="accent6" w:themeTint="99"/>
      </w:tblBorders>
    </w:tblPr>
    <w:tblStylePr w:type="firstRow">
      <w:rPr>
        <w:b/>
        <w:bCs/>
        <w:color w:val="FFFFFF" w:themeColor="background1"/>
      </w:rPr>
      <w:tblPr/>
      <w:tcPr>
        <w:tcBorders>
          <w:top w:val="single" w:sz="4" w:space="0" w:color="F0AE81" w:themeColor="accent6"/>
          <w:left w:val="single" w:sz="4" w:space="0" w:color="F0AE81" w:themeColor="accent6"/>
          <w:bottom w:val="single" w:sz="4" w:space="0" w:color="F0AE81" w:themeColor="accent6"/>
          <w:right w:val="single" w:sz="4" w:space="0" w:color="F0AE81" w:themeColor="accent6"/>
          <w:insideH w:val="nil"/>
        </w:tcBorders>
        <w:shd w:val="clear" w:color="auto" w:fill="F0AE81" w:themeFill="accent6"/>
      </w:tcPr>
    </w:tblStylePr>
    <w:tblStylePr w:type="lastRow">
      <w:rPr>
        <w:b/>
        <w:bCs/>
      </w:rPr>
      <w:tblPr/>
      <w:tcPr>
        <w:tcBorders>
          <w:top w:val="double" w:sz="4" w:space="0" w:color="F6CEB3" w:themeColor="accent6" w:themeTint="99"/>
        </w:tcBorders>
      </w:tcPr>
    </w:tblStylePr>
    <w:tblStylePr w:type="firstCol">
      <w:rPr>
        <w:b/>
        <w:bCs/>
      </w:rPr>
    </w:tblStylePr>
    <w:tblStylePr w:type="lastCol">
      <w:rPr>
        <w:b/>
        <w:bCs/>
      </w:rPr>
    </w:tblStylePr>
    <w:tblStylePr w:type="band1Vert">
      <w:tblPr/>
      <w:tcPr>
        <w:shd w:val="clear" w:color="auto" w:fill="FCEEE5" w:themeFill="accent6" w:themeFillTint="33"/>
      </w:tcPr>
    </w:tblStylePr>
    <w:tblStylePr w:type="band1Horz">
      <w:tblPr/>
      <w:tcPr>
        <w:shd w:val="clear" w:color="auto" w:fill="FCEEE5" w:themeFill="accent6" w:themeFillTint="33"/>
      </w:tcPr>
    </w:tblStylePr>
  </w:style>
  <w:style w:type="character" w:customStyle="1" w:styleId="NoSpacingChar">
    <w:name w:val="No Spacing Char"/>
    <w:basedOn w:val="DefaultParagraphFont"/>
    <w:link w:val="NoSpacing"/>
    <w:uiPriority w:val="1"/>
    <w:rsid w:val="00255CFE"/>
    <w:rPr>
      <w:rFonts w:eastAsiaTheme="minorEastAsia"/>
      <w:lang w:val="en-US"/>
    </w:rPr>
  </w:style>
  <w:style w:type="character" w:styleId="PageNumber">
    <w:name w:val="page number"/>
    <w:basedOn w:val="DefaultParagraphFont"/>
    <w:rsid w:val="00255CFE"/>
  </w:style>
  <w:style w:type="numbering" w:customStyle="1" w:styleId="StyleBulletedSymbolsymbol11ptLeft4cmHanging05">
    <w:name w:val="Style Bulleted Symbol (symbol) 11 pt Left:  4 cm Hanging:  0.5 ..."/>
    <w:basedOn w:val="NoList"/>
    <w:rsid w:val="00255CFE"/>
    <w:pPr>
      <w:numPr>
        <w:numId w:val="10"/>
      </w:numPr>
    </w:pPr>
  </w:style>
  <w:style w:type="numbering" w:customStyle="1" w:styleId="StyleBulletedSymbolsymbol11ptLeft4cmHanging051">
    <w:name w:val="Style Bulleted Symbol (symbol) 11 pt Left:  4 cm Hanging:  0.5 ...1"/>
    <w:basedOn w:val="NoList"/>
    <w:rsid w:val="00255CFE"/>
    <w:pPr>
      <w:numPr>
        <w:numId w:val="11"/>
      </w:numPr>
    </w:pPr>
  </w:style>
  <w:style w:type="paragraph" w:customStyle="1" w:styleId="Tableheading">
    <w:name w:val="Table heading"/>
    <w:basedOn w:val="Normal"/>
    <w:rsid w:val="00255CFE"/>
    <w:pPr>
      <w:keepLines/>
      <w:jc w:val="center"/>
    </w:pPr>
    <w:rPr>
      <w:b/>
    </w:rPr>
  </w:style>
  <w:style w:type="paragraph" w:customStyle="1" w:styleId="TableText">
    <w:name w:val="Table Text"/>
    <w:basedOn w:val="Normal"/>
    <w:rsid w:val="00255CFE"/>
    <w:pPr>
      <w:spacing w:before="100" w:line="264" w:lineRule="auto"/>
    </w:pPr>
    <w:rPr>
      <w:rFonts w:eastAsia="Batang" w:cstheme="minorBidi"/>
      <w:sz w:val="24"/>
    </w:rPr>
  </w:style>
  <w:style w:type="paragraph" w:customStyle="1" w:styleId="Tabletext0">
    <w:name w:val="Table text"/>
    <w:basedOn w:val="Normal"/>
    <w:link w:val="TabletextChar"/>
    <w:rsid w:val="00255CFE"/>
    <w:pPr>
      <w:spacing w:before="80" w:after="80"/>
    </w:pPr>
    <w:rPr>
      <w:rFonts w:ascii="Univers 45 Light" w:hAnsi="Univers 45 Light"/>
      <w:sz w:val="19"/>
    </w:rPr>
  </w:style>
  <w:style w:type="character" w:customStyle="1" w:styleId="TabletextChar">
    <w:name w:val="Table text Char"/>
    <w:basedOn w:val="DefaultParagraphFont"/>
    <w:link w:val="Tabletext0"/>
    <w:rsid w:val="00255CFE"/>
    <w:rPr>
      <w:rFonts w:ascii="Univers 45 Light" w:eastAsia="Times New Roman" w:hAnsi="Univers 45 Light" w:cs="Times New Roman"/>
      <w:kern w:val="18"/>
      <w:sz w:val="19"/>
      <w:szCs w:val="20"/>
      <w:lang w:eastAsia="en-AU"/>
    </w:rPr>
  </w:style>
  <w:style w:type="paragraph" w:customStyle="1" w:styleId="Chart">
    <w:name w:val="Chart"/>
    <w:basedOn w:val="Normal"/>
    <w:qFormat/>
    <w:rsid w:val="00255CFE"/>
    <w:pPr>
      <w:keepNext/>
      <w:jc w:val="center"/>
    </w:pPr>
    <w:rPr>
      <w:noProof/>
      <w:sz w:val="20"/>
    </w:rPr>
  </w:style>
  <w:style w:type="paragraph" w:customStyle="1" w:styleId="Charttitle">
    <w:name w:val="Chart title"/>
    <w:basedOn w:val="Normal"/>
    <w:qFormat/>
    <w:rsid w:val="00255CFE"/>
    <w:pPr>
      <w:keepNext/>
      <w:spacing w:before="240"/>
      <w:jc w:val="center"/>
    </w:pPr>
    <w:rPr>
      <w:rFonts w:eastAsiaTheme="minorHAnsi"/>
      <w:b/>
      <w:lang w:eastAsia="en-US"/>
    </w:rPr>
  </w:style>
  <w:style w:type="paragraph" w:customStyle="1" w:styleId="Chartsource">
    <w:name w:val="Chart source"/>
    <w:basedOn w:val="Normal"/>
    <w:qFormat/>
    <w:rsid w:val="00255CFE"/>
    <w:pPr>
      <w:keepNext/>
      <w:spacing w:before="0" w:after="0"/>
    </w:pPr>
    <w:rPr>
      <w:sz w:val="16"/>
    </w:rPr>
  </w:style>
  <w:style w:type="character" w:styleId="SubtleReference">
    <w:name w:val="Subtle Reference"/>
    <w:basedOn w:val="DefaultParagraphFont"/>
    <w:uiPriority w:val="31"/>
    <w:rsid w:val="00255CFE"/>
    <w:rPr>
      <w:smallCaps/>
      <w:color w:val="5A5A5A" w:themeColor="text1" w:themeTint="A5"/>
    </w:rPr>
  </w:style>
  <w:style w:type="paragraph" w:customStyle="1" w:styleId="Editorname">
    <w:name w:val="Editor name"/>
    <w:qFormat/>
    <w:rsid w:val="00255CFE"/>
    <w:pPr>
      <w:spacing w:after="0" w:line="240" w:lineRule="auto"/>
    </w:pPr>
    <w:rPr>
      <w:rFonts w:ascii="Calibri Light" w:eastAsiaTheme="majorEastAsia" w:hAnsi="Calibri Light" w:cstheme="majorBidi"/>
      <w:iCs/>
      <w:color w:val="2C384A" w:themeColor="accent1"/>
      <w:sz w:val="28"/>
      <w:szCs w:val="44"/>
      <w:lang w:eastAsia="en-AU"/>
    </w:rPr>
  </w:style>
  <w:style w:type="paragraph" w:customStyle="1" w:styleId="Authornameunderlined">
    <w:name w:val="Author name (underlined)"/>
    <w:basedOn w:val="Normal"/>
    <w:qFormat/>
    <w:rsid w:val="00266FDF"/>
    <w:pPr>
      <w:pBdr>
        <w:bottom w:val="single" w:sz="4" w:space="7" w:color="D9D9D9" w:themeColor="background1" w:themeShade="D9"/>
      </w:pBdr>
      <w:spacing w:before="0" w:after="240"/>
    </w:pPr>
    <w:rPr>
      <w:rFonts w:asciiTheme="majorHAnsi" w:hAnsiTheme="majorHAnsi" w:cstheme="majorHAnsi"/>
    </w:rPr>
  </w:style>
  <w:style w:type="paragraph" w:styleId="EndnoteText">
    <w:name w:val="endnote text"/>
    <w:basedOn w:val="Normal"/>
    <w:link w:val="EndnoteTextChar"/>
    <w:uiPriority w:val="99"/>
    <w:semiHidden/>
    <w:unhideWhenUsed/>
    <w:rsid w:val="00034E74"/>
    <w:pPr>
      <w:spacing w:before="0" w:after="0"/>
    </w:pPr>
    <w:rPr>
      <w:sz w:val="20"/>
    </w:rPr>
  </w:style>
  <w:style w:type="character" w:customStyle="1" w:styleId="EndnoteTextChar">
    <w:name w:val="Endnote Text Char"/>
    <w:basedOn w:val="DefaultParagraphFont"/>
    <w:link w:val="EndnoteText"/>
    <w:uiPriority w:val="99"/>
    <w:semiHidden/>
    <w:rsid w:val="00034E74"/>
    <w:rPr>
      <w:rFonts w:ascii="Calibri" w:eastAsia="Times New Roman" w:hAnsi="Calibri" w:cs="Times New Roman"/>
      <w:sz w:val="20"/>
      <w:szCs w:val="20"/>
      <w:lang w:eastAsia="en-AU"/>
    </w:rPr>
  </w:style>
  <w:style w:type="character" w:styleId="EndnoteReference">
    <w:name w:val="endnote reference"/>
    <w:basedOn w:val="DefaultParagraphFont"/>
    <w:uiPriority w:val="99"/>
    <w:semiHidden/>
    <w:unhideWhenUsed/>
    <w:rsid w:val="00034E74"/>
    <w:rPr>
      <w:vertAlign w:val="superscript"/>
    </w:rPr>
  </w:style>
  <w:style w:type="paragraph" w:customStyle="1" w:styleId="ChartTableFigureNoteorSource">
    <w:name w:val="Chart Table Figure Note or Source"/>
    <w:next w:val="Normal"/>
    <w:rsid w:val="00255CFE"/>
    <w:pPr>
      <w:spacing w:before="60" w:after="0" w:line="240" w:lineRule="auto"/>
      <w:ind w:left="709" w:hanging="709"/>
    </w:pPr>
    <w:rPr>
      <w:rFonts w:ascii="Calibri" w:eastAsia="Times New Roman" w:hAnsi="Calibri" w:cs="Times New Roman"/>
      <w:color w:val="000000"/>
      <w:sz w:val="18"/>
      <w:szCs w:val="20"/>
      <w:lang w:eastAsia="en-AU"/>
    </w:rPr>
  </w:style>
  <w:style w:type="character" w:customStyle="1" w:styleId="OutlineNumbered1Char">
    <w:name w:val="Outline Numbered 1 Char"/>
    <w:basedOn w:val="DefaultParagraphFont"/>
    <w:link w:val="OutlineNumbered1"/>
    <w:rsid w:val="00255CFE"/>
    <w:rPr>
      <w:rFonts w:eastAsia="Times New Roman" w:cs="Times New Roman"/>
      <w:kern w:val="16"/>
      <w:szCs w:val="20"/>
      <w:lang w:eastAsia="en-AU"/>
    </w:rPr>
  </w:style>
  <w:style w:type="character" w:customStyle="1" w:styleId="OutlineNumbered2Char">
    <w:name w:val="Outline Numbered 2 Char"/>
    <w:basedOn w:val="DefaultParagraphFont"/>
    <w:link w:val="OutlineNumbered2"/>
    <w:rsid w:val="00255CFE"/>
    <w:rPr>
      <w:rFonts w:ascii="Calibri Light" w:eastAsia="Times New Roman" w:hAnsi="Calibri Light" w:cs="Times New Roman"/>
      <w:color w:val="004A7F"/>
      <w:kern w:val="16"/>
      <w:sz w:val="20"/>
      <w:szCs w:val="20"/>
      <w:lang w:eastAsia="en-AU"/>
    </w:rPr>
  </w:style>
  <w:style w:type="character" w:customStyle="1" w:styleId="OutlineNumbered3Char">
    <w:name w:val="Outline Numbered 3 Char"/>
    <w:basedOn w:val="DefaultParagraphFont"/>
    <w:link w:val="OutlineNumbered3"/>
    <w:rsid w:val="00255CFE"/>
    <w:rPr>
      <w:rFonts w:ascii="Calibri Light" w:eastAsia="Times New Roman" w:hAnsi="Calibri Light" w:cs="Times New Roman"/>
      <w:color w:val="004A7F"/>
      <w:kern w:val="16"/>
      <w:sz w:val="20"/>
      <w:szCs w:val="20"/>
      <w:lang w:eastAsia="en-AU"/>
    </w:rPr>
  </w:style>
  <w:style w:type="paragraph" w:styleId="Index3">
    <w:name w:val="index 3"/>
    <w:basedOn w:val="Normal"/>
    <w:next w:val="Normal"/>
    <w:autoRedefine/>
    <w:uiPriority w:val="99"/>
    <w:unhideWhenUsed/>
    <w:rsid w:val="00255CFE"/>
    <w:pPr>
      <w:spacing w:before="0" w:after="0"/>
      <w:ind w:left="66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257628">
      <w:bodyDiv w:val="1"/>
      <w:marLeft w:val="0"/>
      <w:marRight w:val="0"/>
      <w:marTop w:val="0"/>
      <w:marBottom w:val="0"/>
      <w:divBdr>
        <w:top w:val="none" w:sz="0" w:space="0" w:color="auto"/>
        <w:left w:val="none" w:sz="0" w:space="0" w:color="auto"/>
        <w:bottom w:val="none" w:sz="0" w:space="0" w:color="auto"/>
        <w:right w:val="none" w:sz="0" w:space="0" w:color="auto"/>
      </w:divBdr>
    </w:div>
    <w:div w:id="316419182">
      <w:bodyDiv w:val="1"/>
      <w:marLeft w:val="0"/>
      <w:marRight w:val="0"/>
      <w:marTop w:val="0"/>
      <w:marBottom w:val="0"/>
      <w:divBdr>
        <w:top w:val="none" w:sz="0" w:space="0" w:color="auto"/>
        <w:left w:val="none" w:sz="0" w:space="0" w:color="auto"/>
        <w:bottom w:val="none" w:sz="0" w:space="0" w:color="auto"/>
        <w:right w:val="none" w:sz="0" w:space="0" w:color="auto"/>
      </w:divBdr>
    </w:div>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810555610">
      <w:bodyDiv w:val="1"/>
      <w:marLeft w:val="0"/>
      <w:marRight w:val="0"/>
      <w:marTop w:val="0"/>
      <w:marBottom w:val="0"/>
      <w:divBdr>
        <w:top w:val="none" w:sz="0" w:space="0" w:color="auto"/>
        <w:left w:val="none" w:sz="0" w:space="0" w:color="auto"/>
        <w:bottom w:val="none" w:sz="0" w:space="0" w:color="auto"/>
        <w:right w:val="none" w:sz="0" w:space="0" w:color="auto"/>
      </w:divBdr>
    </w:div>
    <w:div w:id="876314056">
      <w:bodyDiv w:val="1"/>
      <w:marLeft w:val="0"/>
      <w:marRight w:val="0"/>
      <w:marTop w:val="0"/>
      <w:marBottom w:val="0"/>
      <w:divBdr>
        <w:top w:val="none" w:sz="0" w:space="0" w:color="auto"/>
        <w:left w:val="none" w:sz="0" w:space="0" w:color="auto"/>
        <w:bottom w:val="none" w:sz="0" w:space="0" w:color="auto"/>
        <w:right w:val="none" w:sz="0" w:space="0" w:color="auto"/>
      </w:divBdr>
    </w:div>
    <w:div w:id="883638989">
      <w:bodyDiv w:val="1"/>
      <w:marLeft w:val="0"/>
      <w:marRight w:val="0"/>
      <w:marTop w:val="0"/>
      <w:marBottom w:val="0"/>
      <w:divBdr>
        <w:top w:val="none" w:sz="0" w:space="0" w:color="auto"/>
        <w:left w:val="none" w:sz="0" w:space="0" w:color="auto"/>
        <w:bottom w:val="none" w:sz="0" w:space="0" w:color="auto"/>
        <w:right w:val="none" w:sz="0" w:space="0" w:color="auto"/>
      </w:divBdr>
    </w:div>
    <w:div w:id="1085496491">
      <w:bodyDiv w:val="1"/>
      <w:marLeft w:val="0"/>
      <w:marRight w:val="0"/>
      <w:marTop w:val="0"/>
      <w:marBottom w:val="0"/>
      <w:divBdr>
        <w:top w:val="none" w:sz="0" w:space="0" w:color="auto"/>
        <w:left w:val="none" w:sz="0" w:space="0" w:color="auto"/>
        <w:bottom w:val="none" w:sz="0" w:space="0" w:color="auto"/>
        <w:right w:val="none" w:sz="0" w:space="0" w:color="auto"/>
      </w:divBdr>
    </w:div>
    <w:div w:id="1164200701">
      <w:bodyDiv w:val="1"/>
      <w:marLeft w:val="0"/>
      <w:marRight w:val="0"/>
      <w:marTop w:val="0"/>
      <w:marBottom w:val="0"/>
      <w:divBdr>
        <w:top w:val="none" w:sz="0" w:space="0" w:color="auto"/>
        <w:left w:val="none" w:sz="0" w:space="0" w:color="auto"/>
        <w:bottom w:val="none" w:sz="0" w:space="0" w:color="auto"/>
        <w:right w:val="none" w:sz="0" w:space="0" w:color="auto"/>
      </w:divBdr>
    </w:div>
    <w:div w:id="1816100029">
      <w:bodyDiv w:val="1"/>
      <w:marLeft w:val="0"/>
      <w:marRight w:val="0"/>
      <w:marTop w:val="0"/>
      <w:marBottom w:val="0"/>
      <w:divBdr>
        <w:top w:val="none" w:sz="0" w:space="0" w:color="auto"/>
        <w:left w:val="none" w:sz="0" w:space="0" w:color="auto"/>
        <w:bottom w:val="none" w:sz="0" w:space="0" w:color="auto"/>
        <w:right w:val="none" w:sz="0" w:space="0" w:color="auto"/>
      </w:divBdr>
    </w:div>
    <w:div w:id="1887520768">
      <w:bodyDiv w:val="1"/>
      <w:marLeft w:val="0"/>
      <w:marRight w:val="0"/>
      <w:marTop w:val="0"/>
      <w:marBottom w:val="0"/>
      <w:divBdr>
        <w:top w:val="none" w:sz="0" w:space="0" w:color="auto"/>
        <w:left w:val="none" w:sz="0" w:space="0" w:color="auto"/>
        <w:bottom w:val="none" w:sz="0" w:space="0" w:color="auto"/>
        <w:right w:val="none" w:sz="0" w:space="0" w:color="auto"/>
      </w:divBdr>
    </w:div>
    <w:div w:id="202632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6.svg"/><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8.sv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robodebt.royalcommission.gov.au/publications/professorpeterwhitefordreportrobodebtroyalcommission" TargetMode="External"/><Relationship Id="rId1" Type="http://schemas.openxmlformats.org/officeDocument/2006/relationships/hyperlink" Target="https://treasury.gov.au/speech/opening-statement-economics-legislation-committe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charts/_rels/chart1.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0115508224243323E-2"/>
          <c:y val="9.5846913580246912E-2"/>
          <c:w val="0.90352822560878543"/>
          <c:h val="0.76168549382716044"/>
        </c:manualLayout>
      </c:layout>
      <c:areaChart>
        <c:grouping val="stacked"/>
        <c:varyColors val="0"/>
        <c:ser>
          <c:idx val="6"/>
          <c:order val="2"/>
          <c:tx>
            <c:v>JobSeeker Payment</c:v>
          </c:tx>
          <c:spPr>
            <a:solidFill>
              <a:srgbClr val="BE5154"/>
            </a:solidFill>
            <a:ln>
              <a:noFill/>
            </a:ln>
            <a:effectLst/>
          </c:spPr>
          <c:cat>
            <c:numRef>
              <c:f>'JOBSEEKER EMTR'!$C$2:$C$3000</c:f>
              <c:numCache>
                <c:formatCode>General</c:formatCode>
                <c:ptCount val="2999"/>
                <c:pt idx="0">
                  <c:v>100</c:v>
                </c:pt>
                <c:pt idx="1">
                  <c:v>3900</c:v>
                </c:pt>
                <c:pt idx="2">
                  <c:v>3900</c:v>
                </c:pt>
                <c:pt idx="3">
                  <c:v>6600</c:v>
                </c:pt>
                <c:pt idx="4">
                  <c:v>6600</c:v>
                </c:pt>
                <c:pt idx="5">
                  <c:v>6700</c:v>
                </c:pt>
                <c:pt idx="6">
                  <c:v>6700</c:v>
                </c:pt>
                <c:pt idx="7">
                  <c:v>8300</c:v>
                </c:pt>
                <c:pt idx="8">
                  <c:v>8300</c:v>
                </c:pt>
                <c:pt idx="9">
                  <c:v>8400</c:v>
                </c:pt>
                <c:pt idx="10">
                  <c:v>8400</c:v>
                </c:pt>
                <c:pt idx="11">
                  <c:v>14800</c:v>
                </c:pt>
                <c:pt idx="12">
                  <c:v>14800</c:v>
                </c:pt>
                <c:pt idx="13">
                  <c:v>14900</c:v>
                </c:pt>
                <c:pt idx="14">
                  <c:v>14900</c:v>
                </c:pt>
                <c:pt idx="15">
                  <c:v>22900</c:v>
                </c:pt>
                <c:pt idx="16">
                  <c:v>22900</c:v>
                </c:pt>
                <c:pt idx="17">
                  <c:v>23000</c:v>
                </c:pt>
                <c:pt idx="18">
                  <c:v>23000</c:v>
                </c:pt>
                <c:pt idx="19">
                  <c:v>23300</c:v>
                </c:pt>
                <c:pt idx="20">
                  <c:v>23300</c:v>
                </c:pt>
                <c:pt idx="21">
                  <c:v>23400</c:v>
                </c:pt>
                <c:pt idx="22">
                  <c:v>23400</c:v>
                </c:pt>
                <c:pt idx="23">
                  <c:v>33300</c:v>
                </c:pt>
                <c:pt idx="24">
                  <c:v>33300</c:v>
                </c:pt>
                <c:pt idx="25">
                  <c:v>33400</c:v>
                </c:pt>
                <c:pt idx="26">
                  <c:v>33400</c:v>
                </c:pt>
                <c:pt idx="27">
                  <c:v>33600</c:v>
                </c:pt>
                <c:pt idx="28">
                  <c:v>33600</c:v>
                </c:pt>
                <c:pt idx="29">
                  <c:v>33700</c:v>
                </c:pt>
                <c:pt idx="30">
                  <c:v>33700</c:v>
                </c:pt>
                <c:pt idx="31">
                  <c:v>33800</c:v>
                </c:pt>
                <c:pt idx="32">
                  <c:v>33800</c:v>
                </c:pt>
                <c:pt idx="33">
                  <c:v>37500</c:v>
                </c:pt>
                <c:pt idx="34">
                  <c:v>37500</c:v>
                </c:pt>
                <c:pt idx="35">
                  <c:v>45000</c:v>
                </c:pt>
                <c:pt idx="36">
                  <c:v>45000</c:v>
                </c:pt>
                <c:pt idx="37">
                  <c:v>66600</c:v>
                </c:pt>
                <c:pt idx="38">
                  <c:v>66600</c:v>
                </c:pt>
                <c:pt idx="39">
                  <c:v>66700</c:v>
                </c:pt>
                <c:pt idx="40">
                  <c:v>66700</c:v>
                </c:pt>
                <c:pt idx="41">
                  <c:v>120000</c:v>
                </c:pt>
                <c:pt idx="42">
                  <c:v>120000</c:v>
                </c:pt>
                <c:pt idx="43">
                  <c:v>124900</c:v>
                </c:pt>
              </c:numCache>
            </c:numRef>
          </c:cat>
          <c:val>
            <c:numRef>
              <c:f>'JOBSEEKER EMTR'!$J$2:$J$3000</c:f>
              <c:numCache>
                <c:formatCode>General</c:formatCode>
                <c:ptCount val="2999"/>
                <c:pt idx="0">
                  <c:v>0</c:v>
                </c:pt>
                <c:pt idx="1">
                  <c:v>0</c:v>
                </c:pt>
                <c:pt idx="2">
                  <c:v>50</c:v>
                </c:pt>
                <c:pt idx="3">
                  <c:v>50</c:v>
                </c:pt>
                <c:pt idx="4">
                  <c:v>54.399999999999636</c:v>
                </c:pt>
                <c:pt idx="5">
                  <c:v>54.399999999999636</c:v>
                </c:pt>
                <c:pt idx="6">
                  <c:v>60</c:v>
                </c:pt>
                <c:pt idx="7">
                  <c:v>60</c:v>
                </c:pt>
                <c:pt idx="8">
                  <c:v>59.999999999998174</c:v>
                </c:pt>
                <c:pt idx="9">
                  <c:v>59.999999999998174</c:v>
                </c:pt>
                <c:pt idx="10">
                  <c:v>60.000000000001819</c:v>
                </c:pt>
                <c:pt idx="11">
                  <c:v>60.000000000001819</c:v>
                </c:pt>
                <c:pt idx="12">
                  <c:v>60</c:v>
                </c:pt>
                <c:pt idx="13">
                  <c:v>60</c:v>
                </c:pt>
                <c:pt idx="14">
                  <c:v>60</c:v>
                </c:pt>
                <c:pt idx="15">
                  <c:v>60</c:v>
                </c:pt>
                <c:pt idx="16">
                  <c:v>60</c:v>
                </c:pt>
                <c:pt idx="17">
                  <c:v>60</c:v>
                </c:pt>
                <c:pt idx="18">
                  <c:v>60</c:v>
                </c:pt>
                <c:pt idx="19">
                  <c:v>60</c:v>
                </c:pt>
                <c:pt idx="20">
                  <c:v>59.999999999999091</c:v>
                </c:pt>
                <c:pt idx="21">
                  <c:v>59.999999999999091</c:v>
                </c:pt>
                <c:pt idx="22">
                  <c:v>60</c:v>
                </c:pt>
                <c:pt idx="23">
                  <c:v>60</c:v>
                </c:pt>
                <c:pt idx="24">
                  <c:v>60.000000000000057</c:v>
                </c:pt>
                <c:pt idx="25">
                  <c:v>60.000000000000057</c:v>
                </c:pt>
                <c:pt idx="26">
                  <c:v>60.000000000001819</c:v>
                </c:pt>
                <c:pt idx="27">
                  <c:v>60.000000000001819</c:v>
                </c:pt>
                <c:pt idx="28">
                  <c:v>55.499199999996563</c:v>
                </c:pt>
                <c:pt idx="29">
                  <c:v>55.499199999996563</c:v>
                </c:pt>
                <c:pt idx="30">
                  <c:v>26</c:v>
                </c:pt>
                <c:pt idx="31">
                  <c:v>26</c:v>
                </c:pt>
                <c:pt idx="32">
                  <c:v>0</c:v>
                </c:pt>
                <c:pt idx="33">
                  <c:v>0</c:v>
                </c:pt>
                <c:pt idx="34">
                  <c:v>0</c:v>
                </c:pt>
                <c:pt idx="35">
                  <c:v>0</c:v>
                </c:pt>
                <c:pt idx="36">
                  <c:v>0</c:v>
                </c:pt>
                <c:pt idx="37">
                  <c:v>0</c:v>
                </c:pt>
                <c:pt idx="38">
                  <c:v>0</c:v>
                </c:pt>
                <c:pt idx="39">
                  <c:v>0</c:v>
                </c:pt>
                <c:pt idx="40">
                  <c:v>0</c:v>
                </c:pt>
                <c:pt idx="41">
                  <c:v>0</c:v>
                </c:pt>
                <c:pt idx="42">
                  <c:v>0</c:v>
                </c:pt>
                <c:pt idx="43">
                  <c:v>0</c:v>
                </c:pt>
              </c:numCache>
            </c:numRef>
          </c:val>
          <c:extLst>
            <c:ext xmlns:c16="http://schemas.microsoft.com/office/drawing/2014/chart" uri="{C3380CC4-5D6E-409C-BE32-E72D297353CC}">
              <c16:uniqueId val="{00000000-AB78-4065-B8AF-179273607188}"/>
            </c:ext>
          </c:extLst>
        </c:ser>
        <c:ser>
          <c:idx val="11"/>
          <c:order val="7"/>
          <c:tx>
            <c:v>Income tax</c:v>
          </c:tx>
          <c:spPr>
            <a:solidFill>
              <a:srgbClr val="213657"/>
            </a:solidFill>
            <a:ln>
              <a:noFill/>
            </a:ln>
            <a:effectLst/>
          </c:spPr>
          <c:cat>
            <c:numRef>
              <c:f>'JOBSEEKER EMTR'!$C$2:$C$3000</c:f>
              <c:numCache>
                <c:formatCode>General</c:formatCode>
                <c:ptCount val="2999"/>
                <c:pt idx="0">
                  <c:v>100</c:v>
                </c:pt>
                <c:pt idx="1">
                  <c:v>3900</c:v>
                </c:pt>
                <c:pt idx="2">
                  <c:v>3900</c:v>
                </c:pt>
                <c:pt idx="3">
                  <c:v>6600</c:v>
                </c:pt>
                <c:pt idx="4">
                  <c:v>6600</c:v>
                </c:pt>
                <c:pt idx="5">
                  <c:v>6700</c:v>
                </c:pt>
                <c:pt idx="6">
                  <c:v>6700</c:v>
                </c:pt>
                <c:pt idx="7">
                  <c:v>8300</c:v>
                </c:pt>
                <c:pt idx="8">
                  <c:v>8300</c:v>
                </c:pt>
                <c:pt idx="9">
                  <c:v>8400</c:v>
                </c:pt>
                <c:pt idx="10">
                  <c:v>8400</c:v>
                </c:pt>
                <c:pt idx="11">
                  <c:v>14800</c:v>
                </c:pt>
                <c:pt idx="12">
                  <c:v>14800</c:v>
                </c:pt>
                <c:pt idx="13">
                  <c:v>14900</c:v>
                </c:pt>
                <c:pt idx="14">
                  <c:v>14900</c:v>
                </c:pt>
                <c:pt idx="15">
                  <c:v>22900</c:v>
                </c:pt>
                <c:pt idx="16">
                  <c:v>22900</c:v>
                </c:pt>
                <c:pt idx="17">
                  <c:v>23000</c:v>
                </c:pt>
                <c:pt idx="18">
                  <c:v>23000</c:v>
                </c:pt>
                <c:pt idx="19">
                  <c:v>23300</c:v>
                </c:pt>
                <c:pt idx="20">
                  <c:v>23300</c:v>
                </c:pt>
                <c:pt idx="21">
                  <c:v>23400</c:v>
                </c:pt>
                <c:pt idx="22">
                  <c:v>23400</c:v>
                </c:pt>
                <c:pt idx="23">
                  <c:v>33300</c:v>
                </c:pt>
                <c:pt idx="24">
                  <c:v>33300</c:v>
                </c:pt>
                <c:pt idx="25">
                  <c:v>33400</c:v>
                </c:pt>
                <c:pt idx="26">
                  <c:v>33400</c:v>
                </c:pt>
                <c:pt idx="27">
                  <c:v>33600</c:v>
                </c:pt>
                <c:pt idx="28">
                  <c:v>33600</c:v>
                </c:pt>
                <c:pt idx="29">
                  <c:v>33700</c:v>
                </c:pt>
                <c:pt idx="30">
                  <c:v>33700</c:v>
                </c:pt>
                <c:pt idx="31">
                  <c:v>33800</c:v>
                </c:pt>
                <c:pt idx="32">
                  <c:v>33800</c:v>
                </c:pt>
                <c:pt idx="33">
                  <c:v>37500</c:v>
                </c:pt>
                <c:pt idx="34">
                  <c:v>37500</c:v>
                </c:pt>
                <c:pt idx="35">
                  <c:v>45000</c:v>
                </c:pt>
                <c:pt idx="36">
                  <c:v>45000</c:v>
                </c:pt>
                <c:pt idx="37">
                  <c:v>66600</c:v>
                </c:pt>
                <c:pt idx="38">
                  <c:v>66600</c:v>
                </c:pt>
                <c:pt idx="39">
                  <c:v>66700</c:v>
                </c:pt>
                <c:pt idx="40">
                  <c:v>66700</c:v>
                </c:pt>
                <c:pt idx="41">
                  <c:v>120000</c:v>
                </c:pt>
                <c:pt idx="42">
                  <c:v>120000</c:v>
                </c:pt>
                <c:pt idx="43">
                  <c:v>124900</c:v>
                </c:pt>
              </c:numCache>
            </c:numRef>
          </c:cat>
          <c:val>
            <c:numRef>
              <c:f>'JOBSEEKER EMTR'!$P$2:$P$3000</c:f>
              <c:numCache>
                <c:formatCode>General</c:formatCode>
                <c:ptCount val="2999"/>
                <c:pt idx="0">
                  <c:v>0</c:v>
                </c:pt>
                <c:pt idx="1">
                  <c:v>0</c:v>
                </c:pt>
                <c:pt idx="2">
                  <c:v>0</c:v>
                </c:pt>
                <c:pt idx="3">
                  <c:v>0</c:v>
                </c:pt>
                <c:pt idx="4">
                  <c:v>0</c:v>
                </c:pt>
                <c:pt idx="5">
                  <c:v>0</c:v>
                </c:pt>
                <c:pt idx="6">
                  <c:v>0</c:v>
                </c:pt>
                <c:pt idx="7">
                  <c:v>0</c:v>
                </c:pt>
                <c:pt idx="8">
                  <c:v>0</c:v>
                </c:pt>
                <c:pt idx="9">
                  <c:v>0</c:v>
                </c:pt>
                <c:pt idx="10">
                  <c:v>0</c:v>
                </c:pt>
                <c:pt idx="11">
                  <c:v>0</c:v>
                </c:pt>
                <c:pt idx="12">
                  <c:v>7.5999999999999099</c:v>
                </c:pt>
                <c:pt idx="13">
                  <c:v>7.5999999999999099</c:v>
                </c:pt>
                <c:pt idx="14">
                  <c:v>7.6000000000001355</c:v>
                </c:pt>
                <c:pt idx="15">
                  <c:v>7.6000000000001355</c:v>
                </c:pt>
                <c:pt idx="16">
                  <c:v>7.5999999999999099</c:v>
                </c:pt>
                <c:pt idx="17">
                  <c:v>7.5999999999999099</c:v>
                </c:pt>
                <c:pt idx="18">
                  <c:v>7.5999999999999099</c:v>
                </c:pt>
                <c:pt idx="19">
                  <c:v>7.5999999999999099</c:v>
                </c:pt>
                <c:pt idx="20">
                  <c:v>7.6000000000003638</c:v>
                </c:pt>
                <c:pt idx="21">
                  <c:v>7.6000000000003638</c:v>
                </c:pt>
                <c:pt idx="22">
                  <c:v>7.5999999999999099</c:v>
                </c:pt>
                <c:pt idx="23">
                  <c:v>7.5999999999999099</c:v>
                </c:pt>
                <c:pt idx="24">
                  <c:v>12.787151999999423</c:v>
                </c:pt>
                <c:pt idx="25">
                  <c:v>12.787151999999423</c:v>
                </c:pt>
                <c:pt idx="26">
                  <c:v>19</c:v>
                </c:pt>
                <c:pt idx="27">
                  <c:v>19</c:v>
                </c:pt>
                <c:pt idx="28">
                  <c:v>19</c:v>
                </c:pt>
                <c:pt idx="29">
                  <c:v>19</c:v>
                </c:pt>
                <c:pt idx="30">
                  <c:v>19</c:v>
                </c:pt>
                <c:pt idx="31">
                  <c:v>19</c:v>
                </c:pt>
                <c:pt idx="32">
                  <c:v>19</c:v>
                </c:pt>
                <c:pt idx="33">
                  <c:v>19</c:v>
                </c:pt>
                <c:pt idx="34">
                  <c:v>19</c:v>
                </c:pt>
                <c:pt idx="35">
                  <c:v>19</c:v>
                </c:pt>
                <c:pt idx="36">
                  <c:v>32.5</c:v>
                </c:pt>
                <c:pt idx="37">
                  <c:v>32.5</c:v>
                </c:pt>
                <c:pt idx="38">
                  <c:v>32.5</c:v>
                </c:pt>
                <c:pt idx="39">
                  <c:v>32.5</c:v>
                </c:pt>
                <c:pt idx="40">
                  <c:v>32.5</c:v>
                </c:pt>
                <c:pt idx="41">
                  <c:v>32.5</c:v>
                </c:pt>
                <c:pt idx="42">
                  <c:v>37</c:v>
                </c:pt>
                <c:pt idx="43">
                  <c:v>37</c:v>
                </c:pt>
              </c:numCache>
            </c:numRef>
          </c:val>
          <c:extLst>
            <c:ext xmlns:c16="http://schemas.microsoft.com/office/drawing/2014/chart" uri="{C3380CC4-5D6E-409C-BE32-E72D297353CC}">
              <c16:uniqueId val="{00000001-AB78-4065-B8AF-179273607188}"/>
            </c:ext>
          </c:extLst>
        </c:ser>
        <c:ser>
          <c:idx val="12"/>
          <c:order val="9"/>
          <c:tx>
            <c:strRef>
              <c:f>'JOBSEEKER EMTR'!$R$1</c:f>
              <c:strCache>
                <c:ptCount val="1"/>
                <c:pt idx="0">
                  <c:v>EMTR Used BENTO(u)</c:v>
                </c:pt>
              </c:strCache>
            </c:strRef>
          </c:tx>
          <c:spPr>
            <a:solidFill>
              <a:srgbClr val="213657"/>
            </a:solidFill>
            <a:ln>
              <a:noFill/>
            </a:ln>
            <a:effectLst/>
          </c:spPr>
          <c:cat>
            <c:numRef>
              <c:f>'JOBSEEKER EMTR'!$C$2:$C$3000</c:f>
              <c:numCache>
                <c:formatCode>General</c:formatCode>
                <c:ptCount val="2999"/>
                <c:pt idx="0">
                  <c:v>100</c:v>
                </c:pt>
                <c:pt idx="1">
                  <c:v>3900</c:v>
                </c:pt>
                <c:pt idx="2">
                  <c:v>3900</c:v>
                </c:pt>
                <c:pt idx="3">
                  <c:v>6600</c:v>
                </c:pt>
                <c:pt idx="4">
                  <c:v>6600</c:v>
                </c:pt>
                <c:pt idx="5">
                  <c:v>6700</c:v>
                </c:pt>
                <c:pt idx="6">
                  <c:v>6700</c:v>
                </c:pt>
                <c:pt idx="7">
                  <c:v>8300</c:v>
                </c:pt>
                <c:pt idx="8">
                  <c:v>8300</c:v>
                </c:pt>
                <c:pt idx="9">
                  <c:v>8400</c:v>
                </c:pt>
                <c:pt idx="10">
                  <c:v>8400</c:v>
                </c:pt>
                <c:pt idx="11">
                  <c:v>14800</c:v>
                </c:pt>
                <c:pt idx="12">
                  <c:v>14800</c:v>
                </c:pt>
                <c:pt idx="13">
                  <c:v>14900</c:v>
                </c:pt>
                <c:pt idx="14">
                  <c:v>14900</c:v>
                </c:pt>
                <c:pt idx="15">
                  <c:v>22900</c:v>
                </c:pt>
                <c:pt idx="16">
                  <c:v>22900</c:v>
                </c:pt>
                <c:pt idx="17">
                  <c:v>23000</c:v>
                </c:pt>
                <c:pt idx="18">
                  <c:v>23000</c:v>
                </c:pt>
                <c:pt idx="19">
                  <c:v>23300</c:v>
                </c:pt>
                <c:pt idx="20">
                  <c:v>23300</c:v>
                </c:pt>
                <c:pt idx="21">
                  <c:v>23400</c:v>
                </c:pt>
                <c:pt idx="22">
                  <c:v>23400</c:v>
                </c:pt>
                <c:pt idx="23">
                  <c:v>33300</c:v>
                </c:pt>
                <c:pt idx="24">
                  <c:v>33300</c:v>
                </c:pt>
                <c:pt idx="25">
                  <c:v>33400</c:v>
                </c:pt>
                <c:pt idx="26">
                  <c:v>33400</c:v>
                </c:pt>
                <c:pt idx="27">
                  <c:v>33600</c:v>
                </c:pt>
                <c:pt idx="28">
                  <c:v>33600</c:v>
                </c:pt>
                <c:pt idx="29">
                  <c:v>33700</c:v>
                </c:pt>
                <c:pt idx="30">
                  <c:v>33700</c:v>
                </c:pt>
                <c:pt idx="31">
                  <c:v>33800</c:v>
                </c:pt>
                <c:pt idx="32">
                  <c:v>33800</c:v>
                </c:pt>
                <c:pt idx="33">
                  <c:v>37500</c:v>
                </c:pt>
                <c:pt idx="34">
                  <c:v>37500</c:v>
                </c:pt>
                <c:pt idx="35">
                  <c:v>45000</c:v>
                </c:pt>
                <c:pt idx="36">
                  <c:v>45000</c:v>
                </c:pt>
                <c:pt idx="37">
                  <c:v>66600</c:v>
                </c:pt>
                <c:pt idx="38">
                  <c:v>66600</c:v>
                </c:pt>
                <c:pt idx="39">
                  <c:v>66700</c:v>
                </c:pt>
                <c:pt idx="40">
                  <c:v>66700</c:v>
                </c:pt>
                <c:pt idx="41">
                  <c:v>120000</c:v>
                </c:pt>
                <c:pt idx="42">
                  <c:v>120000</c:v>
                </c:pt>
                <c:pt idx="43">
                  <c:v>124900</c:v>
                </c:pt>
              </c:numCache>
            </c:numRef>
          </c:cat>
          <c:val>
            <c:numRef>
              <c:f>'JOBSEEKER EMTR'!$R$2:$R$3000</c:f>
              <c:numCache>
                <c:formatCode>General</c:formatCode>
                <c:ptCount val="2999"/>
                <c:pt idx="0">
                  <c:v>0</c:v>
                </c:pt>
                <c:pt idx="1">
                  <c:v>0</c:v>
                </c:pt>
                <c:pt idx="2">
                  <c:v>0</c:v>
                </c:pt>
                <c:pt idx="3">
                  <c:v>0</c:v>
                </c:pt>
                <c:pt idx="4">
                  <c:v>0</c:v>
                </c:pt>
                <c:pt idx="5">
                  <c:v>0</c:v>
                </c:pt>
                <c:pt idx="6">
                  <c:v>0</c:v>
                </c:pt>
                <c:pt idx="7">
                  <c:v>0</c:v>
                </c:pt>
                <c:pt idx="8">
                  <c:v>0</c:v>
                </c:pt>
                <c:pt idx="9">
                  <c:v>0</c:v>
                </c:pt>
                <c:pt idx="10">
                  <c:v>0</c:v>
                </c:pt>
                <c:pt idx="11">
                  <c:v>0</c:v>
                </c:pt>
                <c:pt idx="12">
                  <c:v>9</c:v>
                </c:pt>
                <c:pt idx="13">
                  <c:v>9</c:v>
                </c:pt>
                <c:pt idx="14">
                  <c:v>9</c:v>
                </c:pt>
                <c:pt idx="15">
                  <c:v>9</c:v>
                </c:pt>
                <c:pt idx="16">
                  <c:v>9</c:v>
                </c:pt>
                <c:pt idx="17">
                  <c:v>9</c:v>
                </c:pt>
                <c:pt idx="18">
                  <c:v>9</c:v>
                </c:pt>
                <c:pt idx="19">
                  <c:v>9</c:v>
                </c:pt>
                <c:pt idx="20">
                  <c:v>5</c:v>
                </c:pt>
                <c:pt idx="21">
                  <c:v>5</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numCache>
            </c:numRef>
          </c:val>
          <c:extLst>
            <c:ext xmlns:c16="http://schemas.microsoft.com/office/drawing/2014/chart" uri="{C3380CC4-5D6E-409C-BE32-E72D297353CC}">
              <c16:uniqueId val="{00000002-AB78-4065-B8AF-179273607188}"/>
            </c:ext>
          </c:extLst>
        </c:ser>
        <c:ser>
          <c:idx val="13"/>
          <c:order val="10"/>
          <c:tx>
            <c:strRef>
              <c:f>'JOBSEEKER EMTR'!$S$1</c:f>
              <c:strCache>
                <c:ptCount val="1"/>
                <c:pt idx="0">
                  <c:v>EMTR Used LITO(u)</c:v>
                </c:pt>
              </c:strCache>
            </c:strRef>
          </c:tx>
          <c:spPr>
            <a:solidFill>
              <a:srgbClr val="213657"/>
            </a:solidFill>
            <a:ln>
              <a:noFill/>
            </a:ln>
            <a:effectLst/>
          </c:spPr>
          <c:cat>
            <c:numRef>
              <c:f>'JOBSEEKER EMTR'!$C$2:$C$3000</c:f>
              <c:numCache>
                <c:formatCode>General</c:formatCode>
                <c:ptCount val="2999"/>
                <c:pt idx="0">
                  <c:v>100</c:v>
                </c:pt>
                <c:pt idx="1">
                  <c:v>3900</c:v>
                </c:pt>
                <c:pt idx="2">
                  <c:v>3900</c:v>
                </c:pt>
                <c:pt idx="3">
                  <c:v>6600</c:v>
                </c:pt>
                <c:pt idx="4">
                  <c:v>6600</c:v>
                </c:pt>
                <c:pt idx="5">
                  <c:v>6700</c:v>
                </c:pt>
                <c:pt idx="6">
                  <c:v>6700</c:v>
                </c:pt>
                <c:pt idx="7">
                  <c:v>8300</c:v>
                </c:pt>
                <c:pt idx="8">
                  <c:v>8300</c:v>
                </c:pt>
                <c:pt idx="9">
                  <c:v>8400</c:v>
                </c:pt>
                <c:pt idx="10">
                  <c:v>8400</c:v>
                </c:pt>
                <c:pt idx="11">
                  <c:v>14800</c:v>
                </c:pt>
                <c:pt idx="12">
                  <c:v>14800</c:v>
                </c:pt>
                <c:pt idx="13">
                  <c:v>14900</c:v>
                </c:pt>
                <c:pt idx="14">
                  <c:v>14900</c:v>
                </c:pt>
                <c:pt idx="15">
                  <c:v>22900</c:v>
                </c:pt>
                <c:pt idx="16">
                  <c:v>22900</c:v>
                </c:pt>
                <c:pt idx="17">
                  <c:v>23000</c:v>
                </c:pt>
                <c:pt idx="18">
                  <c:v>23000</c:v>
                </c:pt>
                <c:pt idx="19">
                  <c:v>23300</c:v>
                </c:pt>
                <c:pt idx="20">
                  <c:v>23300</c:v>
                </c:pt>
                <c:pt idx="21">
                  <c:v>23400</c:v>
                </c:pt>
                <c:pt idx="22">
                  <c:v>23400</c:v>
                </c:pt>
                <c:pt idx="23">
                  <c:v>33300</c:v>
                </c:pt>
                <c:pt idx="24">
                  <c:v>33300</c:v>
                </c:pt>
                <c:pt idx="25">
                  <c:v>33400</c:v>
                </c:pt>
                <c:pt idx="26">
                  <c:v>33400</c:v>
                </c:pt>
                <c:pt idx="27">
                  <c:v>33600</c:v>
                </c:pt>
                <c:pt idx="28">
                  <c:v>33600</c:v>
                </c:pt>
                <c:pt idx="29">
                  <c:v>33700</c:v>
                </c:pt>
                <c:pt idx="30">
                  <c:v>33700</c:v>
                </c:pt>
                <c:pt idx="31">
                  <c:v>33800</c:v>
                </c:pt>
                <c:pt idx="32">
                  <c:v>33800</c:v>
                </c:pt>
                <c:pt idx="33">
                  <c:v>37500</c:v>
                </c:pt>
                <c:pt idx="34">
                  <c:v>37500</c:v>
                </c:pt>
                <c:pt idx="35">
                  <c:v>45000</c:v>
                </c:pt>
                <c:pt idx="36">
                  <c:v>45000</c:v>
                </c:pt>
                <c:pt idx="37">
                  <c:v>66600</c:v>
                </c:pt>
                <c:pt idx="38">
                  <c:v>66600</c:v>
                </c:pt>
                <c:pt idx="39">
                  <c:v>66700</c:v>
                </c:pt>
                <c:pt idx="40">
                  <c:v>66700</c:v>
                </c:pt>
                <c:pt idx="41">
                  <c:v>120000</c:v>
                </c:pt>
                <c:pt idx="42">
                  <c:v>120000</c:v>
                </c:pt>
                <c:pt idx="43">
                  <c:v>124900</c:v>
                </c:pt>
              </c:numCache>
            </c:numRef>
          </c:cat>
          <c:val>
            <c:numRef>
              <c:f>'JOBSEEKER EMTR'!$S$2:$S$3000</c:f>
              <c:numCache>
                <c:formatCode>General</c:formatCode>
                <c:ptCount val="2999"/>
                <c:pt idx="0">
                  <c:v>0</c:v>
                </c:pt>
                <c:pt idx="1">
                  <c:v>0</c:v>
                </c:pt>
                <c:pt idx="2">
                  <c:v>0</c:v>
                </c:pt>
                <c:pt idx="3">
                  <c:v>0</c:v>
                </c:pt>
                <c:pt idx="4">
                  <c:v>0</c:v>
                </c:pt>
                <c:pt idx="5">
                  <c:v>0</c:v>
                </c:pt>
                <c:pt idx="6">
                  <c:v>0</c:v>
                </c:pt>
                <c:pt idx="7">
                  <c:v>0</c:v>
                </c:pt>
                <c:pt idx="8">
                  <c:v>0</c:v>
                </c:pt>
                <c:pt idx="9">
                  <c:v>0</c:v>
                </c:pt>
                <c:pt idx="10">
                  <c:v>0</c:v>
                </c:pt>
                <c:pt idx="11">
                  <c:v>0</c:v>
                </c:pt>
                <c:pt idx="12">
                  <c:v>-0.78715200000010543</c:v>
                </c:pt>
                <c:pt idx="13">
                  <c:v>-0.78715200000010543</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5</c:v>
                </c:pt>
                <c:pt idx="35">
                  <c:v>5</c:v>
                </c:pt>
                <c:pt idx="36">
                  <c:v>1.5</c:v>
                </c:pt>
                <c:pt idx="37">
                  <c:v>1.5</c:v>
                </c:pt>
                <c:pt idx="38">
                  <c:v>1</c:v>
                </c:pt>
                <c:pt idx="39">
                  <c:v>1</c:v>
                </c:pt>
                <c:pt idx="40">
                  <c:v>0</c:v>
                </c:pt>
                <c:pt idx="41">
                  <c:v>0</c:v>
                </c:pt>
                <c:pt idx="42">
                  <c:v>0</c:v>
                </c:pt>
                <c:pt idx="43">
                  <c:v>0</c:v>
                </c:pt>
              </c:numCache>
            </c:numRef>
          </c:val>
          <c:extLst>
            <c:ext xmlns:c16="http://schemas.microsoft.com/office/drawing/2014/chart" uri="{C3380CC4-5D6E-409C-BE32-E72D297353CC}">
              <c16:uniqueId val="{00000003-AB78-4065-B8AF-179273607188}"/>
            </c:ext>
          </c:extLst>
        </c:ser>
        <c:ser>
          <c:idx val="14"/>
          <c:order val="12"/>
          <c:tx>
            <c:v>Medicare Levy</c:v>
          </c:tx>
          <c:spPr>
            <a:solidFill>
              <a:srgbClr val="0364C3"/>
            </a:solidFill>
            <a:ln>
              <a:noFill/>
            </a:ln>
            <a:effectLst/>
          </c:spPr>
          <c:cat>
            <c:numRef>
              <c:f>'JOBSEEKER EMTR'!$C$2:$C$3000</c:f>
              <c:numCache>
                <c:formatCode>General</c:formatCode>
                <c:ptCount val="2999"/>
                <c:pt idx="0">
                  <c:v>100</c:v>
                </c:pt>
                <c:pt idx="1">
                  <c:v>3900</c:v>
                </c:pt>
                <c:pt idx="2">
                  <c:v>3900</c:v>
                </c:pt>
                <c:pt idx="3">
                  <c:v>6600</c:v>
                </c:pt>
                <c:pt idx="4">
                  <c:v>6600</c:v>
                </c:pt>
                <c:pt idx="5">
                  <c:v>6700</c:v>
                </c:pt>
                <c:pt idx="6">
                  <c:v>6700</c:v>
                </c:pt>
                <c:pt idx="7">
                  <c:v>8300</c:v>
                </c:pt>
                <c:pt idx="8">
                  <c:v>8300</c:v>
                </c:pt>
                <c:pt idx="9">
                  <c:v>8400</c:v>
                </c:pt>
                <c:pt idx="10">
                  <c:v>8400</c:v>
                </c:pt>
                <c:pt idx="11">
                  <c:v>14800</c:v>
                </c:pt>
                <c:pt idx="12">
                  <c:v>14800</c:v>
                </c:pt>
                <c:pt idx="13">
                  <c:v>14900</c:v>
                </c:pt>
                <c:pt idx="14">
                  <c:v>14900</c:v>
                </c:pt>
                <c:pt idx="15">
                  <c:v>22900</c:v>
                </c:pt>
                <c:pt idx="16">
                  <c:v>22900</c:v>
                </c:pt>
                <c:pt idx="17">
                  <c:v>23000</c:v>
                </c:pt>
                <c:pt idx="18">
                  <c:v>23000</c:v>
                </c:pt>
                <c:pt idx="19">
                  <c:v>23300</c:v>
                </c:pt>
                <c:pt idx="20">
                  <c:v>23300</c:v>
                </c:pt>
                <c:pt idx="21">
                  <c:v>23400</c:v>
                </c:pt>
                <c:pt idx="22">
                  <c:v>23400</c:v>
                </c:pt>
                <c:pt idx="23">
                  <c:v>33300</c:v>
                </c:pt>
                <c:pt idx="24">
                  <c:v>33300</c:v>
                </c:pt>
                <c:pt idx="25">
                  <c:v>33400</c:v>
                </c:pt>
                <c:pt idx="26">
                  <c:v>33400</c:v>
                </c:pt>
                <c:pt idx="27">
                  <c:v>33600</c:v>
                </c:pt>
                <c:pt idx="28">
                  <c:v>33600</c:v>
                </c:pt>
                <c:pt idx="29">
                  <c:v>33700</c:v>
                </c:pt>
                <c:pt idx="30">
                  <c:v>33700</c:v>
                </c:pt>
                <c:pt idx="31">
                  <c:v>33800</c:v>
                </c:pt>
                <c:pt idx="32">
                  <c:v>33800</c:v>
                </c:pt>
                <c:pt idx="33">
                  <c:v>37500</c:v>
                </c:pt>
                <c:pt idx="34">
                  <c:v>37500</c:v>
                </c:pt>
                <c:pt idx="35">
                  <c:v>45000</c:v>
                </c:pt>
                <c:pt idx="36">
                  <c:v>45000</c:v>
                </c:pt>
                <c:pt idx="37">
                  <c:v>66600</c:v>
                </c:pt>
                <c:pt idx="38">
                  <c:v>66600</c:v>
                </c:pt>
                <c:pt idx="39">
                  <c:v>66700</c:v>
                </c:pt>
                <c:pt idx="40">
                  <c:v>66700</c:v>
                </c:pt>
                <c:pt idx="41">
                  <c:v>120000</c:v>
                </c:pt>
                <c:pt idx="42">
                  <c:v>120000</c:v>
                </c:pt>
                <c:pt idx="43">
                  <c:v>124900</c:v>
                </c:pt>
              </c:numCache>
            </c:numRef>
          </c:cat>
          <c:val>
            <c:numRef>
              <c:f>'JOBSEEKER EMTR'!$U$2:$U$3000</c:f>
              <c:numCache>
                <c:formatCode>General</c:formatCode>
                <c:ptCount val="2999"/>
                <c:pt idx="0">
                  <c:v>0</c:v>
                </c:pt>
                <c:pt idx="1">
                  <c:v>0</c:v>
                </c:pt>
                <c:pt idx="2">
                  <c:v>0</c:v>
                </c:pt>
                <c:pt idx="3">
                  <c:v>0</c:v>
                </c:pt>
                <c:pt idx="4">
                  <c:v>0</c:v>
                </c:pt>
                <c:pt idx="5">
                  <c:v>0</c:v>
                </c:pt>
                <c:pt idx="6">
                  <c:v>0</c:v>
                </c:pt>
                <c:pt idx="7">
                  <c:v>0</c:v>
                </c:pt>
                <c:pt idx="8">
                  <c:v>0.76992000000027483</c:v>
                </c:pt>
                <c:pt idx="9">
                  <c:v>0.76992000000027483</c:v>
                </c:pt>
                <c:pt idx="10">
                  <c:v>3.9999999999996363</c:v>
                </c:pt>
                <c:pt idx="11">
                  <c:v>3.9999999999996363</c:v>
                </c:pt>
                <c:pt idx="12">
                  <c:v>4</c:v>
                </c:pt>
                <c:pt idx="13">
                  <c:v>4</c:v>
                </c:pt>
                <c:pt idx="14">
                  <c:v>4</c:v>
                </c:pt>
                <c:pt idx="15">
                  <c:v>4</c:v>
                </c:pt>
                <c:pt idx="16">
                  <c:v>3.4840639999999894</c:v>
                </c:pt>
                <c:pt idx="17">
                  <c:v>3.4840639999999894</c:v>
                </c:pt>
                <c:pt idx="18">
                  <c:v>0.80000000000006821</c:v>
                </c:pt>
                <c:pt idx="19">
                  <c:v>0.80000000000006821</c:v>
                </c:pt>
                <c:pt idx="20">
                  <c:v>0.79999999999995453</c:v>
                </c:pt>
                <c:pt idx="21">
                  <c:v>0.79999999999995453</c:v>
                </c:pt>
                <c:pt idx="22">
                  <c:v>0.79999999999995453</c:v>
                </c:pt>
                <c:pt idx="23">
                  <c:v>0.79999999999995453</c:v>
                </c:pt>
                <c:pt idx="24">
                  <c:v>1.3460159999999632</c:v>
                </c:pt>
                <c:pt idx="25">
                  <c:v>1.3460159999999632</c:v>
                </c:pt>
                <c:pt idx="26">
                  <c:v>2</c:v>
                </c:pt>
                <c:pt idx="27">
                  <c:v>2</c:v>
                </c:pt>
                <c:pt idx="28">
                  <c:v>2</c:v>
                </c:pt>
                <c:pt idx="29">
                  <c:v>2</c:v>
                </c:pt>
                <c:pt idx="30">
                  <c:v>2</c:v>
                </c:pt>
                <c:pt idx="31">
                  <c:v>2</c:v>
                </c:pt>
                <c:pt idx="32">
                  <c:v>2</c:v>
                </c:pt>
                <c:pt idx="33">
                  <c:v>2</c:v>
                </c:pt>
                <c:pt idx="34">
                  <c:v>2</c:v>
                </c:pt>
                <c:pt idx="35">
                  <c:v>2</c:v>
                </c:pt>
                <c:pt idx="36">
                  <c:v>2</c:v>
                </c:pt>
                <c:pt idx="37">
                  <c:v>2</c:v>
                </c:pt>
                <c:pt idx="38">
                  <c:v>2</c:v>
                </c:pt>
                <c:pt idx="39">
                  <c:v>2</c:v>
                </c:pt>
                <c:pt idx="40">
                  <c:v>2</c:v>
                </c:pt>
                <c:pt idx="41">
                  <c:v>2</c:v>
                </c:pt>
                <c:pt idx="42">
                  <c:v>2</c:v>
                </c:pt>
                <c:pt idx="43">
                  <c:v>2</c:v>
                </c:pt>
              </c:numCache>
            </c:numRef>
          </c:val>
          <c:extLst>
            <c:ext xmlns:c16="http://schemas.microsoft.com/office/drawing/2014/chart" uri="{C3380CC4-5D6E-409C-BE32-E72D297353CC}">
              <c16:uniqueId val="{00000004-AB78-4065-B8AF-179273607188}"/>
            </c:ext>
          </c:extLst>
        </c:ser>
        <c:dLbls>
          <c:showLegendKey val="0"/>
          <c:showVal val="0"/>
          <c:showCatName val="0"/>
          <c:showSerName val="0"/>
          <c:showPercent val="0"/>
          <c:showBubbleSize val="0"/>
        </c:dLbls>
        <c:axId val="96608640"/>
        <c:axId val="96610176"/>
        <c:extLst>
          <c:ext xmlns:c15="http://schemas.microsoft.com/office/drawing/2012/chart" uri="{02D57815-91ED-43cb-92C2-25804820EDAC}">
            <c15:filteredAreaSeries>
              <c15:ser>
                <c:idx val="5"/>
                <c:order val="1"/>
                <c:tx>
                  <c:strRef>
                    <c:extLst>
                      <c:ext uri="{02D57815-91ED-43cb-92C2-25804820EDAC}">
                        <c15:formulaRef>
                          <c15:sqref>'JOBSEEKER EMTR'!$I$1</c15:sqref>
                        </c15:formulaRef>
                      </c:ext>
                    </c:extLst>
                    <c:strCache>
                      <c:ptCount val="1"/>
                      <c:pt idx="0">
                        <c:v>EMTR Total pensions(u)</c:v>
                      </c:pt>
                    </c:strCache>
                  </c:strRef>
                </c:tx>
                <c:spPr>
                  <a:solidFill>
                    <a:schemeClr val="accent1">
                      <a:lumMod val="25000"/>
                      <a:lumOff val="75000"/>
                    </a:schemeClr>
                  </a:solidFill>
                  <a:ln>
                    <a:noFill/>
                  </a:ln>
                  <a:effectLst/>
                </c:spPr>
                <c:cat>
                  <c:numRef>
                    <c:extLst>
                      <c:ext uri="{02D57815-91ED-43cb-92C2-25804820EDAC}">
                        <c15:formulaRef>
                          <c15:sqref>'JOBSEEKER EMTR'!$C$2:$C$3000</c15:sqref>
                        </c15:formulaRef>
                      </c:ext>
                    </c:extLst>
                    <c:numCache>
                      <c:formatCode>General</c:formatCode>
                      <c:ptCount val="2999"/>
                      <c:pt idx="0">
                        <c:v>100</c:v>
                      </c:pt>
                      <c:pt idx="1">
                        <c:v>3900</c:v>
                      </c:pt>
                      <c:pt idx="2">
                        <c:v>3900</c:v>
                      </c:pt>
                      <c:pt idx="3">
                        <c:v>6600</c:v>
                      </c:pt>
                      <c:pt idx="4">
                        <c:v>6600</c:v>
                      </c:pt>
                      <c:pt idx="5">
                        <c:v>6700</c:v>
                      </c:pt>
                      <c:pt idx="6">
                        <c:v>6700</c:v>
                      </c:pt>
                      <c:pt idx="7">
                        <c:v>8300</c:v>
                      </c:pt>
                      <c:pt idx="8">
                        <c:v>8300</c:v>
                      </c:pt>
                      <c:pt idx="9">
                        <c:v>8400</c:v>
                      </c:pt>
                      <c:pt idx="10">
                        <c:v>8400</c:v>
                      </c:pt>
                      <c:pt idx="11">
                        <c:v>14800</c:v>
                      </c:pt>
                      <c:pt idx="12">
                        <c:v>14800</c:v>
                      </c:pt>
                      <c:pt idx="13">
                        <c:v>14900</c:v>
                      </c:pt>
                      <c:pt idx="14">
                        <c:v>14900</c:v>
                      </c:pt>
                      <c:pt idx="15">
                        <c:v>22900</c:v>
                      </c:pt>
                      <c:pt idx="16">
                        <c:v>22900</c:v>
                      </c:pt>
                      <c:pt idx="17">
                        <c:v>23000</c:v>
                      </c:pt>
                      <c:pt idx="18">
                        <c:v>23000</c:v>
                      </c:pt>
                      <c:pt idx="19">
                        <c:v>23300</c:v>
                      </c:pt>
                      <c:pt idx="20">
                        <c:v>23300</c:v>
                      </c:pt>
                      <c:pt idx="21">
                        <c:v>23400</c:v>
                      </c:pt>
                      <c:pt idx="22">
                        <c:v>23400</c:v>
                      </c:pt>
                      <c:pt idx="23">
                        <c:v>33300</c:v>
                      </c:pt>
                      <c:pt idx="24">
                        <c:v>33300</c:v>
                      </c:pt>
                      <c:pt idx="25">
                        <c:v>33400</c:v>
                      </c:pt>
                      <c:pt idx="26">
                        <c:v>33400</c:v>
                      </c:pt>
                      <c:pt idx="27">
                        <c:v>33600</c:v>
                      </c:pt>
                      <c:pt idx="28">
                        <c:v>33600</c:v>
                      </c:pt>
                      <c:pt idx="29">
                        <c:v>33700</c:v>
                      </c:pt>
                      <c:pt idx="30">
                        <c:v>33700</c:v>
                      </c:pt>
                      <c:pt idx="31">
                        <c:v>33800</c:v>
                      </c:pt>
                      <c:pt idx="32">
                        <c:v>33800</c:v>
                      </c:pt>
                      <c:pt idx="33">
                        <c:v>37500</c:v>
                      </c:pt>
                      <c:pt idx="34">
                        <c:v>37500</c:v>
                      </c:pt>
                      <c:pt idx="35">
                        <c:v>45000</c:v>
                      </c:pt>
                      <c:pt idx="36">
                        <c:v>45000</c:v>
                      </c:pt>
                      <c:pt idx="37">
                        <c:v>66600</c:v>
                      </c:pt>
                      <c:pt idx="38">
                        <c:v>66600</c:v>
                      </c:pt>
                      <c:pt idx="39">
                        <c:v>66700</c:v>
                      </c:pt>
                      <c:pt idx="40">
                        <c:v>66700</c:v>
                      </c:pt>
                      <c:pt idx="41">
                        <c:v>120000</c:v>
                      </c:pt>
                      <c:pt idx="42">
                        <c:v>120000</c:v>
                      </c:pt>
                      <c:pt idx="43">
                        <c:v>124900</c:v>
                      </c:pt>
                    </c:numCache>
                  </c:numRef>
                </c:cat>
                <c:val>
                  <c:numRef>
                    <c:extLst>
                      <c:ext uri="{02D57815-91ED-43cb-92C2-25804820EDAC}">
                        <c15:formulaRef>
                          <c15:sqref>'JOBSEEKER EMTR'!$I$2:$I$3000</c15:sqref>
                        </c15:formulaRef>
                      </c:ext>
                    </c:extLst>
                    <c:numCache>
                      <c:formatCode>General</c:formatCode>
                      <c:ptCount val="2999"/>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numCache>
                  </c:numRef>
                </c:val>
                <c:extLst>
                  <c:ext xmlns:c16="http://schemas.microsoft.com/office/drawing/2014/chart" uri="{C3380CC4-5D6E-409C-BE32-E72D297353CC}">
                    <c16:uniqueId val="{00000007-AB78-4065-B8AF-179273607188}"/>
                  </c:ext>
                </c:extLst>
              </c15:ser>
            </c15:filteredAreaSeries>
            <c15:filteredAreaSeries>
              <c15:ser>
                <c:idx val="7"/>
                <c:order val="3"/>
                <c:tx>
                  <c:strRef>
                    <c:extLst xmlns:c15="http://schemas.microsoft.com/office/drawing/2012/chart">
                      <c:ext xmlns:c15="http://schemas.microsoft.com/office/drawing/2012/chart" uri="{02D57815-91ED-43cb-92C2-25804820EDAC}">
                        <c15:formulaRef>
                          <c15:sqref>'JOBSEEKER EMTR'!$K$1</c15:sqref>
                        </c15:formulaRef>
                      </c:ext>
                    </c:extLst>
                    <c:strCache>
                      <c:ptCount val="1"/>
                      <c:pt idx="0">
                        <c:v>EMTR Childcare Subsidy(u)</c:v>
                      </c:pt>
                    </c:strCache>
                  </c:strRef>
                </c:tx>
                <c:spPr>
                  <a:solidFill>
                    <a:schemeClr val="accent4"/>
                  </a:solidFill>
                  <a:ln>
                    <a:noFill/>
                  </a:ln>
                  <a:effectLst/>
                </c:spPr>
                <c:cat>
                  <c:numRef>
                    <c:extLst xmlns:c15="http://schemas.microsoft.com/office/drawing/2012/chart">
                      <c:ext xmlns:c15="http://schemas.microsoft.com/office/drawing/2012/chart" uri="{02D57815-91ED-43cb-92C2-25804820EDAC}">
                        <c15:formulaRef>
                          <c15:sqref>'JOBSEEKER EMTR'!$C$2:$C$3000</c15:sqref>
                        </c15:formulaRef>
                      </c:ext>
                    </c:extLst>
                    <c:numCache>
                      <c:formatCode>General</c:formatCode>
                      <c:ptCount val="2999"/>
                      <c:pt idx="0">
                        <c:v>100</c:v>
                      </c:pt>
                      <c:pt idx="1">
                        <c:v>3900</c:v>
                      </c:pt>
                      <c:pt idx="2">
                        <c:v>3900</c:v>
                      </c:pt>
                      <c:pt idx="3">
                        <c:v>6600</c:v>
                      </c:pt>
                      <c:pt idx="4">
                        <c:v>6600</c:v>
                      </c:pt>
                      <c:pt idx="5">
                        <c:v>6700</c:v>
                      </c:pt>
                      <c:pt idx="6">
                        <c:v>6700</c:v>
                      </c:pt>
                      <c:pt idx="7">
                        <c:v>8300</c:v>
                      </c:pt>
                      <c:pt idx="8">
                        <c:v>8300</c:v>
                      </c:pt>
                      <c:pt idx="9">
                        <c:v>8400</c:v>
                      </c:pt>
                      <c:pt idx="10">
                        <c:v>8400</c:v>
                      </c:pt>
                      <c:pt idx="11">
                        <c:v>14800</c:v>
                      </c:pt>
                      <c:pt idx="12">
                        <c:v>14800</c:v>
                      </c:pt>
                      <c:pt idx="13">
                        <c:v>14900</c:v>
                      </c:pt>
                      <c:pt idx="14">
                        <c:v>14900</c:v>
                      </c:pt>
                      <c:pt idx="15">
                        <c:v>22900</c:v>
                      </c:pt>
                      <c:pt idx="16">
                        <c:v>22900</c:v>
                      </c:pt>
                      <c:pt idx="17">
                        <c:v>23000</c:v>
                      </c:pt>
                      <c:pt idx="18">
                        <c:v>23000</c:v>
                      </c:pt>
                      <c:pt idx="19">
                        <c:v>23300</c:v>
                      </c:pt>
                      <c:pt idx="20">
                        <c:v>23300</c:v>
                      </c:pt>
                      <c:pt idx="21">
                        <c:v>23400</c:v>
                      </c:pt>
                      <c:pt idx="22">
                        <c:v>23400</c:v>
                      </c:pt>
                      <c:pt idx="23">
                        <c:v>33300</c:v>
                      </c:pt>
                      <c:pt idx="24">
                        <c:v>33300</c:v>
                      </c:pt>
                      <c:pt idx="25">
                        <c:v>33400</c:v>
                      </c:pt>
                      <c:pt idx="26">
                        <c:v>33400</c:v>
                      </c:pt>
                      <c:pt idx="27">
                        <c:v>33600</c:v>
                      </c:pt>
                      <c:pt idx="28">
                        <c:v>33600</c:v>
                      </c:pt>
                      <c:pt idx="29">
                        <c:v>33700</c:v>
                      </c:pt>
                      <c:pt idx="30">
                        <c:v>33700</c:v>
                      </c:pt>
                      <c:pt idx="31">
                        <c:v>33800</c:v>
                      </c:pt>
                      <c:pt idx="32">
                        <c:v>33800</c:v>
                      </c:pt>
                      <c:pt idx="33">
                        <c:v>37500</c:v>
                      </c:pt>
                      <c:pt idx="34">
                        <c:v>37500</c:v>
                      </c:pt>
                      <c:pt idx="35">
                        <c:v>45000</c:v>
                      </c:pt>
                      <c:pt idx="36">
                        <c:v>45000</c:v>
                      </c:pt>
                      <c:pt idx="37">
                        <c:v>66600</c:v>
                      </c:pt>
                      <c:pt idx="38">
                        <c:v>66600</c:v>
                      </c:pt>
                      <c:pt idx="39">
                        <c:v>66700</c:v>
                      </c:pt>
                      <c:pt idx="40">
                        <c:v>66700</c:v>
                      </c:pt>
                      <c:pt idx="41">
                        <c:v>120000</c:v>
                      </c:pt>
                      <c:pt idx="42">
                        <c:v>120000</c:v>
                      </c:pt>
                      <c:pt idx="43">
                        <c:v>124900</c:v>
                      </c:pt>
                    </c:numCache>
                  </c:numRef>
                </c:cat>
                <c:val>
                  <c:numRef>
                    <c:extLst xmlns:c15="http://schemas.microsoft.com/office/drawing/2012/chart">
                      <c:ext xmlns:c15="http://schemas.microsoft.com/office/drawing/2012/chart" uri="{02D57815-91ED-43cb-92C2-25804820EDAC}">
                        <c15:formulaRef>
                          <c15:sqref>'JOBSEEKER EMTR'!$K$2:$K$3000</c15:sqref>
                        </c15:formulaRef>
                      </c:ext>
                    </c:extLst>
                    <c:numCache>
                      <c:formatCode>General</c:formatCode>
                      <c:ptCount val="2999"/>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numCache>
                  </c:numRef>
                </c:val>
                <c:extLst xmlns:c15="http://schemas.microsoft.com/office/drawing/2012/chart">
                  <c:ext xmlns:c16="http://schemas.microsoft.com/office/drawing/2014/chart" uri="{C3380CC4-5D6E-409C-BE32-E72D297353CC}">
                    <c16:uniqueId val="{00000008-AB78-4065-B8AF-179273607188}"/>
                  </c:ext>
                </c:extLst>
              </c15:ser>
            </c15:filteredAreaSeries>
            <c15:filteredAreaSeries>
              <c15:ser>
                <c:idx val="3"/>
                <c:order val="4"/>
                <c:tx>
                  <c:strRef>
                    <c:extLst xmlns:c15="http://schemas.microsoft.com/office/drawing/2012/chart">
                      <c:ext xmlns:c15="http://schemas.microsoft.com/office/drawing/2012/chart" uri="{02D57815-91ED-43cb-92C2-25804820EDAC}">
                        <c15:formulaRef>
                          <c15:sqref>'JOBSEEKER EMTR'!$M$1</c15:sqref>
                        </c15:formulaRef>
                      </c:ext>
                    </c:extLst>
                    <c:strCache>
                      <c:ptCount val="1"/>
                      <c:pt idx="0">
                        <c:v>EMTR FTB A(u)</c:v>
                      </c:pt>
                    </c:strCache>
                  </c:strRef>
                </c:tx>
                <c:spPr>
                  <a:solidFill>
                    <a:schemeClr val="accent2"/>
                  </a:solidFill>
                  <a:ln>
                    <a:noFill/>
                  </a:ln>
                  <a:effectLst/>
                </c:spPr>
                <c:cat>
                  <c:numRef>
                    <c:extLst xmlns:c15="http://schemas.microsoft.com/office/drawing/2012/chart">
                      <c:ext xmlns:c15="http://schemas.microsoft.com/office/drawing/2012/chart" uri="{02D57815-91ED-43cb-92C2-25804820EDAC}">
                        <c15:formulaRef>
                          <c15:sqref>'JOBSEEKER EMTR'!$C$2:$C$3000</c15:sqref>
                        </c15:formulaRef>
                      </c:ext>
                    </c:extLst>
                    <c:numCache>
                      <c:formatCode>General</c:formatCode>
                      <c:ptCount val="2999"/>
                      <c:pt idx="0">
                        <c:v>100</c:v>
                      </c:pt>
                      <c:pt idx="1">
                        <c:v>3900</c:v>
                      </c:pt>
                      <c:pt idx="2">
                        <c:v>3900</c:v>
                      </c:pt>
                      <c:pt idx="3">
                        <c:v>6600</c:v>
                      </c:pt>
                      <c:pt idx="4">
                        <c:v>6600</c:v>
                      </c:pt>
                      <c:pt idx="5">
                        <c:v>6700</c:v>
                      </c:pt>
                      <c:pt idx="6">
                        <c:v>6700</c:v>
                      </c:pt>
                      <c:pt idx="7">
                        <c:v>8300</c:v>
                      </c:pt>
                      <c:pt idx="8">
                        <c:v>8300</c:v>
                      </c:pt>
                      <c:pt idx="9">
                        <c:v>8400</c:v>
                      </c:pt>
                      <c:pt idx="10">
                        <c:v>8400</c:v>
                      </c:pt>
                      <c:pt idx="11">
                        <c:v>14800</c:v>
                      </c:pt>
                      <c:pt idx="12">
                        <c:v>14800</c:v>
                      </c:pt>
                      <c:pt idx="13">
                        <c:v>14900</c:v>
                      </c:pt>
                      <c:pt idx="14">
                        <c:v>14900</c:v>
                      </c:pt>
                      <c:pt idx="15">
                        <c:v>22900</c:v>
                      </c:pt>
                      <c:pt idx="16">
                        <c:v>22900</c:v>
                      </c:pt>
                      <c:pt idx="17">
                        <c:v>23000</c:v>
                      </c:pt>
                      <c:pt idx="18">
                        <c:v>23000</c:v>
                      </c:pt>
                      <c:pt idx="19">
                        <c:v>23300</c:v>
                      </c:pt>
                      <c:pt idx="20">
                        <c:v>23300</c:v>
                      </c:pt>
                      <c:pt idx="21">
                        <c:v>23400</c:v>
                      </c:pt>
                      <c:pt idx="22">
                        <c:v>23400</c:v>
                      </c:pt>
                      <c:pt idx="23">
                        <c:v>33300</c:v>
                      </c:pt>
                      <c:pt idx="24">
                        <c:v>33300</c:v>
                      </c:pt>
                      <c:pt idx="25">
                        <c:v>33400</c:v>
                      </c:pt>
                      <c:pt idx="26">
                        <c:v>33400</c:v>
                      </c:pt>
                      <c:pt idx="27">
                        <c:v>33600</c:v>
                      </c:pt>
                      <c:pt idx="28">
                        <c:v>33600</c:v>
                      </c:pt>
                      <c:pt idx="29">
                        <c:v>33700</c:v>
                      </c:pt>
                      <c:pt idx="30">
                        <c:v>33700</c:v>
                      </c:pt>
                      <c:pt idx="31">
                        <c:v>33800</c:v>
                      </c:pt>
                      <c:pt idx="32">
                        <c:v>33800</c:v>
                      </c:pt>
                      <c:pt idx="33">
                        <c:v>37500</c:v>
                      </c:pt>
                      <c:pt idx="34">
                        <c:v>37500</c:v>
                      </c:pt>
                      <c:pt idx="35">
                        <c:v>45000</c:v>
                      </c:pt>
                      <c:pt idx="36">
                        <c:v>45000</c:v>
                      </c:pt>
                      <c:pt idx="37">
                        <c:v>66600</c:v>
                      </c:pt>
                      <c:pt idx="38">
                        <c:v>66600</c:v>
                      </c:pt>
                      <c:pt idx="39">
                        <c:v>66700</c:v>
                      </c:pt>
                      <c:pt idx="40">
                        <c:v>66700</c:v>
                      </c:pt>
                      <c:pt idx="41">
                        <c:v>120000</c:v>
                      </c:pt>
                      <c:pt idx="42">
                        <c:v>120000</c:v>
                      </c:pt>
                      <c:pt idx="43">
                        <c:v>124900</c:v>
                      </c:pt>
                    </c:numCache>
                  </c:numRef>
                </c:cat>
                <c:val>
                  <c:numRef>
                    <c:extLst xmlns:c15="http://schemas.microsoft.com/office/drawing/2012/chart">
                      <c:ext xmlns:c15="http://schemas.microsoft.com/office/drawing/2012/chart" uri="{02D57815-91ED-43cb-92C2-25804820EDAC}">
                        <c15:formulaRef>
                          <c15:sqref>'JOBSEEKER EMTR'!$M$2:$M$3000</c15:sqref>
                        </c15:formulaRef>
                      </c:ext>
                    </c:extLst>
                    <c:numCache>
                      <c:formatCode>General</c:formatCode>
                      <c:ptCount val="2999"/>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numCache>
                  </c:numRef>
                </c:val>
                <c:extLst xmlns:c15="http://schemas.microsoft.com/office/drawing/2012/chart">
                  <c:ext xmlns:c16="http://schemas.microsoft.com/office/drawing/2014/chart" uri="{C3380CC4-5D6E-409C-BE32-E72D297353CC}">
                    <c16:uniqueId val="{00000009-AB78-4065-B8AF-179273607188}"/>
                  </c:ext>
                </c:extLst>
              </c15:ser>
            </c15:filteredAreaSeries>
            <c15:filteredAreaSeries>
              <c15:ser>
                <c:idx val="9"/>
                <c:order val="5"/>
                <c:tx>
                  <c:strRef>
                    <c:extLst xmlns:c15="http://schemas.microsoft.com/office/drawing/2012/chart">
                      <c:ext xmlns:c15="http://schemas.microsoft.com/office/drawing/2012/chart" uri="{02D57815-91ED-43cb-92C2-25804820EDAC}">
                        <c15:formulaRef>
                          <c15:sqref>'JOBSEEKER EMTR'!$N$1</c15:sqref>
                        </c15:formulaRef>
                      </c:ext>
                    </c:extLst>
                    <c:strCache>
                      <c:ptCount val="1"/>
                      <c:pt idx="0">
                        <c:v>EMTR FTB B(u)</c:v>
                      </c:pt>
                    </c:strCache>
                  </c:strRef>
                </c:tx>
                <c:spPr>
                  <a:solidFill>
                    <a:srgbClr val="0070C0"/>
                  </a:solidFill>
                  <a:ln>
                    <a:noFill/>
                  </a:ln>
                  <a:effectLst/>
                </c:spPr>
                <c:cat>
                  <c:numRef>
                    <c:extLst xmlns:c15="http://schemas.microsoft.com/office/drawing/2012/chart">
                      <c:ext xmlns:c15="http://schemas.microsoft.com/office/drawing/2012/chart" uri="{02D57815-91ED-43cb-92C2-25804820EDAC}">
                        <c15:formulaRef>
                          <c15:sqref>'JOBSEEKER EMTR'!$C$2:$C$3000</c15:sqref>
                        </c15:formulaRef>
                      </c:ext>
                    </c:extLst>
                    <c:numCache>
                      <c:formatCode>General</c:formatCode>
                      <c:ptCount val="2999"/>
                      <c:pt idx="0">
                        <c:v>100</c:v>
                      </c:pt>
                      <c:pt idx="1">
                        <c:v>3900</c:v>
                      </c:pt>
                      <c:pt idx="2">
                        <c:v>3900</c:v>
                      </c:pt>
                      <c:pt idx="3">
                        <c:v>6600</c:v>
                      </c:pt>
                      <c:pt idx="4">
                        <c:v>6600</c:v>
                      </c:pt>
                      <c:pt idx="5">
                        <c:v>6700</c:v>
                      </c:pt>
                      <c:pt idx="6">
                        <c:v>6700</c:v>
                      </c:pt>
                      <c:pt idx="7">
                        <c:v>8300</c:v>
                      </c:pt>
                      <c:pt idx="8">
                        <c:v>8300</c:v>
                      </c:pt>
                      <c:pt idx="9">
                        <c:v>8400</c:v>
                      </c:pt>
                      <c:pt idx="10">
                        <c:v>8400</c:v>
                      </c:pt>
                      <c:pt idx="11">
                        <c:v>14800</c:v>
                      </c:pt>
                      <c:pt idx="12">
                        <c:v>14800</c:v>
                      </c:pt>
                      <c:pt idx="13">
                        <c:v>14900</c:v>
                      </c:pt>
                      <c:pt idx="14">
                        <c:v>14900</c:v>
                      </c:pt>
                      <c:pt idx="15">
                        <c:v>22900</c:v>
                      </c:pt>
                      <c:pt idx="16">
                        <c:v>22900</c:v>
                      </c:pt>
                      <c:pt idx="17">
                        <c:v>23000</c:v>
                      </c:pt>
                      <c:pt idx="18">
                        <c:v>23000</c:v>
                      </c:pt>
                      <c:pt idx="19">
                        <c:v>23300</c:v>
                      </c:pt>
                      <c:pt idx="20">
                        <c:v>23300</c:v>
                      </c:pt>
                      <c:pt idx="21">
                        <c:v>23400</c:v>
                      </c:pt>
                      <c:pt idx="22">
                        <c:v>23400</c:v>
                      </c:pt>
                      <c:pt idx="23">
                        <c:v>33300</c:v>
                      </c:pt>
                      <c:pt idx="24">
                        <c:v>33300</c:v>
                      </c:pt>
                      <c:pt idx="25">
                        <c:v>33400</c:v>
                      </c:pt>
                      <c:pt idx="26">
                        <c:v>33400</c:v>
                      </c:pt>
                      <c:pt idx="27">
                        <c:v>33600</c:v>
                      </c:pt>
                      <c:pt idx="28">
                        <c:v>33600</c:v>
                      </c:pt>
                      <c:pt idx="29">
                        <c:v>33700</c:v>
                      </c:pt>
                      <c:pt idx="30">
                        <c:v>33700</c:v>
                      </c:pt>
                      <c:pt idx="31">
                        <c:v>33800</c:v>
                      </c:pt>
                      <c:pt idx="32">
                        <c:v>33800</c:v>
                      </c:pt>
                      <c:pt idx="33">
                        <c:v>37500</c:v>
                      </c:pt>
                      <c:pt idx="34">
                        <c:v>37500</c:v>
                      </c:pt>
                      <c:pt idx="35">
                        <c:v>45000</c:v>
                      </c:pt>
                      <c:pt idx="36">
                        <c:v>45000</c:v>
                      </c:pt>
                      <c:pt idx="37">
                        <c:v>66600</c:v>
                      </c:pt>
                      <c:pt idx="38">
                        <c:v>66600</c:v>
                      </c:pt>
                      <c:pt idx="39">
                        <c:v>66700</c:v>
                      </c:pt>
                      <c:pt idx="40">
                        <c:v>66700</c:v>
                      </c:pt>
                      <c:pt idx="41">
                        <c:v>120000</c:v>
                      </c:pt>
                      <c:pt idx="42">
                        <c:v>120000</c:v>
                      </c:pt>
                      <c:pt idx="43">
                        <c:v>124900</c:v>
                      </c:pt>
                    </c:numCache>
                  </c:numRef>
                </c:cat>
                <c:val>
                  <c:numRef>
                    <c:extLst xmlns:c15="http://schemas.microsoft.com/office/drawing/2012/chart">
                      <c:ext xmlns:c15="http://schemas.microsoft.com/office/drawing/2012/chart" uri="{02D57815-91ED-43cb-92C2-25804820EDAC}">
                        <c15:formulaRef>
                          <c15:sqref>'JOBSEEKER EMTR'!$N$2:$N$3000</c15:sqref>
                        </c15:formulaRef>
                      </c:ext>
                    </c:extLst>
                    <c:numCache>
                      <c:formatCode>General</c:formatCode>
                      <c:ptCount val="2999"/>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numCache>
                  </c:numRef>
                </c:val>
                <c:extLst xmlns:c15="http://schemas.microsoft.com/office/drawing/2012/chart">
                  <c:ext xmlns:c16="http://schemas.microsoft.com/office/drawing/2014/chart" uri="{C3380CC4-5D6E-409C-BE32-E72D297353CC}">
                    <c16:uniqueId val="{0000000A-AB78-4065-B8AF-179273607188}"/>
                  </c:ext>
                </c:extLst>
              </c15:ser>
            </c15:filteredAreaSeries>
            <c15:filteredAreaSeries>
              <c15:ser>
                <c:idx val="10"/>
                <c:order val="6"/>
                <c:tx>
                  <c:strRef>
                    <c:extLst xmlns:c15="http://schemas.microsoft.com/office/drawing/2012/chart">
                      <c:ext xmlns:c15="http://schemas.microsoft.com/office/drawing/2012/chart" uri="{02D57815-91ED-43cb-92C2-25804820EDAC}">
                        <c15:formulaRef>
                          <c15:sqref>'JOBSEEKER EMTR'!$O$1</c15:sqref>
                        </c15:formulaRef>
                      </c:ext>
                    </c:extLst>
                    <c:strCache>
                      <c:ptCount val="1"/>
                      <c:pt idx="0">
                        <c:v>EMTR Total Supplements(u)</c:v>
                      </c:pt>
                    </c:strCache>
                  </c:strRef>
                </c:tx>
                <c:spPr>
                  <a:solidFill>
                    <a:schemeClr val="accent6">
                      <a:lumMod val="60000"/>
                      <a:lumOff val="40000"/>
                    </a:schemeClr>
                  </a:solidFill>
                  <a:ln>
                    <a:noFill/>
                  </a:ln>
                  <a:effectLst/>
                </c:spPr>
                <c:cat>
                  <c:numRef>
                    <c:extLst xmlns:c15="http://schemas.microsoft.com/office/drawing/2012/chart">
                      <c:ext xmlns:c15="http://schemas.microsoft.com/office/drawing/2012/chart" uri="{02D57815-91ED-43cb-92C2-25804820EDAC}">
                        <c15:formulaRef>
                          <c15:sqref>'JOBSEEKER EMTR'!$C$2:$C$3000</c15:sqref>
                        </c15:formulaRef>
                      </c:ext>
                    </c:extLst>
                    <c:numCache>
                      <c:formatCode>General</c:formatCode>
                      <c:ptCount val="2999"/>
                      <c:pt idx="0">
                        <c:v>100</c:v>
                      </c:pt>
                      <c:pt idx="1">
                        <c:v>3900</c:v>
                      </c:pt>
                      <c:pt idx="2">
                        <c:v>3900</c:v>
                      </c:pt>
                      <c:pt idx="3">
                        <c:v>6600</c:v>
                      </c:pt>
                      <c:pt idx="4">
                        <c:v>6600</c:v>
                      </c:pt>
                      <c:pt idx="5">
                        <c:v>6700</c:v>
                      </c:pt>
                      <c:pt idx="6">
                        <c:v>6700</c:v>
                      </c:pt>
                      <c:pt idx="7">
                        <c:v>8300</c:v>
                      </c:pt>
                      <c:pt idx="8">
                        <c:v>8300</c:v>
                      </c:pt>
                      <c:pt idx="9">
                        <c:v>8400</c:v>
                      </c:pt>
                      <c:pt idx="10">
                        <c:v>8400</c:v>
                      </c:pt>
                      <c:pt idx="11">
                        <c:v>14800</c:v>
                      </c:pt>
                      <c:pt idx="12">
                        <c:v>14800</c:v>
                      </c:pt>
                      <c:pt idx="13">
                        <c:v>14900</c:v>
                      </c:pt>
                      <c:pt idx="14">
                        <c:v>14900</c:v>
                      </c:pt>
                      <c:pt idx="15">
                        <c:v>22900</c:v>
                      </c:pt>
                      <c:pt idx="16">
                        <c:v>22900</c:v>
                      </c:pt>
                      <c:pt idx="17">
                        <c:v>23000</c:v>
                      </c:pt>
                      <c:pt idx="18">
                        <c:v>23000</c:v>
                      </c:pt>
                      <c:pt idx="19">
                        <c:v>23300</c:v>
                      </c:pt>
                      <c:pt idx="20">
                        <c:v>23300</c:v>
                      </c:pt>
                      <c:pt idx="21">
                        <c:v>23400</c:v>
                      </c:pt>
                      <c:pt idx="22">
                        <c:v>23400</c:v>
                      </c:pt>
                      <c:pt idx="23">
                        <c:v>33300</c:v>
                      </c:pt>
                      <c:pt idx="24">
                        <c:v>33300</c:v>
                      </c:pt>
                      <c:pt idx="25">
                        <c:v>33400</c:v>
                      </c:pt>
                      <c:pt idx="26">
                        <c:v>33400</c:v>
                      </c:pt>
                      <c:pt idx="27">
                        <c:v>33600</c:v>
                      </c:pt>
                      <c:pt idx="28">
                        <c:v>33600</c:v>
                      </c:pt>
                      <c:pt idx="29">
                        <c:v>33700</c:v>
                      </c:pt>
                      <c:pt idx="30">
                        <c:v>33700</c:v>
                      </c:pt>
                      <c:pt idx="31">
                        <c:v>33800</c:v>
                      </c:pt>
                      <c:pt idx="32">
                        <c:v>33800</c:v>
                      </c:pt>
                      <c:pt idx="33">
                        <c:v>37500</c:v>
                      </c:pt>
                      <c:pt idx="34">
                        <c:v>37500</c:v>
                      </c:pt>
                      <c:pt idx="35">
                        <c:v>45000</c:v>
                      </c:pt>
                      <c:pt idx="36">
                        <c:v>45000</c:v>
                      </c:pt>
                      <c:pt idx="37">
                        <c:v>66600</c:v>
                      </c:pt>
                      <c:pt idx="38">
                        <c:v>66600</c:v>
                      </c:pt>
                      <c:pt idx="39">
                        <c:v>66700</c:v>
                      </c:pt>
                      <c:pt idx="40">
                        <c:v>66700</c:v>
                      </c:pt>
                      <c:pt idx="41">
                        <c:v>120000</c:v>
                      </c:pt>
                      <c:pt idx="42">
                        <c:v>120000</c:v>
                      </c:pt>
                      <c:pt idx="43">
                        <c:v>124900</c:v>
                      </c:pt>
                    </c:numCache>
                  </c:numRef>
                </c:cat>
                <c:val>
                  <c:numRef>
                    <c:extLst xmlns:c15="http://schemas.microsoft.com/office/drawing/2012/chart">
                      <c:ext xmlns:c15="http://schemas.microsoft.com/office/drawing/2012/chart" uri="{02D57815-91ED-43cb-92C2-25804820EDAC}">
                        <c15:formulaRef>
                          <c15:sqref>'JOBSEEKER EMTR'!$O$2:$O$3000</c15:sqref>
                        </c15:formulaRef>
                      </c:ext>
                    </c:extLst>
                    <c:numCache>
                      <c:formatCode>General</c:formatCode>
                      <c:ptCount val="2999"/>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numCache>
                  </c:numRef>
                </c:val>
                <c:extLst xmlns:c15="http://schemas.microsoft.com/office/drawing/2012/chart">
                  <c:ext xmlns:c16="http://schemas.microsoft.com/office/drawing/2014/chart" uri="{C3380CC4-5D6E-409C-BE32-E72D297353CC}">
                    <c16:uniqueId val="{0000000B-AB78-4065-B8AF-179273607188}"/>
                  </c:ext>
                </c:extLst>
              </c15:ser>
            </c15:filteredAreaSeries>
            <c15:filteredAreaSeries>
              <c15:ser>
                <c:idx val="1"/>
                <c:order val="8"/>
                <c:tx>
                  <c:strRef>
                    <c:extLst xmlns:c15="http://schemas.microsoft.com/office/drawing/2012/chart">
                      <c:ext xmlns:c15="http://schemas.microsoft.com/office/drawing/2012/chart" uri="{02D57815-91ED-43cb-92C2-25804820EDAC}">
                        <c15:formulaRef>
                          <c15:sqref>'JOBSEEKER EMTR'!$Q$1</c15:sqref>
                        </c15:formulaRef>
                      </c:ext>
                    </c:extLst>
                    <c:strCache>
                      <c:ptCount val="1"/>
                      <c:pt idx="0">
                        <c:v>EMTR Used SAPTO(u)</c:v>
                      </c:pt>
                    </c:strCache>
                  </c:strRef>
                </c:tx>
                <c:spPr>
                  <a:solidFill>
                    <a:schemeClr val="bg2">
                      <a:lumMod val="50000"/>
                    </a:schemeClr>
                  </a:solidFill>
                  <a:ln>
                    <a:noFill/>
                  </a:ln>
                  <a:effectLst/>
                </c:spPr>
                <c:cat>
                  <c:numRef>
                    <c:extLst xmlns:c15="http://schemas.microsoft.com/office/drawing/2012/chart">
                      <c:ext xmlns:c15="http://schemas.microsoft.com/office/drawing/2012/chart" uri="{02D57815-91ED-43cb-92C2-25804820EDAC}">
                        <c15:formulaRef>
                          <c15:sqref>'JOBSEEKER EMTR'!$C$2:$C$3000</c15:sqref>
                        </c15:formulaRef>
                      </c:ext>
                    </c:extLst>
                    <c:numCache>
                      <c:formatCode>General</c:formatCode>
                      <c:ptCount val="2999"/>
                      <c:pt idx="0">
                        <c:v>100</c:v>
                      </c:pt>
                      <c:pt idx="1">
                        <c:v>3900</c:v>
                      </c:pt>
                      <c:pt idx="2">
                        <c:v>3900</c:v>
                      </c:pt>
                      <c:pt idx="3">
                        <c:v>6600</c:v>
                      </c:pt>
                      <c:pt idx="4">
                        <c:v>6600</c:v>
                      </c:pt>
                      <c:pt idx="5">
                        <c:v>6700</c:v>
                      </c:pt>
                      <c:pt idx="6">
                        <c:v>6700</c:v>
                      </c:pt>
                      <c:pt idx="7">
                        <c:v>8300</c:v>
                      </c:pt>
                      <c:pt idx="8">
                        <c:v>8300</c:v>
                      </c:pt>
                      <c:pt idx="9">
                        <c:v>8400</c:v>
                      </c:pt>
                      <c:pt idx="10">
                        <c:v>8400</c:v>
                      </c:pt>
                      <c:pt idx="11">
                        <c:v>14800</c:v>
                      </c:pt>
                      <c:pt idx="12">
                        <c:v>14800</c:v>
                      </c:pt>
                      <c:pt idx="13">
                        <c:v>14900</c:v>
                      </c:pt>
                      <c:pt idx="14">
                        <c:v>14900</c:v>
                      </c:pt>
                      <c:pt idx="15">
                        <c:v>22900</c:v>
                      </c:pt>
                      <c:pt idx="16">
                        <c:v>22900</c:v>
                      </c:pt>
                      <c:pt idx="17">
                        <c:v>23000</c:v>
                      </c:pt>
                      <c:pt idx="18">
                        <c:v>23000</c:v>
                      </c:pt>
                      <c:pt idx="19">
                        <c:v>23300</c:v>
                      </c:pt>
                      <c:pt idx="20">
                        <c:v>23300</c:v>
                      </c:pt>
                      <c:pt idx="21">
                        <c:v>23400</c:v>
                      </c:pt>
                      <c:pt idx="22">
                        <c:v>23400</c:v>
                      </c:pt>
                      <c:pt idx="23">
                        <c:v>33300</c:v>
                      </c:pt>
                      <c:pt idx="24">
                        <c:v>33300</c:v>
                      </c:pt>
                      <c:pt idx="25">
                        <c:v>33400</c:v>
                      </c:pt>
                      <c:pt idx="26">
                        <c:v>33400</c:v>
                      </c:pt>
                      <c:pt idx="27">
                        <c:v>33600</c:v>
                      </c:pt>
                      <c:pt idx="28">
                        <c:v>33600</c:v>
                      </c:pt>
                      <c:pt idx="29">
                        <c:v>33700</c:v>
                      </c:pt>
                      <c:pt idx="30">
                        <c:v>33700</c:v>
                      </c:pt>
                      <c:pt idx="31">
                        <c:v>33800</c:v>
                      </c:pt>
                      <c:pt idx="32">
                        <c:v>33800</c:v>
                      </c:pt>
                      <c:pt idx="33">
                        <c:v>37500</c:v>
                      </c:pt>
                      <c:pt idx="34">
                        <c:v>37500</c:v>
                      </c:pt>
                      <c:pt idx="35">
                        <c:v>45000</c:v>
                      </c:pt>
                      <c:pt idx="36">
                        <c:v>45000</c:v>
                      </c:pt>
                      <c:pt idx="37">
                        <c:v>66600</c:v>
                      </c:pt>
                      <c:pt idx="38">
                        <c:v>66600</c:v>
                      </c:pt>
                      <c:pt idx="39">
                        <c:v>66700</c:v>
                      </c:pt>
                      <c:pt idx="40">
                        <c:v>66700</c:v>
                      </c:pt>
                      <c:pt idx="41">
                        <c:v>120000</c:v>
                      </c:pt>
                      <c:pt idx="42">
                        <c:v>120000</c:v>
                      </c:pt>
                      <c:pt idx="43">
                        <c:v>124900</c:v>
                      </c:pt>
                    </c:numCache>
                  </c:numRef>
                </c:cat>
                <c:val>
                  <c:numRef>
                    <c:extLst xmlns:c15="http://schemas.microsoft.com/office/drawing/2012/chart">
                      <c:ext xmlns:c15="http://schemas.microsoft.com/office/drawing/2012/chart" uri="{02D57815-91ED-43cb-92C2-25804820EDAC}">
                        <c15:formulaRef>
                          <c15:sqref>'JOBSEEKER EMTR'!$Q$2:$Q$3000</c15:sqref>
                        </c15:formulaRef>
                      </c:ext>
                    </c:extLst>
                    <c:numCache>
                      <c:formatCode>General</c:formatCode>
                      <c:ptCount val="2999"/>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numCache>
                  </c:numRef>
                </c:val>
                <c:extLst xmlns:c15="http://schemas.microsoft.com/office/drawing/2012/chart">
                  <c:ext xmlns:c16="http://schemas.microsoft.com/office/drawing/2014/chart" uri="{C3380CC4-5D6E-409C-BE32-E72D297353CC}">
                    <c16:uniqueId val="{0000000C-AB78-4065-B8AF-179273607188}"/>
                  </c:ext>
                </c:extLst>
              </c15:ser>
            </c15:filteredAreaSeries>
            <c15:filteredAreaSeries>
              <c15:ser>
                <c:idx val="2"/>
                <c:order val="11"/>
                <c:tx>
                  <c:strRef>
                    <c:extLst xmlns:c15="http://schemas.microsoft.com/office/drawing/2012/chart">
                      <c:ext xmlns:c15="http://schemas.microsoft.com/office/drawing/2012/chart" uri="{02D57815-91ED-43cb-92C2-25804820EDAC}">
                        <c15:formulaRef>
                          <c15:sqref>'JOBSEEKER EMTR'!$T$1</c15:sqref>
                        </c15:formulaRef>
                      </c:ext>
                    </c:extLst>
                    <c:strCache>
                      <c:ptCount val="1"/>
                      <c:pt idx="0">
                        <c:v>EMTR Used LMITO(u)</c:v>
                      </c:pt>
                    </c:strCache>
                  </c:strRef>
                </c:tx>
                <c:spPr>
                  <a:solidFill>
                    <a:srgbClr val="00B050"/>
                  </a:solidFill>
                  <a:ln>
                    <a:noFill/>
                  </a:ln>
                  <a:effectLst/>
                </c:spPr>
                <c:cat>
                  <c:numRef>
                    <c:extLst xmlns:c15="http://schemas.microsoft.com/office/drawing/2012/chart">
                      <c:ext xmlns:c15="http://schemas.microsoft.com/office/drawing/2012/chart" uri="{02D57815-91ED-43cb-92C2-25804820EDAC}">
                        <c15:formulaRef>
                          <c15:sqref>'JOBSEEKER EMTR'!$C$2:$C$3000</c15:sqref>
                        </c15:formulaRef>
                      </c:ext>
                    </c:extLst>
                    <c:numCache>
                      <c:formatCode>General</c:formatCode>
                      <c:ptCount val="2999"/>
                      <c:pt idx="0">
                        <c:v>100</c:v>
                      </c:pt>
                      <c:pt idx="1">
                        <c:v>3900</c:v>
                      </c:pt>
                      <c:pt idx="2">
                        <c:v>3900</c:v>
                      </c:pt>
                      <c:pt idx="3">
                        <c:v>6600</c:v>
                      </c:pt>
                      <c:pt idx="4">
                        <c:v>6600</c:v>
                      </c:pt>
                      <c:pt idx="5">
                        <c:v>6700</c:v>
                      </c:pt>
                      <c:pt idx="6">
                        <c:v>6700</c:v>
                      </c:pt>
                      <c:pt idx="7">
                        <c:v>8300</c:v>
                      </c:pt>
                      <c:pt idx="8">
                        <c:v>8300</c:v>
                      </c:pt>
                      <c:pt idx="9">
                        <c:v>8400</c:v>
                      </c:pt>
                      <c:pt idx="10">
                        <c:v>8400</c:v>
                      </c:pt>
                      <c:pt idx="11">
                        <c:v>14800</c:v>
                      </c:pt>
                      <c:pt idx="12">
                        <c:v>14800</c:v>
                      </c:pt>
                      <c:pt idx="13">
                        <c:v>14900</c:v>
                      </c:pt>
                      <c:pt idx="14">
                        <c:v>14900</c:v>
                      </c:pt>
                      <c:pt idx="15">
                        <c:v>22900</c:v>
                      </c:pt>
                      <c:pt idx="16">
                        <c:v>22900</c:v>
                      </c:pt>
                      <c:pt idx="17">
                        <c:v>23000</c:v>
                      </c:pt>
                      <c:pt idx="18">
                        <c:v>23000</c:v>
                      </c:pt>
                      <c:pt idx="19">
                        <c:v>23300</c:v>
                      </c:pt>
                      <c:pt idx="20">
                        <c:v>23300</c:v>
                      </c:pt>
                      <c:pt idx="21">
                        <c:v>23400</c:v>
                      </c:pt>
                      <c:pt idx="22">
                        <c:v>23400</c:v>
                      </c:pt>
                      <c:pt idx="23">
                        <c:v>33300</c:v>
                      </c:pt>
                      <c:pt idx="24">
                        <c:v>33300</c:v>
                      </c:pt>
                      <c:pt idx="25">
                        <c:v>33400</c:v>
                      </c:pt>
                      <c:pt idx="26">
                        <c:v>33400</c:v>
                      </c:pt>
                      <c:pt idx="27">
                        <c:v>33600</c:v>
                      </c:pt>
                      <c:pt idx="28">
                        <c:v>33600</c:v>
                      </c:pt>
                      <c:pt idx="29">
                        <c:v>33700</c:v>
                      </c:pt>
                      <c:pt idx="30">
                        <c:v>33700</c:v>
                      </c:pt>
                      <c:pt idx="31">
                        <c:v>33800</c:v>
                      </c:pt>
                      <c:pt idx="32">
                        <c:v>33800</c:v>
                      </c:pt>
                      <c:pt idx="33">
                        <c:v>37500</c:v>
                      </c:pt>
                      <c:pt idx="34">
                        <c:v>37500</c:v>
                      </c:pt>
                      <c:pt idx="35">
                        <c:v>45000</c:v>
                      </c:pt>
                      <c:pt idx="36">
                        <c:v>45000</c:v>
                      </c:pt>
                      <c:pt idx="37">
                        <c:v>66600</c:v>
                      </c:pt>
                      <c:pt idx="38">
                        <c:v>66600</c:v>
                      </c:pt>
                      <c:pt idx="39">
                        <c:v>66700</c:v>
                      </c:pt>
                      <c:pt idx="40">
                        <c:v>66700</c:v>
                      </c:pt>
                      <c:pt idx="41">
                        <c:v>120000</c:v>
                      </c:pt>
                      <c:pt idx="42">
                        <c:v>120000</c:v>
                      </c:pt>
                      <c:pt idx="43">
                        <c:v>124900</c:v>
                      </c:pt>
                    </c:numCache>
                  </c:numRef>
                </c:cat>
                <c:val>
                  <c:numRef>
                    <c:extLst xmlns:c15="http://schemas.microsoft.com/office/drawing/2012/chart">
                      <c:ext xmlns:c15="http://schemas.microsoft.com/office/drawing/2012/chart" uri="{02D57815-91ED-43cb-92C2-25804820EDAC}">
                        <c15:formulaRef>
                          <c15:sqref>'JOBSEEKER EMTR'!$T$2:$T$3000</c15:sqref>
                        </c15:formulaRef>
                      </c:ext>
                    </c:extLst>
                    <c:numCache>
                      <c:formatCode>General</c:formatCode>
                      <c:ptCount val="2999"/>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numCache>
                  </c:numRef>
                </c:val>
                <c:extLst xmlns:c15="http://schemas.microsoft.com/office/drawing/2012/chart">
                  <c:ext xmlns:c16="http://schemas.microsoft.com/office/drawing/2014/chart" uri="{C3380CC4-5D6E-409C-BE32-E72D297353CC}">
                    <c16:uniqueId val="{0000000D-AB78-4065-B8AF-179273607188}"/>
                  </c:ext>
                </c:extLst>
              </c15:ser>
            </c15:filteredAreaSeries>
          </c:ext>
        </c:extLst>
      </c:areaChart>
      <c:lineChart>
        <c:grouping val="standard"/>
        <c:varyColors val="0"/>
        <c:ser>
          <c:idx val="4"/>
          <c:order val="0"/>
          <c:tx>
            <c:v>EMTR</c:v>
          </c:tx>
          <c:spPr>
            <a:ln w="25400" cap="rnd" cmpd="sng" algn="ctr">
              <a:solidFill>
                <a:schemeClr val="tx1"/>
              </a:solidFill>
              <a:prstDash val="solid"/>
              <a:round/>
            </a:ln>
            <a:effectLst/>
          </c:spPr>
          <c:marker>
            <c:symbol val="none"/>
          </c:marker>
          <c:cat>
            <c:numRef>
              <c:f>'JOBSEEKER EMTR'!$C$2:$C$3000</c:f>
              <c:numCache>
                <c:formatCode>General</c:formatCode>
                <c:ptCount val="2999"/>
                <c:pt idx="0">
                  <c:v>100</c:v>
                </c:pt>
                <c:pt idx="1">
                  <c:v>3900</c:v>
                </c:pt>
                <c:pt idx="2">
                  <c:v>3900</c:v>
                </c:pt>
                <c:pt idx="3">
                  <c:v>6600</c:v>
                </c:pt>
                <c:pt idx="4">
                  <c:v>6600</c:v>
                </c:pt>
                <c:pt idx="5">
                  <c:v>6700</c:v>
                </c:pt>
                <c:pt idx="6">
                  <c:v>6700</c:v>
                </c:pt>
                <c:pt idx="7">
                  <c:v>8300</c:v>
                </c:pt>
                <c:pt idx="8">
                  <c:v>8300</c:v>
                </c:pt>
                <c:pt idx="9">
                  <c:v>8400</c:v>
                </c:pt>
                <c:pt idx="10">
                  <c:v>8400</c:v>
                </c:pt>
                <c:pt idx="11">
                  <c:v>14800</c:v>
                </c:pt>
                <c:pt idx="12">
                  <c:v>14800</c:v>
                </c:pt>
                <c:pt idx="13">
                  <c:v>14900</c:v>
                </c:pt>
                <c:pt idx="14">
                  <c:v>14900</c:v>
                </c:pt>
                <c:pt idx="15">
                  <c:v>22900</c:v>
                </c:pt>
                <c:pt idx="16">
                  <c:v>22900</c:v>
                </c:pt>
                <c:pt idx="17">
                  <c:v>23000</c:v>
                </c:pt>
                <c:pt idx="18">
                  <c:v>23000</c:v>
                </c:pt>
                <c:pt idx="19">
                  <c:v>23300</c:v>
                </c:pt>
                <c:pt idx="20">
                  <c:v>23300</c:v>
                </c:pt>
                <c:pt idx="21">
                  <c:v>23400</c:v>
                </c:pt>
                <c:pt idx="22">
                  <c:v>23400</c:v>
                </c:pt>
                <c:pt idx="23">
                  <c:v>33300</c:v>
                </c:pt>
                <c:pt idx="24">
                  <c:v>33300</c:v>
                </c:pt>
                <c:pt idx="25">
                  <c:v>33400</c:v>
                </c:pt>
                <c:pt idx="26">
                  <c:v>33400</c:v>
                </c:pt>
                <c:pt idx="27">
                  <c:v>33600</c:v>
                </c:pt>
                <c:pt idx="28">
                  <c:v>33600</c:v>
                </c:pt>
                <c:pt idx="29">
                  <c:v>33700</c:v>
                </c:pt>
                <c:pt idx="30">
                  <c:v>33700</c:v>
                </c:pt>
                <c:pt idx="31">
                  <c:v>33800</c:v>
                </c:pt>
                <c:pt idx="32">
                  <c:v>33800</c:v>
                </c:pt>
                <c:pt idx="33">
                  <c:v>37500</c:v>
                </c:pt>
                <c:pt idx="34">
                  <c:v>37500</c:v>
                </c:pt>
                <c:pt idx="35">
                  <c:v>45000</c:v>
                </c:pt>
                <c:pt idx="36">
                  <c:v>45000</c:v>
                </c:pt>
                <c:pt idx="37">
                  <c:v>66600</c:v>
                </c:pt>
                <c:pt idx="38">
                  <c:v>66600</c:v>
                </c:pt>
                <c:pt idx="39">
                  <c:v>66700</c:v>
                </c:pt>
                <c:pt idx="40">
                  <c:v>66700</c:v>
                </c:pt>
                <c:pt idx="41">
                  <c:v>120000</c:v>
                </c:pt>
                <c:pt idx="42">
                  <c:v>120000</c:v>
                </c:pt>
                <c:pt idx="43">
                  <c:v>124900</c:v>
                </c:pt>
              </c:numCache>
            </c:numRef>
          </c:cat>
          <c:val>
            <c:numRef>
              <c:f>'JOBSEEKER EMTR'!$E$2:$E$3000</c:f>
              <c:numCache>
                <c:formatCode>General</c:formatCode>
                <c:ptCount val="2999"/>
                <c:pt idx="0">
                  <c:v>0</c:v>
                </c:pt>
                <c:pt idx="1">
                  <c:v>0</c:v>
                </c:pt>
                <c:pt idx="2">
                  <c:v>50</c:v>
                </c:pt>
                <c:pt idx="3">
                  <c:v>50</c:v>
                </c:pt>
                <c:pt idx="4">
                  <c:v>54.399999999999636</c:v>
                </c:pt>
                <c:pt idx="5">
                  <c:v>54.399999999999636</c:v>
                </c:pt>
                <c:pt idx="6">
                  <c:v>60</c:v>
                </c:pt>
                <c:pt idx="7">
                  <c:v>60</c:v>
                </c:pt>
                <c:pt idx="8">
                  <c:v>60.76991999999882</c:v>
                </c:pt>
                <c:pt idx="9">
                  <c:v>60.76991999999882</c:v>
                </c:pt>
                <c:pt idx="10">
                  <c:v>64.000000000001819</c:v>
                </c:pt>
                <c:pt idx="11">
                  <c:v>64.000000000001819</c:v>
                </c:pt>
                <c:pt idx="12">
                  <c:v>79.812847999999576</c:v>
                </c:pt>
                <c:pt idx="13">
                  <c:v>79.812847999999576</c:v>
                </c:pt>
                <c:pt idx="14">
                  <c:v>80.600000000000364</c:v>
                </c:pt>
                <c:pt idx="15">
                  <c:v>80.600000000000364</c:v>
                </c:pt>
                <c:pt idx="16">
                  <c:v>80.084063999999671</c:v>
                </c:pt>
                <c:pt idx="17">
                  <c:v>80.084063999999671</c:v>
                </c:pt>
                <c:pt idx="18">
                  <c:v>77.400000000000546</c:v>
                </c:pt>
                <c:pt idx="19">
                  <c:v>77.400000000000546</c:v>
                </c:pt>
                <c:pt idx="20">
                  <c:v>73.399999999999636</c:v>
                </c:pt>
                <c:pt idx="21">
                  <c:v>73.399999999999636</c:v>
                </c:pt>
                <c:pt idx="22">
                  <c:v>68.399999999999636</c:v>
                </c:pt>
                <c:pt idx="23">
                  <c:v>68.399999999999636</c:v>
                </c:pt>
                <c:pt idx="24">
                  <c:v>74.133167999999387</c:v>
                </c:pt>
                <c:pt idx="25">
                  <c:v>74.133167999999387</c:v>
                </c:pt>
                <c:pt idx="26">
                  <c:v>81.000000000001819</c:v>
                </c:pt>
                <c:pt idx="27">
                  <c:v>81.000000000001819</c:v>
                </c:pt>
                <c:pt idx="28">
                  <c:v>76.499199999996563</c:v>
                </c:pt>
                <c:pt idx="29">
                  <c:v>76.499199999996563</c:v>
                </c:pt>
                <c:pt idx="30">
                  <c:v>47</c:v>
                </c:pt>
                <c:pt idx="31">
                  <c:v>47</c:v>
                </c:pt>
                <c:pt idx="32">
                  <c:v>21</c:v>
                </c:pt>
                <c:pt idx="33">
                  <c:v>21</c:v>
                </c:pt>
                <c:pt idx="34">
                  <c:v>26</c:v>
                </c:pt>
                <c:pt idx="35">
                  <c:v>26</c:v>
                </c:pt>
                <c:pt idx="36">
                  <c:v>36</c:v>
                </c:pt>
                <c:pt idx="37">
                  <c:v>36</c:v>
                </c:pt>
                <c:pt idx="38">
                  <c:v>35.5</c:v>
                </c:pt>
                <c:pt idx="39">
                  <c:v>35.5</c:v>
                </c:pt>
                <c:pt idx="40">
                  <c:v>34.5</c:v>
                </c:pt>
                <c:pt idx="41">
                  <c:v>34.5</c:v>
                </c:pt>
                <c:pt idx="42">
                  <c:v>39</c:v>
                </c:pt>
                <c:pt idx="43">
                  <c:v>39</c:v>
                </c:pt>
              </c:numCache>
            </c:numRef>
          </c:val>
          <c:smooth val="0"/>
          <c:extLst>
            <c:ext xmlns:c16="http://schemas.microsoft.com/office/drawing/2014/chart" uri="{C3380CC4-5D6E-409C-BE32-E72D297353CC}">
              <c16:uniqueId val="{00000005-AB78-4065-B8AF-179273607188}"/>
            </c:ext>
          </c:extLst>
        </c:ser>
        <c:dLbls>
          <c:showLegendKey val="0"/>
          <c:showVal val="0"/>
          <c:showCatName val="0"/>
          <c:showSerName val="0"/>
          <c:showPercent val="0"/>
          <c:showBubbleSize val="0"/>
        </c:dLbls>
        <c:marker val="1"/>
        <c:smooth val="0"/>
        <c:axId val="96608640"/>
        <c:axId val="96610176"/>
      </c:lineChart>
      <c:lineChart>
        <c:grouping val="standard"/>
        <c:varyColors val="0"/>
        <c:ser>
          <c:idx val="0"/>
          <c:order val="13"/>
          <c:tx>
            <c:v>EMTR</c:v>
          </c:tx>
          <c:spPr>
            <a:ln w="25400" cap="rnd" cmpd="sng" algn="ctr">
              <a:solidFill>
                <a:schemeClr val="tx1"/>
              </a:solidFill>
              <a:prstDash val="solid"/>
              <a:round/>
            </a:ln>
            <a:effectLst/>
          </c:spPr>
          <c:marker>
            <c:symbol val="none"/>
          </c:marker>
          <c:val>
            <c:numRef>
              <c:f>'JOBSEEKER EMTR'!$E$2:$E$3000</c:f>
              <c:numCache>
                <c:formatCode>General</c:formatCode>
                <c:ptCount val="2999"/>
                <c:pt idx="0">
                  <c:v>0</c:v>
                </c:pt>
                <c:pt idx="1">
                  <c:v>0</c:v>
                </c:pt>
                <c:pt idx="2">
                  <c:v>50</c:v>
                </c:pt>
                <c:pt idx="3">
                  <c:v>50</c:v>
                </c:pt>
                <c:pt idx="4">
                  <c:v>54.399999999999636</c:v>
                </c:pt>
                <c:pt idx="5">
                  <c:v>54.399999999999636</c:v>
                </c:pt>
                <c:pt idx="6">
                  <c:v>60</c:v>
                </c:pt>
                <c:pt idx="7">
                  <c:v>60</c:v>
                </c:pt>
                <c:pt idx="8">
                  <c:v>60.76991999999882</c:v>
                </c:pt>
                <c:pt idx="9">
                  <c:v>60.76991999999882</c:v>
                </c:pt>
                <c:pt idx="10">
                  <c:v>64.000000000001819</c:v>
                </c:pt>
                <c:pt idx="11">
                  <c:v>64.000000000001819</c:v>
                </c:pt>
                <c:pt idx="12">
                  <c:v>79.812847999999576</c:v>
                </c:pt>
                <c:pt idx="13">
                  <c:v>79.812847999999576</c:v>
                </c:pt>
                <c:pt idx="14">
                  <c:v>80.600000000000364</c:v>
                </c:pt>
                <c:pt idx="15">
                  <c:v>80.600000000000364</c:v>
                </c:pt>
                <c:pt idx="16">
                  <c:v>80.084063999999671</c:v>
                </c:pt>
                <c:pt idx="17">
                  <c:v>80.084063999999671</c:v>
                </c:pt>
                <c:pt idx="18">
                  <c:v>77.400000000000546</c:v>
                </c:pt>
                <c:pt idx="19">
                  <c:v>77.400000000000546</c:v>
                </c:pt>
                <c:pt idx="20">
                  <c:v>73.399999999999636</c:v>
                </c:pt>
                <c:pt idx="21">
                  <c:v>73.399999999999636</c:v>
                </c:pt>
                <c:pt idx="22">
                  <c:v>68.399999999999636</c:v>
                </c:pt>
                <c:pt idx="23">
                  <c:v>68.399999999999636</c:v>
                </c:pt>
                <c:pt idx="24">
                  <c:v>74.133167999999387</c:v>
                </c:pt>
                <c:pt idx="25">
                  <c:v>74.133167999999387</c:v>
                </c:pt>
                <c:pt idx="26">
                  <c:v>81.000000000001819</c:v>
                </c:pt>
                <c:pt idx="27">
                  <c:v>81.000000000001819</c:v>
                </c:pt>
                <c:pt idx="28">
                  <c:v>76.499199999996563</c:v>
                </c:pt>
                <c:pt idx="29">
                  <c:v>76.499199999996563</c:v>
                </c:pt>
                <c:pt idx="30">
                  <c:v>47</c:v>
                </c:pt>
                <c:pt idx="31">
                  <c:v>47</c:v>
                </c:pt>
                <c:pt idx="32">
                  <c:v>21</c:v>
                </c:pt>
                <c:pt idx="33">
                  <c:v>21</c:v>
                </c:pt>
                <c:pt idx="34">
                  <c:v>26</c:v>
                </c:pt>
                <c:pt idx="35">
                  <c:v>26</c:v>
                </c:pt>
                <c:pt idx="36">
                  <c:v>36</c:v>
                </c:pt>
                <c:pt idx="37">
                  <c:v>36</c:v>
                </c:pt>
                <c:pt idx="38">
                  <c:v>35.5</c:v>
                </c:pt>
                <c:pt idx="39">
                  <c:v>35.5</c:v>
                </c:pt>
                <c:pt idx="40">
                  <c:v>34.5</c:v>
                </c:pt>
                <c:pt idx="41">
                  <c:v>34.5</c:v>
                </c:pt>
                <c:pt idx="42">
                  <c:v>39</c:v>
                </c:pt>
                <c:pt idx="43">
                  <c:v>39</c:v>
                </c:pt>
              </c:numCache>
            </c:numRef>
          </c:val>
          <c:smooth val="0"/>
          <c:extLst>
            <c:ext xmlns:c16="http://schemas.microsoft.com/office/drawing/2014/chart" uri="{C3380CC4-5D6E-409C-BE32-E72D297353CC}">
              <c16:uniqueId val="{00000006-AB78-4065-B8AF-179273607188}"/>
            </c:ext>
          </c:extLst>
        </c:ser>
        <c:dLbls>
          <c:showLegendKey val="0"/>
          <c:showVal val="0"/>
          <c:showCatName val="0"/>
          <c:showSerName val="0"/>
          <c:showPercent val="0"/>
          <c:showBubbleSize val="0"/>
        </c:dLbls>
        <c:marker val="1"/>
        <c:smooth val="0"/>
        <c:axId val="1653475183"/>
        <c:axId val="1653480175"/>
      </c:lineChart>
      <c:dateAx>
        <c:axId val="96608640"/>
        <c:scaling>
          <c:orientation val="minMax"/>
          <c:max val="122708"/>
          <c:min val="3"/>
        </c:scaling>
        <c:delete val="0"/>
        <c:axPos val="b"/>
        <c:title>
          <c:tx>
            <c:rich>
              <a:bodyPr rot="0" spcFirstLastPara="1" vertOverflow="ellipsis" vert="horz" wrap="square" anchor="ctr" anchorCtr="1"/>
              <a:lstStyle/>
              <a:p>
                <a:pPr>
                  <a:defRPr sz="1100" b="1" i="0" u="none" strike="noStrike" kern="1200" baseline="0">
                    <a:solidFill>
                      <a:schemeClr val="tx1"/>
                    </a:solidFill>
                    <a:latin typeface="Arial" panose="020B0604020202020204" pitchFamily="34" charset="0"/>
                    <a:ea typeface="+mn-ea"/>
                    <a:cs typeface="Arial" panose="020B0604020202020204" pitchFamily="34" charset="0"/>
                  </a:defRPr>
                </a:pPr>
                <a:r>
                  <a:rPr lang="en-AU" sz="800" b="0">
                    <a:latin typeface="Arial" panose="020B0604020202020204" pitchFamily="34" charset="0"/>
                    <a:cs typeface="Arial" panose="020B0604020202020204" pitchFamily="34" charset="0"/>
                  </a:rPr>
                  <a:t>JobSeeker recipient's</a:t>
                </a:r>
                <a:r>
                  <a:rPr lang="en-AU" sz="800" b="0" baseline="0">
                    <a:latin typeface="Arial" panose="020B0604020202020204" pitchFamily="34" charset="0"/>
                    <a:cs typeface="Arial" panose="020B0604020202020204" pitchFamily="34" charset="0"/>
                  </a:rPr>
                  <a:t> earned income ($ '000 pa)</a:t>
                </a:r>
                <a:endParaRPr lang="en-AU" sz="800" b="0">
                  <a:latin typeface="Arial" panose="020B0604020202020204" pitchFamily="34" charset="0"/>
                  <a:cs typeface="Arial" panose="020B0604020202020204" pitchFamily="34" charset="0"/>
                </a:endParaRPr>
              </a:p>
            </c:rich>
          </c:tx>
          <c:layout>
            <c:manualLayout>
              <c:xMode val="edge"/>
              <c:yMode val="edge"/>
              <c:x val="0.29827458804139761"/>
              <c:y val="0.90559506172839521"/>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0," sourceLinked="0"/>
        <c:majorTickMark val="out"/>
        <c:minorTickMark val="none"/>
        <c:tickLblPos val="low"/>
        <c:spPr>
          <a:noFill/>
          <a:ln w="9525" cap="flat" cmpd="sng" algn="ctr">
            <a:solidFill>
              <a:srgbClr val="010000"/>
            </a:solidFill>
            <a:prstDash val="solid"/>
            <a:round/>
          </a:ln>
          <a:effectLst/>
        </c:spPr>
        <c:txPr>
          <a:bodyPr rot="-60000000" spcFirstLastPara="1" vertOverflow="ellipsis" vert="horz" wrap="square" anchor="ctr" anchorCtr="1"/>
          <a:lstStyle/>
          <a:p>
            <a:pPr>
              <a:defRPr sz="800" b="0" i="0" u="none" strike="noStrike" kern="1200" baseline="0">
                <a:solidFill>
                  <a:srgbClr val="000000"/>
                </a:solidFill>
                <a:latin typeface="Arial"/>
                <a:ea typeface="Arial"/>
                <a:cs typeface="Arial"/>
              </a:defRPr>
            </a:pPr>
            <a:endParaRPr lang="en-US"/>
          </a:p>
        </c:txPr>
        <c:crossAx val="96610176"/>
        <c:crosses val="autoZero"/>
        <c:auto val="0"/>
        <c:lblOffset val="100"/>
        <c:baseTimeUnit val="days"/>
        <c:majorUnit val="10000"/>
        <c:majorTimeUnit val="days"/>
      </c:dateAx>
      <c:valAx>
        <c:axId val="96610176"/>
        <c:scaling>
          <c:orientation val="minMax"/>
          <c:max val="100"/>
          <c:min val="0"/>
        </c:scaling>
        <c:delete val="0"/>
        <c:axPos val="l"/>
        <c:majorGridlines>
          <c:spPr>
            <a:ln w="3175" cap="flat" cmpd="sng" algn="ctr">
              <a:solidFill>
                <a:srgbClr val="808080">
                  <a:alpha val="40000"/>
                </a:srgbClr>
              </a:solidFill>
              <a:prstDash val="solid"/>
              <a:round/>
              <a:headEnd type="none" w="med" len="med"/>
              <a:tailEnd type="none" w="med" len="med"/>
            </a:ln>
            <a:effectLst/>
          </c:spPr>
        </c:majorGridlines>
        <c:title>
          <c:tx>
            <c:rich>
              <a:bodyPr rot="0" spcFirstLastPara="1" vertOverflow="ellipsis" wrap="square" anchor="ctr" anchorCtr="1"/>
              <a:lstStyle/>
              <a:p>
                <a:pPr>
                  <a:defRPr sz="800" b="1" i="0" u="none" strike="noStrike" kern="1200" baseline="0">
                    <a:solidFill>
                      <a:srgbClr val="000000"/>
                    </a:solidFill>
                    <a:latin typeface="Arial"/>
                    <a:ea typeface="Arial"/>
                    <a:cs typeface="Arial"/>
                  </a:defRPr>
                </a:pPr>
                <a:r>
                  <a:rPr lang="en-AU"/>
                  <a:t>Effective Marginal Tax Rate (%)</a:t>
                </a:r>
              </a:p>
            </c:rich>
          </c:tx>
          <c:layout>
            <c:manualLayout>
              <c:xMode val="edge"/>
              <c:yMode val="edge"/>
              <c:x val="2.7298378368850961E-3"/>
              <c:y val="0"/>
            </c:manualLayout>
          </c:layout>
          <c:overlay val="0"/>
          <c:spPr>
            <a:noFill/>
            <a:ln>
              <a:noFill/>
            </a:ln>
            <a:effectLst/>
          </c:spPr>
          <c:txPr>
            <a:bodyPr rot="0" spcFirstLastPara="1" vertOverflow="ellipsis" wrap="square" anchor="ctr" anchorCtr="1"/>
            <a:lstStyle/>
            <a:p>
              <a:pPr>
                <a:defRPr sz="800" b="1" i="0" u="none" strike="noStrike" kern="1200" baseline="0">
                  <a:solidFill>
                    <a:srgbClr val="000000"/>
                  </a:solidFill>
                  <a:latin typeface="Arial"/>
                  <a:ea typeface="Arial"/>
                  <a:cs typeface="Arial"/>
                </a:defRPr>
              </a:pPr>
              <a:endParaRPr lang="en-US"/>
            </a:p>
          </c:txPr>
        </c:title>
        <c:numFmt formatCode="0" sourceLinked="0"/>
        <c:majorTickMark val="in"/>
        <c:minorTickMark val="none"/>
        <c:tickLblPos val="nextTo"/>
        <c:spPr>
          <a:noFill/>
          <a:ln w="9525" cap="flat" cmpd="sng" algn="ctr">
            <a:noFill/>
            <a:prstDash val="solid"/>
            <a:round/>
          </a:ln>
          <a:effectLst/>
          <a:extLst>
            <a:ext uri="{91240B29-F687-4F45-9708-019B960494DF}">
              <a14:hiddenLine xmlns:a14="http://schemas.microsoft.com/office/drawing/2010/main" w="9525" cap="flat" cmpd="sng" algn="ctr">
                <a:solidFill>
                  <a:srgbClr val="010000"/>
                </a:solidFill>
                <a:prstDash val="solid"/>
                <a:round/>
              </a14:hiddenLine>
            </a:ext>
          </a:extLst>
        </c:spPr>
        <c:txPr>
          <a:bodyPr rot="-60000000" spcFirstLastPara="1" vertOverflow="ellipsis" vert="horz" wrap="square" anchor="ctr" anchorCtr="1"/>
          <a:lstStyle/>
          <a:p>
            <a:pPr>
              <a:defRPr sz="800" b="0" i="0" u="none" strike="noStrike" kern="1200" baseline="0">
                <a:solidFill>
                  <a:srgbClr val="000000"/>
                </a:solidFill>
                <a:latin typeface="Arial"/>
                <a:ea typeface="Arial"/>
                <a:cs typeface="Arial"/>
              </a:defRPr>
            </a:pPr>
            <a:endParaRPr lang="en-US"/>
          </a:p>
        </c:txPr>
        <c:crossAx val="96608640"/>
        <c:crosses val="autoZero"/>
        <c:crossBetween val="midCat"/>
        <c:majorUnit val="20"/>
      </c:valAx>
      <c:valAx>
        <c:axId val="1653480175"/>
        <c:scaling>
          <c:orientation val="minMax"/>
          <c:max val="1"/>
        </c:scaling>
        <c:delete val="1"/>
        <c:axPos val="r"/>
        <c:numFmt formatCode="0.0" sourceLinked="0"/>
        <c:majorTickMark val="in"/>
        <c:minorTickMark val="none"/>
        <c:tickLblPos val="nextTo"/>
        <c:crossAx val="1653475183"/>
        <c:crosses val="max"/>
        <c:crossBetween val="between"/>
        <c:majorUnit val="0.2"/>
      </c:valAx>
      <c:catAx>
        <c:axId val="1653475183"/>
        <c:scaling>
          <c:orientation val="minMax"/>
        </c:scaling>
        <c:delete val="1"/>
        <c:axPos val="b"/>
        <c:majorTickMark val="out"/>
        <c:minorTickMark val="none"/>
        <c:tickLblPos val="nextTo"/>
        <c:crossAx val="1653480175"/>
        <c:crosses val="autoZero"/>
        <c:auto val="1"/>
        <c:lblAlgn val="ctr"/>
        <c:lblOffset val="100"/>
        <c:noMultiLvlLbl val="0"/>
      </c:catAx>
      <c:spPr>
        <a:noFill/>
        <a:ln w="25400">
          <a:noFill/>
        </a:ln>
        <a:effectLst/>
        <a:extLst>
          <a:ext uri="{909E8E84-426E-40DD-AFC4-6F175D3DCCD1}">
            <a14:hiddenFill xmlns:a14="http://schemas.microsoft.com/office/drawing/2010/main">
              <a:solidFill>
                <a:srgbClr val="FFFFFF"/>
              </a:solidFill>
            </a14:hiddenFill>
          </a:ext>
        </a:extLst>
      </c:spPr>
    </c:plotArea>
    <c:legend>
      <c:legendPos val="b"/>
      <c:legendEntry>
        <c:idx val="2"/>
        <c:delete val="1"/>
      </c:legendEntry>
      <c:legendEntry>
        <c:idx val="3"/>
        <c:delete val="1"/>
      </c:legendEntry>
      <c:legendEntry>
        <c:idx val="6"/>
        <c:delete val="1"/>
      </c:legendEntry>
      <c:layout>
        <c:manualLayout>
          <c:xMode val="edge"/>
          <c:yMode val="edge"/>
          <c:x val="0.17322433610213769"/>
          <c:y val="0.94931759259259263"/>
          <c:w val="0.66907542154402555"/>
          <c:h val="4.6434655507532591E-2"/>
        </c:manualLayout>
      </c:layout>
      <c:overlay val="0"/>
      <c:spPr>
        <a:noFill/>
        <a:ln w="25400">
          <a:noFill/>
        </a:ln>
        <a:effectLst/>
      </c:spPr>
      <c:txPr>
        <a:bodyPr rot="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Calibri"/>
              <a:cs typeface="Arial" panose="020B0604020202020204" pitchFamily="34" charset="0"/>
            </a:defRPr>
          </a:pPr>
          <a:endParaRPr lang="en-US"/>
        </a:p>
      </c:txPr>
    </c:legend>
    <c:plotVisOnly val="0"/>
    <c:dispBlanksAs val="zero"/>
    <c:showDLblsOverMax val="0"/>
  </c:chart>
  <c:spPr>
    <a:noFill/>
    <a:ln w="25400" cap="flat" cmpd="sng" algn="ctr">
      <a:noFill/>
      <a:prstDash val="solid"/>
      <a:round/>
    </a:ln>
    <a:effectLst/>
    <a:extLst>
      <a:ext uri="{909E8E84-426E-40DD-AFC4-6F175D3DCCD1}">
        <a14:hiddenFill xmlns:a14="http://schemas.microsoft.com/office/drawing/2010/main">
          <a:solidFill>
            <a:srgbClr val="FFFFFF"/>
          </a:solidFill>
        </a14:hiddenFill>
      </a:ext>
    </a:extLst>
  </c:spPr>
  <c:txPr>
    <a:bodyPr/>
    <a:lstStyle/>
    <a:p>
      <a:pPr>
        <a:defRPr sz="1100"/>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Aus23</b:Tag>
    <b:SourceType>Misc</b:SourceType>
    <b:Guid>{37DE7661-C8DD-4C29-909B-C3D430AB283A}</b:Guid>
    <b:Author>
      <b:Author>
        <b:Corporate>Australian Treasury</b:Corporate>
      </b:Author>
    </b:Author>
    <b:Title>Opening statement - Economics Legislation Committee</b:Title>
    <b:Year>2023</b:Year>
    <b:Month>October </b:Month>
    <b:Day>26</b:Day>
    <b:City>Canberra</b:City>
    <b:RefOrder>1</b:RefOrder>
  </b:Source>
  <b:Source>
    <b:Tag>ABS211</b:Tag>
    <b:SourceType>Misc</b:SourceType>
    <b:Guid>{FF283196-956B-43AA-B62F-5F265AD76DB4}</b:Guid>
    <b:Author>
      <b:Author>
        <b:Corporate>ABS</b:Corporate>
      </b:Author>
    </b:Author>
    <b:Title>Census</b:Title>
    <b:Year>2021</b:Year>
    <b:RefOrder>2</b:RefOrder>
  </b:Source>
</b:Sources>
</file>

<file path=customXml/itemProps1.xml><?xml version="1.0" encoding="utf-8"?>
<ds:datastoreItem xmlns:ds="http://schemas.openxmlformats.org/officeDocument/2006/customXml" ds:itemID="{9F92E158-B159-425B-8398-F31147273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3560</Words>
  <Characters>20295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Treasury Round Up March 2024</vt:lpstr>
    </vt:vector>
  </TitlesOfParts>
  <Company/>
  <LinksUpToDate>false</LinksUpToDate>
  <CharactersWithSpaces>23808</CharactersWithSpaces>
  <SharedDoc>false</SharedDoc>
  <HLinks>
    <vt:vector size="18" baseType="variant">
      <vt:variant>
        <vt:i4>5046346</vt:i4>
      </vt:variant>
      <vt:variant>
        <vt:i4>3</vt:i4>
      </vt:variant>
      <vt:variant>
        <vt:i4>0</vt:i4>
      </vt:variant>
      <vt:variant>
        <vt:i4>5</vt:i4>
      </vt:variant>
      <vt:variant>
        <vt:lpwstr>https://robodebt.royalcommission.gov.au/publications/professorpeterwhitefordreportrobodebtroyalcommission</vt:lpwstr>
      </vt:variant>
      <vt:variant>
        <vt:lpwstr/>
      </vt:variant>
      <vt:variant>
        <vt:i4>5832712</vt:i4>
      </vt:variant>
      <vt:variant>
        <vt:i4>0</vt:i4>
      </vt:variant>
      <vt:variant>
        <vt:i4>0</vt:i4>
      </vt:variant>
      <vt:variant>
        <vt:i4>5</vt:i4>
      </vt:variant>
      <vt:variant>
        <vt:lpwstr>https://treasury.gov.au/speech/opening-statement-economics-legislation-committee</vt:lpwstr>
      </vt:variant>
      <vt:variant>
        <vt:lpwstr/>
      </vt:variant>
      <vt:variant>
        <vt:i4>2097198</vt:i4>
      </vt:variant>
      <vt:variant>
        <vt:i4>0</vt:i4>
      </vt:variant>
      <vt:variant>
        <vt:i4>0</vt:i4>
      </vt:variant>
      <vt:variant>
        <vt:i4>5</vt:i4>
      </vt:variant>
      <vt:variant>
        <vt:lpwstr>https://www.stylemanual.gov.au/grammar-punctuation-and-conventions/numbers-and-measurements/dates-and-time</vt:lpwstr>
      </vt:variant>
      <vt:variant>
        <vt:lpwstr>refer_to_specific_days_events_and_periods_with_capitals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Treasury Round Up March 2024</dc:title>
  <dc:subject>Incentives for secondary earners and income support recipients</dc:subject>
  <dc:creator/>
  <cp:keywords/>
  <cp:lastModifiedBy/>
  <cp:revision>1</cp:revision>
  <dcterms:created xsi:type="dcterms:W3CDTF">2024-03-27T05:39:00Z</dcterms:created>
  <dcterms:modified xsi:type="dcterms:W3CDTF">2024-03-27T23:46:00Z</dcterms:modified>
</cp:coreProperties>
</file>