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4778" w14:textId="76E1F339" w:rsidR="00CB099C" w:rsidRPr="006923DF" w:rsidRDefault="00F82189" w:rsidP="006267AA">
      <w:pPr>
        <w:pStyle w:val="Subtitle"/>
        <w:tabs>
          <w:tab w:val="left" w:pos="8268"/>
        </w:tabs>
      </w:pPr>
      <w:r w:rsidRPr="00F82189">
        <w:t>Labour Market Edition</w:t>
      </w:r>
      <w:r w:rsidR="00135CE3">
        <w:rPr>
          <w:noProof/>
        </w:rPr>
        <w:drawing>
          <wp:anchor distT="0" distB="0" distL="114300" distR="114300" simplePos="0" relativeHeight="251658240" behindDoc="1" locked="1" layoutInCell="1" allowOverlap="1" wp14:anchorId="2A2D098F" wp14:editId="608083E0">
            <wp:simplePos x="0" y="0"/>
            <wp:positionH relativeFrom="page">
              <wp:align>center</wp:align>
            </wp:positionH>
            <wp:positionV relativeFrom="page">
              <wp:align>center</wp:align>
            </wp:positionV>
            <wp:extent cx="7570800" cy="10706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7AA">
        <w:tab/>
      </w:r>
    </w:p>
    <w:p w14:paraId="12839B91" w14:textId="13BF3A1C" w:rsidR="00CB099C" w:rsidRDefault="00F82189" w:rsidP="00CB099C">
      <w:pPr>
        <w:pStyle w:val="ReportDate"/>
        <w:rPr>
          <w:rStyle w:val="ReportDateChar"/>
        </w:rPr>
      </w:pPr>
      <w:r>
        <w:rPr>
          <w:rStyle w:val="ReportDateChar"/>
        </w:rPr>
        <w:t>March 2024</w:t>
      </w:r>
    </w:p>
    <w:p w14:paraId="7DC4EF68" w14:textId="77777777" w:rsidR="00AF4D96" w:rsidRPr="00586605" w:rsidRDefault="00AF4D96" w:rsidP="00CB099C">
      <w:pPr>
        <w:pStyle w:val="ReportDate"/>
      </w:pPr>
    </w:p>
    <w:p w14:paraId="5DF3BC67" w14:textId="77777777" w:rsidR="00052ED1" w:rsidRDefault="00052ED1" w:rsidP="00EE4C91">
      <w:pPr>
        <w:pStyle w:val="Heading1"/>
        <w:rPr>
          <w:rFonts w:cs="Times New Roman"/>
          <w:b w:val="0"/>
          <w:color w:val="auto"/>
          <w:kern w:val="0"/>
          <w:sz w:val="22"/>
          <w:szCs w:val="20"/>
        </w:rPr>
      </w:pPr>
      <w:r>
        <w:rPr>
          <w:rFonts w:cs="Times New Roman"/>
          <w:b w:val="0"/>
          <w:color w:val="auto"/>
          <w:kern w:val="0"/>
          <w:sz w:val="22"/>
          <w:szCs w:val="20"/>
        </w:rPr>
        <w:br w:type="page"/>
      </w:r>
    </w:p>
    <w:p w14:paraId="6A8F9421" w14:textId="63E52A9A" w:rsidR="00052ED1" w:rsidRDefault="00052ED1" w:rsidP="00052ED1">
      <w:pPr>
        <w:spacing w:before="0" w:after="160" w:line="259" w:lineRule="auto"/>
      </w:pPr>
      <w:r w:rsidRPr="00661BF0">
        <w:lastRenderedPageBreak/>
        <w:t xml:space="preserve">© Commonwealth of Australia </w:t>
      </w:r>
      <w:r w:rsidRPr="000B5837">
        <w:t>20</w:t>
      </w:r>
      <w:r w:rsidR="00DB4920" w:rsidRPr="000B5837">
        <w:t>2</w:t>
      </w:r>
      <w:r w:rsidR="00F82189" w:rsidRPr="000B5837">
        <w:t>4</w:t>
      </w:r>
    </w:p>
    <w:p w14:paraId="2132B897" w14:textId="30E13238" w:rsidR="00052ED1" w:rsidRDefault="00052ED1" w:rsidP="00052ED1">
      <w:pPr>
        <w:spacing w:before="0" w:after="160" w:line="259" w:lineRule="auto"/>
        <w:rPr>
          <w:noProof/>
        </w:rPr>
      </w:pPr>
      <w:r>
        <w:t>IS</w:t>
      </w:r>
      <w:r w:rsidR="000B5837">
        <w:t>S</w:t>
      </w:r>
      <w:r>
        <w:t xml:space="preserve">N: </w:t>
      </w:r>
      <w:r w:rsidR="000B5837">
        <w:t>2653-6196</w:t>
      </w:r>
    </w:p>
    <w:p w14:paraId="31E04356" w14:textId="5EE06ECE" w:rsidR="00052ED1" w:rsidRPr="00086F82" w:rsidRDefault="00052ED1" w:rsidP="00052ED1">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38402DA" w14:textId="77777777" w:rsidR="00052ED1" w:rsidRDefault="00052ED1" w:rsidP="00052ED1">
      <w:pPr>
        <w:pStyle w:val="ChartGraphic"/>
        <w:jc w:val="left"/>
      </w:pPr>
      <w:r w:rsidRPr="00E56DFB">
        <w:rPr>
          <w:noProof/>
        </w:rPr>
        <w:drawing>
          <wp:inline distT="0" distB="0" distL="0" distR="0" wp14:anchorId="20BF97D8" wp14:editId="7130EB85">
            <wp:extent cx="809625" cy="285750"/>
            <wp:effectExtent l="0" t="0" r="9525" b="0"/>
            <wp:docPr id="15" name="Picture 15"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A6E190B" w14:textId="77777777" w:rsidR="00052ED1" w:rsidRPr="006627B4" w:rsidRDefault="00052ED1" w:rsidP="00052ED1">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CC3AF82" w14:textId="77777777" w:rsidR="00052ED1" w:rsidRPr="006469CC" w:rsidRDefault="00052ED1" w:rsidP="00052ED1">
      <w:pPr>
        <w:spacing w:before="240"/>
        <w:rPr>
          <w:b/>
        </w:rPr>
      </w:pPr>
      <w:r w:rsidRPr="006469CC">
        <w:rPr>
          <w:b/>
        </w:rPr>
        <w:t>Treasury material used ‘as supplied’.</w:t>
      </w:r>
    </w:p>
    <w:p w14:paraId="2A30F973" w14:textId="77777777" w:rsidR="00052ED1" w:rsidRPr="00476F09" w:rsidRDefault="00052ED1" w:rsidP="00052ED1">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DB4920">
        <w:t>–</w:t>
      </w:r>
      <w:r>
        <w:t xml:space="preserve"> then Treasury prefers t</w:t>
      </w:r>
      <w:r w:rsidRPr="00476F09">
        <w:t xml:space="preserve">he following attribution: </w:t>
      </w:r>
    </w:p>
    <w:p w14:paraId="33DE87EC" w14:textId="1389CBA9" w:rsidR="00052ED1" w:rsidRPr="00A13A11" w:rsidRDefault="00052ED1" w:rsidP="00052ED1">
      <w:pPr>
        <w:ind w:firstLine="720"/>
      </w:pPr>
      <w:r w:rsidRPr="002F1BC2">
        <w:rPr>
          <w:i/>
        </w:rPr>
        <w:t xml:space="preserve">Source: The </w:t>
      </w:r>
      <w:r w:rsidRPr="002F1BC2">
        <w:rPr>
          <w:i/>
          <w:iCs/>
        </w:rPr>
        <w:t>Australian Government the Treasury</w:t>
      </w:r>
      <w:r>
        <w:t>.</w:t>
      </w:r>
    </w:p>
    <w:p w14:paraId="7B1125B9" w14:textId="77777777" w:rsidR="00052ED1" w:rsidRPr="006627B4" w:rsidRDefault="00052ED1" w:rsidP="00052ED1">
      <w:pPr>
        <w:spacing w:before="240"/>
      </w:pPr>
      <w:r w:rsidRPr="00CC63CC">
        <w:rPr>
          <w:b/>
        </w:rPr>
        <w:t>Derivative</w:t>
      </w:r>
      <w:r w:rsidRPr="006627B4">
        <w:t xml:space="preserve"> </w:t>
      </w:r>
      <w:r w:rsidRPr="00CC63CC">
        <w:rPr>
          <w:b/>
        </w:rPr>
        <w:t>material</w:t>
      </w:r>
    </w:p>
    <w:p w14:paraId="5BE124DD" w14:textId="77777777" w:rsidR="00052ED1" w:rsidRPr="006627B4" w:rsidRDefault="00052ED1" w:rsidP="00052ED1">
      <w:r w:rsidRPr="006627B4">
        <w:t xml:space="preserve">If you have modified or transformed Treasury material, or derived new material from those of the Treasury in any way, then Treasury prefers the following attribution: </w:t>
      </w:r>
    </w:p>
    <w:p w14:paraId="67501976" w14:textId="21755FD6" w:rsidR="00052ED1" w:rsidRPr="006627B4" w:rsidRDefault="00052ED1" w:rsidP="00052ED1">
      <w:pPr>
        <w:ind w:firstLine="720"/>
      </w:pPr>
      <w:r w:rsidRPr="002F1BC2">
        <w:rPr>
          <w:i/>
        </w:rPr>
        <w:t>Based on The Australian Government the Treasury data</w:t>
      </w:r>
      <w:r>
        <w:t>.</w:t>
      </w:r>
    </w:p>
    <w:p w14:paraId="06EDA248" w14:textId="77777777" w:rsidR="00052ED1" w:rsidRPr="006627B4" w:rsidRDefault="00052ED1" w:rsidP="00052ED1">
      <w:pPr>
        <w:spacing w:before="240"/>
        <w:rPr>
          <w:b/>
        </w:rPr>
      </w:pPr>
      <w:r w:rsidRPr="006627B4">
        <w:rPr>
          <w:b/>
        </w:rPr>
        <w:t>Use of the Coat of Arms</w:t>
      </w:r>
    </w:p>
    <w:p w14:paraId="65775289" w14:textId="77777777" w:rsidR="00052ED1" w:rsidRPr="005C503A" w:rsidRDefault="00052ED1" w:rsidP="00052ED1">
      <w:pPr>
        <w:spacing w:before="240"/>
      </w:pPr>
      <w:r w:rsidRPr="005C503A">
        <w:t xml:space="preserve">The terms under which the Coat of Arms can be used are set out on the Department of the Prime Minister and Cabinet website (see </w:t>
      </w:r>
      <w:hyperlink r:id="rId16" w:history="1">
        <w:r w:rsidR="00DB4920">
          <w:rPr>
            <w:rStyle w:val="Hyperlink"/>
          </w:rPr>
          <w:t>https://www.pmc.gov.au/honours-and-symbols/commonwealth-coat-arms</w:t>
        </w:r>
      </w:hyperlink>
      <w:r w:rsidRPr="005C503A">
        <w:t>).</w:t>
      </w:r>
    </w:p>
    <w:p w14:paraId="2DA63C52" w14:textId="77777777" w:rsidR="00052ED1" w:rsidRPr="006627B4" w:rsidRDefault="00052ED1" w:rsidP="00052ED1">
      <w:pPr>
        <w:spacing w:before="240"/>
        <w:rPr>
          <w:b/>
        </w:rPr>
      </w:pPr>
      <w:r>
        <w:rPr>
          <w:b/>
        </w:rPr>
        <w:t>Other u</w:t>
      </w:r>
      <w:r w:rsidRPr="006627B4">
        <w:rPr>
          <w:b/>
        </w:rPr>
        <w:t>ses</w:t>
      </w:r>
    </w:p>
    <w:p w14:paraId="5D64D481" w14:textId="77777777" w:rsidR="00052ED1" w:rsidRPr="006627B4" w:rsidRDefault="00052ED1" w:rsidP="00052ED1">
      <w:r>
        <w:t>E</w:t>
      </w:r>
      <w:r w:rsidRPr="006627B4">
        <w:t>nquiries regarding this licence and any other use of this document are welcome at:</w:t>
      </w:r>
    </w:p>
    <w:p w14:paraId="003933FB" w14:textId="77777777" w:rsidR="00052ED1" w:rsidRPr="002F1BC2" w:rsidRDefault="00052ED1" w:rsidP="00052ED1">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BB18A1" w:rsidRPr="000565FB">
          <w:rPr>
            <w:rStyle w:val="Hyperlink"/>
          </w:rPr>
          <w:t>media@treasury.gov.au</w:t>
        </w:r>
      </w:hyperlink>
    </w:p>
    <w:p w14:paraId="2D8BD2DE" w14:textId="77777777" w:rsidR="00052ED1" w:rsidRPr="00DB4920" w:rsidRDefault="00DB4920" w:rsidP="00DB4920">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Pr>
          <w:i/>
          <w:iCs/>
        </w:rPr>
        <w:t>.</w:t>
      </w:r>
    </w:p>
    <w:p w14:paraId="79553AF2" w14:textId="77777777" w:rsidR="00DB4920" w:rsidRPr="00DB4920" w:rsidRDefault="00DB4920" w:rsidP="00DB4920">
      <w:pPr>
        <w:sectPr w:rsidR="00DB4920" w:rsidRPr="00DB4920" w:rsidSect="00705A14">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fmt="lowerRoman" w:start="0"/>
          <w:cols w:space="708"/>
          <w:titlePg/>
          <w:docGrid w:linePitch="360"/>
        </w:sectPr>
      </w:pPr>
    </w:p>
    <w:p w14:paraId="6B038B91" w14:textId="081593C8" w:rsidR="00C371E0" w:rsidRDefault="00C521DA" w:rsidP="00A71D07">
      <w:r>
        <w:lastRenderedPageBreak/>
        <w:fldChar w:fldCharType="begin"/>
      </w:r>
      <w:r>
        <w:instrText xml:space="preserve"> RD  "01_Labour market matching in Australia.docx" \f </w:instrText>
      </w:r>
      <w:r>
        <w:fldChar w:fldCharType="end"/>
      </w:r>
      <w:r>
        <w:fldChar w:fldCharType="begin"/>
      </w:r>
      <w:r>
        <w:instrText xml:space="preserve"> RD  "02_Exploring Community Resilience in Australia.docx" \f </w:instrText>
      </w:r>
      <w:r>
        <w:fldChar w:fldCharType="end"/>
      </w:r>
      <w:r w:rsidR="00A349F8">
        <w:fldChar w:fldCharType="begin"/>
      </w:r>
      <w:r w:rsidR="00A349F8">
        <w:instrText xml:space="preserve"> RD  "03_Employment behaviour of firms reliant on temporary migrants.docx" \f </w:instrText>
      </w:r>
      <w:r w:rsidR="00A349F8">
        <w:fldChar w:fldCharType="end"/>
      </w:r>
      <w:r w:rsidR="007A0C77">
        <w:fldChar w:fldCharType="begin"/>
      </w:r>
      <w:r w:rsidR="007A0C77">
        <w:instrText xml:space="preserve"> RD  "04_Incentives for secondary earners and income support recipients.docx" </w:instrText>
      </w:r>
      <w:r w:rsidR="00AA2BBD">
        <w:instrText xml:space="preserve">\f </w:instrText>
      </w:r>
      <w:r w:rsidR="007A0C77">
        <w:fldChar w:fldCharType="end"/>
      </w:r>
    </w:p>
    <w:sdt>
      <w:sdtPr>
        <w:rPr>
          <w:rFonts w:ascii="Calibri" w:eastAsia="Times New Roman" w:hAnsi="Calibri" w:cs="Times New Roman"/>
          <w:color w:val="auto"/>
          <w:kern w:val="18"/>
          <w:sz w:val="22"/>
          <w:szCs w:val="20"/>
          <w:lang w:val="en-AU" w:eastAsia="en-AU"/>
        </w:rPr>
        <w:id w:val="1154570226"/>
        <w:docPartObj>
          <w:docPartGallery w:val="Table of Contents"/>
          <w:docPartUnique/>
        </w:docPartObj>
      </w:sdtPr>
      <w:sdtEndPr>
        <w:rPr>
          <w:b/>
          <w:bCs/>
          <w:noProof/>
        </w:rPr>
      </w:sdtEndPr>
      <w:sdtContent>
        <w:p w14:paraId="58BF34CD" w14:textId="71F36B50" w:rsidR="00591013" w:rsidRDefault="00591013">
          <w:pPr>
            <w:pStyle w:val="TOCHeading"/>
          </w:pPr>
          <w:r>
            <w:t>Contents</w:t>
          </w:r>
        </w:p>
        <w:p w14:paraId="34F3B777" w14:textId="791D6F41" w:rsidR="006979A1" w:rsidRDefault="00D77B17" w:rsidP="006979A1">
          <w:pPr>
            <w:pStyle w:val="TOC1"/>
            <w:tabs>
              <w:tab w:val="right" w:leader="dot" w:pos="9060"/>
            </w:tabs>
            <w:rPr>
              <w:rFonts w:asciiTheme="minorHAnsi" w:eastAsiaTheme="minorEastAsia" w:hAnsiTheme="minorHAnsi" w:cstheme="minorBidi"/>
              <w:b w:val="0"/>
              <w:bCs w:val="0"/>
              <w:noProof/>
              <w:color w:val="auto"/>
              <w:kern w:val="2"/>
              <w:sz w:val="22"/>
              <w:szCs w:val="22"/>
              <w14:ligatures w14:val="standardContextual"/>
            </w:rPr>
          </w:pPr>
          <w:hyperlink w:anchor="_Toc160013624" w:history="1">
            <w:r w:rsidR="006979A1" w:rsidRPr="006979A1">
              <w:t>Foreword</w:t>
            </w:r>
            <w:r w:rsidR="006979A1">
              <w:rPr>
                <w:noProof/>
                <w:webHidden/>
              </w:rPr>
              <w:tab/>
            </w:r>
            <w:r w:rsidR="006979A1">
              <w:rPr>
                <w:noProof/>
                <w:webHidden/>
              </w:rPr>
              <w:fldChar w:fldCharType="begin"/>
            </w:r>
            <w:r w:rsidR="006979A1">
              <w:rPr>
                <w:noProof/>
                <w:webHidden/>
              </w:rPr>
              <w:instrText xml:space="preserve"> PAGEREF _Toc160013624 \h </w:instrText>
            </w:r>
            <w:r w:rsidR="006979A1">
              <w:rPr>
                <w:noProof/>
                <w:webHidden/>
              </w:rPr>
            </w:r>
            <w:r w:rsidR="006979A1">
              <w:rPr>
                <w:noProof/>
                <w:webHidden/>
              </w:rPr>
              <w:fldChar w:fldCharType="separate"/>
            </w:r>
            <w:r w:rsidR="00E541DA">
              <w:rPr>
                <w:noProof/>
                <w:webHidden/>
              </w:rPr>
              <w:t>iv</w:t>
            </w:r>
            <w:r w:rsidR="006979A1">
              <w:rPr>
                <w:noProof/>
                <w:webHidden/>
              </w:rPr>
              <w:fldChar w:fldCharType="end"/>
            </w:r>
          </w:hyperlink>
        </w:p>
        <w:p w14:paraId="42F8248D" w14:textId="77777777" w:rsidR="00F54D87" w:rsidRDefault="00D13AF7">
          <w:pPr>
            <w:pStyle w:val="TOC1"/>
            <w:tabs>
              <w:tab w:val="right" w:leader="dot" w:pos="9060"/>
            </w:tabs>
            <w:rPr>
              <w:rFonts w:asciiTheme="minorHAnsi" w:eastAsiaTheme="minorEastAsia" w:hAnsiTheme="minorHAnsi" w:cstheme="minorBidi"/>
              <w:b w:val="0"/>
              <w:bCs w:val="0"/>
              <w:noProof/>
              <w:color w:val="auto"/>
              <w:kern w:val="2"/>
              <w:sz w:val="22"/>
              <w:szCs w:val="22"/>
              <w14:ligatures w14:val="standardContextual"/>
            </w:rPr>
          </w:pPr>
          <w:r>
            <w:rPr>
              <w:caps/>
            </w:rPr>
            <w:fldChar w:fldCharType="begin"/>
          </w:r>
          <w:r>
            <w:rPr>
              <w:caps/>
            </w:rPr>
            <w:instrText xml:space="preserve"> TOC \h \z \t "Heading 1,2,Report title,1,Heading 1 Numbered,2" </w:instrText>
          </w:r>
          <w:r>
            <w:rPr>
              <w:caps/>
            </w:rPr>
            <w:fldChar w:fldCharType="separate"/>
          </w:r>
          <w:r w:rsidR="00F54D87">
            <w:rPr>
              <w:noProof/>
            </w:rPr>
            <w:t>Labour market matching across skills and regions in Australia</w:t>
          </w:r>
          <w:r w:rsidR="00F54D87">
            <w:rPr>
              <w:noProof/>
              <w:webHidden/>
            </w:rPr>
            <w:tab/>
            <w:t>1</w:t>
          </w:r>
        </w:p>
        <w:p w14:paraId="449F0432"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1</w:t>
          </w:r>
          <w:r>
            <w:rPr>
              <w:rFonts w:eastAsiaTheme="minorEastAsia" w:cstheme="minorBidi"/>
              <w:bCs w:val="0"/>
              <w:noProof/>
              <w:color w:val="auto"/>
              <w:kern w:val="2"/>
              <w:sz w:val="22"/>
              <w:szCs w:val="22"/>
              <w14:ligatures w14:val="standardContextual"/>
            </w:rPr>
            <w:tab/>
          </w:r>
          <w:r>
            <w:rPr>
              <w:noProof/>
            </w:rPr>
            <w:t>Introduction</w:t>
          </w:r>
          <w:r>
            <w:rPr>
              <w:noProof/>
              <w:webHidden/>
            </w:rPr>
            <w:tab/>
            <w:t>2</w:t>
          </w:r>
        </w:p>
        <w:p w14:paraId="2370DD3D"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2</w:t>
          </w:r>
          <w:r>
            <w:rPr>
              <w:rFonts w:eastAsiaTheme="minorEastAsia" w:cstheme="minorBidi"/>
              <w:bCs w:val="0"/>
              <w:noProof/>
              <w:color w:val="auto"/>
              <w:kern w:val="2"/>
              <w:sz w:val="22"/>
              <w:szCs w:val="22"/>
              <w14:ligatures w14:val="standardContextual"/>
            </w:rPr>
            <w:tab/>
          </w:r>
          <w:r>
            <w:rPr>
              <w:noProof/>
            </w:rPr>
            <w:t>Matching efficiency in the Australian labour market</w:t>
          </w:r>
          <w:r>
            <w:rPr>
              <w:noProof/>
              <w:webHidden/>
            </w:rPr>
            <w:tab/>
            <w:t>3</w:t>
          </w:r>
        </w:p>
        <w:p w14:paraId="3BE4364A"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3</w:t>
          </w:r>
          <w:r>
            <w:rPr>
              <w:rFonts w:eastAsiaTheme="minorEastAsia" w:cstheme="minorBidi"/>
              <w:bCs w:val="0"/>
              <w:noProof/>
              <w:color w:val="auto"/>
              <w:kern w:val="2"/>
              <w:sz w:val="22"/>
              <w:szCs w:val="22"/>
              <w14:ligatures w14:val="standardContextual"/>
            </w:rPr>
            <w:tab/>
          </w:r>
          <w:r>
            <w:rPr>
              <w:noProof/>
            </w:rPr>
            <w:t>Skill level variation in labour market tightness and occupation movements</w:t>
          </w:r>
          <w:r>
            <w:rPr>
              <w:noProof/>
              <w:webHidden/>
            </w:rPr>
            <w:tab/>
            <w:t>7</w:t>
          </w:r>
        </w:p>
        <w:p w14:paraId="3D039983"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4</w:t>
          </w:r>
          <w:r>
            <w:rPr>
              <w:rFonts w:eastAsiaTheme="minorEastAsia" w:cstheme="minorBidi"/>
              <w:bCs w:val="0"/>
              <w:noProof/>
              <w:color w:val="auto"/>
              <w:kern w:val="2"/>
              <w:sz w:val="22"/>
              <w:szCs w:val="22"/>
              <w14:ligatures w14:val="standardContextual"/>
            </w:rPr>
            <w:tab/>
          </w:r>
          <w:r>
            <w:rPr>
              <w:noProof/>
            </w:rPr>
            <w:t>Regional variations in labour market tightness and matching by skill level</w:t>
          </w:r>
          <w:r>
            <w:rPr>
              <w:noProof/>
              <w:webHidden/>
            </w:rPr>
            <w:tab/>
            <w:t>15</w:t>
          </w:r>
        </w:p>
        <w:p w14:paraId="4E250E41" w14:textId="77777777" w:rsidR="00F54D87" w:rsidRDefault="00F54D87">
          <w:pPr>
            <w:pStyle w:val="TOC2"/>
            <w:tabs>
              <w:tab w:val="right" w:leader="dot" w:pos="9060"/>
            </w:tabs>
            <w:rPr>
              <w:rFonts w:eastAsiaTheme="minorEastAsia" w:cstheme="minorBidi"/>
              <w:bCs w:val="0"/>
              <w:noProof/>
              <w:color w:val="auto"/>
              <w:kern w:val="2"/>
              <w:sz w:val="22"/>
              <w:szCs w:val="22"/>
              <w14:ligatures w14:val="standardContextual"/>
            </w:rPr>
          </w:pPr>
          <w:r>
            <w:rPr>
              <w:noProof/>
            </w:rPr>
            <w:t>References</w:t>
          </w:r>
          <w:r>
            <w:rPr>
              <w:noProof/>
              <w:webHidden/>
            </w:rPr>
            <w:tab/>
            <w:t>27</w:t>
          </w:r>
        </w:p>
        <w:p w14:paraId="7EA0C161" w14:textId="77777777" w:rsidR="00F54D87" w:rsidRDefault="00F54D87">
          <w:pPr>
            <w:pStyle w:val="TOC1"/>
            <w:tabs>
              <w:tab w:val="right" w:leader="dot" w:pos="9060"/>
            </w:tabs>
            <w:rPr>
              <w:rFonts w:asciiTheme="minorHAnsi" w:eastAsiaTheme="minorEastAsia" w:hAnsiTheme="minorHAnsi" w:cstheme="minorBidi"/>
              <w:b w:val="0"/>
              <w:bCs w:val="0"/>
              <w:noProof/>
              <w:color w:val="auto"/>
              <w:kern w:val="2"/>
              <w:sz w:val="22"/>
              <w:szCs w:val="22"/>
              <w14:ligatures w14:val="standardContextual"/>
            </w:rPr>
          </w:pPr>
          <w:r>
            <w:rPr>
              <w:noProof/>
            </w:rPr>
            <w:t>Exploring community resilience in Australia</w:t>
          </w:r>
          <w:r>
            <w:rPr>
              <w:noProof/>
              <w:webHidden/>
            </w:rPr>
            <w:tab/>
            <w:t>29</w:t>
          </w:r>
        </w:p>
        <w:p w14:paraId="7827AA69"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1</w:t>
          </w:r>
          <w:r>
            <w:rPr>
              <w:rFonts w:eastAsiaTheme="minorEastAsia" w:cstheme="minorBidi"/>
              <w:bCs w:val="0"/>
              <w:noProof/>
              <w:color w:val="auto"/>
              <w:kern w:val="2"/>
              <w:sz w:val="22"/>
              <w:szCs w:val="22"/>
              <w14:ligatures w14:val="standardContextual"/>
            </w:rPr>
            <w:tab/>
          </w:r>
          <w:r>
            <w:rPr>
              <w:noProof/>
            </w:rPr>
            <w:t>Defining resilience</w:t>
          </w:r>
          <w:r>
            <w:rPr>
              <w:noProof/>
              <w:webHidden/>
            </w:rPr>
            <w:tab/>
            <w:t>30</w:t>
          </w:r>
        </w:p>
        <w:p w14:paraId="24C167DF"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2</w:t>
          </w:r>
          <w:r>
            <w:rPr>
              <w:rFonts w:eastAsiaTheme="minorEastAsia" w:cstheme="minorBidi"/>
              <w:bCs w:val="0"/>
              <w:noProof/>
              <w:color w:val="auto"/>
              <w:kern w:val="2"/>
              <w:sz w:val="22"/>
              <w:szCs w:val="22"/>
              <w14:ligatures w14:val="standardContextual"/>
            </w:rPr>
            <w:tab/>
          </w:r>
          <w:r>
            <w:rPr>
              <w:noProof/>
            </w:rPr>
            <w:t>Conceptualising the value of resilience</w:t>
          </w:r>
          <w:r>
            <w:rPr>
              <w:noProof/>
              <w:webHidden/>
            </w:rPr>
            <w:tab/>
            <w:t>31</w:t>
          </w:r>
        </w:p>
        <w:p w14:paraId="2ABA94E1"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3</w:t>
          </w:r>
          <w:r>
            <w:rPr>
              <w:rFonts w:eastAsiaTheme="minorEastAsia" w:cstheme="minorBidi"/>
              <w:bCs w:val="0"/>
              <w:noProof/>
              <w:color w:val="auto"/>
              <w:kern w:val="2"/>
              <w:sz w:val="22"/>
              <w:szCs w:val="22"/>
              <w14:ligatures w14:val="standardContextual"/>
            </w:rPr>
            <w:tab/>
          </w:r>
          <w:r>
            <w:rPr>
              <w:noProof/>
            </w:rPr>
            <w:t>Resilience frameworks</w:t>
          </w:r>
          <w:r>
            <w:rPr>
              <w:noProof/>
              <w:webHidden/>
            </w:rPr>
            <w:tab/>
            <w:t>32</w:t>
          </w:r>
        </w:p>
        <w:p w14:paraId="52EE3E6C"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4</w:t>
          </w:r>
          <w:r>
            <w:rPr>
              <w:rFonts w:eastAsiaTheme="minorEastAsia" w:cstheme="minorBidi"/>
              <w:bCs w:val="0"/>
              <w:noProof/>
              <w:color w:val="auto"/>
              <w:kern w:val="2"/>
              <w:sz w:val="22"/>
              <w:szCs w:val="22"/>
              <w14:ligatures w14:val="standardContextual"/>
            </w:rPr>
            <w:tab/>
          </w:r>
          <w:r>
            <w:rPr>
              <w:noProof/>
            </w:rPr>
            <w:t>Measuring resilience</w:t>
          </w:r>
          <w:r>
            <w:rPr>
              <w:noProof/>
              <w:webHidden/>
            </w:rPr>
            <w:tab/>
            <w:t>35</w:t>
          </w:r>
        </w:p>
        <w:p w14:paraId="18DDA867"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5</w:t>
          </w:r>
          <w:r>
            <w:rPr>
              <w:rFonts w:eastAsiaTheme="minorEastAsia" w:cstheme="minorBidi"/>
              <w:bCs w:val="0"/>
              <w:noProof/>
              <w:color w:val="auto"/>
              <w:kern w:val="2"/>
              <w:sz w:val="22"/>
              <w:szCs w:val="22"/>
              <w14:ligatures w14:val="standardContextual"/>
            </w:rPr>
            <w:tab/>
          </w:r>
          <w:r>
            <w:rPr>
              <w:noProof/>
            </w:rPr>
            <w:t>Conclusion</w:t>
          </w:r>
          <w:r>
            <w:rPr>
              <w:noProof/>
              <w:webHidden/>
            </w:rPr>
            <w:tab/>
            <w:t>40</w:t>
          </w:r>
        </w:p>
        <w:p w14:paraId="0A9231DE" w14:textId="77777777" w:rsidR="00F54D87" w:rsidRDefault="00F54D87">
          <w:pPr>
            <w:pStyle w:val="TOC2"/>
            <w:tabs>
              <w:tab w:val="right" w:leader="dot" w:pos="9060"/>
            </w:tabs>
            <w:rPr>
              <w:rFonts w:eastAsiaTheme="minorEastAsia" w:cstheme="minorBidi"/>
              <w:bCs w:val="0"/>
              <w:noProof/>
              <w:color w:val="auto"/>
              <w:kern w:val="2"/>
              <w:sz w:val="22"/>
              <w:szCs w:val="22"/>
              <w14:ligatures w14:val="standardContextual"/>
            </w:rPr>
          </w:pPr>
          <w:r>
            <w:rPr>
              <w:noProof/>
            </w:rPr>
            <w:t>Appendix</w:t>
          </w:r>
          <w:r>
            <w:rPr>
              <w:noProof/>
              <w:webHidden/>
            </w:rPr>
            <w:tab/>
            <w:t>41</w:t>
          </w:r>
        </w:p>
        <w:p w14:paraId="258FB8D6" w14:textId="77777777" w:rsidR="00F54D87" w:rsidRDefault="00F54D87">
          <w:pPr>
            <w:pStyle w:val="TOC2"/>
            <w:tabs>
              <w:tab w:val="right" w:leader="dot" w:pos="9060"/>
            </w:tabs>
            <w:rPr>
              <w:rFonts w:eastAsiaTheme="minorEastAsia" w:cstheme="minorBidi"/>
              <w:bCs w:val="0"/>
              <w:noProof/>
              <w:color w:val="auto"/>
              <w:kern w:val="2"/>
              <w:sz w:val="22"/>
              <w:szCs w:val="22"/>
              <w14:ligatures w14:val="standardContextual"/>
            </w:rPr>
          </w:pPr>
          <w:r>
            <w:rPr>
              <w:noProof/>
            </w:rPr>
            <w:t>References</w:t>
          </w:r>
          <w:r>
            <w:rPr>
              <w:noProof/>
              <w:webHidden/>
            </w:rPr>
            <w:tab/>
            <w:t>42</w:t>
          </w:r>
        </w:p>
        <w:p w14:paraId="15B2C382" w14:textId="77777777" w:rsidR="00F54D87" w:rsidRDefault="00F54D87">
          <w:pPr>
            <w:pStyle w:val="TOC1"/>
            <w:tabs>
              <w:tab w:val="right" w:leader="dot" w:pos="9060"/>
            </w:tabs>
            <w:rPr>
              <w:rFonts w:asciiTheme="minorHAnsi" w:eastAsiaTheme="minorEastAsia" w:hAnsiTheme="minorHAnsi" w:cstheme="minorBidi"/>
              <w:b w:val="0"/>
              <w:bCs w:val="0"/>
              <w:noProof/>
              <w:color w:val="auto"/>
              <w:kern w:val="2"/>
              <w:sz w:val="22"/>
              <w:szCs w:val="22"/>
              <w14:ligatures w14:val="standardContextual"/>
            </w:rPr>
          </w:pPr>
          <w:r>
            <w:rPr>
              <w:noProof/>
            </w:rPr>
            <w:t>Employment behaviour of firms reliant on temporary migrants</w:t>
          </w:r>
          <w:r>
            <w:rPr>
              <w:noProof/>
              <w:webHidden/>
            </w:rPr>
            <w:tab/>
            <w:t>45</w:t>
          </w:r>
        </w:p>
        <w:p w14:paraId="06031CEF"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1</w:t>
          </w:r>
          <w:r>
            <w:rPr>
              <w:rFonts w:eastAsiaTheme="minorEastAsia" w:cstheme="minorBidi"/>
              <w:bCs w:val="0"/>
              <w:noProof/>
              <w:color w:val="auto"/>
              <w:kern w:val="2"/>
              <w:sz w:val="22"/>
              <w:szCs w:val="22"/>
              <w14:ligatures w14:val="standardContextual"/>
            </w:rPr>
            <w:tab/>
          </w:r>
          <w:r>
            <w:rPr>
              <w:noProof/>
            </w:rPr>
            <w:t>Temporary migrant workers</w:t>
          </w:r>
          <w:r>
            <w:rPr>
              <w:noProof/>
              <w:webHidden/>
            </w:rPr>
            <w:tab/>
            <w:t>46</w:t>
          </w:r>
        </w:p>
        <w:p w14:paraId="4079B3F9" w14:textId="77777777" w:rsidR="00F54D87" w:rsidRDefault="00F54D87">
          <w:pPr>
            <w:pStyle w:val="TOC1"/>
            <w:tabs>
              <w:tab w:val="right" w:leader="dot" w:pos="9060"/>
            </w:tabs>
            <w:rPr>
              <w:rFonts w:asciiTheme="minorHAnsi" w:eastAsiaTheme="minorEastAsia" w:hAnsiTheme="minorHAnsi" w:cstheme="minorBidi"/>
              <w:b w:val="0"/>
              <w:bCs w:val="0"/>
              <w:noProof/>
              <w:color w:val="auto"/>
              <w:kern w:val="2"/>
              <w:sz w:val="22"/>
              <w:szCs w:val="22"/>
              <w14:ligatures w14:val="standardContextual"/>
            </w:rPr>
          </w:pPr>
          <w:r>
            <w:rPr>
              <w:noProof/>
            </w:rPr>
            <w:t>Incentives for secondary earners and income support recipients</w:t>
          </w:r>
          <w:r>
            <w:rPr>
              <w:noProof/>
              <w:webHidden/>
            </w:rPr>
            <w:tab/>
            <w:t>55</w:t>
          </w:r>
        </w:p>
        <w:p w14:paraId="17FA254F" w14:textId="77777777" w:rsidR="00F54D87" w:rsidRDefault="00F54D87">
          <w:pPr>
            <w:pStyle w:val="TOC2"/>
            <w:tabs>
              <w:tab w:val="right" w:leader="dot" w:pos="9060"/>
            </w:tabs>
            <w:rPr>
              <w:rFonts w:eastAsiaTheme="minorEastAsia" w:cstheme="minorBidi"/>
              <w:bCs w:val="0"/>
              <w:noProof/>
              <w:color w:val="auto"/>
              <w:kern w:val="2"/>
              <w:sz w:val="22"/>
              <w:szCs w:val="22"/>
              <w14:ligatures w14:val="standardContextual"/>
            </w:rPr>
          </w:pPr>
          <w:r>
            <w:rPr>
              <w:noProof/>
            </w:rPr>
            <w:t>Address to the Policy Research Conference</w:t>
          </w:r>
          <w:r>
            <w:rPr>
              <w:noProof/>
              <w:webHidden/>
            </w:rPr>
            <w:tab/>
            <w:t>55</w:t>
          </w:r>
        </w:p>
        <w:p w14:paraId="727616F8"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1</w:t>
          </w:r>
          <w:r>
            <w:rPr>
              <w:rFonts w:eastAsiaTheme="minorEastAsia" w:cstheme="minorBidi"/>
              <w:bCs w:val="0"/>
              <w:noProof/>
              <w:color w:val="auto"/>
              <w:kern w:val="2"/>
              <w:sz w:val="22"/>
              <w:szCs w:val="22"/>
              <w14:ligatures w14:val="standardContextual"/>
            </w:rPr>
            <w:tab/>
          </w:r>
          <w:r>
            <w:rPr>
              <w:noProof/>
            </w:rPr>
            <w:t>Introduction</w:t>
          </w:r>
          <w:r>
            <w:rPr>
              <w:noProof/>
              <w:webHidden/>
            </w:rPr>
            <w:tab/>
            <w:t>56</w:t>
          </w:r>
        </w:p>
        <w:p w14:paraId="375C2F0A"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2</w:t>
          </w:r>
          <w:r>
            <w:rPr>
              <w:rFonts w:eastAsiaTheme="minorEastAsia" w:cstheme="minorBidi"/>
              <w:bCs w:val="0"/>
              <w:noProof/>
              <w:color w:val="auto"/>
              <w:kern w:val="2"/>
              <w:sz w:val="22"/>
              <w:szCs w:val="22"/>
              <w14:ligatures w14:val="standardContextual"/>
            </w:rPr>
            <w:tab/>
          </w:r>
          <w:r>
            <w:rPr>
              <w:noProof/>
            </w:rPr>
            <w:t>History of employment white papers</w:t>
          </w:r>
          <w:r>
            <w:rPr>
              <w:noProof/>
              <w:webHidden/>
            </w:rPr>
            <w:tab/>
            <w:t>57</w:t>
          </w:r>
        </w:p>
        <w:p w14:paraId="668571B7"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3</w:t>
          </w:r>
          <w:r>
            <w:rPr>
              <w:rFonts w:eastAsiaTheme="minorEastAsia" w:cstheme="minorBidi"/>
              <w:bCs w:val="0"/>
              <w:noProof/>
              <w:color w:val="auto"/>
              <w:kern w:val="2"/>
              <w:sz w:val="22"/>
              <w:szCs w:val="22"/>
              <w14:ligatures w14:val="standardContextual"/>
            </w:rPr>
            <w:tab/>
          </w:r>
          <w:r>
            <w:rPr>
              <w:noProof/>
            </w:rPr>
            <w:t>The 2023 Employment White Paper</w:t>
          </w:r>
          <w:r>
            <w:rPr>
              <w:noProof/>
              <w:webHidden/>
            </w:rPr>
            <w:tab/>
            <w:t>58</w:t>
          </w:r>
        </w:p>
        <w:p w14:paraId="28686694"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4</w:t>
          </w:r>
          <w:r>
            <w:rPr>
              <w:rFonts w:eastAsiaTheme="minorEastAsia" w:cstheme="minorBidi"/>
              <w:bCs w:val="0"/>
              <w:noProof/>
              <w:color w:val="auto"/>
              <w:kern w:val="2"/>
              <w:sz w:val="22"/>
              <w:szCs w:val="22"/>
              <w14:ligatures w14:val="standardContextual"/>
            </w:rPr>
            <w:tab/>
          </w:r>
          <w:r>
            <w:rPr>
              <w:noProof/>
            </w:rPr>
            <w:t>The barriers framework</w:t>
          </w:r>
          <w:r>
            <w:rPr>
              <w:noProof/>
              <w:webHidden/>
            </w:rPr>
            <w:tab/>
            <w:t>60</w:t>
          </w:r>
        </w:p>
        <w:p w14:paraId="48340139"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5</w:t>
          </w:r>
          <w:r>
            <w:rPr>
              <w:rFonts w:eastAsiaTheme="minorEastAsia" w:cstheme="minorBidi"/>
              <w:bCs w:val="0"/>
              <w:noProof/>
              <w:color w:val="auto"/>
              <w:kern w:val="2"/>
              <w:sz w:val="22"/>
              <w:szCs w:val="22"/>
              <w14:ligatures w14:val="standardContextual"/>
            </w:rPr>
            <w:tab/>
          </w:r>
          <w:r>
            <w:rPr>
              <w:noProof/>
            </w:rPr>
            <w:t>Secondary earners</w:t>
          </w:r>
          <w:r>
            <w:rPr>
              <w:noProof/>
              <w:webHidden/>
            </w:rPr>
            <w:tab/>
            <w:t>61</w:t>
          </w:r>
        </w:p>
        <w:p w14:paraId="0E1FD029"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6</w:t>
          </w:r>
          <w:r>
            <w:rPr>
              <w:rFonts w:eastAsiaTheme="minorEastAsia" w:cstheme="minorBidi"/>
              <w:bCs w:val="0"/>
              <w:noProof/>
              <w:color w:val="auto"/>
              <w:kern w:val="2"/>
              <w:sz w:val="22"/>
              <w:szCs w:val="22"/>
              <w14:ligatures w14:val="standardContextual"/>
            </w:rPr>
            <w:tab/>
          </w:r>
          <w:r>
            <w:rPr>
              <w:noProof/>
            </w:rPr>
            <w:t>Income support recipients</w:t>
          </w:r>
          <w:r>
            <w:rPr>
              <w:noProof/>
              <w:webHidden/>
            </w:rPr>
            <w:tab/>
            <w:t>64</w:t>
          </w:r>
        </w:p>
        <w:p w14:paraId="7581704F"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7</w:t>
          </w:r>
          <w:r>
            <w:rPr>
              <w:rFonts w:eastAsiaTheme="minorEastAsia" w:cstheme="minorBidi"/>
              <w:bCs w:val="0"/>
              <w:noProof/>
              <w:color w:val="auto"/>
              <w:kern w:val="2"/>
              <w:sz w:val="22"/>
              <w:szCs w:val="22"/>
              <w14:ligatures w14:val="standardContextual"/>
            </w:rPr>
            <w:tab/>
          </w:r>
          <w:r>
            <w:rPr>
              <w:noProof/>
            </w:rPr>
            <w:t>Policy options</w:t>
          </w:r>
          <w:r>
            <w:rPr>
              <w:noProof/>
              <w:webHidden/>
            </w:rPr>
            <w:tab/>
            <w:t>66</w:t>
          </w:r>
        </w:p>
        <w:p w14:paraId="01BE887B" w14:textId="77777777" w:rsidR="00F54D87" w:rsidRDefault="00F54D87">
          <w:pPr>
            <w:pStyle w:val="TOC2"/>
            <w:tabs>
              <w:tab w:val="left" w:pos="440"/>
              <w:tab w:val="right" w:leader="dot" w:pos="9060"/>
            </w:tabs>
            <w:rPr>
              <w:rFonts w:eastAsiaTheme="minorEastAsia" w:cstheme="minorBidi"/>
              <w:bCs w:val="0"/>
              <w:noProof/>
              <w:color w:val="auto"/>
              <w:kern w:val="2"/>
              <w:sz w:val="22"/>
              <w:szCs w:val="22"/>
              <w14:ligatures w14:val="standardContextual"/>
            </w:rPr>
          </w:pPr>
          <w:r>
            <w:rPr>
              <w:noProof/>
            </w:rPr>
            <w:t>8</w:t>
          </w:r>
          <w:r>
            <w:rPr>
              <w:rFonts w:eastAsiaTheme="minorEastAsia" w:cstheme="minorBidi"/>
              <w:bCs w:val="0"/>
              <w:noProof/>
              <w:color w:val="auto"/>
              <w:kern w:val="2"/>
              <w:sz w:val="22"/>
              <w:szCs w:val="22"/>
              <w14:ligatures w14:val="standardContextual"/>
            </w:rPr>
            <w:tab/>
          </w:r>
          <w:r>
            <w:rPr>
              <w:noProof/>
            </w:rPr>
            <w:t>Conclusion</w:t>
          </w:r>
          <w:r>
            <w:rPr>
              <w:noProof/>
              <w:webHidden/>
            </w:rPr>
            <w:tab/>
            <w:t>67</w:t>
          </w:r>
        </w:p>
        <w:p w14:paraId="3A59751D" w14:textId="1324B2F4" w:rsidR="00591013" w:rsidRDefault="00D13AF7">
          <w:r>
            <w:rPr>
              <w:rFonts w:asciiTheme="majorHAnsi" w:hAnsiTheme="majorHAnsi" w:cstheme="majorHAnsi"/>
              <w:caps/>
              <w:color w:val="2C384A" w:themeColor="accent1"/>
              <w:sz w:val="24"/>
              <w:szCs w:val="24"/>
            </w:rPr>
            <w:fldChar w:fldCharType="end"/>
          </w:r>
        </w:p>
      </w:sdtContent>
    </w:sdt>
    <w:p w14:paraId="6C448D01" w14:textId="77777777" w:rsidR="00887105" w:rsidRDefault="00887105" w:rsidP="00EE4C91">
      <w:pPr>
        <w:spacing w:before="0" w:after="0"/>
        <w:rPr>
          <w:rFonts w:ascii="Calibri Light" w:hAnsi="Calibri Light"/>
          <w:noProof/>
          <w:color w:val="004A7F"/>
          <w:szCs w:val="22"/>
        </w:rPr>
        <w:sectPr w:rsidR="00887105" w:rsidSect="008F24EF">
          <w:headerReference w:type="default" r:id="rId24"/>
          <w:footerReference w:type="default" r:id="rId25"/>
          <w:footerReference w:type="first" r:id="rId26"/>
          <w:pgSz w:w="11906" w:h="16838" w:code="9"/>
          <w:pgMar w:top="1843" w:right="1418" w:bottom="1418" w:left="1418" w:header="709" w:footer="709" w:gutter="0"/>
          <w:pgNumType w:fmt="lowerRoman" w:start="3"/>
          <w:cols w:space="340"/>
          <w:docGrid w:linePitch="360"/>
        </w:sectPr>
      </w:pPr>
    </w:p>
    <w:p w14:paraId="1CE242F2" w14:textId="77777777" w:rsidR="00887105" w:rsidRDefault="00887105" w:rsidP="00FC49E0">
      <w:pPr>
        <w:pStyle w:val="Reporttitle"/>
        <w:rPr>
          <w:noProof/>
        </w:rPr>
      </w:pPr>
      <w:bookmarkStart w:id="0" w:name="_Toc160011078"/>
      <w:bookmarkStart w:id="1" w:name="_Toc160011602"/>
      <w:bookmarkStart w:id="2" w:name="_Toc160013624"/>
      <w:bookmarkStart w:id="3" w:name="_Toc160014049"/>
      <w:bookmarkStart w:id="4" w:name="_Toc160014298"/>
      <w:bookmarkStart w:id="5" w:name="_Toc160014532"/>
      <w:bookmarkStart w:id="6" w:name="_Toc160463597"/>
      <w:bookmarkStart w:id="7" w:name="_Toc162347502"/>
      <w:bookmarkStart w:id="8" w:name="_Toc162353418"/>
      <w:r>
        <w:rPr>
          <w:noProof/>
        </w:rPr>
        <w:lastRenderedPageBreak/>
        <w:t>Foreword</w:t>
      </w:r>
      <w:bookmarkEnd w:id="0"/>
      <w:bookmarkEnd w:id="1"/>
      <w:bookmarkEnd w:id="2"/>
      <w:bookmarkEnd w:id="3"/>
      <w:bookmarkEnd w:id="4"/>
      <w:bookmarkEnd w:id="5"/>
      <w:bookmarkEnd w:id="6"/>
      <w:bookmarkEnd w:id="7"/>
      <w:bookmarkEnd w:id="8"/>
    </w:p>
    <w:p w14:paraId="24DF63AD" w14:textId="77777777" w:rsidR="006B400E" w:rsidRPr="000544A2" w:rsidRDefault="006B400E" w:rsidP="006B400E">
      <w:pPr>
        <w:pStyle w:val="Authornameunderlined"/>
      </w:pPr>
      <w:r>
        <w:t>Steven Kennedy</w:t>
      </w:r>
    </w:p>
    <w:p w14:paraId="28FFB5BF" w14:textId="77777777" w:rsidR="006B400E" w:rsidRDefault="006B400E" w:rsidP="006B400E">
      <w:bookmarkStart w:id="9" w:name="_Hlk159572978"/>
      <w:r>
        <w:t>Broader indicators of labour market spare capacity are needed to measure progress towards sustained and inclusive employment. Nearly 3 million people want to work, or to work more hours than they do. T</w:t>
      </w:r>
      <w:bookmarkEnd w:id="9"/>
      <w:r>
        <w:t>he articles in this edition of the Round Up explore 4 aspects that are central to addressing structural barriers in Australia’s labour market and meeting long-term labour market objectives: geographical barriers, the net zero transformation, migration, and incentives.</w:t>
      </w:r>
    </w:p>
    <w:p w14:paraId="74EC2851" w14:textId="77777777" w:rsidR="006B400E" w:rsidRDefault="006B400E" w:rsidP="006B400E">
      <w:r w:rsidRPr="007056E6">
        <w:t>As Australia faces changing skills needs across regions, improving job matching efficiency can support greater economic output for a given level of labour supply and demand for workers. ‘Labour market matching across skills and regions in Australia’ shows that matching efficiency has improved in recent years, but that variations across labour market regions and skills can result in different labour market outcomes across the country.</w:t>
      </w:r>
      <w:r>
        <w:t xml:space="preserve"> </w:t>
      </w:r>
    </w:p>
    <w:p w14:paraId="22D393A7" w14:textId="2FE42BD6" w:rsidR="006B400E" w:rsidRDefault="006B400E" w:rsidP="006B400E">
      <w:r>
        <w:t xml:space="preserve">The net zero transformation is generating significant shifts across Australia’s economy and its regions. The article ‘Exploring Community Resilience in Australia’ outlines the importance of resilience to recover from and adapt to shocks. Not surprisingly, communities closer to major cities and regional centres have higher levels of resilience compared to more remote communities. </w:t>
      </w:r>
    </w:p>
    <w:p w14:paraId="29D43A9F" w14:textId="77777777" w:rsidR="006B400E" w:rsidRDefault="006B400E" w:rsidP="006B400E">
      <w:r>
        <w:t xml:space="preserve">The article ‘Employment behaviour of firms reliant on temporary migrants’ discusses how businesses reliant on temporary migrants responded to Australia’s international border closure. The article finds that businesses with higher temporary migrant workforces experienced greater job losses than businesses less reliant on temporary migration. </w:t>
      </w:r>
      <w:bookmarkStart w:id="10" w:name="_Hlk157437990"/>
      <w:r>
        <w:t xml:space="preserve">Businesses sought to find alternative labour sources and to use labour more intensively. Observed increases in monthly average pay were likely driven </w:t>
      </w:r>
      <w:r w:rsidRPr="00903138">
        <w:t>by increases in hours worked</w:t>
      </w:r>
      <w:r>
        <w:t>, and</w:t>
      </w:r>
      <w:r w:rsidRPr="00903138">
        <w:t xml:space="preserve"> </w:t>
      </w:r>
      <w:r>
        <w:t>potentially</w:t>
      </w:r>
      <w:r w:rsidRPr="00903138">
        <w:t xml:space="preserve"> </w:t>
      </w:r>
      <w:r>
        <w:t xml:space="preserve">due to </w:t>
      </w:r>
      <w:r w:rsidRPr="00903138">
        <w:t>increased hourly wages</w:t>
      </w:r>
      <w:r>
        <w:t xml:space="preserve">. </w:t>
      </w:r>
      <w:bookmarkEnd w:id="10"/>
      <w:r>
        <w:t xml:space="preserve">Once borders reopened, businesses responded by hiring more temporary migrants, with average pay of domestic workers increasing by more than temporary migrants. </w:t>
      </w:r>
    </w:p>
    <w:p w14:paraId="4579CC95" w14:textId="77777777" w:rsidR="00600F7D" w:rsidRDefault="006B400E" w:rsidP="000B22DC">
      <w:r>
        <w:t>The final article is my address to the inaugural Treasury Policy Research Conference, which supported the development of the 2023 Employment White Paper. The speech, ‘Incentives for secondary earners and income support recipients’, finds that the tax-transfer system can shape decisions to participate in the labour market, including decisions about how many hours to work. Secondary earners and income support recipients may face reduced incentives to participate in the labour market as fully as they may wish to. There are trade-offs between adequacy of government payments, cost to taxpayers, and incentives to participate – all of which are important considerations in the context of expanding labour market opportunities</w:t>
      </w:r>
      <w:r w:rsidR="00600F7D">
        <w:t>.</w:t>
      </w:r>
    </w:p>
    <w:p w14:paraId="13439A83" w14:textId="77777777" w:rsidR="003D58DB" w:rsidRPr="003D58DB" w:rsidRDefault="003D58DB" w:rsidP="005C74AE"/>
    <w:sectPr w:rsidR="003D58DB" w:rsidRPr="003D58DB" w:rsidSect="008513D1">
      <w:footerReference w:type="default" r:id="rId27"/>
      <w:pgSz w:w="11906" w:h="16838" w:code="9"/>
      <w:pgMar w:top="1843" w:right="1418" w:bottom="1418" w:left="1418" w:header="709" w:footer="709" w:gutter="0"/>
      <w:pgNumType w:fmt="lowerRoman"/>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E44B" w14:textId="77777777" w:rsidR="003B46C7" w:rsidRDefault="003B46C7" w:rsidP="00886BC4">
      <w:r>
        <w:separator/>
      </w:r>
    </w:p>
    <w:p w14:paraId="72CCECF5" w14:textId="77777777" w:rsidR="003B46C7" w:rsidRDefault="003B46C7"/>
  </w:endnote>
  <w:endnote w:type="continuationSeparator" w:id="0">
    <w:p w14:paraId="5A92B67D" w14:textId="77777777" w:rsidR="003B46C7" w:rsidRDefault="003B46C7" w:rsidP="00886BC4">
      <w:r>
        <w:continuationSeparator/>
      </w:r>
    </w:p>
    <w:p w14:paraId="496FB7F8" w14:textId="77777777" w:rsidR="003B46C7" w:rsidRDefault="003B46C7"/>
  </w:endnote>
  <w:endnote w:type="continuationNotice" w:id="1">
    <w:p w14:paraId="15F2993D" w14:textId="77777777" w:rsidR="003B46C7" w:rsidRDefault="003B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6D82" w14:textId="77777777" w:rsidR="00E541DA" w:rsidRDefault="00E5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DC11" w14:textId="77777777" w:rsidR="00E541DA" w:rsidRDefault="00E5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8ED8" w14:textId="77777777" w:rsidR="00E541DA" w:rsidRDefault="00E541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AF4B" w14:textId="2F90BDAC" w:rsidR="005E7CAE" w:rsidRPr="008F3B63" w:rsidRDefault="008F3B63" w:rsidP="005C63C4">
    <w:pPr>
      <w:pStyle w:val="Footer"/>
      <w:jc w:val="right"/>
    </w:pPr>
    <w:r w:rsidRPr="00103F3C">
      <w:rPr>
        <w:noProof/>
        <w:position w:val="-8"/>
      </w:rPr>
      <w:drawing>
        <wp:inline distT="0" distB="0" distL="0" distR="0" wp14:anchorId="6BBF9BAF" wp14:editId="0590C728">
          <wp:extent cx="1324800" cy="201600"/>
          <wp:effectExtent l="0" t="0" r="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D7389E">
      <w:tab/>
    </w:r>
    <w:fldSimple w:instr=" STYLEREF  &quot;Subtitle,Theme subtitle&quot;  \* MERGEFORMAT ">
      <w:r w:rsidR="00D77B17">
        <w:rPr>
          <w:noProof/>
        </w:rPr>
        <w:t>Labour Market Edition</w:t>
      </w:r>
    </w:fldSimple>
    <w:r w:rsidR="002323AE">
      <w:t xml:space="preserve">  </w:t>
    </w:r>
    <w:r w:rsidR="00F8400B" w:rsidRPr="00D1425F">
      <w:t xml:space="preserve">|  </w:t>
    </w:r>
    <w:r w:rsidR="00F8400B" w:rsidRPr="00D1425F">
      <w:fldChar w:fldCharType="begin"/>
    </w:r>
    <w:r w:rsidR="00F8400B" w:rsidRPr="00D1425F">
      <w:instrText xml:space="preserve"> PAGE   \* MERGEFORMAT </w:instrText>
    </w:r>
    <w:r w:rsidR="00F8400B" w:rsidRPr="00D1425F">
      <w:fldChar w:fldCharType="separate"/>
    </w:r>
    <w:r w:rsidR="00F8400B">
      <w:t>1</w:t>
    </w:r>
    <w:r w:rsidR="00F8400B" w:rsidRPr="00D1425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AB1B" w14:textId="77777777" w:rsidR="00300C95" w:rsidRDefault="00300C95" w:rsidP="00DA3E0F">
    <w:pPr>
      <w:spacing w:before="360" w:after="240"/>
      <w:rPr>
        <w:sz w:val="18"/>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C69F" w14:textId="699917A2" w:rsidR="003A1591" w:rsidRPr="008F3B63" w:rsidRDefault="003A1591" w:rsidP="005C63C4">
    <w:pPr>
      <w:pStyle w:val="Footer"/>
      <w:jc w:val="right"/>
    </w:pPr>
    <w:r w:rsidRPr="00103F3C">
      <w:rPr>
        <w:noProof/>
        <w:position w:val="-8"/>
      </w:rPr>
      <w:drawing>
        <wp:inline distT="0" distB="0" distL="0" distR="0" wp14:anchorId="79E643E8" wp14:editId="7D73B86E">
          <wp:extent cx="1324800" cy="201600"/>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Report title&quot;  \* MERGEFORMAT ">
      <w:r w:rsidR="00D77B17">
        <w:rPr>
          <w:noProof/>
        </w:rPr>
        <w:t>Foreword</w:t>
      </w:r>
    </w:fldSimple>
    <w:r w:rsidRPr="00D1425F">
      <w:t xml:space="preserve">  |  </w:t>
    </w:r>
    <w:r w:rsidRPr="00D1425F">
      <w:fldChar w:fldCharType="begin"/>
    </w:r>
    <w:r w:rsidRPr="00D1425F">
      <w:instrText xml:space="preserve"> PAGE   \* MERGEFORMAT </w:instrText>
    </w:r>
    <w:r w:rsidRPr="00D1425F">
      <w:fldChar w:fldCharType="separate"/>
    </w:r>
    <w:r>
      <w:t>1</w:t>
    </w:r>
    <w:r w:rsidRPr="00D142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32A5" w14:textId="77777777" w:rsidR="003B46C7" w:rsidRPr="003D327E" w:rsidRDefault="003B46C7" w:rsidP="003D327E">
      <w:pPr>
        <w:spacing w:before="60" w:after="60"/>
        <w:rPr>
          <w:color w:val="D9D9D9" w:themeColor="background1" w:themeShade="D9"/>
        </w:rPr>
      </w:pPr>
      <w:r w:rsidRPr="003D327E">
        <w:rPr>
          <w:color w:val="D9D9D9" w:themeColor="background1" w:themeShade="D9"/>
        </w:rPr>
        <w:separator/>
      </w:r>
    </w:p>
  </w:footnote>
  <w:footnote w:type="continuationSeparator" w:id="0">
    <w:p w14:paraId="26F89893" w14:textId="77777777" w:rsidR="003B46C7" w:rsidRDefault="003B46C7" w:rsidP="00886BC4">
      <w:r>
        <w:continuationSeparator/>
      </w:r>
    </w:p>
    <w:p w14:paraId="2A021665" w14:textId="77777777" w:rsidR="003B46C7" w:rsidRDefault="003B46C7"/>
  </w:footnote>
  <w:footnote w:type="continuationNotice" w:id="1">
    <w:p w14:paraId="0AEB6CB6" w14:textId="77777777" w:rsidR="003B46C7" w:rsidRDefault="003B4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B1C5" w14:textId="77777777" w:rsidR="00E541DA" w:rsidRDefault="00E5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085" w14:textId="77777777" w:rsidR="00E541DA" w:rsidRDefault="00E5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BAE0" w14:textId="77777777" w:rsidR="00E541DA" w:rsidRDefault="00E541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0AE" w14:textId="7032880B" w:rsidR="006D3EE7" w:rsidRPr="007F53C0" w:rsidRDefault="00D7389E" w:rsidP="00BB18A1">
    <w:pPr>
      <w:pStyle w:val="Header"/>
    </w:pPr>
    <w:r>
      <w:t>Treasury Round Up</w:t>
    </w:r>
    <w:r w:rsidR="00FC2E34">
      <w:rPr>
        <w:noProof/>
      </w:rPr>
      <w:drawing>
        <wp:anchor distT="0" distB="0" distL="114300" distR="114300" simplePos="0" relativeHeight="251658240" behindDoc="1" locked="0" layoutInCell="1" allowOverlap="1" wp14:anchorId="5B29AF60" wp14:editId="6939DC26">
          <wp:simplePos x="0" y="0"/>
          <wp:positionH relativeFrom="page">
            <wp:align>left</wp:align>
          </wp:positionH>
          <wp:positionV relativeFrom="page">
            <wp:align>top</wp:align>
          </wp:positionV>
          <wp:extent cx="7524000" cy="1036800"/>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000" cy="1036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t xml:space="preserve">  |  </w:t>
    </w:r>
    <w:r w:rsidR="000B5837" w:rsidRPr="000B5837">
      <w:t>March</w:t>
    </w:r>
    <w:r w:rsidR="00B90EC1" w:rsidRPr="000B5837">
      <w:t xml:space="preserve"> </w:t>
    </w:r>
    <w:r w:rsidR="000B5837">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40DE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242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3836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821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F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09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6FC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46DCD2"/>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32ECF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6F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B8F13AF"/>
    <w:multiLevelType w:val="multilevel"/>
    <w:tmpl w:val="3E663956"/>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308C2710"/>
    <w:multiLevelType w:val="multilevel"/>
    <w:tmpl w:val="29D2B7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3D7B47B4"/>
    <w:multiLevelType w:val="multilevel"/>
    <w:tmpl w:val="EDCE922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283B4E"/>
    <w:multiLevelType w:val="multilevel"/>
    <w:tmpl w:val="F1283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Restart w:val="1"/>
      <w:lvlText w:val="Chart %1.%5"/>
      <w:lvlJc w:val="left"/>
      <w:pPr>
        <w:ind w:left="1418" w:hanging="1418"/>
      </w:pPr>
      <w:rPr>
        <w:rFonts w:hint="default"/>
      </w:rPr>
    </w:lvl>
    <w:lvl w:ilvl="5">
      <w:start w:val="1"/>
      <w:numFmt w:val="decimal"/>
      <w:lvlRestart w:val="1"/>
      <w:lvlText w:val="Table %1.%6."/>
      <w:lvlJc w:val="left"/>
      <w:pPr>
        <w:ind w:left="1418" w:hanging="141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C9273A"/>
    <w:multiLevelType w:val="multilevel"/>
    <w:tmpl w:val="1DD240F0"/>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pStyle w:val="Heading4Numbered"/>
      <w:lvlText w:val="%1.%2.%3.%4"/>
      <w:lvlJc w:val="left"/>
      <w:pPr>
        <w:ind w:left="567" w:hanging="567"/>
      </w:pPr>
      <w:rPr>
        <w:rFonts w:hint="default"/>
      </w:rPr>
    </w:lvl>
    <w:lvl w:ilvl="4">
      <w:start w:val="1"/>
      <w:numFmt w:val="decimal"/>
      <w:lvlRestart w:val="1"/>
      <w:pStyle w:val="ChartMainHeading"/>
      <w:lvlText w:val="Chart %1.%5"/>
      <w:lvlJc w:val="left"/>
      <w:pPr>
        <w:ind w:left="1134" w:hanging="1134"/>
      </w:pPr>
      <w:rPr>
        <w:rFonts w:hint="default"/>
      </w:rPr>
    </w:lvl>
    <w:lvl w:ilvl="5">
      <w:start w:val="1"/>
      <w:numFmt w:val="decimal"/>
      <w:lvlRestart w:val="1"/>
      <w:pStyle w:val="TableMainHeading"/>
      <w:lvlText w:val="Table %1.%6"/>
      <w:lvlJc w:val="left"/>
      <w:pPr>
        <w:ind w:left="1134" w:hanging="1134"/>
      </w:pPr>
      <w:rPr>
        <w:rFonts w:hint="default"/>
      </w:rPr>
    </w:lvl>
    <w:lvl w:ilvl="6">
      <w:start w:val="1"/>
      <w:numFmt w:val="decimal"/>
      <w:lvlRestart w:val="1"/>
      <w:pStyle w:val="BoxHeadingNumbered"/>
      <w:lvlText w:val="Box %1.%7"/>
      <w:lvlJc w:val="left"/>
      <w:pPr>
        <w:ind w:left="1134" w:hanging="1134"/>
      </w:pPr>
      <w:rPr>
        <w:rFonts w:hint="default"/>
      </w:rPr>
    </w:lvl>
    <w:lvl w:ilvl="7">
      <w:start w:val="1"/>
      <w:numFmt w:val="decimal"/>
      <w:lvlRestart w:val="1"/>
      <w:pStyle w:val="FigureMainHeading"/>
      <w:lvlText w:val="Figure %1.%8"/>
      <w:lvlJc w:val="left"/>
      <w:pPr>
        <w:ind w:left="1134" w:hanging="1134"/>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B5224"/>
    <w:multiLevelType w:val="multilevel"/>
    <w:tmpl w:val="99D04666"/>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20"/>
  </w:num>
  <w:num w:numId="3">
    <w:abstractNumId w:val="18"/>
  </w:num>
  <w:num w:numId="4">
    <w:abstractNumId w:val="19"/>
  </w:num>
  <w:num w:numId="5">
    <w:abstractNumId w:val="13"/>
  </w:num>
  <w:num w:numId="6">
    <w:abstractNumId w:val="7"/>
  </w:num>
  <w:num w:numId="7">
    <w:abstractNumId w:val="21"/>
  </w:num>
  <w:num w:numId="8">
    <w:abstractNumId w:val="10"/>
  </w:num>
  <w:num w:numId="9">
    <w:abstractNumId w:val="14"/>
  </w:num>
  <w:num w:numId="10">
    <w:abstractNumId w:val="11"/>
  </w:num>
  <w:num w:numId="11">
    <w:abstractNumId w:val="9"/>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 w:numId="22">
    <w:abstractNumId w:val="16"/>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82189"/>
    <w:rsid w:val="0000162B"/>
    <w:rsid w:val="000144AB"/>
    <w:rsid w:val="00016670"/>
    <w:rsid w:val="00016B6C"/>
    <w:rsid w:val="0002151A"/>
    <w:rsid w:val="00027F4D"/>
    <w:rsid w:val="000336F7"/>
    <w:rsid w:val="00033942"/>
    <w:rsid w:val="000421F9"/>
    <w:rsid w:val="00045C24"/>
    <w:rsid w:val="00052ED1"/>
    <w:rsid w:val="00060AB8"/>
    <w:rsid w:val="00060C76"/>
    <w:rsid w:val="00067E65"/>
    <w:rsid w:val="000753CE"/>
    <w:rsid w:val="00076B49"/>
    <w:rsid w:val="00080838"/>
    <w:rsid w:val="00096330"/>
    <w:rsid w:val="000A4D2D"/>
    <w:rsid w:val="000B1EC3"/>
    <w:rsid w:val="000B22DC"/>
    <w:rsid w:val="000B3C90"/>
    <w:rsid w:val="000B5837"/>
    <w:rsid w:val="000C02C9"/>
    <w:rsid w:val="000C3214"/>
    <w:rsid w:val="000D33F2"/>
    <w:rsid w:val="000D7368"/>
    <w:rsid w:val="000D7D2F"/>
    <w:rsid w:val="000E2E34"/>
    <w:rsid w:val="000E324C"/>
    <w:rsid w:val="000F2493"/>
    <w:rsid w:val="000F2562"/>
    <w:rsid w:val="000F33C9"/>
    <w:rsid w:val="00102238"/>
    <w:rsid w:val="00105EBE"/>
    <w:rsid w:val="001145FD"/>
    <w:rsid w:val="00114FEE"/>
    <w:rsid w:val="00115073"/>
    <w:rsid w:val="00115B2E"/>
    <w:rsid w:val="0011628E"/>
    <w:rsid w:val="00121D92"/>
    <w:rsid w:val="0013486C"/>
    <w:rsid w:val="00135CE3"/>
    <w:rsid w:val="001363E7"/>
    <w:rsid w:val="001376CC"/>
    <w:rsid w:val="00140697"/>
    <w:rsid w:val="0014178A"/>
    <w:rsid w:val="00144B84"/>
    <w:rsid w:val="00155058"/>
    <w:rsid w:val="00166A45"/>
    <w:rsid w:val="00166B2E"/>
    <w:rsid w:val="00167896"/>
    <w:rsid w:val="00174954"/>
    <w:rsid w:val="00182E9E"/>
    <w:rsid w:val="00183F40"/>
    <w:rsid w:val="001840CF"/>
    <w:rsid w:val="00190D7B"/>
    <w:rsid w:val="00192367"/>
    <w:rsid w:val="001929D8"/>
    <w:rsid w:val="00197414"/>
    <w:rsid w:val="001A5155"/>
    <w:rsid w:val="001A5DCC"/>
    <w:rsid w:val="001A7902"/>
    <w:rsid w:val="001B3A29"/>
    <w:rsid w:val="001B540E"/>
    <w:rsid w:val="001B5A54"/>
    <w:rsid w:val="001C11E1"/>
    <w:rsid w:val="001C25C2"/>
    <w:rsid w:val="001C5117"/>
    <w:rsid w:val="001C701C"/>
    <w:rsid w:val="001C78AE"/>
    <w:rsid w:val="001D45A4"/>
    <w:rsid w:val="001E5623"/>
    <w:rsid w:val="001E6DC2"/>
    <w:rsid w:val="001E7840"/>
    <w:rsid w:val="001E7CF5"/>
    <w:rsid w:val="001F4B2E"/>
    <w:rsid w:val="001F50DA"/>
    <w:rsid w:val="00202FBB"/>
    <w:rsid w:val="00203245"/>
    <w:rsid w:val="00205F44"/>
    <w:rsid w:val="0020760B"/>
    <w:rsid w:val="002105F8"/>
    <w:rsid w:val="00215EE7"/>
    <w:rsid w:val="00223D87"/>
    <w:rsid w:val="002268AB"/>
    <w:rsid w:val="00226F00"/>
    <w:rsid w:val="0022749C"/>
    <w:rsid w:val="00227C77"/>
    <w:rsid w:val="002301B6"/>
    <w:rsid w:val="002323AE"/>
    <w:rsid w:val="00233887"/>
    <w:rsid w:val="00233A88"/>
    <w:rsid w:val="00234C42"/>
    <w:rsid w:val="00241B9A"/>
    <w:rsid w:val="0024226F"/>
    <w:rsid w:val="00245342"/>
    <w:rsid w:val="002456E3"/>
    <w:rsid w:val="002462BD"/>
    <w:rsid w:val="00246D78"/>
    <w:rsid w:val="00260712"/>
    <w:rsid w:val="00263339"/>
    <w:rsid w:val="00270113"/>
    <w:rsid w:val="002809F6"/>
    <w:rsid w:val="00282F6F"/>
    <w:rsid w:val="00283303"/>
    <w:rsid w:val="00287F32"/>
    <w:rsid w:val="0029134D"/>
    <w:rsid w:val="00292D90"/>
    <w:rsid w:val="002978C8"/>
    <w:rsid w:val="002A0B32"/>
    <w:rsid w:val="002A4B83"/>
    <w:rsid w:val="002A6363"/>
    <w:rsid w:val="002A6430"/>
    <w:rsid w:val="002A79C5"/>
    <w:rsid w:val="002C26D9"/>
    <w:rsid w:val="002C69DE"/>
    <w:rsid w:val="002D49D1"/>
    <w:rsid w:val="002D7135"/>
    <w:rsid w:val="002E7A3A"/>
    <w:rsid w:val="002F417B"/>
    <w:rsid w:val="002F6ADC"/>
    <w:rsid w:val="00300C95"/>
    <w:rsid w:val="003054A8"/>
    <w:rsid w:val="00306770"/>
    <w:rsid w:val="003073E6"/>
    <w:rsid w:val="00307DA3"/>
    <w:rsid w:val="00315CE5"/>
    <w:rsid w:val="00327D31"/>
    <w:rsid w:val="003305CA"/>
    <w:rsid w:val="0034064A"/>
    <w:rsid w:val="00344DE6"/>
    <w:rsid w:val="0034564D"/>
    <w:rsid w:val="00353390"/>
    <w:rsid w:val="00357842"/>
    <w:rsid w:val="00361598"/>
    <w:rsid w:val="00372AC1"/>
    <w:rsid w:val="00373F43"/>
    <w:rsid w:val="00377F66"/>
    <w:rsid w:val="003802F4"/>
    <w:rsid w:val="00380EA2"/>
    <w:rsid w:val="003831AB"/>
    <w:rsid w:val="003853F4"/>
    <w:rsid w:val="00390C06"/>
    <w:rsid w:val="003A1591"/>
    <w:rsid w:val="003A63D1"/>
    <w:rsid w:val="003B42B6"/>
    <w:rsid w:val="003B46C7"/>
    <w:rsid w:val="003C047D"/>
    <w:rsid w:val="003C4F86"/>
    <w:rsid w:val="003C789B"/>
    <w:rsid w:val="003D037D"/>
    <w:rsid w:val="003D327E"/>
    <w:rsid w:val="003D58DB"/>
    <w:rsid w:val="003E008D"/>
    <w:rsid w:val="003E0A58"/>
    <w:rsid w:val="003E26C5"/>
    <w:rsid w:val="003F1727"/>
    <w:rsid w:val="003F2E2F"/>
    <w:rsid w:val="003F424B"/>
    <w:rsid w:val="00416394"/>
    <w:rsid w:val="00424E11"/>
    <w:rsid w:val="00425E05"/>
    <w:rsid w:val="004302B4"/>
    <w:rsid w:val="0043496E"/>
    <w:rsid w:val="00441569"/>
    <w:rsid w:val="00442C7E"/>
    <w:rsid w:val="00443AB7"/>
    <w:rsid w:val="00450CCE"/>
    <w:rsid w:val="004542B7"/>
    <w:rsid w:val="004546DC"/>
    <w:rsid w:val="004566E7"/>
    <w:rsid w:val="00463D4E"/>
    <w:rsid w:val="0046743A"/>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23F4"/>
    <w:rsid w:val="004B56B0"/>
    <w:rsid w:val="004B7560"/>
    <w:rsid w:val="004C37AD"/>
    <w:rsid w:val="004C5917"/>
    <w:rsid w:val="004C5E48"/>
    <w:rsid w:val="004D0778"/>
    <w:rsid w:val="004D75F6"/>
    <w:rsid w:val="004E02B4"/>
    <w:rsid w:val="004E424B"/>
    <w:rsid w:val="004E71FE"/>
    <w:rsid w:val="004F24D0"/>
    <w:rsid w:val="00501F00"/>
    <w:rsid w:val="00502E10"/>
    <w:rsid w:val="00505009"/>
    <w:rsid w:val="00506BF4"/>
    <w:rsid w:val="00507097"/>
    <w:rsid w:val="00514DDB"/>
    <w:rsid w:val="0051600D"/>
    <w:rsid w:val="00516FB2"/>
    <w:rsid w:val="00524DCE"/>
    <w:rsid w:val="00525050"/>
    <w:rsid w:val="0053110F"/>
    <w:rsid w:val="00533FEF"/>
    <w:rsid w:val="00535C81"/>
    <w:rsid w:val="00540A09"/>
    <w:rsid w:val="00546D8E"/>
    <w:rsid w:val="00546FDD"/>
    <w:rsid w:val="00547258"/>
    <w:rsid w:val="00551340"/>
    <w:rsid w:val="005606FD"/>
    <w:rsid w:val="00565A52"/>
    <w:rsid w:val="00566AD8"/>
    <w:rsid w:val="00570B86"/>
    <w:rsid w:val="005732EB"/>
    <w:rsid w:val="005803BF"/>
    <w:rsid w:val="00581505"/>
    <w:rsid w:val="00581D02"/>
    <w:rsid w:val="00582FAD"/>
    <w:rsid w:val="00585F7E"/>
    <w:rsid w:val="00591013"/>
    <w:rsid w:val="00594ABF"/>
    <w:rsid w:val="005A11E6"/>
    <w:rsid w:val="005A2484"/>
    <w:rsid w:val="005A6A61"/>
    <w:rsid w:val="005B0968"/>
    <w:rsid w:val="005B207E"/>
    <w:rsid w:val="005B2484"/>
    <w:rsid w:val="005B3871"/>
    <w:rsid w:val="005B659D"/>
    <w:rsid w:val="005B6B98"/>
    <w:rsid w:val="005C1326"/>
    <w:rsid w:val="005C3527"/>
    <w:rsid w:val="005C4B02"/>
    <w:rsid w:val="005C63C4"/>
    <w:rsid w:val="005C74AE"/>
    <w:rsid w:val="005D3EE7"/>
    <w:rsid w:val="005E62D6"/>
    <w:rsid w:val="005E7CAE"/>
    <w:rsid w:val="005F0FBF"/>
    <w:rsid w:val="005F1274"/>
    <w:rsid w:val="00600F7D"/>
    <w:rsid w:val="006014A0"/>
    <w:rsid w:val="006027E9"/>
    <w:rsid w:val="00607D00"/>
    <w:rsid w:val="00614971"/>
    <w:rsid w:val="006267AA"/>
    <w:rsid w:val="00627218"/>
    <w:rsid w:val="006355D1"/>
    <w:rsid w:val="00635DD4"/>
    <w:rsid w:val="00637692"/>
    <w:rsid w:val="00643AFF"/>
    <w:rsid w:val="0064704A"/>
    <w:rsid w:val="00650BA0"/>
    <w:rsid w:val="006601C1"/>
    <w:rsid w:val="00662AB0"/>
    <w:rsid w:val="00667388"/>
    <w:rsid w:val="006832B6"/>
    <w:rsid w:val="006916AD"/>
    <w:rsid w:val="00694B4F"/>
    <w:rsid w:val="00696ACE"/>
    <w:rsid w:val="006979A1"/>
    <w:rsid w:val="006A118D"/>
    <w:rsid w:val="006A3972"/>
    <w:rsid w:val="006A3E22"/>
    <w:rsid w:val="006A712D"/>
    <w:rsid w:val="006B400E"/>
    <w:rsid w:val="006D27A6"/>
    <w:rsid w:val="006D3EE7"/>
    <w:rsid w:val="006D6960"/>
    <w:rsid w:val="006D7B29"/>
    <w:rsid w:val="006E101D"/>
    <w:rsid w:val="006E6F8C"/>
    <w:rsid w:val="006E76BE"/>
    <w:rsid w:val="006F0918"/>
    <w:rsid w:val="006F56A2"/>
    <w:rsid w:val="006F6E04"/>
    <w:rsid w:val="00705A14"/>
    <w:rsid w:val="00705AD6"/>
    <w:rsid w:val="00712270"/>
    <w:rsid w:val="00715122"/>
    <w:rsid w:val="00717216"/>
    <w:rsid w:val="00722F56"/>
    <w:rsid w:val="00724591"/>
    <w:rsid w:val="007343B8"/>
    <w:rsid w:val="00736715"/>
    <w:rsid w:val="00741246"/>
    <w:rsid w:val="007600FA"/>
    <w:rsid w:val="0076093D"/>
    <w:rsid w:val="00761DA0"/>
    <w:rsid w:val="007622D7"/>
    <w:rsid w:val="00776807"/>
    <w:rsid w:val="00777232"/>
    <w:rsid w:val="0077764B"/>
    <w:rsid w:val="007825F2"/>
    <w:rsid w:val="00783756"/>
    <w:rsid w:val="00784A3C"/>
    <w:rsid w:val="00792EA0"/>
    <w:rsid w:val="00793BD7"/>
    <w:rsid w:val="0079466D"/>
    <w:rsid w:val="007A0C77"/>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04D30"/>
    <w:rsid w:val="008139FB"/>
    <w:rsid w:val="00826867"/>
    <w:rsid w:val="00831D8A"/>
    <w:rsid w:val="00847719"/>
    <w:rsid w:val="008513D1"/>
    <w:rsid w:val="008616B9"/>
    <w:rsid w:val="00870063"/>
    <w:rsid w:val="0088159C"/>
    <w:rsid w:val="0088211A"/>
    <w:rsid w:val="00884F56"/>
    <w:rsid w:val="008854F6"/>
    <w:rsid w:val="00886667"/>
    <w:rsid w:val="00886BC4"/>
    <w:rsid w:val="00887105"/>
    <w:rsid w:val="008972E4"/>
    <w:rsid w:val="008A02F3"/>
    <w:rsid w:val="008A1C1D"/>
    <w:rsid w:val="008A48CA"/>
    <w:rsid w:val="008B2938"/>
    <w:rsid w:val="008B395C"/>
    <w:rsid w:val="008C348C"/>
    <w:rsid w:val="008C5773"/>
    <w:rsid w:val="008D0CA6"/>
    <w:rsid w:val="008D4B21"/>
    <w:rsid w:val="008D4CD0"/>
    <w:rsid w:val="008D5358"/>
    <w:rsid w:val="008E0180"/>
    <w:rsid w:val="008E04BD"/>
    <w:rsid w:val="008E35A5"/>
    <w:rsid w:val="008F03B6"/>
    <w:rsid w:val="008F0B15"/>
    <w:rsid w:val="008F1AA6"/>
    <w:rsid w:val="008F2212"/>
    <w:rsid w:val="008F24EF"/>
    <w:rsid w:val="008F3B63"/>
    <w:rsid w:val="008F73C8"/>
    <w:rsid w:val="008F7E69"/>
    <w:rsid w:val="00903786"/>
    <w:rsid w:val="00903AB2"/>
    <w:rsid w:val="00905F29"/>
    <w:rsid w:val="0090719E"/>
    <w:rsid w:val="009109AA"/>
    <w:rsid w:val="00926879"/>
    <w:rsid w:val="009269A3"/>
    <w:rsid w:val="00933C8C"/>
    <w:rsid w:val="009367F6"/>
    <w:rsid w:val="0093741D"/>
    <w:rsid w:val="00942CB3"/>
    <w:rsid w:val="00944174"/>
    <w:rsid w:val="00951652"/>
    <w:rsid w:val="00952F2F"/>
    <w:rsid w:val="00965C4B"/>
    <w:rsid w:val="009757BB"/>
    <w:rsid w:val="0098151F"/>
    <w:rsid w:val="00983039"/>
    <w:rsid w:val="00986A46"/>
    <w:rsid w:val="009906A6"/>
    <w:rsid w:val="00992258"/>
    <w:rsid w:val="00992ADC"/>
    <w:rsid w:val="009964B4"/>
    <w:rsid w:val="009A2BFF"/>
    <w:rsid w:val="009A6D32"/>
    <w:rsid w:val="009A71C4"/>
    <w:rsid w:val="009B15EC"/>
    <w:rsid w:val="009B1781"/>
    <w:rsid w:val="009B2546"/>
    <w:rsid w:val="009B464D"/>
    <w:rsid w:val="009C1A6B"/>
    <w:rsid w:val="009C1F90"/>
    <w:rsid w:val="009C6500"/>
    <w:rsid w:val="009C66A3"/>
    <w:rsid w:val="009D329D"/>
    <w:rsid w:val="009D3778"/>
    <w:rsid w:val="009D4B29"/>
    <w:rsid w:val="009D616A"/>
    <w:rsid w:val="009E6061"/>
    <w:rsid w:val="00A01086"/>
    <w:rsid w:val="00A05E2B"/>
    <w:rsid w:val="00A05E57"/>
    <w:rsid w:val="00A1120D"/>
    <w:rsid w:val="00A131ED"/>
    <w:rsid w:val="00A13CB3"/>
    <w:rsid w:val="00A13F0D"/>
    <w:rsid w:val="00A15DB7"/>
    <w:rsid w:val="00A17503"/>
    <w:rsid w:val="00A206DD"/>
    <w:rsid w:val="00A215B3"/>
    <w:rsid w:val="00A21923"/>
    <w:rsid w:val="00A24D20"/>
    <w:rsid w:val="00A30498"/>
    <w:rsid w:val="00A32C4E"/>
    <w:rsid w:val="00A3452B"/>
    <w:rsid w:val="00A349F8"/>
    <w:rsid w:val="00A46A9A"/>
    <w:rsid w:val="00A472EB"/>
    <w:rsid w:val="00A50111"/>
    <w:rsid w:val="00A519DC"/>
    <w:rsid w:val="00A52C22"/>
    <w:rsid w:val="00A60022"/>
    <w:rsid w:val="00A6514E"/>
    <w:rsid w:val="00A71D07"/>
    <w:rsid w:val="00A8449C"/>
    <w:rsid w:val="00A84C3C"/>
    <w:rsid w:val="00A87F4B"/>
    <w:rsid w:val="00A909A3"/>
    <w:rsid w:val="00A91BD2"/>
    <w:rsid w:val="00A940BE"/>
    <w:rsid w:val="00A96316"/>
    <w:rsid w:val="00A9658A"/>
    <w:rsid w:val="00A96FA9"/>
    <w:rsid w:val="00A970ED"/>
    <w:rsid w:val="00AA2BBD"/>
    <w:rsid w:val="00AA553F"/>
    <w:rsid w:val="00AB3D33"/>
    <w:rsid w:val="00AC1B27"/>
    <w:rsid w:val="00AC450E"/>
    <w:rsid w:val="00AC4C62"/>
    <w:rsid w:val="00AC60D4"/>
    <w:rsid w:val="00AE39EE"/>
    <w:rsid w:val="00AE4A06"/>
    <w:rsid w:val="00AE53E5"/>
    <w:rsid w:val="00AE720B"/>
    <w:rsid w:val="00AF144B"/>
    <w:rsid w:val="00AF1A62"/>
    <w:rsid w:val="00AF4D96"/>
    <w:rsid w:val="00B01E8F"/>
    <w:rsid w:val="00B02F18"/>
    <w:rsid w:val="00B129C3"/>
    <w:rsid w:val="00B15B56"/>
    <w:rsid w:val="00B24C1C"/>
    <w:rsid w:val="00B32830"/>
    <w:rsid w:val="00B41DFC"/>
    <w:rsid w:val="00B42FAF"/>
    <w:rsid w:val="00B43C1B"/>
    <w:rsid w:val="00B50FEA"/>
    <w:rsid w:val="00B51175"/>
    <w:rsid w:val="00B5160B"/>
    <w:rsid w:val="00B5397C"/>
    <w:rsid w:val="00B54FA9"/>
    <w:rsid w:val="00B57B0B"/>
    <w:rsid w:val="00B64308"/>
    <w:rsid w:val="00B71CC4"/>
    <w:rsid w:val="00B71F74"/>
    <w:rsid w:val="00B73C23"/>
    <w:rsid w:val="00B771FF"/>
    <w:rsid w:val="00B82C45"/>
    <w:rsid w:val="00B90EC1"/>
    <w:rsid w:val="00BA003A"/>
    <w:rsid w:val="00BA054F"/>
    <w:rsid w:val="00BA123B"/>
    <w:rsid w:val="00BA3721"/>
    <w:rsid w:val="00BA7802"/>
    <w:rsid w:val="00BB059B"/>
    <w:rsid w:val="00BB18A1"/>
    <w:rsid w:val="00BB4B21"/>
    <w:rsid w:val="00BD3C26"/>
    <w:rsid w:val="00BD7EA0"/>
    <w:rsid w:val="00BE2210"/>
    <w:rsid w:val="00BE5014"/>
    <w:rsid w:val="00BE5AC7"/>
    <w:rsid w:val="00BF3E58"/>
    <w:rsid w:val="00BF4A8E"/>
    <w:rsid w:val="00BF73E4"/>
    <w:rsid w:val="00BF75D8"/>
    <w:rsid w:val="00C0241A"/>
    <w:rsid w:val="00C0628D"/>
    <w:rsid w:val="00C1431C"/>
    <w:rsid w:val="00C23C8C"/>
    <w:rsid w:val="00C27AB8"/>
    <w:rsid w:val="00C3042D"/>
    <w:rsid w:val="00C362B7"/>
    <w:rsid w:val="00C3693F"/>
    <w:rsid w:val="00C371E0"/>
    <w:rsid w:val="00C37A6A"/>
    <w:rsid w:val="00C402BC"/>
    <w:rsid w:val="00C403D1"/>
    <w:rsid w:val="00C436B8"/>
    <w:rsid w:val="00C443D7"/>
    <w:rsid w:val="00C521DA"/>
    <w:rsid w:val="00C620FD"/>
    <w:rsid w:val="00C639E4"/>
    <w:rsid w:val="00C71CED"/>
    <w:rsid w:val="00C73CDE"/>
    <w:rsid w:val="00C778C6"/>
    <w:rsid w:val="00C80C62"/>
    <w:rsid w:val="00C82A8A"/>
    <w:rsid w:val="00C8634C"/>
    <w:rsid w:val="00CA1445"/>
    <w:rsid w:val="00CA168B"/>
    <w:rsid w:val="00CA199E"/>
    <w:rsid w:val="00CA4694"/>
    <w:rsid w:val="00CB032B"/>
    <w:rsid w:val="00CB0554"/>
    <w:rsid w:val="00CB099C"/>
    <w:rsid w:val="00CB2C9A"/>
    <w:rsid w:val="00CC1136"/>
    <w:rsid w:val="00CC1725"/>
    <w:rsid w:val="00CC4D40"/>
    <w:rsid w:val="00CC5606"/>
    <w:rsid w:val="00CD02A5"/>
    <w:rsid w:val="00CD7F0B"/>
    <w:rsid w:val="00CF064D"/>
    <w:rsid w:val="00CF1EA3"/>
    <w:rsid w:val="00CF5A2D"/>
    <w:rsid w:val="00D044DC"/>
    <w:rsid w:val="00D04E72"/>
    <w:rsid w:val="00D05A02"/>
    <w:rsid w:val="00D0725D"/>
    <w:rsid w:val="00D07AAE"/>
    <w:rsid w:val="00D10E18"/>
    <w:rsid w:val="00D11F38"/>
    <w:rsid w:val="00D11F49"/>
    <w:rsid w:val="00D123B8"/>
    <w:rsid w:val="00D13AF7"/>
    <w:rsid w:val="00D1425F"/>
    <w:rsid w:val="00D17467"/>
    <w:rsid w:val="00D2150F"/>
    <w:rsid w:val="00D215DF"/>
    <w:rsid w:val="00D220C4"/>
    <w:rsid w:val="00D2764D"/>
    <w:rsid w:val="00D33E3B"/>
    <w:rsid w:val="00D40B85"/>
    <w:rsid w:val="00D535AC"/>
    <w:rsid w:val="00D555C7"/>
    <w:rsid w:val="00D566F4"/>
    <w:rsid w:val="00D60855"/>
    <w:rsid w:val="00D608F9"/>
    <w:rsid w:val="00D621F5"/>
    <w:rsid w:val="00D7389E"/>
    <w:rsid w:val="00D74735"/>
    <w:rsid w:val="00D76647"/>
    <w:rsid w:val="00D77B17"/>
    <w:rsid w:val="00D81F86"/>
    <w:rsid w:val="00D94FB2"/>
    <w:rsid w:val="00D95E57"/>
    <w:rsid w:val="00DA3E0F"/>
    <w:rsid w:val="00DA477B"/>
    <w:rsid w:val="00DB4920"/>
    <w:rsid w:val="00DC075C"/>
    <w:rsid w:val="00DC54F4"/>
    <w:rsid w:val="00DC6FBB"/>
    <w:rsid w:val="00DD5D38"/>
    <w:rsid w:val="00DE05FE"/>
    <w:rsid w:val="00DE5EE8"/>
    <w:rsid w:val="00DE74EC"/>
    <w:rsid w:val="00DF0B01"/>
    <w:rsid w:val="00DF2C09"/>
    <w:rsid w:val="00DF56B6"/>
    <w:rsid w:val="00DF5A46"/>
    <w:rsid w:val="00E06F07"/>
    <w:rsid w:val="00E10B5B"/>
    <w:rsid w:val="00E11105"/>
    <w:rsid w:val="00E16939"/>
    <w:rsid w:val="00E1766A"/>
    <w:rsid w:val="00E25624"/>
    <w:rsid w:val="00E267E6"/>
    <w:rsid w:val="00E34501"/>
    <w:rsid w:val="00E35B8F"/>
    <w:rsid w:val="00E40078"/>
    <w:rsid w:val="00E42952"/>
    <w:rsid w:val="00E4461B"/>
    <w:rsid w:val="00E4520C"/>
    <w:rsid w:val="00E46E8E"/>
    <w:rsid w:val="00E541DA"/>
    <w:rsid w:val="00E54C5B"/>
    <w:rsid w:val="00E55870"/>
    <w:rsid w:val="00E62B01"/>
    <w:rsid w:val="00E6400B"/>
    <w:rsid w:val="00E64B67"/>
    <w:rsid w:val="00E6649E"/>
    <w:rsid w:val="00E669CD"/>
    <w:rsid w:val="00E70240"/>
    <w:rsid w:val="00E70A2C"/>
    <w:rsid w:val="00E720EB"/>
    <w:rsid w:val="00E81A92"/>
    <w:rsid w:val="00E83A1D"/>
    <w:rsid w:val="00E847A7"/>
    <w:rsid w:val="00E85FF2"/>
    <w:rsid w:val="00E86CBA"/>
    <w:rsid w:val="00E90E39"/>
    <w:rsid w:val="00E91C74"/>
    <w:rsid w:val="00E92CD2"/>
    <w:rsid w:val="00E93C25"/>
    <w:rsid w:val="00EA3D9E"/>
    <w:rsid w:val="00EA5D8D"/>
    <w:rsid w:val="00EA7C88"/>
    <w:rsid w:val="00EB1557"/>
    <w:rsid w:val="00EC2A56"/>
    <w:rsid w:val="00ED2A94"/>
    <w:rsid w:val="00ED3522"/>
    <w:rsid w:val="00ED5B9B"/>
    <w:rsid w:val="00ED7200"/>
    <w:rsid w:val="00EE3EA0"/>
    <w:rsid w:val="00EE4C91"/>
    <w:rsid w:val="00EE570F"/>
    <w:rsid w:val="00EE5F89"/>
    <w:rsid w:val="00EE6A04"/>
    <w:rsid w:val="00EF1B2D"/>
    <w:rsid w:val="00F0196A"/>
    <w:rsid w:val="00F07B2D"/>
    <w:rsid w:val="00F12CE4"/>
    <w:rsid w:val="00F172EE"/>
    <w:rsid w:val="00F22FC2"/>
    <w:rsid w:val="00F24232"/>
    <w:rsid w:val="00F248B6"/>
    <w:rsid w:val="00F31637"/>
    <w:rsid w:val="00F33B9F"/>
    <w:rsid w:val="00F41932"/>
    <w:rsid w:val="00F43CA1"/>
    <w:rsid w:val="00F44C22"/>
    <w:rsid w:val="00F4789A"/>
    <w:rsid w:val="00F47984"/>
    <w:rsid w:val="00F51C00"/>
    <w:rsid w:val="00F51FDE"/>
    <w:rsid w:val="00F54D87"/>
    <w:rsid w:val="00F61364"/>
    <w:rsid w:val="00F614C4"/>
    <w:rsid w:val="00F61E2F"/>
    <w:rsid w:val="00F7072C"/>
    <w:rsid w:val="00F7256C"/>
    <w:rsid w:val="00F7367D"/>
    <w:rsid w:val="00F75A59"/>
    <w:rsid w:val="00F7650A"/>
    <w:rsid w:val="00F82189"/>
    <w:rsid w:val="00F8400B"/>
    <w:rsid w:val="00F95DDF"/>
    <w:rsid w:val="00F96108"/>
    <w:rsid w:val="00FA70A7"/>
    <w:rsid w:val="00FB5337"/>
    <w:rsid w:val="00FB7AEB"/>
    <w:rsid w:val="00FC2874"/>
    <w:rsid w:val="00FC2E34"/>
    <w:rsid w:val="00FC3B11"/>
    <w:rsid w:val="00FC49E0"/>
    <w:rsid w:val="00FD0354"/>
    <w:rsid w:val="00FD06DF"/>
    <w:rsid w:val="00FD0B4D"/>
    <w:rsid w:val="00FE316C"/>
    <w:rsid w:val="00FF35D3"/>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AAB3"/>
  <w15:docId w15:val="{EEC064B0-34B1-4071-A52A-D05CA2C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DC"/>
    <w:pPr>
      <w:spacing w:before="120" w:after="120"/>
    </w:pPr>
    <w:rPr>
      <w:rFonts w:eastAsia="Times New Roman"/>
      <w:kern w:val="18"/>
      <w:sz w:val="22"/>
      <w:lang w:eastAsia="en-AU"/>
    </w:rPr>
  </w:style>
  <w:style w:type="paragraph" w:styleId="Heading1">
    <w:name w:val="heading 1"/>
    <w:basedOn w:val="Normal"/>
    <w:next w:val="Normal"/>
    <w:link w:val="Heading1Char"/>
    <w:qFormat/>
    <w:rsid w:val="001B5A54"/>
    <w:pPr>
      <w:keepNext/>
      <w:spacing w:before="600" w:after="240" w:line="460" w:lineRule="exact"/>
      <w:outlineLvl w:val="0"/>
    </w:pPr>
    <w:rPr>
      <w:rFonts w:cs="Arial"/>
      <w:b/>
      <w:color w:val="5D779D" w:themeColor="accent3"/>
      <w:kern w:val="32"/>
      <w:sz w:val="36"/>
      <w:szCs w:val="36"/>
    </w:rPr>
  </w:style>
  <w:style w:type="paragraph" w:styleId="Heading2">
    <w:name w:val="heading 2"/>
    <w:basedOn w:val="Normal"/>
    <w:next w:val="Normal"/>
    <w:link w:val="Heading2Char"/>
    <w:qFormat/>
    <w:rsid w:val="003F1727"/>
    <w:pPr>
      <w:keepNext/>
      <w:spacing w:before="240" w:line="460" w:lineRule="exact"/>
      <w:outlineLvl w:val="1"/>
    </w:pPr>
    <w:rPr>
      <w:rFonts w:cs="Arial"/>
      <w:iCs/>
      <w:color w:val="2C384A"/>
      <w:kern w:val="32"/>
      <w:sz w:val="32"/>
      <w:szCs w:val="28"/>
    </w:rPr>
  </w:style>
  <w:style w:type="paragraph" w:styleId="Heading3">
    <w:name w:val="heading 3"/>
    <w:basedOn w:val="Normal"/>
    <w:next w:val="Normal"/>
    <w:link w:val="Heading3Char"/>
    <w:qFormat/>
    <w:rsid w:val="003F1727"/>
    <w:pPr>
      <w:keepNext/>
      <w:spacing w:before="240" w:after="0" w:line="276" w:lineRule="auto"/>
      <w:outlineLvl w:val="2"/>
    </w:pPr>
    <w:rPr>
      <w:rFonts w:cs="Arial"/>
      <w:b/>
      <w:color w:val="5D779D" w:themeColor="accent3"/>
      <w:kern w:val="32"/>
      <w:sz w:val="28"/>
      <w:szCs w:val="26"/>
    </w:rPr>
  </w:style>
  <w:style w:type="paragraph" w:styleId="Heading4">
    <w:name w:val="heading 4"/>
    <w:basedOn w:val="Normal"/>
    <w:next w:val="Normal"/>
    <w:link w:val="Heading4Char"/>
    <w:qFormat/>
    <w:rsid w:val="003F1727"/>
    <w:pPr>
      <w:keepNext/>
      <w:spacing w:before="180" w:after="0" w:line="276" w:lineRule="auto"/>
      <w:outlineLvl w:val="3"/>
    </w:pPr>
    <w:rPr>
      <w:rFonts w:cs="Arial"/>
      <w:color w:val="2C384A" w:themeColor="accent1"/>
      <w:kern w:val="32"/>
      <w:sz w:val="26"/>
      <w:szCs w:val="26"/>
    </w:rPr>
  </w:style>
  <w:style w:type="paragraph" w:styleId="Heading5">
    <w:name w:val="heading 5"/>
    <w:basedOn w:val="Normal"/>
    <w:next w:val="Normal"/>
    <w:link w:val="Heading5Char"/>
    <w:rsid w:val="00A206DD"/>
    <w:pPr>
      <w:keepNext/>
      <w:spacing w:before="240" w:after="0" w:line="276" w:lineRule="auto"/>
      <w:outlineLvl w:val="4"/>
    </w:pPr>
    <w:rPr>
      <w:rFonts w:asciiTheme="majorHAnsi" w:hAnsiTheme="majorHAnsi" w:cs="Arial"/>
      <w:b/>
      <w:iCs/>
      <w:color w:val="000000" w:themeColor="text1"/>
      <w:kern w:val="32"/>
      <w:sz w:val="24"/>
      <w:szCs w:val="24"/>
    </w:rPr>
  </w:style>
  <w:style w:type="paragraph" w:styleId="Heading6">
    <w:name w:val="heading 6"/>
    <w:basedOn w:val="Normal"/>
    <w:next w:val="Normal"/>
    <w:link w:val="Heading6Char"/>
    <w:rsid w:val="00A206DD"/>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3F4"/>
    <w:pPr>
      <w:tabs>
        <w:tab w:val="center" w:pos="4513"/>
        <w:tab w:val="right" w:pos="9026"/>
      </w:tabs>
      <w:spacing w:after="0"/>
      <w:jc w:val="right"/>
    </w:pPr>
    <w:rPr>
      <w:sz w:val="20"/>
    </w:rPr>
  </w:style>
  <w:style w:type="character" w:customStyle="1" w:styleId="HeaderChar">
    <w:name w:val="Header Char"/>
    <w:basedOn w:val="DefaultParagraphFont"/>
    <w:link w:val="Header"/>
    <w:uiPriority w:val="99"/>
    <w:rsid w:val="004B23F4"/>
    <w:rPr>
      <w:rFonts w:eastAsia="Times New Roman"/>
      <w:lang w:eastAsia="en-AU"/>
    </w:rPr>
  </w:style>
  <w:style w:type="paragraph" w:styleId="Footer">
    <w:name w:val="footer"/>
    <w:basedOn w:val="Normal"/>
    <w:link w:val="FooterChar"/>
    <w:uiPriority w:val="99"/>
    <w:rsid w:val="00B01E8F"/>
    <w:pPr>
      <w:tabs>
        <w:tab w:val="right" w:pos="11340"/>
      </w:tabs>
    </w:pPr>
    <w:rPr>
      <w:sz w:val="20"/>
    </w:rPr>
  </w:style>
  <w:style w:type="character" w:customStyle="1" w:styleId="FooterChar">
    <w:name w:val="Footer Char"/>
    <w:basedOn w:val="DefaultParagraphFont"/>
    <w:link w:val="Footer"/>
    <w:uiPriority w:val="99"/>
    <w:rsid w:val="00B01E8F"/>
    <w:rPr>
      <w:rFonts w:eastAsia="Times New Roman"/>
      <w:lang w:eastAsia="en-AU"/>
    </w:rPr>
  </w:style>
  <w:style w:type="paragraph" w:customStyle="1" w:styleId="Reporttitle">
    <w:name w:val="Report title"/>
    <w:basedOn w:val="Normal"/>
    <w:qFormat/>
    <w:rsid w:val="00FC49E0"/>
    <w:pPr>
      <w:spacing w:before="960" w:after="240"/>
      <w:outlineLvl w:val="0"/>
    </w:pPr>
    <w:rPr>
      <w:b/>
      <w:color w:val="2C384A" w:themeColor="accent1"/>
      <w:spacing w:val="-14"/>
      <w:sz w:val="44"/>
      <w:szCs w:val="68"/>
    </w:rPr>
  </w:style>
  <w:style w:type="character" w:customStyle="1" w:styleId="Heading1Char">
    <w:name w:val="Heading 1 Char"/>
    <w:basedOn w:val="DefaultParagraphFont"/>
    <w:link w:val="Heading1"/>
    <w:rsid w:val="001B5A54"/>
    <w:rPr>
      <w:rFonts w:eastAsia="Times New Roman" w:cs="Arial"/>
      <w:b/>
      <w:color w:val="5D779D" w:themeColor="accent3"/>
      <w:kern w:val="32"/>
      <w:sz w:val="36"/>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3F1727"/>
    <w:rPr>
      <w:rFonts w:eastAsia="Times New Roman" w:cs="Arial"/>
      <w:iCs/>
      <w:color w:val="2C384A"/>
      <w:kern w:val="32"/>
      <w:sz w:val="32"/>
      <w:szCs w:val="28"/>
      <w:lang w:eastAsia="en-AU"/>
    </w:rPr>
  </w:style>
  <w:style w:type="character" w:customStyle="1" w:styleId="Heading3Char">
    <w:name w:val="Heading 3 Char"/>
    <w:basedOn w:val="DefaultParagraphFont"/>
    <w:link w:val="Heading3"/>
    <w:rsid w:val="003F1727"/>
    <w:rPr>
      <w:rFonts w:eastAsia="Times New Roman" w:cs="Arial"/>
      <w:b/>
      <w:color w:val="5D779D" w:themeColor="accent3"/>
      <w:kern w:val="32"/>
      <w:sz w:val="28"/>
      <w:szCs w:val="26"/>
      <w:lang w:eastAsia="en-AU"/>
    </w:rPr>
  </w:style>
  <w:style w:type="character" w:customStyle="1" w:styleId="Heading4Char">
    <w:name w:val="Heading 4 Char"/>
    <w:basedOn w:val="DefaultParagraphFont"/>
    <w:link w:val="Heading4"/>
    <w:rsid w:val="003F1727"/>
    <w:rPr>
      <w:rFonts w:eastAsia="Times New Roman" w:cs="Arial"/>
      <w:color w:val="2C384A" w:themeColor="accent1"/>
      <w:kern w:val="32"/>
      <w:sz w:val="26"/>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eastAsiaTheme="minorEastAsia"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206DD"/>
    <w:rPr>
      <w:rFonts w:asciiTheme="majorHAnsi" w:eastAsia="Times New Roman" w:hAnsiTheme="majorHAnsi" w:cs="Arial"/>
      <w:b/>
      <w:iCs/>
      <w:color w:val="000000" w:themeColor="text1"/>
      <w:kern w:val="32"/>
      <w:sz w:val="24"/>
      <w:szCs w:val="24"/>
      <w:lang w:eastAsia="en-AU"/>
    </w:rPr>
  </w:style>
  <w:style w:type="paragraph" w:customStyle="1" w:styleId="BoxHeading">
    <w:name w:val="Box Heading"/>
    <w:basedOn w:val="Normal"/>
    <w:next w:val="Normal"/>
    <w:qFormat/>
    <w:rsid w:val="00DB4920"/>
    <w:pPr>
      <w:keepNext/>
      <w:spacing w:before="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0B22DC"/>
    <w:pPr>
      <w:numPr>
        <w:numId w:val="7"/>
      </w:numPr>
      <w:spacing w:before="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0B22DC"/>
    <w:rPr>
      <w:rFonts w:eastAsia="Times New Roman"/>
      <w:sz w:val="22"/>
      <w:lang w:eastAsia="en-AU"/>
    </w:rPr>
  </w:style>
  <w:style w:type="paragraph" w:customStyle="1" w:styleId="Boxbullet">
    <w:name w:val="Box bullet"/>
    <w:basedOn w:val="Bullet"/>
    <w:qFormat/>
    <w:rsid w:val="00BA123B"/>
    <w:pPr>
      <w:spacing w:after="60"/>
    </w:pPr>
    <w:rPr>
      <w:color w:val="0D0D0D" w:themeColor="text1" w:themeTint="F2"/>
    </w:rPr>
  </w:style>
  <w:style w:type="paragraph" w:customStyle="1" w:styleId="Boxdash">
    <w:name w:val="Box dash"/>
    <w:basedOn w:val="Dash"/>
    <w:rsid w:val="00BA123B"/>
    <w:pPr>
      <w:numPr>
        <w:ilvl w:val="0"/>
        <w:numId w:val="0"/>
      </w:numPr>
      <w:spacing w:after="60" w:line="276" w:lineRule="auto"/>
    </w:pPr>
    <w:rPr>
      <w:rFonts w:eastAsiaTheme="minorHAnsi"/>
      <w:color w:val="0D0D0D" w:themeColor="text1" w:themeTint="F2"/>
    </w:rPr>
  </w:style>
  <w:style w:type="paragraph" w:customStyle="1" w:styleId="Boxdoubledot">
    <w:name w:val="Box double dot"/>
    <w:basedOn w:val="DoubleDot"/>
    <w:rsid w:val="00BA123B"/>
    <w:pPr>
      <w:numPr>
        <w:ilvl w:val="0"/>
        <w:numId w:val="0"/>
      </w:numPr>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206DD"/>
    <w:rPr>
      <w:rFonts w:eastAsia="Times New Roman" w:cs="Arial"/>
      <w:b/>
      <w:bCs/>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0B22DC"/>
    <w:pPr>
      <w:spacing w:before="0" w:after="60"/>
      <w:ind w:left="425" w:hanging="425"/>
    </w:pPr>
    <w:rPr>
      <w:sz w:val="20"/>
    </w:rPr>
  </w:style>
  <w:style w:type="character" w:customStyle="1" w:styleId="FootnoteTextChar">
    <w:name w:val="Footnote Text Char"/>
    <w:basedOn w:val="DefaultParagraphFont"/>
    <w:link w:val="FootnoteText"/>
    <w:uiPriority w:val="99"/>
    <w:rsid w:val="000B22DC"/>
    <w:rPr>
      <w:rFonts w:eastAsia="Times New Roman"/>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AC450E"/>
    <w:pPr>
      <w:ind w:left="720"/>
      <w:contextualSpacing/>
    </w:pPr>
  </w:style>
  <w:style w:type="character" w:customStyle="1" w:styleId="ListParagraphChar">
    <w:name w:val="List Paragraph Char"/>
    <w:basedOn w:val="DefaultParagraphFont"/>
    <w:link w:val="ListParagraph"/>
    <w:uiPriority w:val="34"/>
    <w:rsid w:val="00AC450E"/>
    <w:rPr>
      <w:rFonts w:eastAsia="Times New Roman"/>
      <w:sz w:val="22"/>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eastAsia="Batang"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SecurityClassificationHeader">
    <w:name w:val="Security Classification Header"/>
    <w:link w:val="SecurityClassificationHeaderChar"/>
    <w:rsid w:val="00202FBB"/>
    <w:pPr>
      <w:spacing w:before="60" w:after="60"/>
      <w:jc w:val="center"/>
    </w:pPr>
    <w:rPr>
      <w:rFonts w:eastAsia="Times New Roman" w:cs="Calibri"/>
      <w:b/>
      <w:noProof/>
      <w:color w:val="FF0000"/>
      <w:sz w:val="24"/>
      <w:lang w:eastAsia="en-AU"/>
    </w:rPr>
  </w:style>
  <w:style w:type="character" w:customStyle="1" w:styleId="SecurityClassificationHeaderChar">
    <w:name w:val="Security Classification Header Char"/>
    <w:basedOn w:val="DefaultParagraphFont"/>
    <w:link w:val="SecurityClassificationHeader"/>
    <w:rsid w:val="00202FBB"/>
    <w:rPr>
      <w:rFonts w:eastAsia="Times New Roman" w:cs="Calibri"/>
      <w:b/>
      <w:noProof/>
      <w:color w:val="FF0000"/>
      <w:sz w:val="24"/>
      <w:lang w:eastAsia="en-AU"/>
    </w:rPr>
  </w:style>
  <w:style w:type="paragraph" w:customStyle="1" w:styleId="DLMSecurityHeader">
    <w:name w:val="DLM Security Header"/>
    <w:link w:val="DLMSecurityHeaderChar"/>
    <w:rsid w:val="00202FBB"/>
    <w:pPr>
      <w:spacing w:before="60" w:after="240"/>
      <w:jc w:val="center"/>
    </w:pPr>
    <w:rPr>
      <w:rFonts w:eastAsia="Times New Roman" w:cs="Calibri"/>
      <w:b/>
      <w:noProof/>
      <w:color w:val="FF0000"/>
      <w:sz w:val="24"/>
      <w:lang w:eastAsia="en-AU"/>
    </w:rPr>
  </w:style>
  <w:style w:type="character" w:customStyle="1" w:styleId="DLMSecurityHeaderChar">
    <w:name w:val="DLM Security Header Char"/>
    <w:basedOn w:val="DefaultParagraphFont"/>
    <w:link w:val="DLMSecurityHeader"/>
    <w:rsid w:val="00202FBB"/>
    <w:rPr>
      <w:rFonts w:eastAsia="Times New Roman" w:cs="Calibri"/>
      <w:b/>
      <w:noProof/>
      <w:color w:val="FF0000"/>
      <w:sz w:val="24"/>
      <w:lang w:eastAsia="en-AU"/>
    </w:rPr>
  </w:style>
  <w:style w:type="paragraph" w:customStyle="1" w:styleId="SecurityClassificationFooter">
    <w:name w:val="Security Classification Footer"/>
    <w:link w:val="SecurityClassificationFooterChar"/>
    <w:rsid w:val="00FC3B11"/>
    <w:pPr>
      <w:spacing w:before="60" w:after="60"/>
      <w:jc w:val="center"/>
    </w:pPr>
    <w:rPr>
      <w:rFonts w:eastAsia="Times New Roman" w:cs="Calibri"/>
      <w:b/>
      <w:noProof/>
      <w:color w:val="FF0000"/>
      <w:sz w:val="24"/>
      <w:szCs w:val="24"/>
      <w:lang w:eastAsia="en-AU"/>
    </w:rPr>
  </w:style>
  <w:style w:type="character" w:customStyle="1" w:styleId="SecurityClassificationFooterChar">
    <w:name w:val="Security Classification Footer Char"/>
    <w:basedOn w:val="DefaultParagraphFont"/>
    <w:link w:val="SecurityClassificationFooter"/>
    <w:rsid w:val="00C1431C"/>
    <w:rPr>
      <w:rFonts w:eastAsia="Times New Roman" w:cs="Calibri"/>
      <w:b/>
      <w:noProof/>
      <w:color w:val="FF0000"/>
      <w:sz w:val="24"/>
      <w:szCs w:val="24"/>
      <w:lang w:eastAsia="en-AU"/>
    </w:rPr>
  </w:style>
  <w:style w:type="paragraph" w:customStyle="1" w:styleId="DLMSecurityFooter">
    <w:name w:val="DLM Security Footer"/>
    <w:link w:val="DLMSecurityFooterChar"/>
    <w:rsid w:val="00FC3B11"/>
    <w:pPr>
      <w:spacing w:before="240" w:after="60"/>
      <w:jc w:val="center"/>
    </w:pPr>
    <w:rPr>
      <w:rFonts w:eastAsia="Times New Roman" w:cs="Calibri"/>
      <w:b/>
      <w:noProof/>
      <w:color w:val="FF0000"/>
      <w:sz w:val="24"/>
      <w:szCs w:val="24"/>
      <w:lang w:eastAsia="en-AU"/>
    </w:rPr>
  </w:style>
  <w:style w:type="character" w:customStyle="1" w:styleId="DLMSecurityFooterChar">
    <w:name w:val="DLM Security Footer Char"/>
    <w:basedOn w:val="DefaultParagraphFont"/>
    <w:link w:val="DLMSecurityFooter"/>
    <w:rsid w:val="00C1431C"/>
    <w:rPr>
      <w:rFonts w:eastAsia="Times New Roman" w:cs="Calibri"/>
      <w:b/>
      <w:noProof/>
      <w:color w:val="FF0000"/>
      <w:sz w:val="24"/>
      <w:szCs w:val="24"/>
      <w:lang w:eastAsia="en-AU"/>
    </w:rPr>
  </w:style>
  <w:style w:type="paragraph" w:customStyle="1" w:styleId="Chart">
    <w:name w:val="Chart"/>
    <w:basedOn w:val="Normal"/>
    <w:qFormat/>
    <w:rsid w:val="00DA3E0F"/>
    <w:pPr>
      <w:keepNext/>
      <w:jc w:val="center"/>
    </w:pPr>
    <w:rPr>
      <w:noProof/>
      <w:sz w:val="20"/>
    </w:rPr>
  </w:style>
  <w:style w:type="paragraph" w:customStyle="1" w:styleId="Charttitle">
    <w:name w:val="Chart title"/>
    <w:basedOn w:val="Normal"/>
    <w:qFormat/>
    <w:rsid w:val="00E25624"/>
    <w:pPr>
      <w:keepNext/>
      <w:spacing w:before="240"/>
      <w:jc w:val="center"/>
    </w:pPr>
    <w:rPr>
      <w:rFonts w:eastAsiaTheme="minorHAnsi"/>
      <w:b/>
      <w:lang w:eastAsia="en-US"/>
    </w:rPr>
  </w:style>
  <w:style w:type="paragraph" w:customStyle="1" w:styleId="Chartsource">
    <w:name w:val="Chart source"/>
    <w:basedOn w:val="Normal"/>
    <w:qFormat/>
    <w:rsid w:val="00C1431C"/>
    <w:pPr>
      <w:keepNext/>
      <w:spacing w:before="0" w:after="0"/>
    </w:pPr>
    <w:rPr>
      <w:sz w:val="16"/>
    </w:rPr>
  </w:style>
  <w:style w:type="character" w:styleId="SubtleEmphasis">
    <w:name w:val="Subtle Emphasis"/>
    <w:basedOn w:val="DefaultParagraphFont"/>
    <w:uiPriority w:val="19"/>
    <w:rsid w:val="006027E9"/>
    <w:rPr>
      <w:i/>
      <w:iCs/>
      <w:color w:val="404040" w:themeColor="text1" w:themeTint="BF"/>
    </w:rPr>
  </w:style>
  <w:style w:type="character" w:styleId="SubtleReference">
    <w:name w:val="Subtle Reference"/>
    <w:basedOn w:val="DefaultParagraphFont"/>
    <w:uiPriority w:val="31"/>
    <w:rsid w:val="006027E9"/>
    <w:rPr>
      <w:smallCaps/>
      <w:color w:val="5A5A5A" w:themeColor="text1" w:themeTint="A5"/>
    </w:rPr>
  </w:style>
  <w:style w:type="paragraph" w:customStyle="1" w:styleId="ReportDate">
    <w:name w:val="Report Date"/>
    <w:basedOn w:val="Normal"/>
    <w:link w:val="ReportDateChar"/>
    <w:rsid w:val="00A131ED"/>
    <w:pPr>
      <w:keepNext/>
      <w:spacing w:before="240" w:after="360"/>
      <w:ind w:left="3119"/>
    </w:pPr>
    <w:rPr>
      <w:rFonts w:ascii="Calibri Light" w:hAnsi="Calibri Light"/>
      <w:color w:val="FFFFFF" w:themeColor="background1"/>
      <w:sz w:val="32"/>
    </w:rPr>
  </w:style>
  <w:style w:type="paragraph" w:styleId="Subtitle">
    <w:name w:val="Subtitle"/>
    <w:aliases w:val="Theme subtitle"/>
    <w:basedOn w:val="Normal"/>
    <w:next w:val="Normal"/>
    <w:link w:val="SubtitleChar"/>
    <w:uiPriority w:val="11"/>
    <w:rsid w:val="00A131ED"/>
    <w:pPr>
      <w:numPr>
        <w:ilvl w:val="1"/>
      </w:numPr>
      <w:spacing w:before="6720"/>
      <w:ind w:left="3119"/>
    </w:pPr>
    <w:rPr>
      <w:rFonts w:ascii="Calibri Light" w:eastAsiaTheme="majorEastAsia" w:hAnsi="Calibri Light" w:cstheme="majorBidi"/>
      <w:iCs/>
      <w:color w:val="FFFFFF" w:themeColor="background1"/>
      <w:sz w:val="44"/>
      <w:szCs w:val="44"/>
    </w:rPr>
  </w:style>
  <w:style w:type="character" w:customStyle="1" w:styleId="SubtitleChar">
    <w:name w:val="Subtitle Char"/>
    <w:aliases w:val="Theme subtitle Char"/>
    <w:basedOn w:val="DefaultParagraphFont"/>
    <w:link w:val="Subtitle"/>
    <w:uiPriority w:val="11"/>
    <w:rsid w:val="00A131ED"/>
    <w:rPr>
      <w:rFonts w:ascii="Calibri Light" w:eastAsiaTheme="majorEastAsia" w:hAnsi="Calibri Light" w:cstheme="majorBidi"/>
      <w:iCs/>
      <w:color w:val="FFFFFF" w:themeColor="background1"/>
      <w:sz w:val="44"/>
      <w:szCs w:val="44"/>
      <w:lang w:eastAsia="en-AU"/>
    </w:rPr>
  </w:style>
  <w:style w:type="character" w:customStyle="1" w:styleId="ReportDateChar">
    <w:name w:val="Report Date Char"/>
    <w:basedOn w:val="DefaultParagraphFont"/>
    <w:link w:val="ReportDate"/>
    <w:rsid w:val="00A131ED"/>
    <w:rPr>
      <w:rFonts w:ascii="Calibri Light" w:eastAsia="Times New Roman" w:hAnsi="Calibri Light"/>
      <w:color w:val="FFFFFF" w:themeColor="background1"/>
      <w:sz w:val="32"/>
      <w:lang w:eastAsia="en-AU"/>
    </w:rPr>
  </w:style>
  <w:style w:type="paragraph" w:styleId="TOC1">
    <w:name w:val="toc 1"/>
    <w:basedOn w:val="Normal"/>
    <w:next w:val="Normal"/>
    <w:uiPriority w:val="39"/>
    <w:rsid w:val="009C1A6B"/>
    <w:pPr>
      <w:spacing w:before="360" w:after="0"/>
    </w:pPr>
    <w:rPr>
      <w:rFonts w:asciiTheme="majorHAnsi" w:hAnsiTheme="majorHAnsi" w:cstheme="majorHAnsi"/>
      <w:b/>
      <w:bCs/>
      <w:color w:val="2C384A" w:themeColor="accent1"/>
      <w:sz w:val="24"/>
      <w:szCs w:val="24"/>
    </w:rPr>
  </w:style>
  <w:style w:type="paragraph" w:styleId="TOC2">
    <w:name w:val="toc 2"/>
    <w:basedOn w:val="Normal"/>
    <w:next w:val="Normal"/>
    <w:uiPriority w:val="39"/>
    <w:rsid w:val="00AE720B"/>
    <w:pPr>
      <w:spacing w:after="0"/>
    </w:pPr>
    <w:rPr>
      <w:rFonts w:asciiTheme="minorHAnsi" w:hAnsiTheme="minorHAnsi" w:cstheme="minorHAnsi"/>
      <w:bCs/>
      <w:color w:val="2C384A" w:themeColor="accent1"/>
      <w:sz w:val="20"/>
    </w:rPr>
  </w:style>
  <w:style w:type="paragraph" w:styleId="TOC3">
    <w:name w:val="toc 3"/>
    <w:basedOn w:val="Normal"/>
    <w:next w:val="Normal"/>
    <w:autoRedefine/>
    <w:uiPriority w:val="39"/>
    <w:unhideWhenUsed/>
    <w:rsid w:val="00EE4C91"/>
    <w:pPr>
      <w:spacing w:before="0" w:after="0"/>
      <w:ind w:left="220"/>
    </w:pPr>
    <w:rPr>
      <w:rFonts w:asciiTheme="minorHAnsi" w:hAnsiTheme="minorHAnsi" w:cstheme="minorHAnsi"/>
      <w:sz w:val="20"/>
    </w:rPr>
  </w:style>
  <w:style w:type="paragraph" w:customStyle="1" w:styleId="ChartGraphic">
    <w:name w:val="Chart Graphic"/>
    <w:basedOn w:val="Normal"/>
    <w:next w:val="Normal"/>
    <w:rsid w:val="00052ED1"/>
    <w:pPr>
      <w:keepNext/>
      <w:spacing w:before="0" w:after="0"/>
      <w:jc w:val="center"/>
    </w:pPr>
    <w:rPr>
      <w:rFonts w:ascii="Calibri Light" w:hAnsi="Calibri Light"/>
      <w:color w:val="004A7F"/>
      <w:sz w:val="20"/>
    </w:rPr>
  </w:style>
  <w:style w:type="paragraph" w:customStyle="1" w:styleId="Editorname">
    <w:name w:val="Editor name"/>
    <w:qFormat/>
    <w:rsid w:val="00344DE6"/>
    <w:rPr>
      <w:rFonts w:ascii="Calibri Light" w:eastAsiaTheme="majorEastAsia" w:hAnsi="Calibri Light" w:cstheme="majorBidi"/>
      <w:iCs/>
      <w:color w:val="2C384A" w:themeColor="accent1"/>
      <w:sz w:val="28"/>
      <w:szCs w:val="44"/>
      <w:lang w:eastAsia="en-AU"/>
    </w:rPr>
  </w:style>
  <w:style w:type="character" w:styleId="UnresolvedMention">
    <w:name w:val="Unresolved Mention"/>
    <w:basedOn w:val="DefaultParagraphFont"/>
    <w:uiPriority w:val="99"/>
    <w:semiHidden/>
    <w:unhideWhenUsed/>
    <w:rsid w:val="006601C1"/>
    <w:rPr>
      <w:color w:val="605E5C"/>
      <w:shd w:val="clear" w:color="auto" w:fill="E1DFDD"/>
    </w:rPr>
  </w:style>
  <w:style w:type="paragraph" w:customStyle="1" w:styleId="Authornameunderlined">
    <w:name w:val="Author name (underlined)"/>
    <w:basedOn w:val="Normal"/>
    <w:qFormat/>
    <w:rsid w:val="00BA003A"/>
    <w:pPr>
      <w:pBdr>
        <w:bottom w:val="single" w:sz="4" w:space="7" w:color="D9D9D9" w:themeColor="background1" w:themeShade="D9"/>
      </w:pBdr>
      <w:spacing w:before="0" w:after="240"/>
      <w:contextualSpacing/>
    </w:pPr>
    <w:rPr>
      <w:rFonts w:asciiTheme="majorHAnsi" w:hAnsiTheme="majorHAnsi" w:cstheme="majorHAnsi"/>
    </w:rPr>
  </w:style>
  <w:style w:type="paragraph" w:customStyle="1" w:styleId="ChartTableFigureNoteorSource">
    <w:name w:val="Chart Table Figure Note or Source"/>
    <w:next w:val="Normal"/>
    <w:rsid w:val="006A3E22"/>
    <w:pPr>
      <w:spacing w:before="60"/>
      <w:ind w:left="709" w:hanging="709"/>
    </w:pPr>
    <w:rPr>
      <w:rFonts w:eastAsia="Times New Roman"/>
      <w:color w:val="000000"/>
      <w:sz w:val="18"/>
      <w:lang w:eastAsia="en-AU"/>
    </w:rPr>
  </w:style>
  <w:style w:type="paragraph" w:customStyle="1" w:styleId="OutlineNumbered1">
    <w:name w:val="Outline Numbered 1"/>
    <w:basedOn w:val="Normal"/>
    <w:link w:val="OutlineNumbered1Char"/>
    <w:rsid w:val="00BA003A"/>
    <w:pPr>
      <w:keepNext/>
      <w:numPr>
        <w:numId w:val="20"/>
      </w:numPr>
      <w:tabs>
        <w:tab w:val="clear" w:pos="472"/>
      </w:tabs>
      <w:spacing w:before="0" w:after="0"/>
      <w:ind w:left="284" w:hanging="284"/>
    </w:pPr>
    <w:rPr>
      <w:rFonts w:asciiTheme="minorHAnsi" w:hAnsiTheme="minorHAnsi"/>
      <w:kern w:val="16"/>
    </w:rPr>
  </w:style>
  <w:style w:type="character" w:customStyle="1" w:styleId="OutlineNumbered1Char">
    <w:name w:val="Outline Numbered 1 Char"/>
    <w:basedOn w:val="DefaultParagraphFont"/>
    <w:link w:val="OutlineNumbered1"/>
    <w:rsid w:val="00BA003A"/>
    <w:rPr>
      <w:rFonts w:asciiTheme="minorHAnsi" w:eastAsia="Times New Roman" w:hAnsiTheme="minorHAnsi"/>
      <w:kern w:val="16"/>
      <w:sz w:val="22"/>
      <w:lang w:eastAsia="en-AU"/>
    </w:rPr>
  </w:style>
  <w:style w:type="paragraph" w:customStyle="1" w:styleId="OutlineNumbered2">
    <w:name w:val="Outline Numbered 2"/>
    <w:basedOn w:val="Normal"/>
    <w:link w:val="OutlineNumbered2Char"/>
    <w:rsid w:val="001B5A54"/>
    <w:pPr>
      <w:keepNext/>
      <w:numPr>
        <w:ilvl w:val="1"/>
        <w:numId w:val="20"/>
      </w:numPr>
      <w:spacing w:before="0" w:after="0"/>
      <w:jc w:val="center"/>
    </w:pPr>
    <w:rPr>
      <w:rFonts w:ascii="Calibri Light" w:hAnsi="Calibri Light"/>
      <w:color w:val="004A7F"/>
      <w:kern w:val="16"/>
      <w:sz w:val="20"/>
    </w:rPr>
  </w:style>
  <w:style w:type="character" w:customStyle="1" w:styleId="OutlineNumbered2Char">
    <w:name w:val="Outline Numbered 2 Char"/>
    <w:basedOn w:val="DefaultParagraphFont"/>
    <w:link w:val="OutlineNumbered2"/>
    <w:rsid w:val="001B5A54"/>
    <w:rPr>
      <w:rFonts w:ascii="Calibri Light" w:eastAsia="Times New Roman" w:hAnsi="Calibri Light"/>
      <w:color w:val="004A7F"/>
      <w:kern w:val="16"/>
      <w:lang w:eastAsia="en-AU"/>
    </w:rPr>
  </w:style>
  <w:style w:type="paragraph" w:customStyle="1" w:styleId="OutlineNumbered3">
    <w:name w:val="Outline Numbered 3"/>
    <w:basedOn w:val="Normal"/>
    <w:link w:val="OutlineNumbered3Char"/>
    <w:rsid w:val="001B5A54"/>
    <w:pPr>
      <w:keepNext/>
      <w:numPr>
        <w:ilvl w:val="2"/>
        <w:numId w:val="20"/>
      </w:numPr>
      <w:spacing w:before="0" w:after="0"/>
      <w:jc w:val="center"/>
    </w:pPr>
    <w:rPr>
      <w:rFonts w:ascii="Calibri Light" w:hAnsi="Calibri Light"/>
      <w:color w:val="004A7F"/>
      <w:kern w:val="16"/>
      <w:sz w:val="20"/>
    </w:rPr>
  </w:style>
  <w:style w:type="character" w:customStyle="1" w:styleId="OutlineNumbered3Char">
    <w:name w:val="Outline Numbered 3 Char"/>
    <w:basedOn w:val="DefaultParagraphFont"/>
    <w:link w:val="OutlineNumbered3"/>
    <w:rsid w:val="001B5A54"/>
    <w:rPr>
      <w:rFonts w:ascii="Calibri Light" w:eastAsia="Times New Roman" w:hAnsi="Calibri Light"/>
      <w:color w:val="004A7F"/>
      <w:kern w:val="16"/>
      <w:lang w:eastAsia="en-AU"/>
    </w:rPr>
  </w:style>
  <w:style w:type="paragraph" w:customStyle="1" w:styleId="ChartTableFiguresectionline">
    <w:name w:val="Chart Table Figure section line"/>
    <w:basedOn w:val="Normal"/>
    <w:qFormat/>
    <w:rsid w:val="003F1727"/>
    <w:pPr>
      <w:widowControl w:val="0"/>
      <w:pBdr>
        <w:bottom w:val="single" w:sz="12" w:space="0" w:color="2C384A" w:themeColor="accent1"/>
      </w:pBdr>
      <w:spacing w:before="60" w:after="360"/>
      <w:jc w:val="center"/>
    </w:pPr>
    <w:rPr>
      <w:rFonts w:ascii="Calibri Light" w:hAnsi="Calibri Light"/>
      <w:color w:val="FFFFFF" w:themeColor="background1"/>
      <w:kern w:val="16"/>
      <w:sz w:val="2"/>
    </w:rPr>
  </w:style>
  <w:style w:type="paragraph" w:customStyle="1" w:styleId="ChartMainHeading">
    <w:name w:val="Chart Main Heading"/>
    <w:basedOn w:val="Normal"/>
    <w:next w:val="ChartGraphic"/>
    <w:qFormat/>
    <w:rsid w:val="00155058"/>
    <w:pPr>
      <w:keepNext/>
      <w:numPr>
        <w:ilvl w:val="4"/>
        <w:numId w:val="23"/>
      </w:numPr>
      <w:pBdr>
        <w:top w:val="single" w:sz="12" w:space="3" w:color="2C384A" w:themeColor="accent1"/>
      </w:pBdr>
      <w:spacing w:before="360"/>
      <w:outlineLvl w:val="3"/>
    </w:pPr>
    <w:rPr>
      <w:b/>
      <w:color w:val="2C384A" w:themeColor="accent1"/>
      <w:kern w:val="16"/>
      <w:sz w:val="24"/>
    </w:rPr>
  </w:style>
  <w:style w:type="paragraph" w:styleId="Index3">
    <w:name w:val="index 3"/>
    <w:basedOn w:val="Normal"/>
    <w:next w:val="Normal"/>
    <w:autoRedefine/>
    <w:uiPriority w:val="99"/>
    <w:unhideWhenUsed/>
    <w:rsid w:val="00A206DD"/>
    <w:pPr>
      <w:spacing w:before="0" w:after="0"/>
      <w:ind w:left="660" w:hanging="220"/>
    </w:pPr>
  </w:style>
  <w:style w:type="paragraph" w:customStyle="1" w:styleId="TableMainHeading">
    <w:name w:val="Table Main Heading"/>
    <w:basedOn w:val="ChartMainHeading"/>
    <w:qFormat/>
    <w:rsid w:val="00A206DD"/>
    <w:pPr>
      <w:numPr>
        <w:ilvl w:val="5"/>
      </w:numPr>
    </w:pPr>
  </w:style>
  <w:style w:type="paragraph" w:customStyle="1" w:styleId="Heading1Numbered">
    <w:name w:val="Heading 1 Numbered"/>
    <w:basedOn w:val="Heading1"/>
    <w:next w:val="Normal"/>
    <w:qFormat/>
    <w:rsid w:val="00DB4920"/>
    <w:pPr>
      <w:numPr>
        <w:numId w:val="23"/>
      </w:numPr>
    </w:pPr>
  </w:style>
  <w:style w:type="paragraph" w:customStyle="1" w:styleId="Heading2Numbered">
    <w:name w:val="Heading 2 Numbered"/>
    <w:basedOn w:val="Heading2"/>
    <w:next w:val="Normal"/>
    <w:qFormat/>
    <w:rsid w:val="00DB4920"/>
    <w:pPr>
      <w:numPr>
        <w:ilvl w:val="1"/>
        <w:numId w:val="23"/>
      </w:numPr>
    </w:pPr>
  </w:style>
  <w:style w:type="paragraph" w:customStyle="1" w:styleId="Heading3Numbered">
    <w:name w:val="Heading 3 Numbered"/>
    <w:basedOn w:val="Heading3"/>
    <w:next w:val="Normal"/>
    <w:qFormat/>
    <w:rsid w:val="00DB4920"/>
    <w:pPr>
      <w:numPr>
        <w:ilvl w:val="2"/>
        <w:numId w:val="23"/>
      </w:numPr>
    </w:pPr>
  </w:style>
  <w:style w:type="paragraph" w:customStyle="1" w:styleId="Heading4Numbered">
    <w:name w:val="Heading 4 Numbered"/>
    <w:basedOn w:val="Heading4"/>
    <w:next w:val="Normal"/>
    <w:qFormat/>
    <w:rsid w:val="00DB4920"/>
    <w:pPr>
      <w:numPr>
        <w:ilvl w:val="3"/>
        <w:numId w:val="23"/>
      </w:numPr>
    </w:pPr>
  </w:style>
  <w:style w:type="paragraph" w:customStyle="1" w:styleId="BoxHeadingNumbered">
    <w:name w:val="Box Heading Numbered"/>
    <w:basedOn w:val="BoxHeading"/>
    <w:next w:val="BoxText"/>
    <w:qFormat/>
    <w:rsid w:val="00DB4920"/>
    <w:pPr>
      <w:framePr w:hSpace="181" w:wrap="around" w:vAnchor="text" w:hAnchor="margin" w:y="143"/>
      <w:numPr>
        <w:ilvl w:val="6"/>
        <w:numId w:val="23"/>
      </w:numPr>
    </w:pPr>
  </w:style>
  <w:style w:type="paragraph" w:customStyle="1" w:styleId="FigureMainHeading">
    <w:name w:val="Figure Main Heading"/>
    <w:basedOn w:val="ChartMainHeading"/>
    <w:next w:val="ChartGraphic"/>
    <w:qFormat/>
    <w:rsid w:val="00D94FB2"/>
    <w:pPr>
      <w:numPr>
        <w:ilvl w:val="7"/>
      </w:numPr>
    </w:pPr>
  </w:style>
  <w:style w:type="paragraph" w:customStyle="1" w:styleId="FigureSecondHeading">
    <w:name w:val="Figure Second Heading"/>
    <w:basedOn w:val="ChartGraphic"/>
    <w:qFormat/>
    <w:rsid w:val="00D94FB2"/>
    <w:pPr>
      <w:spacing w:after="60"/>
      <w:jc w:val="left"/>
    </w:pPr>
    <w:rPr>
      <w:rFonts w:asciiTheme="minorHAnsi" w:hAnsiTheme="minorHAnsi"/>
      <w:color w:val="5D779D" w:themeColor="accent3"/>
      <w:sz w:val="24"/>
    </w:rPr>
  </w:style>
  <w:style w:type="paragraph" w:styleId="List5">
    <w:name w:val="List 5"/>
    <w:basedOn w:val="Normal"/>
    <w:uiPriority w:val="99"/>
    <w:unhideWhenUsed/>
    <w:rsid w:val="004566E7"/>
    <w:pPr>
      <w:ind w:left="1415" w:hanging="283"/>
      <w:contextualSpacing/>
    </w:pPr>
  </w:style>
  <w:style w:type="paragraph" w:styleId="TOCHeading">
    <w:name w:val="TOC Heading"/>
    <w:basedOn w:val="Heading1"/>
    <w:next w:val="Normal"/>
    <w:uiPriority w:val="39"/>
    <w:unhideWhenUsed/>
    <w:qFormat/>
    <w:rsid w:val="00F12CE4"/>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TOC4">
    <w:name w:val="toc 4"/>
    <w:basedOn w:val="Normal"/>
    <w:next w:val="Normal"/>
    <w:autoRedefine/>
    <w:uiPriority w:val="39"/>
    <w:unhideWhenUsed/>
    <w:rsid w:val="009C6500"/>
    <w:pPr>
      <w:spacing w:before="0" w:after="0"/>
      <w:ind w:left="440"/>
    </w:pPr>
    <w:rPr>
      <w:rFonts w:asciiTheme="minorHAnsi" w:hAnsiTheme="minorHAnsi" w:cstheme="minorHAnsi"/>
      <w:sz w:val="20"/>
    </w:rPr>
  </w:style>
  <w:style w:type="paragraph" w:styleId="TOC5">
    <w:name w:val="toc 5"/>
    <w:basedOn w:val="Normal"/>
    <w:next w:val="Normal"/>
    <w:autoRedefine/>
    <w:uiPriority w:val="39"/>
    <w:unhideWhenUsed/>
    <w:rsid w:val="009C6500"/>
    <w:pPr>
      <w:spacing w:before="0" w:after="0"/>
      <w:ind w:left="660"/>
    </w:pPr>
    <w:rPr>
      <w:rFonts w:asciiTheme="minorHAnsi" w:hAnsiTheme="minorHAnsi" w:cstheme="minorHAnsi"/>
      <w:sz w:val="20"/>
    </w:rPr>
  </w:style>
  <w:style w:type="paragraph" w:styleId="TOC6">
    <w:name w:val="toc 6"/>
    <w:basedOn w:val="Normal"/>
    <w:next w:val="Normal"/>
    <w:autoRedefine/>
    <w:uiPriority w:val="39"/>
    <w:unhideWhenUsed/>
    <w:rsid w:val="009C6500"/>
    <w:pPr>
      <w:spacing w:before="0" w:after="0"/>
      <w:ind w:left="880"/>
    </w:pPr>
    <w:rPr>
      <w:rFonts w:asciiTheme="minorHAnsi" w:hAnsiTheme="minorHAnsi" w:cstheme="minorHAnsi"/>
      <w:sz w:val="20"/>
    </w:rPr>
  </w:style>
  <w:style w:type="paragraph" w:styleId="TOC7">
    <w:name w:val="toc 7"/>
    <w:basedOn w:val="Normal"/>
    <w:next w:val="Normal"/>
    <w:autoRedefine/>
    <w:uiPriority w:val="39"/>
    <w:unhideWhenUsed/>
    <w:rsid w:val="009C6500"/>
    <w:pPr>
      <w:spacing w:before="0" w:after="0"/>
      <w:ind w:left="1100"/>
    </w:pPr>
    <w:rPr>
      <w:rFonts w:asciiTheme="minorHAnsi" w:hAnsiTheme="minorHAnsi" w:cstheme="minorHAnsi"/>
      <w:sz w:val="20"/>
    </w:rPr>
  </w:style>
  <w:style w:type="paragraph" w:styleId="TOC8">
    <w:name w:val="toc 8"/>
    <w:basedOn w:val="Normal"/>
    <w:next w:val="Normal"/>
    <w:autoRedefine/>
    <w:uiPriority w:val="39"/>
    <w:unhideWhenUsed/>
    <w:rsid w:val="009C6500"/>
    <w:pPr>
      <w:spacing w:before="0" w:after="0"/>
      <w:ind w:left="1320"/>
    </w:pPr>
    <w:rPr>
      <w:rFonts w:asciiTheme="minorHAnsi" w:hAnsiTheme="minorHAnsi" w:cstheme="minorHAnsi"/>
      <w:sz w:val="20"/>
    </w:rPr>
  </w:style>
  <w:style w:type="paragraph" w:styleId="TOC9">
    <w:name w:val="toc 9"/>
    <w:basedOn w:val="Normal"/>
    <w:next w:val="Normal"/>
    <w:autoRedefine/>
    <w:uiPriority w:val="39"/>
    <w:unhideWhenUsed/>
    <w:rsid w:val="009C6500"/>
    <w:pPr>
      <w:spacing w:before="0" w:after="0"/>
      <w:ind w:left="154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029">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pmc.gov.au/honours-and-symbols/commonwealth-coat-arm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Round%20Up.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6" ma:contentTypeDescription="Create a new document." ma:contentTypeScope="" ma:versionID="30b0b935c071f0b20b6d2465217cdac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512b25f65bca2365c464d68003930c50"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Test xmlns="b5303c29-baa3-47cf-8a8d-7012a9b89ee1" xsi:nil="true"/>
    <lcf76f155ced4ddcb4097134ff3c332f xmlns="b5303c29-baa3-47cf-8a8d-7012a9b89e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85535-C774-46C1-9323-06CA21D6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3.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4.xml><?xml version="1.0" encoding="utf-8"?>
<ds:datastoreItem xmlns:ds="http://schemas.openxmlformats.org/officeDocument/2006/customXml" ds:itemID="{64C9EF1C-25C2-48EA-9C02-F5D0102C6A46}">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38264d7d-ec83-4119-a5fb-8498c694c855"/>
    <ds:schemaRef ds:uri="b5303c29-baa3-47cf-8a8d-7012a9b89e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TSY Round Up.dotx</Template>
  <TotalTime>126</TotalTime>
  <Pages>4</Pages>
  <Words>833</Words>
  <Characters>4859</Characters>
  <Application>Microsoft Office Word</Application>
  <DocSecurity>0</DocSecurity>
  <Lines>102</Lines>
  <Paragraphs>53</Paragraphs>
  <ScaleCrop>false</ScaleCrop>
  <HeadingPairs>
    <vt:vector size="2" baseType="variant">
      <vt:variant>
        <vt:lpstr>Title</vt:lpstr>
      </vt:variant>
      <vt:variant>
        <vt:i4>1</vt:i4>
      </vt:variant>
    </vt:vector>
  </HeadingPairs>
  <TitlesOfParts>
    <vt:vector size="1" baseType="lpstr">
      <vt:lpstr>Treasury Round Up March 2024</vt:lpstr>
    </vt:vector>
  </TitlesOfParts>
  <Company>Australian Government - The Treasury</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Round Up March 2024</dc:title>
  <dc:subject>Labour Market Edition - preliminaries</dc:subject>
  <dc:creator>The Treasury</dc:creator>
  <cp:keywords/>
  <dc:description/>
  <cp:lastModifiedBy>Hill, Christine</cp:lastModifiedBy>
  <cp:revision>96</cp:revision>
  <cp:lastPrinted>2024-03-27T21:15:00Z</cp:lastPrinted>
  <dcterms:created xsi:type="dcterms:W3CDTF">2024-02-28T18:39:00Z</dcterms:created>
  <dcterms:modified xsi:type="dcterms:W3CDTF">2024-03-27T23:53:00Z</dcterms:modified>
  <cp:category/>
</cp:coreProperties>
</file>