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45F44010" w14:textId="77777777" w:rsidR="00A97160" w:rsidRPr="006D0240" w:rsidRDefault="00A97160" w:rsidP="006469CC">
          <w:pPr>
            <w:pStyle w:val="ListParagraph"/>
          </w:pPr>
          <w:r>
            <w:rPr>
              <w:noProof/>
            </w:rPr>
            <w:drawing>
              <wp:anchor distT="0" distB="0" distL="114300" distR="114300" simplePos="0" relativeHeight="251669504" behindDoc="1" locked="0" layoutInCell="1" allowOverlap="1" wp14:anchorId="2751EBE9" wp14:editId="5CBB8D59">
                <wp:simplePos x="0" y="0"/>
                <wp:positionH relativeFrom="page">
                  <wp:align>left</wp:align>
                </wp:positionH>
                <wp:positionV relativeFrom="page">
                  <wp:align>top</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A6F3E" w14:textId="77777777" w:rsidR="00A97160" w:rsidRPr="006D0240" w:rsidRDefault="00A97160" w:rsidP="00301755">
          <w:pPr>
            <w:pStyle w:val="Header"/>
            <w:spacing w:after="1200"/>
          </w:pPr>
        </w:p>
        <w:p w14:paraId="309A77AA" w14:textId="75C08C1A" w:rsidR="00A97160" w:rsidRPr="006923DF" w:rsidRDefault="00DB6440" w:rsidP="002A7A31">
          <w:pPr>
            <w:pStyle w:val="Title"/>
            <w:tabs>
              <w:tab w:val="left" w:pos="6379"/>
            </w:tabs>
            <w:spacing w:after="120" w:line="720" w:lineRule="exact"/>
            <w:ind w:right="1982"/>
          </w:pPr>
          <w:r>
            <w:t>Treasury Inclusion and Diversity Strategy</w:t>
          </w:r>
        </w:p>
        <w:p w14:paraId="21B89575" w14:textId="4CB7A5D4" w:rsidR="00A97160" w:rsidRPr="00586605" w:rsidRDefault="00391836" w:rsidP="006923DF">
          <w:pPr>
            <w:pStyle w:val="ReportDate"/>
          </w:pPr>
          <w:r w:rsidRPr="00391836">
            <w:t>2023–2028</w:t>
          </w:r>
        </w:p>
        <w:p w14:paraId="414A793A" w14:textId="77777777" w:rsidR="00A97160" w:rsidRDefault="00A97160">
          <w:pPr>
            <w:spacing w:before="0" w:after="160" w:line="259" w:lineRule="auto"/>
            <w:rPr>
              <w:noProof/>
            </w:rPr>
          </w:pPr>
        </w:p>
        <w:p w14:paraId="41305EBA" w14:textId="489EC0DF" w:rsidR="00A97160" w:rsidRDefault="00093EC3">
          <w:pPr>
            <w:spacing w:before="0" w:after="160" w:line="259" w:lineRule="auto"/>
          </w:pPr>
        </w:p>
      </w:sdtContent>
    </w:sdt>
    <w:p w14:paraId="59CD5D75" w14:textId="77777777" w:rsidR="00B775EE" w:rsidRDefault="00B775EE" w:rsidP="005877AC">
      <w:pPr>
        <w:spacing w:before="0" w:after="160" w:line="259" w:lineRule="auto"/>
      </w:pPr>
    </w:p>
    <w:p w14:paraId="3687348F" w14:textId="77777777" w:rsidR="00B775EE" w:rsidRDefault="00B775EE">
      <w:pPr>
        <w:spacing w:before="0" w:after="160" w:line="259" w:lineRule="auto"/>
      </w:pPr>
      <w:r>
        <w:br w:type="page"/>
      </w:r>
    </w:p>
    <w:p w14:paraId="588D691A" w14:textId="77777777" w:rsidR="00F836F9" w:rsidRDefault="00F836F9" w:rsidP="000E0B74">
      <w:pPr>
        <w:pStyle w:val="Heading1"/>
        <w:sectPr w:rsidR="00F836F9" w:rsidSect="00672D3D">
          <w:headerReference w:type="default" r:id="rId9"/>
          <w:footerReference w:type="default" r:id="rId10"/>
          <w:pgSz w:w="11907" w:h="16840" w:orient="landscape" w:code="9"/>
          <w:pgMar w:top="1843" w:right="1418" w:bottom="1418" w:left="1418" w:header="709" w:footer="709" w:gutter="0"/>
          <w:cols w:space="708"/>
          <w:titlePg/>
          <w:docGrid w:linePitch="360"/>
        </w:sectPr>
      </w:pPr>
    </w:p>
    <w:tbl>
      <w:tblPr>
        <w:tblW w:w="0" w:type="auto"/>
        <w:tblLook w:val="04A0" w:firstRow="1" w:lastRow="0" w:firstColumn="1" w:lastColumn="0" w:noHBand="0" w:noVBand="1"/>
      </w:tblPr>
      <w:tblGrid>
        <w:gridCol w:w="1446"/>
        <w:gridCol w:w="7625"/>
      </w:tblGrid>
      <w:tr w:rsidR="005B768D" w14:paraId="2BD75AD2" w14:textId="77777777" w:rsidTr="005B768D">
        <w:tc>
          <w:tcPr>
            <w:tcW w:w="1418" w:type="dxa"/>
            <w:vAlign w:val="center"/>
          </w:tcPr>
          <w:p w14:paraId="14264EF7" w14:textId="3248438C" w:rsidR="005B768D" w:rsidRDefault="005B768D" w:rsidP="0024365B">
            <w:bookmarkStart w:id="0" w:name="_Toc111026801"/>
            <w:r>
              <w:rPr>
                <w:noProof/>
              </w:rPr>
              <w:lastRenderedPageBreak/>
              <w:drawing>
                <wp:inline distT="0" distB="0" distL="0" distR="0" wp14:anchorId="5F15D154" wp14:editId="03E7033D">
                  <wp:extent cx="774065" cy="829310"/>
                  <wp:effectExtent l="0" t="0" r="6985" b="889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829310"/>
                          </a:xfrm>
                          <a:prstGeom prst="rect">
                            <a:avLst/>
                          </a:prstGeom>
                          <a:noFill/>
                        </pic:spPr>
                      </pic:pic>
                    </a:graphicData>
                  </a:graphic>
                </wp:inline>
              </w:drawing>
            </w:r>
          </w:p>
        </w:tc>
        <w:tc>
          <w:tcPr>
            <w:tcW w:w="7653" w:type="dxa"/>
            <w:vAlign w:val="center"/>
          </w:tcPr>
          <w:p w14:paraId="1CB02064" w14:textId="67CAD37D" w:rsidR="005B768D" w:rsidRDefault="005B768D" w:rsidP="0024365B">
            <w:r w:rsidRPr="005B768D">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 today.</w:t>
            </w:r>
          </w:p>
        </w:tc>
      </w:tr>
    </w:tbl>
    <w:p w14:paraId="59E41CD6" w14:textId="260C0B04" w:rsidR="0024365B" w:rsidRDefault="0024365B" w:rsidP="0024365B"/>
    <w:p w14:paraId="0B92CC52" w14:textId="61D23FBD" w:rsidR="0024365B" w:rsidRDefault="0024365B" w:rsidP="0024365B">
      <w:pPr>
        <w:sectPr w:rsidR="0024365B" w:rsidSect="0024365B">
          <w:headerReference w:type="even" r:id="rId12"/>
          <w:footerReference w:type="even" r:id="rId13"/>
          <w:headerReference w:type="first" r:id="rId14"/>
          <w:footerReference w:type="first" r:id="rId15"/>
          <w:pgSz w:w="11907" w:h="16840" w:code="9"/>
          <w:pgMar w:top="1843" w:right="1418" w:bottom="1418" w:left="1418" w:header="709" w:footer="709" w:gutter="0"/>
          <w:cols w:space="708"/>
          <w:vAlign w:val="center"/>
          <w:titlePg/>
          <w:docGrid w:linePitch="360"/>
        </w:sectPr>
      </w:pPr>
    </w:p>
    <w:p w14:paraId="4DB7EBE6" w14:textId="77777777" w:rsidR="00111F7F" w:rsidRPr="00FB55F2" w:rsidRDefault="00111F7F" w:rsidP="00111F7F">
      <w:pPr>
        <w:pStyle w:val="Heading1"/>
      </w:pPr>
      <w:r w:rsidRPr="00FB55F2">
        <w:lastRenderedPageBreak/>
        <w:t>Message from the Secretary</w:t>
      </w:r>
    </w:p>
    <w:p w14:paraId="2C4DC272" w14:textId="2D0323FA" w:rsidR="00111F7F" w:rsidRDefault="00111F7F" w:rsidP="00111F7F">
      <w:pPr>
        <w:spacing w:before="0" w:after="160" w:line="259" w:lineRule="auto"/>
      </w:pPr>
      <w:r w:rsidRPr="00FB55F2">
        <w:t>I am proud to present Treasury’s Inclusion and Diversity Strategy 2023–28 (the Strategy).</w:t>
      </w:r>
    </w:p>
    <w:p w14:paraId="6C87EE8E" w14:textId="78916048" w:rsidR="00111F7F" w:rsidRDefault="00111F7F" w:rsidP="00111F7F">
      <w:pPr>
        <w:spacing w:before="0" w:after="160" w:line="259" w:lineRule="auto"/>
      </w:pPr>
      <w:r w:rsidRPr="00FB55F2">
        <w:t xml:space="preserve">This Strategy represents our continued commitment to fostering an inclusive workplace that values and respects all employees. It builds on what we have achieved so far and seeks to advance it. Our effectiveness in delivering strong and sustainable economic outcomes for all Australians depends on our connection to, and reflection of, the diverse community we serve. Everyone should feel valued and safe working in Treasury. We come from different backgrounds and are all influenced by our own cultural and lived experiences. We all have our own unique perspective. To continue to grow and thrive as an institution, we </w:t>
      </w:r>
      <w:proofErr w:type="gramStart"/>
      <w:r w:rsidRPr="00FB55F2">
        <w:t>have to</w:t>
      </w:r>
      <w:proofErr w:type="gramEnd"/>
      <w:r w:rsidRPr="00FB55F2">
        <w:t xml:space="preserve"> work together to harness the value of our different perspectives, cultural backgrounds, educational and life experiences. This Strategy is based on your views and perspectives about inclusion and diversity following consultation across the department. Informed by your feedback, it sets out where we are succeeding and where we can do better. We all have a role to play in cultivating a more inclusive and diverse organisation. Treasury’s senior leadership team will continue to lead the way and will be accountable for modelling, encouraging and rewarding inclusive behaviours and practices.</w:t>
      </w:r>
    </w:p>
    <w:p w14:paraId="6C42C54D" w14:textId="77777777" w:rsidR="00111F7F" w:rsidRDefault="00111F7F" w:rsidP="00111F7F">
      <w:r w:rsidRPr="00FB55F2">
        <w:t xml:space="preserve">We need an environment that supports continuous improvement, in which people can raise concerns and suggest changes to our work practices. At Treasury we value, respect and celebrate diversity. We want to ensure Treasury remains an inclusive workplace, where everyone’s differences are embraced, their contributions </w:t>
      </w:r>
      <w:proofErr w:type="gramStart"/>
      <w:r w:rsidRPr="00FB55F2">
        <w:t>valued</w:t>
      </w:r>
      <w:proofErr w:type="gramEnd"/>
      <w:r w:rsidRPr="00FB55F2">
        <w:t xml:space="preserve"> and their humanity respected. Valuing our best asset — our people — is the only way we can effectively deliver on our purpose. Dr Steven Kennedy PSM Secretary to the Treasury</w:t>
      </w:r>
      <w:r>
        <w:t>.</w:t>
      </w:r>
    </w:p>
    <w:p w14:paraId="58981568" w14:textId="2DBE1290" w:rsidR="00111F7F" w:rsidRDefault="00672D3D" w:rsidP="00111F7F">
      <w:r>
        <w:rPr>
          <w:noProof/>
        </w:rPr>
        <w:drawing>
          <wp:inline distT="0" distB="0" distL="0" distR="0" wp14:anchorId="6FDAE844" wp14:editId="53CBE3B8">
            <wp:extent cx="1749556" cy="158496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9556" cy="1584963"/>
                    </a:xfrm>
                    <a:prstGeom prst="rect">
                      <a:avLst/>
                    </a:prstGeom>
                  </pic:spPr>
                </pic:pic>
              </a:graphicData>
            </a:graphic>
          </wp:inline>
        </w:drawing>
      </w:r>
    </w:p>
    <w:p w14:paraId="63C9726D" w14:textId="77777777" w:rsidR="00111F7F" w:rsidRDefault="00111F7F" w:rsidP="00111F7F">
      <w:pPr>
        <w:rPr>
          <w:b/>
        </w:rPr>
      </w:pPr>
      <w:r>
        <w:t xml:space="preserve">Dr Steven Kennedy PSM </w:t>
      </w:r>
    </w:p>
    <w:p w14:paraId="7C27917B" w14:textId="4237B89B" w:rsidR="00111F7F" w:rsidRPr="00177D46" w:rsidRDefault="00111F7F" w:rsidP="00111F7F">
      <w:pPr>
        <w:spacing w:before="0" w:after="160" w:line="259" w:lineRule="auto"/>
      </w:pPr>
      <w:r w:rsidRPr="00E82D81">
        <w:rPr>
          <w:bCs/>
        </w:rPr>
        <w:t>Secretary to the Treasury</w:t>
      </w:r>
    </w:p>
    <w:bookmarkEnd w:id="0"/>
    <w:p w14:paraId="16F4FD1B" w14:textId="77777777" w:rsidR="003F70E4" w:rsidRDefault="003F70E4">
      <w:pPr>
        <w:spacing w:before="0" w:after="160" w:line="259" w:lineRule="auto"/>
        <w:rPr>
          <w:rFonts w:ascii="Calibri" w:hAnsi="Calibri" w:cs="Arial"/>
          <w:b/>
          <w:color w:val="5D779D" w:themeColor="accent3"/>
          <w:kern w:val="32"/>
          <w:sz w:val="44"/>
          <w:szCs w:val="36"/>
        </w:rPr>
      </w:pPr>
      <w:r>
        <w:br w:type="page"/>
      </w:r>
    </w:p>
    <w:p w14:paraId="63E6C64A" w14:textId="74630CF5" w:rsidR="005F5717" w:rsidRDefault="003F70E4" w:rsidP="000855D5">
      <w:pPr>
        <w:pStyle w:val="Heading1"/>
      </w:pPr>
      <w:r w:rsidRPr="003F70E4">
        <w:lastRenderedPageBreak/>
        <w:t xml:space="preserve">At Treasury, we value and respect </w:t>
      </w:r>
      <w:proofErr w:type="gramStart"/>
      <w:r w:rsidRPr="003F70E4">
        <w:t>difference</w:t>
      </w:r>
      <w:proofErr w:type="gramEnd"/>
    </w:p>
    <w:p w14:paraId="7AC5B591" w14:textId="1D7B300F" w:rsidR="003F70E4" w:rsidRDefault="003F70E4" w:rsidP="003F70E4">
      <w:r w:rsidRPr="00A51DE6">
        <w:t>Being a diverse and inclusive organisation provides a shared sense of connection, cohesion and belonging, with equal opportunity for everyone to contribute, participate and achieve their full potential.</w:t>
      </w:r>
    </w:p>
    <w:p w14:paraId="4A269DFF" w14:textId="20D845AC" w:rsidR="003F70E4" w:rsidRDefault="003F70E4" w:rsidP="003F70E4">
      <w:r>
        <w:t xml:space="preserve">Inclusion and diversity </w:t>
      </w:r>
      <w:proofErr w:type="gramStart"/>
      <w:r>
        <w:t>is</w:t>
      </w:r>
      <w:proofErr w:type="gramEnd"/>
      <w:r>
        <w:t xml:space="preserve"> a priority at Treasury because it supports: </w:t>
      </w:r>
    </w:p>
    <w:p w14:paraId="46882265" w14:textId="77777777" w:rsidR="003F70E4" w:rsidRDefault="003F70E4" w:rsidP="003F70E4">
      <w:pPr>
        <w:pStyle w:val="Bullet"/>
      </w:pPr>
      <w:r w:rsidRPr="003F70E4">
        <w:rPr>
          <w:rStyle w:val="Strong"/>
        </w:rPr>
        <w:t>Our employees</w:t>
      </w:r>
      <w:r>
        <w:t xml:space="preserve"> attracting and retaining great people who feel valued, connected, safe and </w:t>
      </w:r>
      <w:proofErr w:type="gramStart"/>
      <w:r>
        <w:t>empowered</w:t>
      </w:r>
      <w:proofErr w:type="gramEnd"/>
      <w:r>
        <w:t xml:space="preserve"> </w:t>
      </w:r>
    </w:p>
    <w:p w14:paraId="6F9C569A" w14:textId="77777777" w:rsidR="003F70E4" w:rsidRDefault="003F70E4" w:rsidP="003F70E4">
      <w:pPr>
        <w:pStyle w:val="Bullet"/>
      </w:pPr>
      <w:r w:rsidRPr="003F70E4">
        <w:rPr>
          <w:rStyle w:val="Strong"/>
        </w:rPr>
        <w:t>Our organisation</w:t>
      </w:r>
      <w:r>
        <w:t xml:space="preserve"> leveraging diverse perspectives to enhance productivity, innovation and deliver better </w:t>
      </w:r>
      <w:proofErr w:type="gramStart"/>
      <w:r>
        <w:t>outcomes</w:t>
      </w:r>
      <w:proofErr w:type="gramEnd"/>
      <w:r>
        <w:t xml:space="preserve"> </w:t>
      </w:r>
    </w:p>
    <w:p w14:paraId="5BB350F3" w14:textId="77777777" w:rsidR="003F70E4" w:rsidRDefault="003F70E4" w:rsidP="003F70E4">
      <w:pPr>
        <w:pStyle w:val="Bullet"/>
      </w:pPr>
      <w:r w:rsidRPr="003F70E4">
        <w:rPr>
          <w:rStyle w:val="Strong"/>
        </w:rPr>
        <w:t>Our community</w:t>
      </w:r>
      <w:r>
        <w:t xml:space="preserve"> providing better policy and program advice and delivery by representing the community we serve. </w:t>
      </w:r>
    </w:p>
    <w:p w14:paraId="19EF6F84" w14:textId="4F9EB014" w:rsidR="003F70E4" w:rsidRDefault="003F70E4" w:rsidP="003F70E4">
      <w:r>
        <w:t>The Inclusion and Diversity Strategy 2023–2028 is a critical enabler for Treasury delivering on its purpose and strategic priorities outlined in our Corporate Plan. It is also a key driver in embedding our leadership behaviours of ensuring our work aligns with our purpose, creating and sustaining productive relationships, developing high performing teams, rewarding an inclusive culture, and sound governance and assurance.</w:t>
      </w:r>
    </w:p>
    <w:tbl>
      <w:tblPr>
        <w:tblStyle w:val="TableGrid"/>
        <w:tblW w:w="5000" w:type="pct"/>
        <w:tblLook w:val="04A0" w:firstRow="1" w:lastRow="0" w:firstColumn="1" w:lastColumn="0" w:noHBand="0" w:noVBand="1"/>
      </w:tblPr>
      <w:tblGrid>
        <w:gridCol w:w="3023"/>
        <w:gridCol w:w="3024"/>
        <w:gridCol w:w="3024"/>
      </w:tblGrid>
      <w:tr w:rsidR="003F70E4" w14:paraId="1B8A6509" w14:textId="77777777" w:rsidTr="006743E3">
        <w:trPr>
          <w:cnfStyle w:val="100000000000" w:firstRow="1" w:lastRow="0" w:firstColumn="0" w:lastColumn="0" w:oddVBand="0" w:evenVBand="0" w:oddHBand="0" w:evenHBand="0" w:firstRowFirstColumn="0" w:firstRowLastColumn="0" w:lastRowFirstColumn="0" w:lastRowLastColumn="0"/>
        </w:trPr>
        <w:tc>
          <w:tcPr>
            <w:tcW w:w="3023" w:type="dxa"/>
            <w:shd w:val="clear" w:color="auto" w:fill="2C384A" w:themeFill="accent1"/>
          </w:tcPr>
          <w:p w14:paraId="444EA796" w14:textId="741BE292" w:rsidR="003F70E4" w:rsidRPr="00E749D3" w:rsidRDefault="003F70E4" w:rsidP="003F70E4">
            <w:pPr>
              <w:pStyle w:val="TableColumnHeadingLeft"/>
              <w:rPr>
                <w:b/>
                <w:bCs/>
                <w:color w:val="FFFFFF" w:themeColor="background1"/>
              </w:rPr>
            </w:pPr>
            <w:r w:rsidRPr="00E749D3">
              <w:rPr>
                <w:b/>
                <w:bCs/>
                <w:color w:val="FFFFFF" w:themeColor="background1"/>
              </w:rPr>
              <w:t>Our diversity</w:t>
            </w:r>
          </w:p>
        </w:tc>
        <w:tc>
          <w:tcPr>
            <w:tcW w:w="3024" w:type="dxa"/>
            <w:shd w:val="clear" w:color="auto" w:fill="2C384A" w:themeFill="accent1"/>
          </w:tcPr>
          <w:p w14:paraId="18800750" w14:textId="5CCA6E17" w:rsidR="003F70E4" w:rsidRPr="00E749D3" w:rsidRDefault="003F70E4" w:rsidP="003F70E4">
            <w:pPr>
              <w:pStyle w:val="TableColumnHeadingLeft"/>
              <w:rPr>
                <w:b/>
                <w:bCs/>
                <w:color w:val="FFFFFF" w:themeColor="background1"/>
              </w:rPr>
            </w:pPr>
            <w:r w:rsidRPr="00E749D3">
              <w:rPr>
                <w:b/>
                <w:bCs/>
                <w:color w:val="FFFFFF" w:themeColor="background1"/>
              </w:rPr>
              <w:t>Our organisation</w:t>
            </w:r>
          </w:p>
        </w:tc>
        <w:tc>
          <w:tcPr>
            <w:tcW w:w="3024" w:type="dxa"/>
            <w:shd w:val="clear" w:color="auto" w:fill="2C384A" w:themeFill="accent1"/>
          </w:tcPr>
          <w:p w14:paraId="02A553BF" w14:textId="16B8C264" w:rsidR="003F70E4" w:rsidRPr="00E749D3" w:rsidRDefault="003F70E4" w:rsidP="003F70E4">
            <w:pPr>
              <w:pStyle w:val="TableColumnHeadingLeft"/>
              <w:rPr>
                <w:b/>
                <w:bCs/>
                <w:color w:val="FFFFFF" w:themeColor="background1"/>
              </w:rPr>
            </w:pPr>
            <w:r w:rsidRPr="00E749D3">
              <w:rPr>
                <w:b/>
                <w:bCs/>
                <w:color w:val="FFFFFF" w:themeColor="background1"/>
              </w:rPr>
              <w:t>Staff feedback</w:t>
            </w:r>
          </w:p>
        </w:tc>
      </w:tr>
      <w:tr w:rsidR="003F70E4" w14:paraId="4150D2FA" w14:textId="77777777" w:rsidTr="006743E3">
        <w:tc>
          <w:tcPr>
            <w:tcW w:w="3023" w:type="dxa"/>
            <w:tcBorders>
              <w:left w:val="single" w:sz="4" w:space="0" w:color="2C384A" w:themeColor="accent1"/>
              <w:bottom w:val="single" w:sz="4" w:space="0" w:color="2C384A" w:themeColor="accent1"/>
              <w:right w:val="single" w:sz="4" w:space="0" w:color="2C384A" w:themeColor="accent1"/>
            </w:tcBorders>
          </w:tcPr>
          <w:p w14:paraId="756B1CEF" w14:textId="77777777" w:rsidR="003F70E4" w:rsidRDefault="003F70E4" w:rsidP="00E749D3">
            <w:pPr>
              <w:pStyle w:val="Bullet"/>
            </w:pPr>
            <w:r w:rsidRPr="003F70E4">
              <w:t>52%</w:t>
            </w:r>
            <w:r>
              <w:t xml:space="preserve"> </w:t>
            </w:r>
            <w:r w:rsidRPr="003F70E4">
              <w:t xml:space="preserve">are </w:t>
            </w:r>
            <w:proofErr w:type="gramStart"/>
            <w:r w:rsidRPr="003F70E4">
              <w:t>women</w:t>
            </w:r>
            <w:proofErr w:type="gramEnd"/>
          </w:p>
          <w:p w14:paraId="3F9675A0" w14:textId="77777777" w:rsidR="003F70E4" w:rsidRDefault="003F70E4" w:rsidP="00E749D3">
            <w:pPr>
              <w:pStyle w:val="Bullet"/>
            </w:pPr>
            <w:r>
              <w:t xml:space="preserve">8% have an ongoing </w:t>
            </w:r>
            <w:proofErr w:type="gramStart"/>
            <w:r>
              <w:t>disability</w:t>
            </w:r>
            <w:proofErr w:type="gramEnd"/>
          </w:p>
          <w:p w14:paraId="7D5141FD" w14:textId="77777777" w:rsidR="003F70E4" w:rsidRDefault="003F70E4" w:rsidP="00E749D3">
            <w:pPr>
              <w:pStyle w:val="Bullet"/>
            </w:pPr>
            <w:r>
              <w:t>9% LGBTIQ+</w:t>
            </w:r>
          </w:p>
          <w:p w14:paraId="63F7C06E" w14:textId="77777777" w:rsidR="003F70E4" w:rsidRDefault="003F70E4" w:rsidP="00E749D3">
            <w:pPr>
              <w:pStyle w:val="Bullet"/>
            </w:pPr>
            <w:r>
              <w:t>1.3% Aboriginal and/or Torres</w:t>
            </w:r>
            <w:r w:rsidR="00E749D3">
              <w:t xml:space="preserve"> </w:t>
            </w:r>
            <w:r>
              <w:t>Strait Islander</w:t>
            </w:r>
          </w:p>
          <w:p w14:paraId="0DC2435C" w14:textId="77777777" w:rsidR="00E749D3" w:rsidRDefault="00E749D3" w:rsidP="00E749D3">
            <w:pPr>
              <w:pStyle w:val="Bullet"/>
            </w:pPr>
            <w:r>
              <w:t>20%speak a language other than English</w:t>
            </w:r>
          </w:p>
          <w:p w14:paraId="2752C8EA" w14:textId="00BDC4CB" w:rsidR="00E749D3" w:rsidRDefault="00E749D3" w:rsidP="00E749D3">
            <w:pPr>
              <w:pStyle w:val="Bullet"/>
            </w:pPr>
            <w:r>
              <w:t>20% were born overseas</w:t>
            </w:r>
          </w:p>
        </w:tc>
        <w:tc>
          <w:tcPr>
            <w:tcW w:w="3024" w:type="dxa"/>
            <w:tcBorders>
              <w:left w:val="single" w:sz="4" w:space="0" w:color="2C384A" w:themeColor="accent1"/>
              <w:bottom w:val="single" w:sz="4" w:space="0" w:color="2C384A" w:themeColor="accent1"/>
              <w:right w:val="single" w:sz="4" w:space="0" w:color="2C384A" w:themeColor="accent1"/>
            </w:tcBorders>
          </w:tcPr>
          <w:p w14:paraId="31F8CF56" w14:textId="77777777" w:rsidR="003F70E4" w:rsidRDefault="00E749D3" w:rsidP="00E749D3">
            <w:pPr>
              <w:pStyle w:val="Bullet"/>
            </w:pPr>
            <w:r w:rsidRPr="00E749D3">
              <w:t>1,503</w:t>
            </w:r>
            <w:r>
              <w:t xml:space="preserve"> </w:t>
            </w:r>
            <w:r w:rsidRPr="00E749D3">
              <w:t>employees</w:t>
            </w:r>
          </w:p>
          <w:p w14:paraId="728F3C21" w14:textId="77777777" w:rsidR="00E749D3" w:rsidRDefault="00E749D3" w:rsidP="00E749D3">
            <w:pPr>
              <w:pStyle w:val="Bullet"/>
            </w:pPr>
            <w:r>
              <w:t xml:space="preserve">44% of senior executives are </w:t>
            </w:r>
            <w:proofErr w:type="gramStart"/>
            <w:r>
              <w:t>women</w:t>
            </w:r>
            <w:proofErr w:type="gramEnd"/>
          </w:p>
          <w:p w14:paraId="752760BF" w14:textId="77777777" w:rsidR="00E749D3" w:rsidRDefault="00E749D3" w:rsidP="00E749D3">
            <w:pPr>
              <w:pStyle w:val="Bullet"/>
            </w:pPr>
            <w:r>
              <w:t xml:space="preserve">35% have carer </w:t>
            </w:r>
            <w:proofErr w:type="gramStart"/>
            <w:r>
              <w:t>responsibilities</w:t>
            </w:r>
            <w:proofErr w:type="gramEnd"/>
          </w:p>
          <w:p w14:paraId="6B4D6B4F" w14:textId="77777777" w:rsidR="00E749D3" w:rsidRDefault="00E749D3" w:rsidP="00E749D3">
            <w:pPr>
              <w:pStyle w:val="Bullet"/>
            </w:pPr>
            <w:r>
              <w:t>35median workforce age</w:t>
            </w:r>
          </w:p>
          <w:p w14:paraId="2DF27DCB" w14:textId="2D7F9792" w:rsidR="00E749D3" w:rsidRPr="00E749D3" w:rsidRDefault="00E749D3" w:rsidP="00E749D3">
            <w:pPr>
              <w:pStyle w:val="Bullet"/>
            </w:pPr>
            <w:r>
              <w:t>18% located outside Canberra</w:t>
            </w:r>
          </w:p>
        </w:tc>
        <w:tc>
          <w:tcPr>
            <w:tcW w:w="3024" w:type="dxa"/>
            <w:tcBorders>
              <w:left w:val="single" w:sz="4" w:space="0" w:color="2C384A" w:themeColor="accent1"/>
              <w:bottom w:val="single" w:sz="4" w:space="0" w:color="2C384A" w:themeColor="accent1"/>
              <w:right w:val="single" w:sz="4" w:space="0" w:color="2C384A" w:themeColor="accent1"/>
            </w:tcBorders>
          </w:tcPr>
          <w:p w14:paraId="5F564937" w14:textId="77777777" w:rsidR="003F70E4" w:rsidRDefault="00E749D3" w:rsidP="00E749D3">
            <w:pPr>
              <w:pStyle w:val="Bullet"/>
            </w:pPr>
            <w:r>
              <w:t xml:space="preserve">87% of employees report their supervisor actively ensures that everyone can be included in workplace </w:t>
            </w:r>
            <w:proofErr w:type="gramStart"/>
            <w:r>
              <w:t>activities</w:t>
            </w:r>
            <w:proofErr w:type="gramEnd"/>
          </w:p>
          <w:p w14:paraId="4AD0A4D8" w14:textId="297033F7" w:rsidR="00E749D3" w:rsidRDefault="00E749D3" w:rsidP="00E749D3">
            <w:pPr>
              <w:pStyle w:val="Bullet"/>
            </w:pPr>
            <w:r>
              <w:t>83% of employees report Treasury supports and actively promotes an inclusive workplace culture</w:t>
            </w:r>
          </w:p>
        </w:tc>
      </w:tr>
    </w:tbl>
    <w:p w14:paraId="15D5BCBF" w14:textId="77777777" w:rsidR="003F70E4" w:rsidRPr="003F70E4" w:rsidRDefault="003F70E4" w:rsidP="003F70E4"/>
    <w:p w14:paraId="6822F45C" w14:textId="77777777" w:rsidR="005F5717" w:rsidRDefault="005F5717">
      <w:pPr>
        <w:spacing w:before="0" w:after="160" w:line="259" w:lineRule="auto"/>
        <w:rPr>
          <w:rFonts w:ascii="Calibri" w:hAnsi="Calibri" w:cs="Arial"/>
          <w:b/>
          <w:color w:val="5D779D" w:themeColor="accent3"/>
          <w:kern w:val="32"/>
          <w:sz w:val="44"/>
          <w:szCs w:val="36"/>
        </w:rPr>
      </w:pPr>
      <w:r>
        <w:br w:type="page"/>
      </w:r>
    </w:p>
    <w:p w14:paraId="4D6F111A" w14:textId="7E482FB3" w:rsidR="00A967D9" w:rsidRDefault="00A06BFE" w:rsidP="000855D5">
      <w:pPr>
        <w:pStyle w:val="Heading1"/>
      </w:pPr>
      <w:r>
        <w:lastRenderedPageBreak/>
        <w:t>Our journey</w:t>
      </w:r>
    </w:p>
    <w:tbl>
      <w:tblPr>
        <w:tblW w:w="0" w:type="auto"/>
        <w:tblBorders>
          <w:top w:val="single" w:sz="4" w:space="0" w:color="2C384A" w:themeColor="accent1"/>
          <w:left w:val="single" w:sz="4" w:space="0" w:color="2C384A" w:themeColor="accent1"/>
          <w:bottom w:val="single" w:sz="4" w:space="0" w:color="2C384A" w:themeColor="accent1"/>
          <w:right w:val="single" w:sz="4" w:space="0" w:color="2C384A" w:themeColor="accent1"/>
          <w:insideH w:val="single" w:sz="4" w:space="0" w:color="2C384A" w:themeColor="accent1"/>
          <w:insideV w:val="single" w:sz="4" w:space="0" w:color="2C384A" w:themeColor="accent1"/>
        </w:tblBorders>
        <w:tblLook w:val="04A0" w:firstRow="1" w:lastRow="0" w:firstColumn="1" w:lastColumn="0" w:noHBand="0" w:noVBand="1"/>
      </w:tblPr>
      <w:tblGrid>
        <w:gridCol w:w="1555"/>
        <w:gridCol w:w="7506"/>
      </w:tblGrid>
      <w:tr w:rsidR="009E660A" w14:paraId="15FC2D03" w14:textId="77777777" w:rsidTr="0024365B">
        <w:tc>
          <w:tcPr>
            <w:tcW w:w="1555" w:type="dxa"/>
            <w:tcBorders>
              <w:bottom w:val="single" w:sz="4" w:space="0" w:color="FFFFFF" w:themeColor="background1"/>
            </w:tcBorders>
            <w:shd w:val="clear" w:color="auto" w:fill="2C384A" w:themeFill="accent1"/>
          </w:tcPr>
          <w:p w14:paraId="6568E003" w14:textId="181E4317" w:rsidR="009E660A" w:rsidRPr="00203CB0" w:rsidRDefault="009E660A" w:rsidP="009E660A">
            <w:pPr>
              <w:pStyle w:val="TableColumnHeadingLeft"/>
              <w:rPr>
                <w:color w:val="FFFFFF" w:themeColor="background1"/>
              </w:rPr>
            </w:pPr>
            <w:r w:rsidRPr="00203CB0">
              <w:rPr>
                <w:color w:val="FFFFFF" w:themeColor="background1"/>
              </w:rPr>
              <w:t>2008</w:t>
            </w:r>
          </w:p>
        </w:tc>
        <w:tc>
          <w:tcPr>
            <w:tcW w:w="7506" w:type="dxa"/>
          </w:tcPr>
          <w:p w14:paraId="0366B360" w14:textId="36543F51" w:rsidR="009E660A" w:rsidRDefault="009E660A" w:rsidP="00CE32EE">
            <w:pPr>
              <w:pStyle w:val="TableTextLeftbullet"/>
            </w:pPr>
            <w:bookmarkStart w:id="1" w:name="tempbookmark"/>
            <w:bookmarkEnd w:id="1"/>
            <w:r>
              <w:t xml:space="preserve">Treasury’s </w:t>
            </w:r>
            <w:r w:rsidRPr="00CE32EE">
              <w:rPr>
                <w:rStyle w:val="Strong"/>
              </w:rPr>
              <w:t>first Reconciliation Action Plan</w:t>
            </w:r>
            <w:r>
              <w:t xml:space="preserve"> is released</w:t>
            </w:r>
          </w:p>
        </w:tc>
      </w:tr>
      <w:tr w:rsidR="009E660A" w14:paraId="558398BC"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06579C58" w14:textId="01941D7F" w:rsidR="009E660A" w:rsidRPr="00203CB0" w:rsidRDefault="009E660A" w:rsidP="009E660A">
            <w:pPr>
              <w:pStyle w:val="TableColumnHeadingLeft"/>
              <w:rPr>
                <w:color w:val="FFFFFF" w:themeColor="background1"/>
              </w:rPr>
            </w:pPr>
            <w:r w:rsidRPr="00203CB0">
              <w:rPr>
                <w:color w:val="FFFFFF" w:themeColor="background1"/>
              </w:rPr>
              <w:t>2009</w:t>
            </w:r>
          </w:p>
        </w:tc>
        <w:tc>
          <w:tcPr>
            <w:tcW w:w="7506" w:type="dxa"/>
          </w:tcPr>
          <w:p w14:paraId="6A157DAF" w14:textId="33F33A1E" w:rsidR="009E660A" w:rsidRDefault="009E660A" w:rsidP="00CE32EE">
            <w:pPr>
              <w:pStyle w:val="TableTextLeftbullet"/>
            </w:pPr>
            <w:r>
              <w:t xml:space="preserve">Treasury’s </w:t>
            </w:r>
            <w:r w:rsidRPr="00CE32EE">
              <w:rPr>
                <w:rStyle w:val="Strong"/>
              </w:rPr>
              <w:t>Workplace Diversity Program 2009–2012</w:t>
            </w:r>
            <w:r>
              <w:t xml:space="preserve"> is released</w:t>
            </w:r>
          </w:p>
        </w:tc>
      </w:tr>
      <w:tr w:rsidR="009E660A" w14:paraId="1CFDE652"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34874F4C" w14:textId="78FC6391" w:rsidR="009E660A" w:rsidRPr="00203CB0" w:rsidRDefault="009E660A" w:rsidP="009E660A">
            <w:pPr>
              <w:pStyle w:val="TableColumnHeadingLeft"/>
              <w:rPr>
                <w:color w:val="FFFFFF" w:themeColor="background1"/>
              </w:rPr>
            </w:pPr>
            <w:r w:rsidRPr="00203CB0">
              <w:rPr>
                <w:color w:val="FFFFFF" w:themeColor="background1"/>
              </w:rPr>
              <w:t>2010</w:t>
            </w:r>
          </w:p>
        </w:tc>
        <w:tc>
          <w:tcPr>
            <w:tcW w:w="7506" w:type="dxa"/>
          </w:tcPr>
          <w:p w14:paraId="45F9D8C5" w14:textId="59437C87" w:rsidR="009E660A" w:rsidRDefault="00CE32EE" w:rsidP="00CE32EE">
            <w:pPr>
              <w:pStyle w:val="TableTextLeftbullet"/>
            </w:pPr>
            <w:r w:rsidRPr="00CE32EE">
              <w:t>Treasury Secretary Ken Henry commissions a paper on gender equality at Treasury</w:t>
            </w:r>
          </w:p>
        </w:tc>
      </w:tr>
      <w:tr w:rsidR="009E660A" w14:paraId="327608FC"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537988B7" w14:textId="2117AE26" w:rsidR="009E660A" w:rsidRPr="00203CB0" w:rsidRDefault="009E660A" w:rsidP="009E660A">
            <w:pPr>
              <w:pStyle w:val="TableColumnHeadingLeft"/>
              <w:rPr>
                <w:color w:val="FFFFFF" w:themeColor="background1"/>
              </w:rPr>
            </w:pPr>
            <w:r w:rsidRPr="00203CB0">
              <w:rPr>
                <w:color w:val="FFFFFF" w:themeColor="background1"/>
              </w:rPr>
              <w:t>2011</w:t>
            </w:r>
          </w:p>
        </w:tc>
        <w:tc>
          <w:tcPr>
            <w:tcW w:w="7506" w:type="dxa"/>
          </w:tcPr>
          <w:p w14:paraId="787EC5C5" w14:textId="490299CA" w:rsidR="009E660A" w:rsidRDefault="00CE32EE" w:rsidP="00CE32EE">
            <w:pPr>
              <w:pStyle w:val="TableTextLeftbullet"/>
            </w:pPr>
            <w:r w:rsidRPr="00CE32EE">
              <w:t xml:space="preserve">The </w:t>
            </w:r>
            <w:r w:rsidRPr="00CE32EE">
              <w:rPr>
                <w:b/>
                <w:bCs/>
              </w:rPr>
              <w:t xml:space="preserve">Progressing Women initiative </w:t>
            </w:r>
            <w:r w:rsidRPr="00CE32EE">
              <w:t>(</w:t>
            </w:r>
            <w:proofErr w:type="spellStart"/>
            <w:r w:rsidRPr="00CE32EE">
              <w:t>PWi</w:t>
            </w:r>
            <w:proofErr w:type="spellEnd"/>
            <w:r w:rsidRPr="00CE32EE">
              <w:t xml:space="preserve">) commences and the </w:t>
            </w:r>
            <w:proofErr w:type="spellStart"/>
            <w:r w:rsidRPr="00CE32EE">
              <w:t>PWi</w:t>
            </w:r>
            <w:proofErr w:type="spellEnd"/>
            <w:r w:rsidRPr="00CE32EE">
              <w:t xml:space="preserve"> Network is established</w:t>
            </w:r>
          </w:p>
        </w:tc>
      </w:tr>
      <w:tr w:rsidR="009E660A" w14:paraId="24115A2E"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75436D1B" w14:textId="6FD38B65" w:rsidR="009E660A" w:rsidRPr="00203CB0" w:rsidRDefault="009E660A" w:rsidP="009E660A">
            <w:pPr>
              <w:pStyle w:val="TableColumnHeadingLeft"/>
              <w:rPr>
                <w:color w:val="FFFFFF" w:themeColor="background1"/>
              </w:rPr>
            </w:pPr>
            <w:r w:rsidRPr="00203CB0">
              <w:rPr>
                <w:color w:val="FFFFFF" w:themeColor="background1"/>
              </w:rPr>
              <w:t>2012</w:t>
            </w:r>
          </w:p>
        </w:tc>
        <w:tc>
          <w:tcPr>
            <w:tcW w:w="7506" w:type="dxa"/>
          </w:tcPr>
          <w:p w14:paraId="1B1A28C3" w14:textId="77777777" w:rsidR="009E660A" w:rsidRDefault="00CE32EE" w:rsidP="00CE32EE">
            <w:pPr>
              <w:pStyle w:val="TableTextLeftbullet"/>
            </w:pPr>
            <w:r w:rsidRPr="00CE32EE">
              <w:t xml:space="preserve">The </w:t>
            </w:r>
            <w:r w:rsidRPr="00CE32EE">
              <w:rPr>
                <w:b/>
                <w:bCs/>
              </w:rPr>
              <w:t xml:space="preserve">Inclusive Workplace Committee </w:t>
            </w:r>
            <w:r w:rsidRPr="00CE32EE">
              <w:t xml:space="preserve">(IWC) is established to implement and monitor </w:t>
            </w:r>
            <w:proofErr w:type="spellStart"/>
            <w:r w:rsidRPr="00CE32EE">
              <w:t>PWi</w:t>
            </w:r>
            <w:proofErr w:type="spellEnd"/>
            <w:r w:rsidRPr="00CE32EE">
              <w:t xml:space="preserve"> </w:t>
            </w:r>
            <w:proofErr w:type="gramStart"/>
            <w:r w:rsidRPr="00CE32EE">
              <w:t>strategies</w:t>
            </w:r>
            <w:proofErr w:type="gramEnd"/>
          </w:p>
          <w:p w14:paraId="36BDA28A" w14:textId="526E9A26" w:rsidR="00CE32EE" w:rsidRDefault="00CE32EE" w:rsidP="00CE32EE">
            <w:pPr>
              <w:pStyle w:val="TableTextLeftbullet"/>
            </w:pPr>
            <w:r w:rsidRPr="00CE32EE">
              <w:t>Treasury’s first female Deputy Secretary and Executive Board member is appointed</w:t>
            </w:r>
          </w:p>
        </w:tc>
      </w:tr>
      <w:tr w:rsidR="009E660A" w14:paraId="34491860"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48BD6C94" w14:textId="705917F3" w:rsidR="009E660A" w:rsidRPr="00203CB0" w:rsidRDefault="009E660A" w:rsidP="009E660A">
            <w:pPr>
              <w:pStyle w:val="TableColumnHeadingLeft"/>
              <w:rPr>
                <w:color w:val="FFFFFF" w:themeColor="background1"/>
              </w:rPr>
            </w:pPr>
            <w:r w:rsidRPr="00203CB0">
              <w:rPr>
                <w:color w:val="FFFFFF" w:themeColor="background1"/>
              </w:rPr>
              <w:t>2013</w:t>
            </w:r>
          </w:p>
        </w:tc>
        <w:tc>
          <w:tcPr>
            <w:tcW w:w="7506" w:type="dxa"/>
          </w:tcPr>
          <w:p w14:paraId="25FB49C0" w14:textId="0A1854C5" w:rsidR="009E660A" w:rsidRDefault="00CE32EE" w:rsidP="00CE32EE">
            <w:pPr>
              <w:pStyle w:val="TableTextLeftbullet"/>
            </w:pPr>
            <w:r w:rsidRPr="00CE32EE">
              <w:t>The Treasury Agency Multicultural Plan 2013–2015 is released</w:t>
            </w:r>
          </w:p>
        </w:tc>
      </w:tr>
      <w:tr w:rsidR="009E660A" w14:paraId="230ED9A6"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7338FB9B" w14:textId="30B6FEE7" w:rsidR="009E660A" w:rsidRPr="00203CB0" w:rsidRDefault="009E660A" w:rsidP="009E660A">
            <w:pPr>
              <w:pStyle w:val="TableColumnHeadingLeft"/>
              <w:rPr>
                <w:color w:val="FFFFFF" w:themeColor="background1"/>
              </w:rPr>
            </w:pPr>
            <w:r w:rsidRPr="00203CB0">
              <w:rPr>
                <w:color w:val="FFFFFF" w:themeColor="background1"/>
              </w:rPr>
              <w:t>2014</w:t>
            </w:r>
          </w:p>
        </w:tc>
        <w:tc>
          <w:tcPr>
            <w:tcW w:w="7506" w:type="dxa"/>
          </w:tcPr>
          <w:p w14:paraId="45AD331C" w14:textId="77777777" w:rsidR="009E660A" w:rsidRDefault="00CE32EE" w:rsidP="00CE32EE">
            <w:pPr>
              <w:pStyle w:val="TableTextLeftbullet"/>
            </w:pPr>
            <w:r w:rsidRPr="00CE32EE">
              <w:t xml:space="preserve">The Disability Action Plan 2014–2018 is </w:t>
            </w:r>
            <w:proofErr w:type="gramStart"/>
            <w:r w:rsidRPr="00CE32EE">
              <w:t>released</w:t>
            </w:r>
            <w:proofErr w:type="gramEnd"/>
          </w:p>
          <w:p w14:paraId="3CD128EB" w14:textId="77777777" w:rsidR="00CE32EE" w:rsidRDefault="00CE32EE" w:rsidP="00CE32EE">
            <w:pPr>
              <w:pStyle w:val="TableTextLeftbullet"/>
            </w:pPr>
            <w:r w:rsidRPr="00CE32EE">
              <w:t xml:space="preserve">The </w:t>
            </w:r>
            <w:r w:rsidRPr="00CE32EE">
              <w:rPr>
                <w:b/>
                <w:bCs/>
              </w:rPr>
              <w:t xml:space="preserve">Reconciliation Action Plan 2014–2016 </w:t>
            </w:r>
            <w:r w:rsidRPr="00CE32EE">
              <w:t xml:space="preserve">is </w:t>
            </w:r>
            <w:proofErr w:type="gramStart"/>
            <w:r w:rsidRPr="00CE32EE">
              <w:t>launched</w:t>
            </w:r>
            <w:proofErr w:type="gramEnd"/>
          </w:p>
          <w:p w14:paraId="0E09ECF1" w14:textId="77777777" w:rsidR="00CE32EE" w:rsidRDefault="00CE32EE" w:rsidP="00CE32EE">
            <w:pPr>
              <w:pStyle w:val="TableTextLeftbullet"/>
            </w:pPr>
            <w:r w:rsidRPr="00CE32EE">
              <w:t xml:space="preserve">An Inclusive Workplace – The Treasury’s Inclusivity and Diversity Strategy is </w:t>
            </w:r>
            <w:proofErr w:type="gramStart"/>
            <w:r w:rsidRPr="00CE32EE">
              <w:t>released</w:t>
            </w:r>
            <w:proofErr w:type="gramEnd"/>
          </w:p>
          <w:p w14:paraId="6C195641" w14:textId="08616805" w:rsidR="00CE32EE" w:rsidRDefault="00CE32EE" w:rsidP="00CE32EE">
            <w:pPr>
              <w:pStyle w:val="TableTextLeftbullet"/>
            </w:pPr>
            <w:r w:rsidRPr="00CE32EE">
              <w:t>The flexible work policy is launched to support employees in balancing work and their lives</w:t>
            </w:r>
          </w:p>
        </w:tc>
      </w:tr>
      <w:tr w:rsidR="009E660A" w14:paraId="21CDFC1D"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0BC08DA6" w14:textId="375DC584" w:rsidR="009E660A" w:rsidRPr="00203CB0" w:rsidRDefault="009E660A" w:rsidP="009E660A">
            <w:pPr>
              <w:pStyle w:val="TableColumnHeadingLeft"/>
              <w:rPr>
                <w:color w:val="FFFFFF" w:themeColor="background1"/>
              </w:rPr>
            </w:pPr>
            <w:r w:rsidRPr="00203CB0">
              <w:rPr>
                <w:color w:val="FFFFFF" w:themeColor="background1"/>
              </w:rPr>
              <w:t>2015</w:t>
            </w:r>
          </w:p>
        </w:tc>
        <w:tc>
          <w:tcPr>
            <w:tcW w:w="7506" w:type="dxa"/>
          </w:tcPr>
          <w:p w14:paraId="596F744A" w14:textId="77777777" w:rsidR="009E660A" w:rsidRDefault="00CE32EE" w:rsidP="00CE32EE">
            <w:pPr>
              <w:pStyle w:val="TableTextLeftbullet"/>
            </w:pPr>
            <w:r w:rsidRPr="00CE32EE">
              <w:t xml:space="preserve">The Sydney office is established to attract specialist </w:t>
            </w:r>
            <w:proofErr w:type="gramStart"/>
            <w:r w:rsidRPr="00CE32EE">
              <w:t>skills</w:t>
            </w:r>
            <w:proofErr w:type="gramEnd"/>
          </w:p>
          <w:p w14:paraId="20679D23" w14:textId="77777777" w:rsidR="00CE32EE" w:rsidRDefault="00CE32EE" w:rsidP="00CE32EE">
            <w:pPr>
              <w:pStyle w:val="TableTextLeftbullet"/>
            </w:pPr>
            <w:r w:rsidRPr="00CE32EE">
              <w:t>The Integrated Leadership System is incorporated into the Performance Management System</w:t>
            </w:r>
          </w:p>
          <w:p w14:paraId="7506D2B2" w14:textId="78330502" w:rsidR="00CE32EE" w:rsidRDefault="00CE32EE" w:rsidP="00CE32EE">
            <w:pPr>
              <w:pStyle w:val="TableTextLeftbullet"/>
            </w:pPr>
            <w:r w:rsidRPr="00CE32EE">
              <w:t>Treasury begins participating in the Jawun Secondment Program (four Treasury employees selected to work with Indigenous communities)</w:t>
            </w:r>
          </w:p>
        </w:tc>
      </w:tr>
      <w:tr w:rsidR="009E660A" w14:paraId="7E68D82B"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37473F60" w14:textId="343AF846" w:rsidR="009E660A" w:rsidRPr="00203CB0" w:rsidRDefault="009E660A" w:rsidP="009E660A">
            <w:pPr>
              <w:pStyle w:val="TableColumnHeadingLeft"/>
              <w:rPr>
                <w:color w:val="FFFFFF" w:themeColor="background1"/>
              </w:rPr>
            </w:pPr>
            <w:r w:rsidRPr="00203CB0">
              <w:rPr>
                <w:color w:val="FFFFFF" w:themeColor="background1"/>
              </w:rPr>
              <w:t>2016</w:t>
            </w:r>
          </w:p>
        </w:tc>
        <w:tc>
          <w:tcPr>
            <w:tcW w:w="7506" w:type="dxa"/>
          </w:tcPr>
          <w:p w14:paraId="0B5A71EE" w14:textId="77777777" w:rsidR="009E660A" w:rsidRDefault="00203CB0" w:rsidP="00CE32EE">
            <w:pPr>
              <w:pStyle w:val="TableTextLeftbullet"/>
            </w:pPr>
            <w:r w:rsidRPr="00203CB0">
              <w:t xml:space="preserve">The </w:t>
            </w:r>
            <w:r w:rsidRPr="00203CB0">
              <w:rPr>
                <w:b/>
                <w:bCs/>
              </w:rPr>
              <w:t xml:space="preserve">Gender Equality Action Plan 2016–2020 </w:t>
            </w:r>
            <w:r w:rsidRPr="00203CB0">
              <w:t xml:space="preserve">is </w:t>
            </w:r>
            <w:proofErr w:type="gramStart"/>
            <w:r w:rsidRPr="00203CB0">
              <w:t>launched</w:t>
            </w:r>
            <w:proofErr w:type="gramEnd"/>
          </w:p>
          <w:p w14:paraId="29486D26" w14:textId="77777777" w:rsidR="00203CB0" w:rsidRDefault="00203CB0" w:rsidP="00CE32EE">
            <w:pPr>
              <w:pStyle w:val="TableTextLeftbullet"/>
            </w:pPr>
            <w:r w:rsidRPr="00203CB0">
              <w:t xml:space="preserve">The APS Multicultural Access and Equity Action Plan 2016–2017 is </w:t>
            </w:r>
            <w:proofErr w:type="gramStart"/>
            <w:r w:rsidRPr="00203CB0">
              <w:t>released</w:t>
            </w:r>
            <w:proofErr w:type="gramEnd"/>
          </w:p>
          <w:p w14:paraId="43571260" w14:textId="6173FDD1" w:rsidR="00203CB0" w:rsidRDefault="00203CB0" w:rsidP="00CE32EE">
            <w:pPr>
              <w:pStyle w:val="TableTextLeftbullet"/>
            </w:pPr>
            <w:r w:rsidRPr="00203CB0">
              <w:t>The Melbourne office is established to attract specialist skills</w:t>
            </w:r>
          </w:p>
        </w:tc>
      </w:tr>
      <w:tr w:rsidR="009E660A" w14:paraId="460B85D3"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06C4F44B" w14:textId="344FFA17" w:rsidR="009E660A" w:rsidRPr="00203CB0" w:rsidRDefault="009E660A" w:rsidP="009E660A">
            <w:pPr>
              <w:pStyle w:val="TableColumnHeadingLeft"/>
              <w:rPr>
                <w:color w:val="FFFFFF" w:themeColor="background1"/>
              </w:rPr>
            </w:pPr>
            <w:r w:rsidRPr="00203CB0">
              <w:rPr>
                <w:color w:val="FFFFFF" w:themeColor="background1"/>
              </w:rPr>
              <w:t>2017</w:t>
            </w:r>
          </w:p>
        </w:tc>
        <w:tc>
          <w:tcPr>
            <w:tcW w:w="7506" w:type="dxa"/>
          </w:tcPr>
          <w:p w14:paraId="4CDC99F7" w14:textId="649E9042" w:rsidR="009E660A" w:rsidRDefault="00203CB0" w:rsidP="00CE32EE">
            <w:pPr>
              <w:pStyle w:val="TableTextLeftbullet"/>
            </w:pPr>
            <w:r w:rsidRPr="00203CB0">
              <w:t>New Performance Development System is introduced to address unconscious bias</w:t>
            </w:r>
          </w:p>
        </w:tc>
      </w:tr>
      <w:tr w:rsidR="009E660A" w14:paraId="3BDB0C90"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4319DB79" w14:textId="50F8A2D6" w:rsidR="009E660A" w:rsidRPr="00203CB0" w:rsidRDefault="009E660A" w:rsidP="009E660A">
            <w:pPr>
              <w:pStyle w:val="TableColumnHeadingLeft"/>
              <w:rPr>
                <w:color w:val="FFFFFF" w:themeColor="background1"/>
              </w:rPr>
            </w:pPr>
            <w:r w:rsidRPr="00203CB0">
              <w:rPr>
                <w:color w:val="FFFFFF" w:themeColor="background1"/>
              </w:rPr>
              <w:t>2018</w:t>
            </w:r>
          </w:p>
        </w:tc>
        <w:tc>
          <w:tcPr>
            <w:tcW w:w="7506" w:type="dxa"/>
          </w:tcPr>
          <w:p w14:paraId="03751647" w14:textId="77777777" w:rsidR="009E660A" w:rsidRDefault="00203CB0" w:rsidP="00CE32EE">
            <w:pPr>
              <w:pStyle w:val="TableTextLeftbullet"/>
            </w:pPr>
            <w:r w:rsidRPr="00203CB0">
              <w:t xml:space="preserve">The </w:t>
            </w:r>
            <w:r w:rsidRPr="00203CB0">
              <w:rPr>
                <w:b/>
                <w:bCs/>
              </w:rPr>
              <w:t xml:space="preserve">Treasury Indigenous Employment and Retention Strategy 2018–2023 </w:t>
            </w:r>
            <w:r w:rsidRPr="00203CB0">
              <w:t xml:space="preserve">is </w:t>
            </w:r>
            <w:proofErr w:type="gramStart"/>
            <w:r w:rsidRPr="00203CB0">
              <w:t>released</w:t>
            </w:r>
            <w:proofErr w:type="gramEnd"/>
          </w:p>
          <w:p w14:paraId="5421185F" w14:textId="77777777" w:rsidR="00203CB0" w:rsidRDefault="00203CB0" w:rsidP="00CE32EE">
            <w:pPr>
              <w:pStyle w:val="TableTextLeftbullet"/>
            </w:pPr>
            <w:r w:rsidRPr="00203CB0">
              <w:t xml:space="preserve">The IWC scope widens to include more diversity </w:t>
            </w:r>
            <w:proofErr w:type="gramStart"/>
            <w:r w:rsidRPr="00203CB0">
              <w:t>pillars</w:t>
            </w:r>
            <w:proofErr w:type="gramEnd"/>
          </w:p>
          <w:p w14:paraId="111B3FB8" w14:textId="77777777" w:rsidR="00203CB0" w:rsidRDefault="00203CB0" w:rsidP="00CE32EE">
            <w:pPr>
              <w:pStyle w:val="TableTextLeftbullet"/>
            </w:pPr>
            <w:r w:rsidRPr="00203CB0">
              <w:rPr>
                <w:b/>
                <w:bCs/>
              </w:rPr>
              <w:t xml:space="preserve">Employee Diversity Networks </w:t>
            </w:r>
            <w:r w:rsidRPr="00203CB0">
              <w:t xml:space="preserve">are </w:t>
            </w:r>
            <w:r w:rsidRPr="00203CB0">
              <w:rPr>
                <w:b/>
                <w:bCs/>
              </w:rPr>
              <w:t>established</w:t>
            </w:r>
            <w:r w:rsidRPr="00203CB0">
              <w:t xml:space="preserve">: Access &amp; Inclusion, CALD Network, </w:t>
            </w:r>
            <w:proofErr w:type="spellStart"/>
            <w:r w:rsidRPr="00203CB0">
              <w:t>Pride@TSY</w:t>
            </w:r>
            <w:proofErr w:type="spellEnd"/>
            <w:r w:rsidRPr="00203CB0">
              <w:t>, RAP Committee</w:t>
            </w:r>
          </w:p>
          <w:p w14:paraId="06CE28C5" w14:textId="77777777" w:rsidR="00203CB0" w:rsidRDefault="00203CB0" w:rsidP="00CE32EE">
            <w:pPr>
              <w:pStyle w:val="TableTextLeftbullet"/>
            </w:pPr>
            <w:r w:rsidRPr="00203CB0">
              <w:t xml:space="preserve">‘Additional maternity leave’ is changed to ‘primary carer </w:t>
            </w:r>
            <w:proofErr w:type="gramStart"/>
            <w:r w:rsidRPr="00203CB0">
              <w:t>leave</w:t>
            </w:r>
            <w:proofErr w:type="gramEnd"/>
            <w:r w:rsidRPr="00203CB0">
              <w:t>’ to be more inclusive of diverse family situations</w:t>
            </w:r>
          </w:p>
          <w:p w14:paraId="52059968" w14:textId="21C1EEDA" w:rsidR="00203CB0" w:rsidRDefault="00203CB0" w:rsidP="00CE32EE">
            <w:pPr>
              <w:pStyle w:val="TableTextLeftbullet"/>
            </w:pPr>
            <w:r w:rsidRPr="00203CB0">
              <w:t xml:space="preserve">The </w:t>
            </w:r>
            <w:proofErr w:type="spellStart"/>
            <w:r w:rsidRPr="00203CB0">
              <w:rPr>
                <w:b/>
                <w:bCs/>
              </w:rPr>
              <w:t>Koomarri</w:t>
            </w:r>
            <w:proofErr w:type="spellEnd"/>
            <w:r w:rsidRPr="00203CB0">
              <w:rPr>
                <w:b/>
                <w:bCs/>
              </w:rPr>
              <w:t xml:space="preserve"> Disability Employment initiative </w:t>
            </w:r>
            <w:r w:rsidRPr="00203CB0">
              <w:t>commences</w:t>
            </w:r>
          </w:p>
        </w:tc>
      </w:tr>
      <w:tr w:rsidR="009E660A" w14:paraId="1BEDB44A"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3DB6C033" w14:textId="13FF98E0" w:rsidR="009E660A" w:rsidRPr="00203CB0" w:rsidRDefault="009E660A" w:rsidP="009E660A">
            <w:pPr>
              <w:pStyle w:val="TableColumnHeadingLeft"/>
              <w:rPr>
                <w:color w:val="FFFFFF" w:themeColor="background1"/>
              </w:rPr>
            </w:pPr>
            <w:r w:rsidRPr="00203CB0">
              <w:rPr>
                <w:color w:val="FFFFFF" w:themeColor="background1"/>
              </w:rPr>
              <w:t>2019</w:t>
            </w:r>
          </w:p>
        </w:tc>
        <w:tc>
          <w:tcPr>
            <w:tcW w:w="7506" w:type="dxa"/>
          </w:tcPr>
          <w:p w14:paraId="701BD0F1" w14:textId="77777777" w:rsidR="009E660A" w:rsidRDefault="00203CB0" w:rsidP="00CE32EE">
            <w:pPr>
              <w:pStyle w:val="TableTextLeftbullet"/>
            </w:pPr>
            <w:r w:rsidRPr="00203CB0">
              <w:t xml:space="preserve">The </w:t>
            </w:r>
            <w:r w:rsidRPr="00203CB0">
              <w:rPr>
                <w:b/>
                <w:bCs/>
              </w:rPr>
              <w:t xml:space="preserve">Inclusion and Diversity Strategy 2019–2021 </w:t>
            </w:r>
            <w:r w:rsidRPr="00203CB0">
              <w:t xml:space="preserve">is </w:t>
            </w:r>
            <w:proofErr w:type="gramStart"/>
            <w:r w:rsidRPr="00203CB0">
              <w:t>released</w:t>
            </w:r>
            <w:proofErr w:type="gramEnd"/>
          </w:p>
          <w:p w14:paraId="26F83A9F" w14:textId="02B5EDE2" w:rsidR="00203CB0" w:rsidRDefault="00203CB0" w:rsidP="00CE32EE">
            <w:pPr>
              <w:pStyle w:val="TableTextLeftbullet"/>
            </w:pPr>
            <w:r w:rsidRPr="00203CB0">
              <w:t xml:space="preserve">The Innovate </w:t>
            </w:r>
            <w:r w:rsidRPr="00203CB0">
              <w:rPr>
                <w:b/>
                <w:bCs/>
              </w:rPr>
              <w:t xml:space="preserve">Reconciliation Action Plan 2019–2021 </w:t>
            </w:r>
            <w:r w:rsidRPr="00203CB0">
              <w:t>is launched</w:t>
            </w:r>
          </w:p>
        </w:tc>
      </w:tr>
      <w:tr w:rsidR="009E660A" w14:paraId="516CFAFD"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092A3C26" w14:textId="5C7AA612" w:rsidR="009E660A" w:rsidRPr="00203CB0" w:rsidRDefault="009E660A" w:rsidP="009E660A">
            <w:pPr>
              <w:pStyle w:val="TableColumnHeadingLeft"/>
              <w:rPr>
                <w:color w:val="FFFFFF" w:themeColor="background1"/>
              </w:rPr>
            </w:pPr>
            <w:r w:rsidRPr="00203CB0">
              <w:rPr>
                <w:color w:val="FFFFFF" w:themeColor="background1"/>
              </w:rPr>
              <w:t>2020</w:t>
            </w:r>
          </w:p>
        </w:tc>
        <w:tc>
          <w:tcPr>
            <w:tcW w:w="7506" w:type="dxa"/>
          </w:tcPr>
          <w:p w14:paraId="36E06CDE" w14:textId="77777777" w:rsidR="009E660A" w:rsidRDefault="00203CB0" w:rsidP="00CE32EE">
            <w:pPr>
              <w:pStyle w:val="TableTextLeftbullet"/>
            </w:pPr>
            <w:r w:rsidRPr="00203CB0">
              <w:t xml:space="preserve">Treasury increases the use of inclusive work practices in response to the COVID-19 </w:t>
            </w:r>
            <w:proofErr w:type="gramStart"/>
            <w:r w:rsidRPr="00203CB0">
              <w:t>pandemic</w:t>
            </w:r>
            <w:proofErr w:type="gramEnd"/>
          </w:p>
          <w:p w14:paraId="3452394C" w14:textId="2CC6C4C6" w:rsidR="00203CB0" w:rsidRDefault="00203CB0" w:rsidP="00CE32EE">
            <w:pPr>
              <w:pStyle w:val="TableTextLeftbullet"/>
            </w:pPr>
            <w:r w:rsidRPr="00203CB0">
              <w:t>Four out of six Executive Board members are now women</w:t>
            </w:r>
          </w:p>
        </w:tc>
      </w:tr>
      <w:tr w:rsidR="009E660A" w14:paraId="3B7C86F6"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5CE5A8B4" w14:textId="1DFB8B8D" w:rsidR="009E660A" w:rsidRPr="00203CB0" w:rsidRDefault="009E660A" w:rsidP="009E660A">
            <w:pPr>
              <w:pStyle w:val="TableColumnHeadingLeft"/>
              <w:rPr>
                <w:color w:val="FFFFFF" w:themeColor="background1"/>
              </w:rPr>
            </w:pPr>
            <w:r w:rsidRPr="00203CB0">
              <w:rPr>
                <w:color w:val="FFFFFF" w:themeColor="background1"/>
              </w:rPr>
              <w:t>2021</w:t>
            </w:r>
          </w:p>
        </w:tc>
        <w:tc>
          <w:tcPr>
            <w:tcW w:w="7506" w:type="dxa"/>
          </w:tcPr>
          <w:p w14:paraId="233BBDA1" w14:textId="77777777" w:rsidR="009E660A" w:rsidRDefault="00203CB0" w:rsidP="00CE32EE">
            <w:pPr>
              <w:pStyle w:val="TableTextLeftbullet"/>
            </w:pPr>
            <w:r w:rsidRPr="00203CB0">
              <w:t xml:space="preserve">The second </w:t>
            </w:r>
            <w:r w:rsidRPr="00203CB0">
              <w:rPr>
                <w:b/>
                <w:bCs/>
              </w:rPr>
              <w:t xml:space="preserve">Innovate Reconciliation Action Plan 2021–2023 </w:t>
            </w:r>
            <w:r w:rsidRPr="00203CB0">
              <w:t xml:space="preserve">is </w:t>
            </w:r>
            <w:proofErr w:type="gramStart"/>
            <w:r w:rsidRPr="00203CB0">
              <w:t>launched</w:t>
            </w:r>
            <w:proofErr w:type="gramEnd"/>
          </w:p>
          <w:p w14:paraId="4B42CD44" w14:textId="77777777" w:rsidR="00203CB0" w:rsidRDefault="00203CB0" w:rsidP="00CE32EE">
            <w:pPr>
              <w:pStyle w:val="TableTextLeftbullet"/>
            </w:pPr>
            <w:r w:rsidRPr="00203CB0">
              <w:t xml:space="preserve">The Gender Equality Committee is </w:t>
            </w:r>
            <w:proofErr w:type="gramStart"/>
            <w:r w:rsidRPr="00203CB0">
              <w:t>established</w:t>
            </w:r>
            <w:proofErr w:type="gramEnd"/>
          </w:p>
          <w:p w14:paraId="5F45B34B" w14:textId="77777777" w:rsidR="00203CB0" w:rsidRDefault="00203CB0" w:rsidP="00CE32EE">
            <w:pPr>
              <w:pStyle w:val="TableTextLeftbullet"/>
            </w:pPr>
            <w:r w:rsidRPr="00203CB0">
              <w:t xml:space="preserve">The People and Inclusion Committee (PIC) takes responsibility for inclusion and diversity </w:t>
            </w:r>
            <w:proofErr w:type="gramStart"/>
            <w:r w:rsidRPr="00203CB0">
              <w:t>governance</w:t>
            </w:r>
            <w:proofErr w:type="gramEnd"/>
          </w:p>
          <w:p w14:paraId="7185F7B3" w14:textId="58068D8C" w:rsidR="00203CB0" w:rsidRDefault="00203CB0" w:rsidP="00CE32EE">
            <w:pPr>
              <w:pStyle w:val="TableTextLeftbullet"/>
            </w:pPr>
            <w:r w:rsidRPr="00203CB0">
              <w:t xml:space="preserve">The </w:t>
            </w:r>
            <w:r w:rsidRPr="00203CB0">
              <w:rPr>
                <w:b/>
                <w:bCs/>
              </w:rPr>
              <w:t xml:space="preserve">Gender Action Plan 2021 </w:t>
            </w:r>
            <w:r w:rsidRPr="00203CB0">
              <w:t>is endorsed by the PIC</w:t>
            </w:r>
          </w:p>
        </w:tc>
      </w:tr>
      <w:tr w:rsidR="009E660A" w14:paraId="2DBE2A50" w14:textId="77777777" w:rsidTr="0024365B">
        <w:tc>
          <w:tcPr>
            <w:tcW w:w="1555" w:type="dxa"/>
            <w:tcBorders>
              <w:top w:val="single" w:sz="4" w:space="0" w:color="FFFFFF" w:themeColor="background1"/>
              <w:bottom w:val="single" w:sz="4" w:space="0" w:color="FFFFFF" w:themeColor="background1"/>
            </w:tcBorders>
            <w:shd w:val="clear" w:color="auto" w:fill="2C384A" w:themeFill="accent1"/>
          </w:tcPr>
          <w:p w14:paraId="69FD8ADD" w14:textId="35D733F3" w:rsidR="009E660A" w:rsidRPr="00203CB0" w:rsidRDefault="009E660A" w:rsidP="009E660A">
            <w:pPr>
              <w:pStyle w:val="TableColumnHeadingLeft"/>
              <w:rPr>
                <w:color w:val="FFFFFF" w:themeColor="background1"/>
              </w:rPr>
            </w:pPr>
            <w:r w:rsidRPr="00203CB0">
              <w:rPr>
                <w:color w:val="FFFFFF" w:themeColor="background1"/>
              </w:rPr>
              <w:t>2022–23</w:t>
            </w:r>
          </w:p>
        </w:tc>
        <w:tc>
          <w:tcPr>
            <w:tcW w:w="7506" w:type="dxa"/>
          </w:tcPr>
          <w:p w14:paraId="0012767F" w14:textId="77777777" w:rsidR="009E660A" w:rsidRDefault="00203CB0" w:rsidP="00CE32EE">
            <w:pPr>
              <w:pStyle w:val="TableTextLeftbullet"/>
            </w:pPr>
            <w:r w:rsidRPr="00203CB0">
              <w:t xml:space="preserve">44% of Senior Executives are </w:t>
            </w:r>
            <w:proofErr w:type="gramStart"/>
            <w:r w:rsidRPr="00203CB0">
              <w:t>women</w:t>
            </w:r>
            <w:proofErr w:type="gramEnd"/>
          </w:p>
          <w:p w14:paraId="2BBB913C" w14:textId="77777777" w:rsidR="00203CB0" w:rsidRPr="00203CB0" w:rsidRDefault="00203CB0" w:rsidP="00CE32EE">
            <w:pPr>
              <w:pStyle w:val="TableTextLeftbullet"/>
            </w:pPr>
            <w:r w:rsidRPr="00203CB0">
              <w:t xml:space="preserve">Release of Treasury’s </w:t>
            </w:r>
            <w:r w:rsidRPr="00203CB0">
              <w:rPr>
                <w:b/>
                <w:bCs/>
              </w:rPr>
              <w:t>Supporting Gender Affirmation and Gender Diversity Guidelines</w:t>
            </w:r>
          </w:p>
          <w:p w14:paraId="3EC52F8E" w14:textId="2EA3BAA6" w:rsidR="00203CB0" w:rsidRDefault="00203CB0" w:rsidP="00CE32EE">
            <w:pPr>
              <w:pStyle w:val="TableTextLeftbullet"/>
            </w:pPr>
            <w:r w:rsidRPr="00203CB0">
              <w:t xml:space="preserve">This </w:t>
            </w:r>
            <w:r w:rsidRPr="00203CB0">
              <w:rPr>
                <w:b/>
                <w:bCs/>
              </w:rPr>
              <w:t xml:space="preserve">Inclusion and Diversity Strategy 2023–2028 </w:t>
            </w:r>
            <w:r w:rsidRPr="00203CB0">
              <w:t>is released</w:t>
            </w:r>
          </w:p>
        </w:tc>
      </w:tr>
      <w:tr w:rsidR="009E660A" w14:paraId="68721E81" w14:textId="77777777" w:rsidTr="0024365B">
        <w:tc>
          <w:tcPr>
            <w:tcW w:w="1555" w:type="dxa"/>
            <w:tcBorders>
              <w:top w:val="single" w:sz="4" w:space="0" w:color="FFFFFF" w:themeColor="background1"/>
            </w:tcBorders>
            <w:shd w:val="clear" w:color="auto" w:fill="2C384A" w:themeFill="accent1"/>
          </w:tcPr>
          <w:p w14:paraId="7369FCBA" w14:textId="752CF75A" w:rsidR="009E660A" w:rsidRPr="00203CB0" w:rsidRDefault="009E660A" w:rsidP="009E660A">
            <w:pPr>
              <w:pStyle w:val="TableColumnHeadingLeft"/>
              <w:rPr>
                <w:color w:val="FFFFFF" w:themeColor="background1"/>
              </w:rPr>
            </w:pPr>
            <w:r w:rsidRPr="00203CB0">
              <w:rPr>
                <w:color w:val="FFFFFF" w:themeColor="background1"/>
              </w:rPr>
              <w:t>Towards 2028</w:t>
            </w:r>
          </w:p>
        </w:tc>
        <w:tc>
          <w:tcPr>
            <w:tcW w:w="7506" w:type="dxa"/>
          </w:tcPr>
          <w:p w14:paraId="610A1661" w14:textId="77777777" w:rsidR="009E660A" w:rsidRDefault="00203CB0" w:rsidP="00CE32EE">
            <w:pPr>
              <w:pStyle w:val="TableTextLeftbullet"/>
            </w:pPr>
            <w:r w:rsidRPr="00203CB0">
              <w:t xml:space="preserve">We leverage diverse perspectives from a range of people to improve policy and program advice and </w:t>
            </w:r>
            <w:proofErr w:type="gramStart"/>
            <w:r w:rsidRPr="00203CB0">
              <w:t>delivery</w:t>
            </w:r>
            <w:proofErr w:type="gramEnd"/>
          </w:p>
          <w:p w14:paraId="22925F70" w14:textId="77777777" w:rsidR="00203CB0" w:rsidRDefault="00203CB0" w:rsidP="00CE32EE">
            <w:pPr>
              <w:pStyle w:val="TableTextLeftbullet"/>
            </w:pPr>
            <w:r w:rsidRPr="00203CB0">
              <w:t xml:space="preserve">Inclusion is embedded in our day-to-day practices and </w:t>
            </w:r>
            <w:proofErr w:type="gramStart"/>
            <w:r w:rsidRPr="00203CB0">
              <w:t>decisions</w:t>
            </w:r>
            <w:proofErr w:type="gramEnd"/>
          </w:p>
          <w:p w14:paraId="512A92B9" w14:textId="77777777" w:rsidR="00203CB0" w:rsidRDefault="00203CB0" w:rsidP="00CE32EE">
            <w:pPr>
              <w:pStyle w:val="TableTextLeftbullet"/>
            </w:pPr>
            <w:r w:rsidRPr="00203CB0">
              <w:t xml:space="preserve">We cultivate diversity within our workforce and focus on our people’s career </w:t>
            </w:r>
            <w:proofErr w:type="gramStart"/>
            <w:r w:rsidRPr="00203CB0">
              <w:t>development</w:t>
            </w:r>
            <w:proofErr w:type="gramEnd"/>
          </w:p>
          <w:p w14:paraId="4DD714E0" w14:textId="77777777" w:rsidR="00203CB0" w:rsidRDefault="00203CB0" w:rsidP="00CE32EE">
            <w:pPr>
              <w:pStyle w:val="TableTextLeftbullet"/>
            </w:pPr>
            <w:r w:rsidRPr="00203CB0">
              <w:t xml:space="preserve">Our leaders at all levels advocate and take accountability for inclusion and </w:t>
            </w:r>
            <w:proofErr w:type="gramStart"/>
            <w:r w:rsidRPr="00203CB0">
              <w:t>diversity</w:t>
            </w:r>
            <w:proofErr w:type="gramEnd"/>
          </w:p>
          <w:p w14:paraId="44115837" w14:textId="30969840" w:rsidR="00203CB0" w:rsidRDefault="00203CB0" w:rsidP="00CE32EE">
            <w:pPr>
              <w:pStyle w:val="TableTextLeftbullet"/>
            </w:pPr>
            <w:r w:rsidRPr="00203CB0">
              <w:t>We work together to promote inclusion and diversity, with clear roles and governance</w:t>
            </w:r>
          </w:p>
        </w:tc>
      </w:tr>
    </w:tbl>
    <w:p w14:paraId="2020C31E" w14:textId="667DFADC" w:rsidR="00BF4114" w:rsidRDefault="00BF4114">
      <w:pPr>
        <w:spacing w:before="0" w:after="160" w:line="259" w:lineRule="auto"/>
      </w:pPr>
      <w:r>
        <w:br w:type="page"/>
      </w:r>
    </w:p>
    <w:p w14:paraId="0C03FAB7" w14:textId="1BD00A92" w:rsidR="00A06BFE" w:rsidRDefault="00BF4114" w:rsidP="00925B68">
      <w:pPr>
        <w:pStyle w:val="Heading1"/>
      </w:pPr>
      <w:r>
        <w:lastRenderedPageBreak/>
        <w:t>Our goals</w:t>
      </w:r>
    </w:p>
    <w:p w14:paraId="221E5B05" w14:textId="77777777" w:rsidR="00D46AE9" w:rsidRPr="00122C92" w:rsidRDefault="003953A2" w:rsidP="00122C92">
      <w:pPr>
        <w:rPr>
          <w:rStyle w:val="Strong"/>
        </w:rPr>
      </w:pPr>
      <w:r w:rsidRPr="00122C92">
        <w:rPr>
          <w:rStyle w:val="Strong"/>
        </w:rPr>
        <w:t xml:space="preserve">Our focus towards 2028 is to build on our progress, embedding inclusion and cultivating diversity across Treasury as we continue to value, respect and celebrate difference. </w:t>
      </w:r>
    </w:p>
    <w:p w14:paraId="54C4CD28" w14:textId="77777777" w:rsidR="00D46AE9" w:rsidRDefault="003953A2" w:rsidP="00A06BFE">
      <w:r>
        <w:t xml:space="preserve">Underpinning our efforts are our leadership behaviours – ensuring our work aligns with our purpose, creating and sustaining productive relationships, developing high performance teams, rewarding an inclusive culture, and sound governance and assurance. </w:t>
      </w:r>
    </w:p>
    <w:p w14:paraId="44DD534B" w14:textId="66BBFA81" w:rsidR="00483DB4" w:rsidRDefault="003953A2" w:rsidP="00A06BFE">
      <w:r>
        <w:t>An inclusive culture is generated by everyone demonstrating inclusive behaviours, such as cooperation, collaboration, openness and curiosity, which foster a sense of belonging, connection, equity and safety</w:t>
      </w:r>
      <w:r w:rsidR="00D46AE9">
        <w:t>.</w:t>
      </w:r>
    </w:p>
    <w:p w14:paraId="54862005" w14:textId="792F2CFD" w:rsidR="00122C92" w:rsidRDefault="00122C92" w:rsidP="00122C92">
      <w:pPr>
        <w:pStyle w:val="Heading2"/>
      </w:pPr>
      <w:r w:rsidRPr="00122C92">
        <w:t>To achieve our Strategy, we will focus on five goals:</w:t>
      </w:r>
    </w:p>
    <w:p w14:paraId="79512327" w14:textId="77777777" w:rsidR="00122C92" w:rsidRPr="00122C92" w:rsidRDefault="00122C92" w:rsidP="00122C92">
      <w:pPr>
        <w:pStyle w:val="Heading3"/>
        <w:rPr>
          <w:rStyle w:val="Strong"/>
        </w:rPr>
      </w:pPr>
      <w:r w:rsidRPr="00122C92">
        <w:rPr>
          <w:rStyle w:val="Strong"/>
        </w:rPr>
        <w:t xml:space="preserve">Better Outcomes </w:t>
      </w:r>
    </w:p>
    <w:p w14:paraId="5AFD2143" w14:textId="2318D7F2" w:rsidR="00122C92" w:rsidRDefault="00122C92" w:rsidP="00122C92">
      <w:r>
        <w:t>We leverage diverse perspectives from a range of people to improve policy and program advice and delivery.</w:t>
      </w:r>
    </w:p>
    <w:p w14:paraId="3805E5EF" w14:textId="77777777" w:rsidR="00122C92" w:rsidRPr="00122C92" w:rsidRDefault="00122C92" w:rsidP="00122C92">
      <w:pPr>
        <w:pStyle w:val="Heading3"/>
        <w:rPr>
          <w:rStyle w:val="Strong"/>
        </w:rPr>
      </w:pPr>
      <w:r w:rsidRPr="00122C92">
        <w:rPr>
          <w:rStyle w:val="Strong"/>
        </w:rPr>
        <w:t xml:space="preserve">Inclusion </w:t>
      </w:r>
      <w:proofErr w:type="spellStart"/>
      <w:r w:rsidRPr="00122C92">
        <w:rPr>
          <w:rStyle w:val="Strong"/>
        </w:rPr>
        <w:t>everday</w:t>
      </w:r>
      <w:proofErr w:type="spellEnd"/>
    </w:p>
    <w:p w14:paraId="203E58D7" w14:textId="0B211611" w:rsidR="00122C92" w:rsidRDefault="00122C92" w:rsidP="00122C92">
      <w:r>
        <w:t>Inclusion is embedded in our day-to-day practices and decisions.</w:t>
      </w:r>
    </w:p>
    <w:p w14:paraId="209DFE14" w14:textId="77777777" w:rsidR="00122C92" w:rsidRPr="00122C92" w:rsidRDefault="00122C92" w:rsidP="00122C92">
      <w:pPr>
        <w:pStyle w:val="Heading3"/>
        <w:rPr>
          <w:rStyle w:val="Strong"/>
        </w:rPr>
      </w:pPr>
      <w:r w:rsidRPr="00122C92">
        <w:rPr>
          <w:rStyle w:val="Strong"/>
        </w:rPr>
        <w:t>Diverse workforce</w:t>
      </w:r>
    </w:p>
    <w:p w14:paraId="24847E65" w14:textId="0F5831AB" w:rsidR="00122C92" w:rsidRDefault="00122C92" w:rsidP="00122C92">
      <w:r>
        <w:t>We cultivate diversity within our workforce and focus on our people’s career development.</w:t>
      </w:r>
    </w:p>
    <w:p w14:paraId="630ED916" w14:textId="77777777" w:rsidR="00122C92" w:rsidRPr="00122C92" w:rsidRDefault="00122C92" w:rsidP="00122C92">
      <w:pPr>
        <w:pStyle w:val="Heading3"/>
        <w:rPr>
          <w:rStyle w:val="Strong"/>
        </w:rPr>
      </w:pPr>
      <w:r w:rsidRPr="00122C92">
        <w:rPr>
          <w:rStyle w:val="Strong"/>
        </w:rPr>
        <w:t>Strong leadership</w:t>
      </w:r>
    </w:p>
    <w:p w14:paraId="7897C748" w14:textId="45761608" w:rsidR="00122C92" w:rsidRDefault="00122C92" w:rsidP="00122C92">
      <w:r>
        <w:t>Our leaders at all levels advocate and take accountability for inclusion and diversity.</w:t>
      </w:r>
    </w:p>
    <w:p w14:paraId="12EBEB18" w14:textId="77777777" w:rsidR="00122C92" w:rsidRPr="00122C92" w:rsidRDefault="00122C92" w:rsidP="00122C92">
      <w:pPr>
        <w:pStyle w:val="Heading3"/>
        <w:rPr>
          <w:rStyle w:val="Strong"/>
        </w:rPr>
      </w:pPr>
      <w:r w:rsidRPr="00122C92">
        <w:rPr>
          <w:rStyle w:val="Strong"/>
        </w:rPr>
        <w:t>Good governance</w:t>
      </w:r>
    </w:p>
    <w:p w14:paraId="1E7FA384" w14:textId="5E38117D" w:rsidR="007253E1" w:rsidRDefault="00122C92" w:rsidP="00A06BFE">
      <w:r>
        <w:t>We work together to promote inclusion and diversity, with clear roles and governance.</w:t>
      </w:r>
    </w:p>
    <w:p w14:paraId="73DAC339" w14:textId="77777777" w:rsidR="007253E1" w:rsidRDefault="007253E1">
      <w:pPr>
        <w:spacing w:before="0" w:after="160" w:line="259" w:lineRule="auto"/>
      </w:pPr>
      <w:r>
        <w:br w:type="page"/>
      </w:r>
    </w:p>
    <w:p w14:paraId="52D9B792" w14:textId="38ED5D71" w:rsidR="00483DB4" w:rsidRDefault="007253E1" w:rsidP="00925B68">
      <w:pPr>
        <w:pStyle w:val="Heading1"/>
      </w:pPr>
      <w:r>
        <w:lastRenderedPageBreak/>
        <w:t>Better outcomes</w:t>
      </w:r>
    </w:p>
    <w:p w14:paraId="40592726" w14:textId="360AE499" w:rsidR="007253E1" w:rsidRPr="00476F91" w:rsidRDefault="007253E1" w:rsidP="00476F91">
      <w:r w:rsidRPr="00476F91">
        <w:t>We leverage diverse perspectives from a range of people to improve policy and program advice and delivery</w:t>
      </w:r>
      <w:r w:rsidR="00122C92">
        <w:t>.</w:t>
      </w:r>
    </w:p>
    <w:p w14:paraId="76F0BADC" w14:textId="77777777" w:rsidR="00316DBB" w:rsidRPr="00476F91" w:rsidRDefault="00316DBB" w:rsidP="00122C92">
      <w:pPr>
        <w:pStyle w:val="Heading2"/>
      </w:pPr>
      <w:r w:rsidRPr="00476F91">
        <w:t xml:space="preserve">Our objectives </w:t>
      </w:r>
    </w:p>
    <w:p w14:paraId="4501B30E" w14:textId="77777777" w:rsidR="00316DBB" w:rsidRPr="00476F91" w:rsidRDefault="00316DBB" w:rsidP="00476F91">
      <w:r w:rsidRPr="00476F91">
        <w:t xml:space="preserve">Diverse perspectives are valued in the development of policy and programs and in how we deliver our business. </w:t>
      </w:r>
    </w:p>
    <w:p w14:paraId="1E854B33" w14:textId="77777777" w:rsidR="00316DBB" w:rsidRPr="00476F91" w:rsidRDefault="00316DBB" w:rsidP="00476F91">
      <w:r w:rsidRPr="00476F91">
        <w:t xml:space="preserve">Our staff are equipped to engage with our diverse community of stakeholders. </w:t>
      </w:r>
    </w:p>
    <w:p w14:paraId="179F2E93" w14:textId="77777777" w:rsidR="00316DBB" w:rsidRPr="00476F91" w:rsidRDefault="00316DBB" w:rsidP="00122C92">
      <w:pPr>
        <w:pStyle w:val="Heading2"/>
      </w:pPr>
      <w:r w:rsidRPr="00476F91">
        <w:t xml:space="preserve">Our key actions </w:t>
      </w:r>
    </w:p>
    <w:p w14:paraId="2550F945" w14:textId="4ECA4F58" w:rsidR="00316DBB" w:rsidRPr="00476F91" w:rsidRDefault="00316DBB" w:rsidP="00476F91">
      <w:pPr>
        <w:pStyle w:val="Bullet"/>
      </w:pPr>
      <w:r w:rsidRPr="00476F91">
        <w:t xml:space="preserve">Seek diverse perspectives to improve Treasury policy and program advice and </w:t>
      </w:r>
      <w:proofErr w:type="gramStart"/>
      <w:r w:rsidRPr="00476F91">
        <w:t>delivery</w:t>
      </w:r>
      <w:proofErr w:type="gramEnd"/>
    </w:p>
    <w:p w14:paraId="36542B44" w14:textId="4B9B5CFF" w:rsidR="00316DBB" w:rsidRPr="00476F91" w:rsidRDefault="00316DBB" w:rsidP="00476F91">
      <w:pPr>
        <w:pStyle w:val="Bullet"/>
      </w:pPr>
      <w:r w:rsidRPr="00476F91">
        <w:t xml:space="preserve">Review our ways of working to ensure they are inclusive and enable diversity of </w:t>
      </w:r>
      <w:proofErr w:type="gramStart"/>
      <w:r w:rsidRPr="00476F91">
        <w:t>thought</w:t>
      </w:r>
      <w:proofErr w:type="gramEnd"/>
    </w:p>
    <w:p w14:paraId="665B9EA4" w14:textId="29F2122F" w:rsidR="00316DBB" w:rsidRPr="00476F91" w:rsidRDefault="00316DBB" w:rsidP="00476F91">
      <w:pPr>
        <w:pStyle w:val="Bullet"/>
      </w:pPr>
      <w:r w:rsidRPr="00476F91">
        <w:t xml:space="preserve">Implement practices that embed diversity of thought in leadership groups and decision-making </w:t>
      </w:r>
      <w:proofErr w:type="gramStart"/>
      <w:r w:rsidRPr="00476F91">
        <w:t>forums</w:t>
      </w:r>
      <w:proofErr w:type="gramEnd"/>
      <w:r w:rsidRPr="00476F91">
        <w:t xml:space="preserve"> </w:t>
      </w:r>
    </w:p>
    <w:p w14:paraId="2184EC86" w14:textId="77777777" w:rsidR="00316DBB" w:rsidRPr="00476F91" w:rsidRDefault="00316DBB" w:rsidP="00122C92">
      <w:pPr>
        <w:pStyle w:val="Heading2"/>
      </w:pPr>
      <w:r w:rsidRPr="00476F91">
        <w:t xml:space="preserve">Success measures </w:t>
      </w:r>
    </w:p>
    <w:p w14:paraId="212AEAF1" w14:textId="3C924184" w:rsidR="00316DBB" w:rsidRPr="00476F91" w:rsidRDefault="00316DBB" w:rsidP="00476F91">
      <w:r w:rsidRPr="00476F91">
        <w:t>Employees feel comfortable to contribute their perspectives at work, as measured annually in the APS</w:t>
      </w:r>
      <w:r w:rsidR="00557F89">
        <w:t> </w:t>
      </w:r>
      <w:r w:rsidRPr="00476F91">
        <w:t xml:space="preserve">Census. </w:t>
      </w:r>
    </w:p>
    <w:p w14:paraId="3150B802" w14:textId="77777777" w:rsidR="00316DBB" w:rsidRPr="00476F91" w:rsidRDefault="00316DBB" w:rsidP="00476F91">
      <w:r w:rsidRPr="00476F91">
        <w:t xml:space="preserve">Treasury receives positive feedback through Treasury’s stakeholder engagement survey on providing policy and program advice that represents the community. </w:t>
      </w:r>
    </w:p>
    <w:p w14:paraId="098AAD58" w14:textId="2AFEF6D7" w:rsidR="00856269" w:rsidRPr="00476F91" w:rsidRDefault="00316DBB" w:rsidP="00476F91">
      <w:r w:rsidRPr="00476F91">
        <w:t>Treasury is recognised as an inclusive organisation, consulting widely in undertaking our role.</w:t>
      </w:r>
    </w:p>
    <w:p w14:paraId="1250593F" w14:textId="77777777" w:rsidR="00856269" w:rsidRDefault="00856269">
      <w:pPr>
        <w:spacing w:before="0" w:after="160" w:line="259" w:lineRule="auto"/>
      </w:pPr>
      <w:r>
        <w:br w:type="page"/>
      </w:r>
    </w:p>
    <w:p w14:paraId="1CF62BE7" w14:textId="4D2C7D21" w:rsidR="00316DBB" w:rsidRDefault="00856269" w:rsidP="00925B68">
      <w:pPr>
        <w:pStyle w:val="Heading1"/>
      </w:pPr>
      <w:r>
        <w:lastRenderedPageBreak/>
        <w:t>Inclusion everyday</w:t>
      </w:r>
    </w:p>
    <w:p w14:paraId="69C437A0" w14:textId="178046EC" w:rsidR="00856269" w:rsidRDefault="00856269" w:rsidP="00122C92">
      <w:r>
        <w:t>Inclusion is embedded in our day-to-day practices and decisions</w:t>
      </w:r>
      <w:r w:rsidR="00122C92">
        <w:t>.</w:t>
      </w:r>
    </w:p>
    <w:p w14:paraId="311A75DB" w14:textId="1A6185EE" w:rsidR="00856269" w:rsidRPr="007E0B77" w:rsidRDefault="00856269" w:rsidP="00122C92">
      <w:pPr>
        <w:pStyle w:val="Heading2"/>
      </w:pPr>
      <w:r w:rsidRPr="007E0B77">
        <w:t>Our objectives</w:t>
      </w:r>
    </w:p>
    <w:p w14:paraId="61211A61" w14:textId="545537AB" w:rsidR="00EC57A5" w:rsidRPr="007E0B77" w:rsidRDefault="00EC57A5" w:rsidP="007E0B77">
      <w:r w:rsidRPr="007E0B77">
        <w:t>Every staff member of Treasury demonstrates inclusive behaviours so that everyone can contribute to their full potential.</w:t>
      </w:r>
    </w:p>
    <w:p w14:paraId="4BD8FE70" w14:textId="10CE3159" w:rsidR="00EC57A5" w:rsidRPr="007E0B77" w:rsidRDefault="00EC57A5" w:rsidP="00122C92">
      <w:pPr>
        <w:pStyle w:val="Heading2"/>
      </w:pPr>
      <w:r w:rsidRPr="007E0B77">
        <w:t>Our key actions</w:t>
      </w:r>
    </w:p>
    <w:p w14:paraId="0534281E" w14:textId="77777777" w:rsidR="00EC57A5" w:rsidRPr="007E0B77" w:rsidRDefault="00EC57A5" w:rsidP="000A6EEF">
      <w:pPr>
        <w:pStyle w:val="Bullet"/>
      </w:pPr>
      <w:r w:rsidRPr="007E0B77">
        <w:t xml:space="preserve">Develop guidance on inclusive day-to-day </w:t>
      </w:r>
      <w:proofErr w:type="gramStart"/>
      <w:r w:rsidRPr="007E0B77">
        <w:t>behaviours</w:t>
      </w:r>
      <w:proofErr w:type="gramEnd"/>
    </w:p>
    <w:p w14:paraId="3FEFCD0C" w14:textId="281B0972" w:rsidR="00EC57A5" w:rsidRPr="007E0B77" w:rsidRDefault="00EC57A5" w:rsidP="000A6EEF">
      <w:pPr>
        <w:pStyle w:val="Bullet"/>
      </w:pPr>
      <w:r w:rsidRPr="007E0B77">
        <w:t xml:space="preserve">Create opportunities to educate and raise awareness of inclusion and diversity for all </w:t>
      </w:r>
      <w:proofErr w:type="gramStart"/>
      <w:r w:rsidRPr="007E0B77">
        <w:t>employees</w:t>
      </w:r>
      <w:proofErr w:type="gramEnd"/>
      <w:r w:rsidRPr="007E0B77">
        <w:t xml:space="preserve"> </w:t>
      </w:r>
    </w:p>
    <w:p w14:paraId="70EB680F" w14:textId="41E75CC3" w:rsidR="00EC57A5" w:rsidRPr="007E0B77" w:rsidRDefault="00EC57A5" w:rsidP="000A6EEF">
      <w:pPr>
        <w:pStyle w:val="Bullet"/>
      </w:pPr>
      <w:r w:rsidRPr="007E0B77">
        <w:t xml:space="preserve">Review and update corporate policies to ensure they reflect inclusive language and lived </w:t>
      </w:r>
      <w:proofErr w:type="gramStart"/>
      <w:r w:rsidRPr="007E0B77">
        <w:t>experiences</w:t>
      </w:r>
      <w:proofErr w:type="gramEnd"/>
      <w:r w:rsidRPr="007E0B77">
        <w:t xml:space="preserve"> </w:t>
      </w:r>
    </w:p>
    <w:p w14:paraId="7106DE7B" w14:textId="62D0F586" w:rsidR="00EC57A5" w:rsidRPr="007E0B77" w:rsidRDefault="00EC57A5" w:rsidP="000A6EEF">
      <w:pPr>
        <w:pStyle w:val="Bullet"/>
      </w:pPr>
      <w:r w:rsidRPr="007E0B77">
        <w:t xml:space="preserve">Review our facilities to enhance access and </w:t>
      </w:r>
      <w:proofErr w:type="gramStart"/>
      <w:r w:rsidRPr="007E0B77">
        <w:t>inclusion</w:t>
      </w:r>
      <w:proofErr w:type="gramEnd"/>
      <w:r w:rsidRPr="007E0B77">
        <w:t xml:space="preserve"> </w:t>
      </w:r>
    </w:p>
    <w:p w14:paraId="7C67BB74" w14:textId="5CC9E84A" w:rsidR="00EC57A5" w:rsidRPr="007E0B77" w:rsidRDefault="00EC57A5" w:rsidP="000A6EEF">
      <w:pPr>
        <w:pStyle w:val="Bullet"/>
      </w:pPr>
      <w:r w:rsidRPr="007E0B77">
        <w:t xml:space="preserve">Provide swift responses to inappropriate </w:t>
      </w:r>
      <w:proofErr w:type="gramStart"/>
      <w:r w:rsidRPr="007E0B77">
        <w:t>behaviours</w:t>
      </w:r>
      <w:proofErr w:type="gramEnd"/>
      <w:r w:rsidRPr="007E0B77">
        <w:t xml:space="preserve"> </w:t>
      </w:r>
    </w:p>
    <w:p w14:paraId="76F69581" w14:textId="295A70CD" w:rsidR="00856269" w:rsidRPr="007E0B77" w:rsidRDefault="00EC57A5" w:rsidP="007E0B77">
      <w:pPr>
        <w:pStyle w:val="Bullet"/>
      </w:pPr>
      <w:r w:rsidRPr="007E0B77">
        <w:t xml:space="preserve">Review the design of our systems, tools, processes, and the ways we work together to ensure they are inclusive and </w:t>
      </w:r>
      <w:proofErr w:type="gramStart"/>
      <w:r w:rsidRPr="007E0B77">
        <w:t>considerate</w:t>
      </w:r>
      <w:proofErr w:type="gramEnd"/>
    </w:p>
    <w:p w14:paraId="087CFD2D" w14:textId="6BC82142" w:rsidR="00F20BD0" w:rsidRPr="007E0B77" w:rsidRDefault="00F20BD0" w:rsidP="00122C92">
      <w:pPr>
        <w:pStyle w:val="Heading2"/>
      </w:pPr>
      <w:r w:rsidRPr="007E0B77">
        <w:t>Success measures</w:t>
      </w:r>
    </w:p>
    <w:p w14:paraId="68972869" w14:textId="77777777" w:rsidR="00F20BD0" w:rsidRPr="007E0B77" w:rsidRDefault="00F20BD0" w:rsidP="007E0B77">
      <w:r w:rsidRPr="007E0B77">
        <w:t xml:space="preserve">Inclusion sentiment improve across all areas of diversity, as measured annually in the APS Census. </w:t>
      </w:r>
    </w:p>
    <w:p w14:paraId="73BD5A06" w14:textId="34C3B54A" w:rsidR="00F20BD0" w:rsidRPr="007E0B77" w:rsidRDefault="00F20BD0" w:rsidP="007E0B77">
      <w:r w:rsidRPr="007E0B77">
        <w:t>All staff undertake mandatory inclusion and diversity training</w:t>
      </w:r>
      <w:r w:rsidR="007A7E96">
        <w:t>.</w:t>
      </w:r>
    </w:p>
    <w:p w14:paraId="04BD8E5A" w14:textId="5C88F849" w:rsidR="00F20BD0" w:rsidRDefault="00F20BD0">
      <w:pPr>
        <w:spacing w:before="0" w:after="160" w:line="259" w:lineRule="auto"/>
      </w:pPr>
      <w:r>
        <w:br w:type="page"/>
      </w:r>
    </w:p>
    <w:p w14:paraId="0DA9DDDE" w14:textId="62865EF3" w:rsidR="00F20BD0" w:rsidRDefault="004212CE" w:rsidP="00925B68">
      <w:pPr>
        <w:pStyle w:val="Heading1"/>
      </w:pPr>
      <w:r>
        <w:lastRenderedPageBreak/>
        <w:t>Diverse workforce</w:t>
      </w:r>
    </w:p>
    <w:p w14:paraId="42DBB5B3" w14:textId="3D8D1145" w:rsidR="004212CE" w:rsidRPr="000A6EEF" w:rsidRDefault="004212CE" w:rsidP="000A6EEF">
      <w:r w:rsidRPr="000A6EEF">
        <w:t>We cultivate diversity within our workforce and focus on our people’s career development</w:t>
      </w:r>
      <w:r w:rsidR="00122C92">
        <w:t>.</w:t>
      </w:r>
    </w:p>
    <w:p w14:paraId="6CE28B21" w14:textId="77777777" w:rsidR="004212CE" w:rsidRPr="000A6EEF" w:rsidRDefault="004212CE" w:rsidP="00122C92">
      <w:pPr>
        <w:pStyle w:val="Heading2"/>
      </w:pPr>
      <w:r w:rsidRPr="000A6EEF">
        <w:t xml:space="preserve">Our objectives </w:t>
      </w:r>
    </w:p>
    <w:p w14:paraId="1E8FAD8D" w14:textId="6E78620A" w:rsidR="005C3B43" w:rsidRDefault="004212CE" w:rsidP="000A6EEF">
      <w:r w:rsidRPr="000A6EEF">
        <w:t xml:space="preserve">Treasury is an employer of choice for candidates and employees with a diversity of skills and backgrounds. </w:t>
      </w:r>
    </w:p>
    <w:p w14:paraId="32727150" w14:textId="5716BE4E" w:rsidR="004212CE" w:rsidRPr="000A6EEF" w:rsidRDefault="004212CE" w:rsidP="00122C92">
      <w:pPr>
        <w:pStyle w:val="Heading2"/>
      </w:pPr>
      <w:r w:rsidRPr="000A6EEF">
        <w:t xml:space="preserve">Our key actions </w:t>
      </w:r>
    </w:p>
    <w:p w14:paraId="76579F5C" w14:textId="2F4EC11C" w:rsidR="004212CE" w:rsidRPr="000A6EEF" w:rsidRDefault="004212CE" w:rsidP="005C3B43">
      <w:pPr>
        <w:pStyle w:val="Bullet"/>
      </w:pPr>
      <w:r w:rsidRPr="000A6EEF">
        <w:t xml:space="preserve">Ensure attraction practices actively encourage applications from people with a diversity of </w:t>
      </w:r>
      <w:proofErr w:type="gramStart"/>
      <w:r w:rsidRPr="000A6EEF">
        <w:t>backgrounds</w:t>
      </w:r>
      <w:proofErr w:type="gramEnd"/>
      <w:r w:rsidRPr="000A6EEF">
        <w:t xml:space="preserve"> </w:t>
      </w:r>
    </w:p>
    <w:p w14:paraId="3700D6EE" w14:textId="4144580C" w:rsidR="004212CE" w:rsidRPr="000A6EEF" w:rsidRDefault="004212CE" w:rsidP="005C3B43">
      <w:pPr>
        <w:pStyle w:val="Bullet"/>
      </w:pPr>
      <w:r w:rsidRPr="000A6EEF">
        <w:t xml:space="preserve">Ensure recruitment practices incorporate active consideration of </w:t>
      </w:r>
      <w:proofErr w:type="gramStart"/>
      <w:r w:rsidRPr="000A6EEF">
        <w:t>diversity</w:t>
      </w:r>
      <w:proofErr w:type="gramEnd"/>
      <w:r w:rsidRPr="000A6EEF">
        <w:t xml:space="preserve"> </w:t>
      </w:r>
    </w:p>
    <w:p w14:paraId="1C742052" w14:textId="50537FA8" w:rsidR="004212CE" w:rsidRPr="000A6EEF" w:rsidRDefault="004212CE" w:rsidP="005C3B43">
      <w:pPr>
        <w:pStyle w:val="Bullet"/>
      </w:pPr>
      <w:r w:rsidRPr="000A6EEF">
        <w:t xml:space="preserve">Establish a mentoring program to connect employees to senior </w:t>
      </w:r>
      <w:proofErr w:type="gramStart"/>
      <w:r w:rsidRPr="000A6EEF">
        <w:t>leaders</w:t>
      </w:r>
      <w:proofErr w:type="gramEnd"/>
    </w:p>
    <w:p w14:paraId="1492535A" w14:textId="3E7B8ECF" w:rsidR="004C74C1" w:rsidRPr="000A6EEF" w:rsidRDefault="004212CE" w:rsidP="000A6EEF">
      <w:pPr>
        <w:pStyle w:val="Bullet"/>
      </w:pPr>
      <w:r w:rsidRPr="000A6EEF">
        <w:t xml:space="preserve">Identify opportunities to support diversity throughout all levels of the workforce to ensure a pipeline of </w:t>
      </w:r>
      <w:proofErr w:type="gramStart"/>
      <w:r w:rsidRPr="000A6EEF">
        <w:t>talent</w:t>
      </w:r>
      <w:proofErr w:type="gramEnd"/>
      <w:r w:rsidRPr="000A6EEF">
        <w:t xml:space="preserve"> </w:t>
      </w:r>
    </w:p>
    <w:p w14:paraId="02EA8161" w14:textId="77777777" w:rsidR="004C74C1" w:rsidRPr="000A6EEF" w:rsidRDefault="004212CE" w:rsidP="00122C92">
      <w:pPr>
        <w:pStyle w:val="Heading2"/>
      </w:pPr>
      <w:r w:rsidRPr="000A6EEF">
        <w:t xml:space="preserve">Success measures </w:t>
      </w:r>
    </w:p>
    <w:p w14:paraId="379F28A4" w14:textId="77777777" w:rsidR="004C74C1" w:rsidRPr="000A6EEF" w:rsidRDefault="004212CE" w:rsidP="000A6EEF">
      <w:r w:rsidRPr="000A6EEF">
        <w:t xml:space="preserve">The workforce at all levels more closely represents the diversity of the Australian community, as measured annually in the APS Census. </w:t>
      </w:r>
    </w:p>
    <w:p w14:paraId="63339584" w14:textId="068BAE02" w:rsidR="004212CE" w:rsidRPr="000A6EEF" w:rsidRDefault="004212CE" w:rsidP="000A6EEF">
      <w:r w:rsidRPr="000A6EEF">
        <w:t>Treasury is viewed as an employer of choice, measured via participation in external benchmarking and awards.</w:t>
      </w:r>
    </w:p>
    <w:p w14:paraId="3556D204" w14:textId="13B4AF7C" w:rsidR="004C74C1" w:rsidRDefault="004C74C1">
      <w:pPr>
        <w:spacing w:before="0" w:after="160" w:line="259" w:lineRule="auto"/>
      </w:pPr>
      <w:r>
        <w:br w:type="page"/>
      </w:r>
    </w:p>
    <w:p w14:paraId="14CDD2AF" w14:textId="252283F3" w:rsidR="004C74C1" w:rsidRDefault="004C74C1" w:rsidP="00122C92">
      <w:pPr>
        <w:pStyle w:val="Heading1"/>
      </w:pPr>
      <w:r>
        <w:lastRenderedPageBreak/>
        <w:t>Strong leadership</w:t>
      </w:r>
    </w:p>
    <w:p w14:paraId="45E52300" w14:textId="2B7D23F8" w:rsidR="001343EC" w:rsidRPr="00122C92" w:rsidRDefault="001343EC" w:rsidP="00122C92">
      <w:r w:rsidRPr="00122C92">
        <w:t>Our leaders at all levels advocate and take accountability for inclusion and diversity</w:t>
      </w:r>
      <w:r w:rsidR="00122C92">
        <w:t>.</w:t>
      </w:r>
    </w:p>
    <w:p w14:paraId="1E235B94" w14:textId="77777777" w:rsidR="001343EC" w:rsidRPr="005C3B43" w:rsidRDefault="001343EC" w:rsidP="00122C92">
      <w:pPr>
        <w:pStyle w:val="Heading2"/>
      </w:pPr>
      <w:r w:rsidRPr="005C3B43">
        <w:t xml:space="preserve">Our objectives </w:t>
      </w:r>
    </w:p>
    <w:p w14:paraId="7E76E289" w14:textId="77777777" w:rsidR="001343EC" w:rsidRPr="005C3B43" w:rsidRDefault="001343EC" w:rsidP="005C3B43">
      <w:r w:rsidRPr="005C3B43">
        <w:t xml:space="preserve">Senior Leaders set the standard from the top, modelling inclusive behaviour and harnessing inclusive practices. </w:t>
      </w:r>
    </w:p>
    <w:p w14:paraId="410BF64A" w14:textId="6C1B52B9" w:rsidR="00B51983" w:rsidRPr="005C3B43" w:rsidRDefault="001343EC" w:rsidP="005C3B43">
      <w:r w:rsidRPr="005C3B43">
        <w:t xml:space="preserve">All leaders are effective champions of diverse and inclusive cultures. </w:t>
      </w:r>
    </w:p>
    <w:p w14:paraId="33679728" w14:textId="4C2EF8CF" w:rsidR="001343EC" w:rsidRPr="005C3B43" w:rsidRDefault="001343EC" w:rsidP="00122C92">
      <w:pPr>
        <w:pStyle w:val="Heading2"/>
      </w:pPr>
      <w:r w:rsidRPr="005C3B43">
        <w:t xml:space="preserve">Our key actions </w:t>
      </w:r>
    </w:p>
    <w:p w14:paraId="62FCDBD0" w14:textId="0F5FF4E6" w:rsidR="001343EC" w:rsidRPr="005C3B43" w:rsidRDefault="001343EC" w:rsidP="005C3B43">
      <w:pPr>
        <w:pStyle w:val="Bullet"/>
      </w:pPr>
      <w:r w:rsidRPr="005C3B43">
        <w:t xml:space="preserve">Ensure leadership capability training includes training on inclusive leadership </w:t>
      </w:r>
      <w:proofErr w:type="gramStart"/>
      <w:r w:rsidRPr="005C3B43">
        <w:t>practices</w:t>
      </w:r>
      <w:proofErr w:type="gramEnd"/>
      <w:r w:rsidRPr="005C3B43">
        <w:t xml:space="preserve"> </w:t>
      </w:r>
    </w:p>
    <w:p w14:paraId="7D2F43E3" w14:textId="368C6E96" w:rsidR="001343EC" w:rsidRPr="005C3B43" w:rsidRDefault="001343EC" w:rsidP="005C3B43">
      <w:pPr>
        <w:pStyle w:val="Bullet"/>
      </w:pPr>
      <w:r w:rsidRPr="005C3B43">
        <w:t xml:space="preserve">Embed diversity and inclusion in the performance system for </w:t>
      </w:r>
      <w:proofErr w:type="gramStart"/>
      <w:r w:rsidRPr="005C3B43">
        <w:t>leaders</w:t>
      </w:r>
      <w:proofErr w:type="gramEnd"/>
    </w:p>
    <w:p w14:paraId="2BA8FC06" w14:textId="5750554C" w:rsidR="001343EC" w:rsidRPr="005C3B43" w:rsidRDefault="001343EC" w:rsidP="005C3B43">
      <w:pPr>
        <w:pStyle w:val="Bullet"/>
      </w:pPr>
      <w:r w:rsidRPr="005C3B43">
        <w:t xml:space="preserve">Leaders are visible and active participants in inclusion and diversity </w:t>
      </w:r>
      <w:proofErr w:type="gramStart"/>
      <w:r w:rsidRPr="005C3B43">
        <w:t>initiatives</w:t>
      </w:r>
      <w:proofErr w:type="gramEnd"/>
      <w:r w:rsidRPr="005C3B43">
        <w:t xml:space="preserve"> </w:t>
      </w:r>
    </w:p>
    <w:p w14:paraId="6C5AD068" w14:textId="52ED35D8" w:rsidR="005C3B43" w:rsidRDefault="001343EC" w:rsidP="005C3B43">
      <w:pPr>
        <w:pStyle w:val="Bullet"/>
      </w:pPr>
      <w:r w:rsidRPr="005C3B43">
        <w:t xml:space="preserve">Leaders actively encourage staff participation in inclusion and diversity </w:t>
      </w:r>
      <w:proofErr w:type="gramStart"/>
      <w:r w:rsidRPr="005C3B43">
        <w:t>activities</w:t>
      </w:r>
      <w:proofErr w:type="gramEnd"/>
      <w:r w:rsidRPr="005C3B43">
        <w:t xml:space="preserve"> </w:t>
      </w:r>
    </w:p>
    <w:p w14:paraId="736765A5" w14:textId="4E4FF445" w:rsidR="001343EC" w:rsidRPr="005C3B43" w:rsidRDefault="001343EC" w:rsidP="00930AC0">
      <w:pPr>
        <w:pStyle w:val="Heading2"/>
      </w:pPr>
      <w:r w:rsidRPr="00930AC0">
        <w:t>Success</w:t>
      </w:r>
      <w:r w:rsidRPr="005C3B43">
        <w:t xml:space="preserve"> measures</w:t>
      </w:r>
    </w:p>
    <w:p w14:paraId="690FE286" w14:textId="77777777" w:rsidR="001343EC" w:rsidRPr="005C3B43" w:rsidRDefault="001343EC" w:rsidP="005C3B43">
      <w:r w:rsidRPr="005C3B43">
        <w:t xml:space="preserve">Leaders actively support and prioritise inclusion and diversity, measured annually in the APS Census. </w:t>
      </w:r>
    </w:p>
    <w:p w14:paraId="2B60FE14" w14:textId="40B87804" w:rsidR="00B51983" w:rsidRPr="005C3B43" w:rsidRDefault="001343EC" w:rsidP="005C3B43">
      <w:r w:rsidRPr="005C3B43">
        <w:t>Senior Executive and Executive level leaders are trained in and held accountable for inclusive leadership practices</w:t>
      </w:r>
      <w:r w:rsidR="00B51983" w:rsidRPr="005C3B43">
        <w:t>.</w:t>
      </w:r>
    </w:p>
    <w:p w14:paraId="0E57BAC6" w14:textId="5EB0F634" w:rsidR="00B51983" w:rsidRDefault="00B51983">
      <w:pPr>
        <w:spacing w:before="0" w:after="160" w:line="259" w:lineRule="auto"/>
      </w:pPr>
      <w:r>
        <w:br w:type="page"/>
      </w:r>
    </w:p>
    <w:p w14:paraId="45E210D1" w14:textId="6DEEFA52" w:rsidR="00B51983" w:rsidRDefault="00EE2EA4" w:rsidP="00925B68">
      <w:pPr>
        <w:pStyle w:val="Heading1"/>
      </w:pPr>
      <w:r>
        <w:lastRenderedPageBreak/>
        <w:t>Good governance</w:t>
      </w:r>
    </w:p>
    <w:p w14:paraId="7FFA580C" w14:textId="7918FB4B" w:rsidR="00EE2EA4" w:rsidRPr="005C3B43" w:rsidRDefault="00EE2EA4" w:rsidP="005C3B43">
      <w:r w:rsidRPr="005C3B43">
        <w:t>We work together to promote inclusion and diversity, with clear roles and governance</w:t>
      </w:r>
      <w:r w:rsidR="00930AC0">
        <w:t>.</w:t>
      </w:r>
    </w:p>
    <w:p w14:paraId="43DE3BDA" w14:textId="77777777" w:rsidR="00EE2EA4" w:rsidRPr="005C3B43" w:rsidRDefault="00EE2EA4" w:rsidP="00930AC0">
      <w:pPr>
        <w:pStyle w:val="Heading2"/>
      </w:pPr>
      <w:r w:rsidRPr="005C3B43">
        <w:t xml:space="preserve">Our objectives </w:t>
      </w:r>
    </w:p>
    <w:p w14:paraId="6064F3DE" w14:textId="77777777" w:rsidR="00EE2EA4" w:rsidRPr="005C3B43" w:rsidRDefault="00EE2EA4" w:rsidP="005C3B43">
      <w:r w:rsidRPr="005C3B43">
        <w:t xml:space="preserve">Understanding and clarity of role, responsibilities and accountabilities enables effective implementation of the Strategy. </w:t>
      </w:r>
    </w:p>
    <w:p w14:paraId="3FD8604A" w14:textId="5FB6AB72" w:rsidR="005C3B43" w:rsidRDefault="00EE2EA4" w:rsidP="005C3B43">
      <w:r w:rsidRPr="005C3B43">
        <w:t xml:space="preserve">Decisions are informed by best practice and are evidence-based. </w:t>
      </w:r>
    </w:p>
    <w:p w14:paraId="2957C38E" w14:textId="2C61D295" w:rsidR="00EE2EA4" w:rsidRPr="005C3B43" w:rsidRDefault="00EE2EA4" w:rsidP="00930AC0">
      <w:pPr>
        <w:pStyle w:val="Heading2"/>
      </w:pPr>
      <w:r w:rsidRPr="005C3B43">
        <w:t xml:space="preserve">Our key actions </w:t>
      </w:r>
    </w:p>
    <w:p w14:paraId="02C8B767" w14:textId="773AB213" w:rsidR="00EE2EA4" w:rsidRPr="00930AC0" w:rsidRDefault="00EE2EA4" w:rsidP="00930AC0">
      <w:pPr>
        <w:pStyle w:val="Bullet"/>
      </w:pPr>
      <w:r w:rsidRPr="005C3B43">
        <w:t xml:space="preserve">The </w:t>
      </w:r>
      <w:r w:rsidRPr="00930AC0">
        <w:t xml:space="preserve">Executive Board, supported by the People and Inclusion Committee, will set, champion, and implement the strategic direction for inclusion and diversity within </w:t>
      </w:r>
      <w:proofErr w:type="gramStart"/>
      <w:r w:rsidRPr="00930AC0">
        <w:t>Treasury</w:t>
      </w:r>
      <w:proofErr w:type="gramEnd"/>
      <w:r w:rsidRPr="00930AC0">
        <w:t xml:space="preserve"> </w:t>
      </w:r>
    </w:p>
    <w:p w14:paraId="5D3E7714" w14:textId="779AEADA" w:rsidR="00EE2EA4" w:rsidRPr="00930AC0" w:rsidRDefault="00EE2EA4" w:rsidP="00930AC0">
      <w:pPr>
        <w:pStyle w:val="Bullet"/>
      </w:pPr>
      <w:r w:rsidRPr="00930AC0">
        <w:t xml:space="preserve">People and Organisational Strategy Branch will deliver on the key actions of the Strategy and report progress to the Executive committees </w:t>
      </w:r>
      <w:proofErr w:type="gramStart"/>
      <w:r w:rsidRPr="00930AC0">
        <w:t>annually</w:t>
      </w:r>
      <w:proofErr w:type="gramEnd"/>
      <w:r w:rsidRPr="00930AC0">
        <w:t xml:space="preserve"> </w:t>
      </w:r>
    </w:p>
    <w:p w14:paraId="3F96B5B1" w14:textId="3DEFD07E" w:rsidR="00EE2EA4" w:rsidRPr="00930AC0" w:rsidRDefault="00EE2EA4" w:rsidP="00930AC0">
      <w:pPr>
        <w:pStyle w:val="Bullet"/>
      </w:pPr>
      <w:r w:rsidRPr="00930AC0">
        <w:t xml:space="preserve">The employee-led networks will work collaboratively and in alignment with strategic direction to deliver actions to enhance inclusion and </w:t>
      </w:r>
      <w:proofErr w:type="gramStart"/>
      <w:r w:rsidRPr="00930AC0">
        <w:t>diversity</w:t>
      </w:r>
      <w:proofErr w:type="gramEnd"/>
      <w:r w:rsidRPr="00930AC0">
        <w:t xml:space="preserve"> </w:t>
      </w:r>
    </w:p>
    <w:p w14:paraId="5657D067" w14:textId="2D15D78F" w:rsidR="00EE2EA4" w:rsidRPr="00930AC0" w:rsidRDefault="00EE2EA4" w:rsidP="00930AC0">
      <w:pPr>
        <w:pStyle w:val="Bullet"/>
      </w:pPr>
      <w:r w:rsidRPr="00930AC0">
        <w:t xml:space="preserve">Implement an annual Treasury Diversity and Inclusion Survey that informs/supports organisational and network action </w:t>
      </w:r>
      <w:proofErr w:type="gramStart"/>
      <w:r w:rsidRPr="00930AC0">
        <w:t>plans</w:t>
      </w:r>
      <w:proofErr w:type="gramEnd"/>
      <w:r w:rsidRPr="00930AC0">
        <w:t xml:space="preserve"> </w:t>
      </w:r>
    </w:p>
    <w:p w14:paraId="7AA8C179" w14:textId="2ABAB7F7" w:rsidR="009E31E6" w:rsidRPr="005C3B43" w:rsidRDefault="00EE2EA4" w:rsidP="00930AC0">
      <w:pPr>
        <w:pStyle w:val="Bullet"/>
      </w:pPr>
      <w:r w:rsidRPr="00930AC0">
        <w:t>Regularly analyse and</w:t>
      </w:r>
      <w:r w:rsidRPr="005C3B43">
        <w:t xml:space="preserve"> report on diversity and inclusion data in a consistent manner </w:t>
      </w:r>
    </w:p>
    <w:p w14:paraId="55334BC9" w14:textId="77777777" w:rsidR="009E31E6" w:rsidRPr="005C3B43" w:rsidRDefault="00EE2EA4" w:rsidP="00930AC0">
      <w:pPr>
        <w:pStyle w:val="Heading2"/>
      </w:pPr>
      <w:r w:rsidRPr="005C3B43">
        <w:t xml:space="preserve">Success measures </w:t>
      </w:r>
    </w:p>
    <w:p w14:paraId="591695C3" w14:textId="77777777" w:rsidR="009E31E6" w:rsidRPr="005C3B43" w:rsidRDefault="00EE2EA4" w:rsidP="005C3B43">
      <w:r w:rsidRPr="005C3B43">
        <w:t xml:space="preserve">Senior Executive leaders have meaningful data to inform decision making through regular dashboard reporting of key metrics. </w:t>
      </w:r>
    </w:p>
    <w:p w14:paraId="2DAC1335" w14:textId="77777777" w:rsidR="009E31E6" w:rsidRPr="005C3B43" w:rsidRDefault="00EE2EA4" w:rsidP="005C3B43">
      <w:r w:rsidRPr="005C3B43">
        <w:t xml:space="preserve">The Inclusion and Diversity Strategy is delivered through collaboration based on clarity of roles and responsibilities. </w:t>
      </w:r>
    </w:p>
    <w:p w14:paraId="45C277E0" w14:textId="0CD9660D" w:rsidR="009E31E6" w:rsidRDefault="00EE2EA4" w:rsidP="005C3B43">
      <w:r w:rsidRPr="005C3B43">
        <w:t>Progress of the Strategy is reviewed by the Executive Committees annually</w:t>
      </w:r>
      <w:r w:rsidR="009E31E6">
        <w:t>.</w:t>
      </w:r>
    </w:p>
    <w:p w14:paraId="0B2CC789" w14:textId="77777777" w:rsidR="009E31E6" w:rsidRDefault="009E31E6">
      <w:pPr>
        <w:spacing w:before="0" w:after="160" w:line="259" w:lineRule="auto"/>
      </w:pPr>
      <w:r>
        <w:br w:type="page"/>
      </w:r>
    </w:p>
    <w:p w14:paraId="50815652" w14:textId="73163547" w:rsidR="00EE2EA4" w:rsidRDefault="00AE0448" w:rsidP="00D7348A">
      <w:pPr>
        <w:pStyle w:val="Heading1"/>
      </w:pPr>
      <w:r>
        <w:lastRenderedPageBreak/>
        <w:t>Our inclusion and diversity pillars</w:t>
      </w:r>
    </w:p>
    <w:p w14:paraId="79302A8A" w14:textId="77777777" w:rsidR="00AE0448" w:rsidRPr="00930AC0" w:rsidRDefault="00AE0448" w:rsidP="00557F89">
      <w:pPr>
        <w:rPr>
          <w:rStyle w:val="Strong"/>
        </w:rPr>
      </w:pPr>
      <w:r w:rsidRPr="00930AC0">
        <w:rPr>
          <w:rStyle w:val="Strong"/>
        </w:rPr>
        <w:t xml:space="preserve">There is considerable commitment and engagement at all levels in Treasury about inclusion and diversity. </w:t>
      </w:r>
    </w:p>
    <w:p w14:paraId="7A783139" w14:textId="77777777" w:rsidR="006A4FB5" w:rsidRPr="005B2A39" w:rsidRDefault="00AE0448" w:rsidP="00557F89">
      <w:r w:rsidRPr="005B2A39">
        <w:t xml:space="preserve">The employee-led diversity networks have a key role in delivering Treasury’s diversity and inclusion agenda. Our networks are vital in driving Treasury’s success in making meaningful change and improvements to our organisation. In addition to providing safe and supportive spaces for employees from diverse groups to connect and discuss issues, they actively identify and contribute to work that increases diversity awareness, understanding and capability and are key consultation points. </w:t>
      </w:r>
    </w:p>
    <w:p w14:paraId="59F022DB" w14:textId="03E7941D" w:rsidR="00AE0448" w:rsidRDefault="00AE0448" w:rsidP="00557F89">
      <w:r w:rsidRPr="005B2A39">
        <w:t>In addition to our goals, we will focus on prioritised initiatives to better support employees who experience specific barriers to inclusion and continue to acknowledge and celebrate the most significant days of each diversity group.</w:t>
      </w:r>
    </w:p>
    <w:p w14:paraId="6629E00B" w14:textId="428AC452" w:rsidR="00930AC0" w:rsidRDefault="00930AC0" w:rsidP="00930AC0">
      <w:pPr>
        <w:pStyle w:val="Heading2"/>
      </w:pPr>
      <w:r w:rsidRPr="00930AC0">
        <w:t>Some key priorities for each of our pillars are:</w:t>
      </w:r>
    </w:p>
    <w:p w14:paraId="609A4EB6" w14:textId="36EE1D84" w:rsidR="00930AC0" w:rsidRDefault="00930AC0" w:rsidP="00930AC0">
      <w:pPr>
        <w:pStyle w:val="Heading3"/>
      </w:pPr>
      <w:r>
        <w:t>Aboriginal and/or Torres Strait Islander peoples</w:t>
      </w:r>
    </w:p>
    <w:p w14:paraId="76B2E6FE" w14:textId="77777777" w:rsidR="00930AC0" w:rsidRPr="00930AC0" w:rsidRDefault="00930AC0" w:rsidP="00930AC0">
      <w:pPr>
        <w:pStyle w:val="Bullet"/>
      </w:pPr>
      <w:r w:rsidRPr="00930AC0">
        <w:t xml:space="preserve">Create a supportive and welcoming environment that enables Aboriginal and Torres Strait Islander employees to develop and contribute while maintaining identity. </w:t>
      </w:r>
    </w:p>
    <w:p w14:paraId="4854A55E" w14:textId="5218748D" w:rsidR="00930AC0" w:rsidRPr="00930AC0" w:rsidRDefault="00930AC0" w:rsidP="00930AC0">
      <w:pPr>
        <w:pStyle w:val="Bullet"/>
      </w:pPr>
      <w:r w:rsidRPr="00930AC0">
        <w:t xml:space="preserve">Enhance cultural knowledge, understanding and awareness and integrate this into the work of Treasury. </w:t>
      </w:r>
    </w:p>
    <w:p w14:paraId="67EF0FD1" w14:textId="354821D9" w:rsidR="00930AC0" w:rsidRDefault="00930AC0" w:rsidP="00930AC0">
      <w:pPr>
        <w:pStyle w:val="Bullet"/>
      </w:pPr>
      <w:r w:rsidRPr="00930AC0">
        <w:t>Identify and implement initiatives to improve the participation, progression and retention of Aboriginal and Torres Strait Islander employees in the Treasury workforce.</w:t>
      </w:r>
    </w:p>
    <w:p w14:paraId="2B4751A2" w14:textId="550199D8" w:rsidR="00930AC0" w:rsidRDefault="00930AC0" w:rsidP="00930AC0">
      <w:pPr>
        <w:pStyle w:val="Heading3"/>
      </w:pPr>
      <w:r w:rsidRPr="00930AC0">
        <w:t>Cultural and Linguistic Diversity</w:t>
      </w:r>
    </w:p>
    <w:p w14:paraId="2F9C5B9E" w14:textId="77777777" w:rsidR="00930AC0" w:rsidRPr="00930AC0" w:rsidRDefault="00930AC0" w:rsidP="00930AC0">
      <w:pPr>
        <w:pStyle w:val="Bullet"/>
      </w:pPr>
      <w:r w:rsidRPr="00930AC0">
        <w:t xml:space="preserve">Improve the visibility and representation of cultural diversity within the senior leadership of Treasury. </w:t>
      </w:r>
    </w:p>
    <w:p w14:paraId="1C737EA3" w14:textId="1881A827" w:rsidR="00930AC0" w:rsidRPr="00930AC0" w:rsidRDefault="00930AC0" w:rsidP="00930AC0">
      <w:pPr>
        <w:pStyle w:val="Bullet"/>
      </w:pPr>
      <w:r w:rsidRPr="00930AC0">
        <w:t xml:space="preserve">Align data collection and information gathering about cultural diversity with emerging good practice methods. </w:t>
      </w:r>
    </w:p>
    <w:p w14:paraId="3977E1C4" w14:textId="76A718BE" w:rsidR="00930AC0" w:rsidRDefault="00930AC0" w:rsidP="00930AC0">
      <w:pPr>
        <w:pStyle w:val="Bullet"/>
      </w:pPr>
      <w:r w:rsidRPr="00930AC0">
        <w:t>Address barriers to recruitment and career advancement for employees who identify as culturally and linguistically diverse.</w:t>
      </w:r>
    </w:p>
    <w:p w14:paraId="036D1AC0" w14:textId="1E5251DA" w:rsidR="00930AC0" w:rsidRDefault="00930AC0" w:rsidP="00930AC0">
      <w:pPr>
        <w:pStyle w:val="Heading3"/>
      </w:pPr>
      <w:r>
        <w:t>Diversity of Experience and Working Style</w:t>
      </w:r>
    </w:p>
    <w:p w14:paraId="26DA3C3F" w14:textId="77777777" w:rsidR="00930AC0" w:rsidRPr="00930AC0" w:rsidRDefault="00930AC0" w:rsidP="00930AC0">
      <w:pPr>
        <w:pStyle w:val="Bullet"/>
      </w:pPr>
      <w:r w:rsidRPr="00930AC0">
        <w:t xml:space="preserve">Encourage and reward people for visibly demonstrating Treasury’s leadership behaviours of teamwork, collaboration and contributing in different or inclusive ways. </w:t>
      </w:r>
    </w:p>
    <w:p w14:paraId="1D4614DB" w14:textId="757584FA" w:rsidR="00930AC0" w:rsidRPr="00930AC0" w:rsidRDefault="00930AC0" w:rsidP="00930AC0">
      <w:pPr>
        <w:pStyle w:val="Bullet"/>
      </w:pPr>
      <w:r w:rsidRPr="00930AC0">
        <w:t xml:space="preserve">Strengthen connections across different Treasury divisions, groups and Canberra and State Office locations through initiatives that support internal networking and collaboration. </w:t>
      </w:r>
    </w:p>
    <w:p w14:paraId="249AD27A" w14:textId="70080AE5" w:rsidR="00930AC0" w:rsidRPr="00930AC0" w:rsidRDefault="00930AC0" w:rsidP="00930AC0">
      <w:pPr>
        <w:pStyle w:val="Bullet"/>
      </w:pPr>
      <w:r w:rsidRPr="00930AC0">
        <w:t xml:space="preserve">Continue to recruit and retain diverse set of skills, capabilities and experience to ensure Treasury effectively fulfils its functions and enhance stakeholder engagement. </w:t>
      </w:r>
    </w:p>
    <w:p w14:paraId="571AC96C" w14:textId="47C38B0E" w:rsidR="00930AC0" w:rsidRDefault="00930AC0" w:rsidP="00930AC0">
      <w:pPr>
        <w:pStyle w:val="Bullet"/>
      </w:pPr>
      <w:r w:rsidRPr="00930AC0">
        <w:t>Create a conducive work environment that supports the inclusion of neurodiverse employees and embraces different working styles.</w:t>
      </w:r>
    </w:p>
    <w:p w14:paraId="33BA8495" w14:textId="3A752F43" w:rsidR="00930AC0" w:rsidRDefault="00930AC0" w:rsidP="00930AC0">
      <w:pPr>
        <w:pStyle w:val="Heading3"/>
      </w:pPr>
      <w:r w:rsidRPr="00930AC0">
        <w:lastRenderedPageBreak/>
        <w:t>Gender Equality</w:t>
      </w:r>
    </w:p>
    <w:p w14:paraId="0A43C995" w14:textId="77777777" w:rsidR="00930AC0" w:rsidRPr="00930AC0" w:rsidRDefault="00930AC0" w:rsidP="00930AC0">
      <w:pPr>
        <w:pStyle w:val="Bullet"/>
      </w:pPr>
      <w:r w:rsidRPr="00930AC0">
        <w:t xml:space="preserve">Ensure women are equally represented, progressed, valued and rewarded across Treasury through improved tools and processes, and mentoring, sponsorship and coaching programs. </w:t>
      </w:r>
    </w:p>
    <w:p w14:paraId="659903E9" w14:textId="5D586014" w:rsidR="00930AC0" w:rsidRPr="00930AC0" w:rsidRDefault="00930AC0" w:rsidP="00930AC0">
      <w:pPr>
        <w:pStyle w:val="Bullet"/>
      </w:pPr>
      <w:r w:rsidRPr="00930AC0">
        <w:t xml:space="preserve">Continue to support the career progression of women to sustain a leadership pipeline. </w:t>
      </w:r>
    </w:p>
    <w:p w14:paraId="3CA2E02D" w14:textId="381805F2" w:rsidR="00930AC0" w:rsidRDefault="00930AC0" w:rsidP="00930AC0">
      <w:pPr>
        <w:pStyle w:val="Bullet"/>
      </w:pPr>
      <w:r w:rsidRPr="00930AC0">
        <w:t>Embed a gender inclusive culture through training, awareness-raising and promoting flexible work for everybody.</w:t>
      </w:r>
    </w:p>
    <w:p w14:paraId="0CA8E4CB" w14:textId="7B811EC7" w:rsidR="00930AC0" w:rsidRDefault="00930AC0" w:rsidP="00930AC0">
      <w:pPr>
        <w:pStyle w:val="Heading3"/>
      </w:pPr>
      <w:r w:rsidRPr="00930AC0">
        <w:t>Lesbian, Gay, Bisexual, Transgender, Intersex, Queer, and other sexuality, gender, and bodily diverse people (LGBTIQ+)</w:t>
      </w:r>
    </w:p>
    <w:p w14:paraId="5574DA65" w14:textId="77777777" w:rsidR="00930AC0" w:rsidRPr="00930AC0" w:rsidRDefault="00930AC0" w:rsidP="00930AC0">
      <w:pPr>
        <w:pStyle w:val="Bullet"/>
      </w:pPr>
      <w:r w:rsidRPr="00930AC0">
        <w:t xml:space="preserve">Promote a culture in which the LGBTIQ+ community feel valued at work by participating in the AWEI and driving sustained improvement. </w:t>
      </w:r>
    </w:p>
    <w:p w14:paraId="7EEB4408" w14:textId="4607ED11" w:rsidR="00930AC0" w:rsidRPr="00930AC0" w:rsidRDefault="00930AC0" w:rsidP="00930AC0">
      <w:pPr>
        <w:pStyle w:val="Bullet"/>
      </w:pPr>
      <w:r w:rsidRPr="00930AC0">
        <w:t xml:space="preserve">Produce educational and awareness raising resources to support LGBTIQ+ inclusive practices and active allyship. </w:t>
      </w:r>
    </w:p>
    <w:p w14:paraId="2386B5F3" w14:textId="797D6797" w:rsidR="00930AC0" w:rsidRDefault="00930AC0" w:rsidP="00930AC0">
      <w:pPr>
        <w:pStyle w:val="Bullet"/>
      </w:pPr>
      <w:r w:rsidRPr="00930AC0">
        <w:t>Develop Gender Affirmation Guidelines and other resources to support the inclusion of transgender and gender diverse employees.</w:t>
      </w:r>
    </w:p>
    <w:p w14:paraId="3E1E9184" w14:textId="77777777" w:rsidR="004C03F3" w:rsidRPr="004C03F3" w:rsidRDefault="004C03F3" w:rsidP="004C03F3">
      <w:pPr>
        <w:pStyle w:val="Heading3"/>
      </w:pPr>
      <w:r w:rsidRPr="004C03F3">
        <w:t xml:space="preserve">People Living with Disability </w:t>
      </w:r>
    </w:p>
    <w:p w14:paraId="35C1468D" w14:textId="5897CEBF" w:rsidR="004C03F3" w:rsidRPr="004C03F3" w:rsidRDefault="004C03F3" w:rsidP="004C03F3">
      <w:pPr>
        <w:pStyle w:val="Bullet"/>
      </w:pPr>
      <w:r w:rsidRPr="004C03F3">
        <w:t xml:space="preserve">Improve access to reasonable adjustments and flexible ways of working to enable full participation at work. </w:t>
      </w:r>
    </w:p>
    <w:p w14:paraId="52BC61A5" w14:textId="78FDEC3A" w:rsidR="004C03F3" w:rsidRPr="004C03F3" w:rsidRDefault="004C03F3" w:rsidP="004C03F3">
      <w:pPr>
        <w:pStyle w:val="Bullet"/>
      </w:pPr>
      <w:r w:rsidRPr="004C03F3">
        <w:t xml:space="preserve">Improve the visibility and representation of people who are living with disability, have disability related caring arrangements and increase the participation of neurodiverse people in the workforce. </w:t>
      </w:r>
    </w:p>
    <w:p w14:paraId="5AFC12E0" w14:textId="487926A8" w:rsidR="00930AC0" w:rsidRDefault="004C03F3" w:rsidP="004C03F3">
      <w:pPr>
        <w:pStyle w:val="Bullet"/>
      </w:pPr>
      <w:r w:rsidRPr="004C03F3">
        <w:t xml:space="preserve">Reduce stigma and reinforce inclusive practices to support employee mental health and wellbeing through training, resources and </w:t>
      </w:r>
      <w:proofErr w:type="gramStart"/>
      <w:r w:rsidRPr="004C03F3">
        <w:t>story-telling</w:t>
      </w:r>
      <w:proofErr w:type="gramEnd"/>
      <w:r w:rsidRPr="004C03F3">
        <w:t>.</w:t>
      </w:r>
    </w:p>
    <w:p w14:paraId="18179411" w14:textId="39C8310E" w:rsidR="003151E0" w:rsidRDefault="003151E0">
      <w:pPr>
        <w:spacing w:before="0" w:after="160" w:line="259" w:lineRule="auto"/>
      </w:pPr>
      <w:r>
        <w:br w:type="page"/>
      </w:r>
    </w:p>
    <w:p w14:paraId="10752338" w14:textId="2AB71CE4" w:rsidR="006A4FB5" w:rsidRDefault="00A8043A" w:rsidP="00A8043A">
      <w:pPr>
        <w:pStyle w:val="Heading1"/>
      </w:pPr>
      <w:r>
        <w:lastRenderedPageBreak/>
        <w:t>How you can help implement the strategy</w:t>
      </w:r>
    </w:p>
    <w:p w14:paraId="04679A4B" w14:textId="77777777" w:rsidR="00A8043A" w:rsidRDefault="00A8043A" w:rsidP="004C03F3">
      <w:pPr>
        <w:pStyle w:val="Heading2"/>
      </w:pPr>
      <w:r>
        <w:t>All Treasury employees</w:t>
      </w:r>
    </w:p>
    <w:p w14:paraId="1596F36F" w14:textId="77777777" w:rsidR="00A8043A" w:rsidRDefault="00A8043A" w:rsidP="004C03F3">
      <w:pPr>
        <w:pStyle w:val="Heading3"/>
      </w:pPr>
      <w:r>
        <w:t xml:space="preserve">What employees can </w:t>
      </w:r>
      <w:proofErr w:type="gramStart"/>
      <w:r>
        <w:t>do</w:t>
      </w:r>
      <w:proofErr w:type="gramEnd"/>
    </w:p>
    <w:p w14:paraId="5B05A80A" w14:textId="11A4E6DF" w:rsidR="00A8043A" w:rsidRPr="004C03F3" w:rsidRDefault="00A8043A" w:rsidP="004C03F3">
      <w:pPr>
        <w:pStyle w:val="Bullet"/>
      </w:pPr>
      <w:r>
        <w:t xml:space="preserve">Actively </w:t>
      </w:r>
      <w:r w:rsidRPr="004C03F3">
        <w:t xml:space="preserve">seek and consider a diverse range of perspectives to inform day-to-day </w:t>
      </w:r>
      <w:proofErr w:type="gramStart"/>
      <w:r w:rsidRPr="004C03F3">
        <w:t>work</w:t>
      </w:r>
      <w:proofErr w:type="gramEnd"/>
    </w:p>
    <w:p w14:paraId="030C62C0" w14:textId="1884D1B7" w:rsidR="00A8043A" w:rsidRPr="004C03F3" w:rsidRDefault="00A8043A" w:rsidP="004C03F3">
      <w:pPr>
        <w:pStyle w:val="Bullet"/>
      </w:pPr>
      <w:r w:rsidRPr="004C03F3">
        <w:t>Actively practice inclusive behaviours and report, or constructively challenge, non-inclusive behaviour</w:t>
      </w:r>
    </w:p>
    <w:p w14:paraId="0D350E6F" w14:textId="3602E32F" w:rsidR="00A8043A" w:rsidRPr="004C03F3" w:rsidRDefault="00A8043A" w:rsidP="004C03F3">
      <w:pPr>
        <w:pStyle w:val="Bullet"/>
      </w:pPr>
      <w:r w:rsidRPr="004C03F3">
        <w:t xml:space="preserve">Get involved in a diversity network and participate in inclusion and diversity initiatives and </w:t>
      </w:r>
      <w:proofErr w:type="gramStart"/>
      <w:r w:rsidRPr="004C03F3">
        <w:t>events</w:t>
      </w:r>
      <w:proofErr w:type="gramEnd"/>
    </w:p>
    <w:p w14:paraId="4C5E1567" w14:textId="328263E8" w:rsidR="00A8043A" w:rsidRPr="004C03F3" w:rsidRDefault="00A8043A" w:rsidP="00EE021C">
      <w:pPr>
        <w:pStyle w:val="Bullet"/>
      </w:pPr>
      <w:r w:rsidRPr="004C03F3">
        <w:t xml:space="preserve">Participate in learning opportunities to build your awareness and understanding of inclusion and diversity </w:t>
      </w:r>
      <w:proofErr w:type="gramStart"/>
      <w:r w:rsidRPr="004C03F3">
        <w:t>issues</w:t>
      </w:r>
      <w:proofErr w:type="gramEnd"/>
    </w:p>
    <w:p w14:paraId="5067FB0A" w14:textId="267CD65B" w:rsidR="00A8043A" w:rsidRPr="004C03F3" w:rsidRDefault="00A8043A" w:rsidP="004C03F3">
      <w:pPr>
        <w:pStyle w:val="Bullet"/>
      </w:pPr>
      <w:r w:rsidRPr="004C03F3">
        <w:t xml:space="preserve">Take time to understand the experience of others and engage with empathy and </w:t>
      </w:r>
      <w:proofErr w:type="gramStart"/>
      <w:r w:rsidRPr="004C03F3">
        <w:t>respect</w:t>
      </w:r>
      <w:proofErr w:type="gramEnd"/>
    </w:p>
    <w:p w14:paraId="3E38DC34" w14:textId="1BE03BF8" w:rsidR="00A8043A" w:rsidRPr="004C03F3" w:rsidRDefault="00A8043A" w:rsidP="007A7E96">
      <w:pPr>
        <w:pStyle w:val="Bullet"/>
      </w:pPr>
      <w:r w:rsidRPr="004C03F3">
        <w:t xml:space="preserve">Update your equity and diversity details in Treasury’s HR system, Aurion ESS, to enable a better understanding of our workforce and tailor services and </w:t>
      </w:r>
      <w:proofErr w:type="gramStart"/>
      <w:r w:rsidRPr="004C03F3">
        <w:t>support</w:t>
      </w:r>
      <w:proofErr w:type="gramEnd"/>
    </w:p>
    <w:p w14:paraId="6EB2C762" w14:textId="7E1FABB6" w:rsidR="00A8043A" w:rsidRDefault="00A8043A" w:rsidP="00A8043A">
      <w:pPr>
        <w:pStyle w:val="Bullet"/>
      </w:pPr>
      <w:r w:rsidRPr="004C03F3">
        <w:t>Share stories and experiences</w:t>
      </w:r>
      <w:r>
        <w:t xml:space="preserve"> to contribute to inclusion and diversity in </w:t>
      </w:r>
      <w:proofErr w:type="gramStart"/>
      <w:r>
        <w:t>Treasury</w:t>
      </w:r>
      <w:proofErr w:type="gramEnd"/>
    </w:p>
    <w:p w14:paraId="7A678F3B" w14:textId="08D1ABA6" w:rsidR="00A8043A" w:rsidRDefault="00A8043A" w:rsidP="004C03F3">
      <w:pPr>
        <w:pStyle w:val="Heading3"/>
      </w:pPr>
      <w:r>
        <w:t>How employees are supported</w:t>
      </w:r>
    </w:p>
    <w:p w14:paraId="71EED725" w14:textId="396DB76A" w:rsidR="00A8043A" w:rsidRPr="004C03F3" w:rsidRDefault="00A8043A" w:rsidP="004C03F3">
      <w:pPr>
        <w:pStyle w:val="Bullet"/>
      </w:pPr>
      <w:r>
        <w:t xml:space="preserve">Training and </w:t>
      </w:r>
      <w:r w:rsidRPr="004C03F3">
        <w:t xml:space="preserve">resources to equip you to work in inclusive </w:t>
      </w:r>
      <w:proofErr w:type="gramStart"/>
      <w:r w:rsidRPr="004C03F3">
        <w:t>ways</w:t>
      </w:r>
      <w:proofErr w:type="gramEnd"/>
    </w:p>
    <w:p w14:paraId="72C0AB70" w14:textId="467CC9B1" w:rsidR="00A8043A" w:rsidRPr="004C03F3" w:rsidRDefault="00A8043A" w:rsidP="004C03F3">
      <w:pPr>
        <w:pStyle w:val="Bullet"/>
      </w:pPr>
      <w:r w:rsidRPr="004C03F3">
        <w:t xml:space="preserve">Access and opportunities for you to participate in employee </w:t>
      </w:r>
      <w:proofErr w:type="gramStart"/>
      <w:r w:rsidRPr="004C03F3">
        <w:t>networks</w:t>
      </w:r>
      <w:proofErr w:type="gramEnd"/>
    </w:p>
    <w:p w14:paraId="5139644A" w14:textId="631F2F5F" w:rsidR="00FD1A37" w:rsidRDefault="00A8043A" w:rsidP="004C03F3">
      <w:pPr>
        <w:pStyle w:val="Bullet"/>
      </w:pPr>
      <w:r w:rsidRPr="004C03F3">
        <w:t>People policies, accommodation</w:t>
      </w:r>
      <w:r>
        <w:t xml:space="preserve"> and IT that reflects and supports a more diverse range of </w:t>
      </w:r>
      <w:proofErr w:type="gramStart"/>
      <w:r>
        <w:t>needs</w:t>
      </w:r>
      <w:proofErr w:type="gramEnd"/>
    </w:p>
    <w:p w14:paraId="3E693D95" w14:textId="77777777" w:rsidR="00FD1A37" w:rsidRDefault="00FD1A37">
      <w:pPr>
        <w:spacing w:before="0" w:after="160" w:line="259" w:lineRule="auto"/>
      </w:pPr>
      <w:r>
        <w:br w:type="page"/>
      </w:r>
    </w:p>
    <w:p w14:paraId="2101F4F5" w14:textId="106E7E73" w:rsidR="00FD1A37" w:rsidRDefault="00AF71CD" w:rsidP="00901550">
      <w:pPr>
        <w:pStyle w:val="Heading1"/>
      </w:pPr>
      <w:r>
        <w:lastRenderedPageBreak/>
        <w:t>How managers can help implement the strategy</w:t>
      </w:r>
    </w:p>
    <w:p w14:paraId="0C358CDF" w14:textId="77777777" w:rsidR="00901550" w:rsidRDefault="00901550" w:rsidP="004C03F3">
      <w:pPr>
        <w:pStyle w:val="Heading2"/>
      </w:pPr>
      <w:r>
        <w:t>Managers</w:t>
      </w:r>
    </w:p>
    <w:p w14:paraId="7D69F431" w14:textId="77777777" w:rsidR="00901550" w:rsidRDefault="00901550" w:rsidP="004C03F3">
      <w:pPr>
        <w:pStyle w:val="Heading3"/>
      </w:pPr>
      <w:r>
        <w:t xml:space="preserve">What managers can </w:t>
      </w:r>
      <w:proofErr w:type="gramStart"/>
      <w:r>
        <w:t>do</w:t>
      </w:r>
      <w:proofErr w:type="gramEnd"/>
    </w:p>
    <w:p w14:paraId="64C9E9F2" w14:textId="0D00AAE5" w:rsidR="00901550" w:rsidRDefault="00901550" w:rsidP="00901550">
      <w:pPr>
        <w:pStyle w:val="Bullet"/>
      </w:pPr>
      <w:r>
        <w:t xml:space="preserve">Set a positive example for your team by demonstrating inclusive </w:t>
      </w:r>
      <w:proofErr w:type="gramStart"/>
      <w:r>
        <w:t>behaviours</w:t>
      </w:r>
      <w:proofErr w:type="gramEnd"/>
    </w:p>
    <w:p w14:paraId="50F336C0" w14:textId="46220074" w:rsidR="00901550" w:rsidRDefault="00901550" w:rsidP="00901550">
      <w:pPr>
        <w:pStyle w:val="Bullet"/>
      </w:pPr>
      <w:r>
        <w:t xml:space="preserve">Encourage and support your team members to actively contribute to inclusion activities and initiatives, by participating in events, surveys or employee </w:t>
      </w:r>
      <w:proofErr w:type="gramStart"/>
      <w:r>
        <w:t>networks</w:t>
      </w:r>
      <w:proofErr w:type="gramEnd"/>
    </w:p>
    <w:p w14:paraId="1D884289" w14:textId="44799DE7" w:rsidR="00901550" w:rsidRDefault="00901550" w:rsidP="00901550">
      <w:pPr>
        <w:pStyle w:val="Bullet"/>
      </w:pPr>
      <w:r>
        <w:t xml:space="preserve">Provide reasonable adjustments for your staff so they can contribute </w:t>
      </w:r>
      <w:proofErr w:type="gramStart"/>
      <w:r>
        <w:t>effectively</w:t>
      </w:r>
      <w:proofErr w:type="gramEnd"/>
    </w:p>
    <w:p w14:paraId="7015B037" w14:textId="07B1EAF5" w:rsidR="00901550" w:rsidRDefault="00901550" w:rsidP="00AF2C8D">
      <w:pPr>
        <w:pStyle w:val="Bullet"/>
      </w:pPr>
      <w:r>
        <w:t xml:space="preserve">Cultivate an environment where employees can share ideas and speak up when they have differing </w:t>
      </w:r>
      <w:proofErr w:type="gramStart"/>
      <w:r>
        <w:t>views</w:t>
      </w:r>
      <w:proofErr w:type="gramEnd"/>
    </w:p>
    <w:p w14:paraId="0B1614EF" w14:textId="5D1C1D49" w:rsidR="00901550" w:rsidRDefault="00901550" w:rsidP="00901550">
      <w:pPr>
        <w:pStyle w:val="Bullet"/>
      </w:pPr>
      <w:r>
        <w:t xml:space="preserve">Recognise your employees who demonstrate inclusive </w:t>
      </w:r>
      <w:proofErr w:type="gramStart"/>
      <w:r>
        <w:t>behaviours</w:t>
      </w:r>
      <w:proofErr w:type="gramEnd"/>
    </w:p>
    <w:p w14:paraId="692DDE7A" w14:textId="0E5E9709" w:rsidR="00901550" w:rsidRDefault="00901550" w:rsidP="00901550">
      <w:pPr>
        <w:pStyle w:val="Bullet"/>
      </w:pPr>
      <w:r>
        <w:t>Take appropriate action to address behaviours not in line with APS Values and Code of Conduct</w:t>
      </w:r>
    </w:p>
    <w:p w14:paraId="1FBCDD5E" w14:textId="77777777" w:rsidR="00901550" w:rsidRDefault="00901550" w:rsidP="004C03F3">
      <w:pPr>
        <w:pStyle w:val="Heading3"/>
      </w:pPr>
      <w:r>
        <w:t>How managers are supported</w:t>
      </w:r>
    </w:p>
    <w:p w14:paraId="2B8519F8" w14:textId="59A162C0" w:rsidR="00901550" w:rsidRDefault="00901550" w:rsidP="00901550">
      <w:pPr>
        <w:pStyle w:val="Bullet"/>
      </w:pPr>
      <w:r>
        <w:t xml:space="preserve">Training and resources to support you to lead in inclusive </w:t>
      </w:r>
      <w:proofErr w:type="gramStart"/>
      <w:r>
        <w:t>ways</w:t>
      </w:r>
      <w:proofErr w:type="gramEnd"/>
    </w:p>
    <w:p w14:paraId="3497955D" w14:textId="03DA1BA7" w:rsidR="00AF71CD" w:rsidRDefault="00901550" w:rsidP="00901550">
      <w:pPr>
        <w:pStyle w:val="Bullet"/>
      </w:pPr>
      <w:r>
        <w:t xml:space="preserve">People policies and processes that cultivate inclusion and drive diversity within the </w:t>
      </w:r>
      <w:proofErr w:type="gramStart"/>
      <w:r>
        <w:t>workforce</w:t>
      </w:r>
      <w:proofErr w:type="gramEnd"/>
    </w:p>
    <w:p w14:paraId="626339BD" w14:textId="2C27A5E7" w:rsidR="00FD1A37" w:rsidRDefault="00FD1A37">
      <w:pPr>
        <w:spacing w:before="0" w:after="160" w:line="259" w:lineRule="auto"/>
      </w:pPr>
      <w:r>
        <w:br w:type="page"/>
      </w:r>
    </w:p>
    <w:p w14:paraId="0814646A" w14:textId="007BB28F" w:rsidR="00A8043A" w:rsidRDefault="008B5A14" w:rsidP="008B5A14">
      <w:pPr>
        <w:pStyle w:val="Heading1"/>
      </w:pPr>
      <w:r>
        <w:lastRenderedPageBreak/>
        <w:t xml:space="preserve">How senior leaders can help implement the </w:t>
      </w:r>
      <w:proofErr w:type="gramStart"/>
      <w:r>
        <w:t>strategy</w:t>
      </w:r>
      <w:proofErr w:type="gramEnd"/>
    </w:p>
    <w:p w14:paraId="081F2CD5" w14:textId="77777777" w:rsidR="008B5A14" w:rsidRDefault="008B5A14" w:rsidP="004C03F3">
      <w:pPr>
        <w:pStyle w:val="Heading2"/>
      </w:pPr>
      <w:r>
        <w:t>Senior leaders</w:t>
      </w:r>
    </w:p>
    <w:p w14:paraId="2F0791F1" w14:textId="77777777" w:rsidR="008B5A14" w:rsidRDefault="008B5A14" w:rsidP="004C03F3">
      <w:pPr>
        <w:pStyle w:val="Heading3"/>
      </w:pPr>
      <w:r>
        <w:t xml:space="preserve">What senior leaders can </w:t>
      </w:r>
      <w:proofErr w:type="gramStart"/>
      <w:r>
        <w:t>do</w:t>
      </w:r>
      <w:proofErr w:type="gramEnd"/>
    </w:p>
    <w:p w14:paraId="5076849F" w14:textId="6E77AD1D" w:rsidR="008B5A14" w:rsidRPr="004C03F3" w:rsidRDefault="008B5A14" w:rsidP="004C03F3">
      <w:pPr>
        <w:pStyle w:val="Bullet"/>
      </w:pPr>
      <w:r>
        <w:t xml:space="preserve">Set the </w:t>
      </w:r>
      <w:r w:rsidRPr="004C03F3">
        <w:t xml:space="preserve">standard from the top, modelling inclusive behaviour and harnessing inclusive </w:t>
      </w:r>
      <w:proofErr w:type="gramStart"/>
      <w:r w:rsidRPr="004C03F3">
        <w:t>practices</w:t>
      </w:r>
      <w:proofErr w:type="gramEnd"/>
    </w:p>
    <w:p w14:paraId="6DCA98D5" w14:textId="7FB4C2E7" w:rsidR="008B5A14" w:rsidRPr="004C03F3" w:rsidRDefault="008B5A14" w:rsidP="004C03F3">
      <w:pPr>
        <w:pStyle w:val="Bullet"/>
      </w:pPr>
      <w:r w:rsidRPr="004C03F3">
        <w:t xml:space="preserve">Mentor staff to help secure a diverse pipeline for future managers and </w:t>
      </w:r>
      <w:proofErr w:type="gramStart"/>
      <w:r w:rsidRPr="004C03F3">
        <w:t>SES</w:t>
      </w:r>
      <w:proofErr w:type="gramEnd"/>
    </w:p>
    <w:p w14:paraId="105611C0" w14:textId="10BD1C82" w:rsidR="008B5A14" w:rsidRPr="004C03F3" w:rsidRDefault="008B5A14" w:rsidP="004C03F3">
      <w:pPr>
        <w:pStyle w:val="Bullet"/>
      </w:pPr>
      <w:r w:rsidRPr="004C03F3">
        <w:t xml:space="preserve">Share relevant information to foster cross-departmental </w:t>
      </w:r>
      <w:proofErr w:type="gramStart"/>
      <w:r w:rsidRPr="004C03F3">
        <w:t>collaboration</w:t>
      </w:r>
      <w:proofErr w:type="gramEnd"/>
    </w:p>
    <w:p w14:paraId="50F3BBA8" w14:textId="7C04B86C" w:rsidR="008B5A14" w:rsidRPr="004C03F3" w:rsidRDefault="008B5A14" w:rsidP="004C03F3">
      <w:pPr>
        <w:pStyle w:val="Bullet"/>
      </w:pPr>
      <w:r w:rsidRPr="004C03F3">
        <w:t xml:space="preserve">Pursue opportunities to increase diversity and inclusion in decision-making </w:t>
      </w:r>
      <w:proofErr w:type="gramStart"/>
      <w:r w:rsidRPr="004C03F3">
        <w:t>processes</w:t>
      </w:r>
      <w:proofErr w:type="gramEnd"/>
    </w:p>
    <w:p w14:paraId="3172EBC2" w14:textId="6B1B81A2" w:rsidR="008B5A14" w:rsidRPr="004C03F3" w:rsidRDefault="008B5A14" w:rsidP="004C03F3">
      <w:pPr>
        <w:pStyle w:val="Bullet"/>
      </w:pPr>
      <w:r w:rsidRPr="004C03F3">
        <w:t xml:space="preserve">Hold leaders and peers to </w:t>
      </w:r>
      <w:proofErr w:type="gramStart"/>
      <w:r w:rsidRPr="004C03F3">
        <w:t>account</w:t>
      </w:r>
      <w:proofErr w:type="gramEnd"/>
    </w:p>
    <w:p w14:paraId="2DDC64BA" w14:textId="6B100899" w:rsidR="008B5A14" w:rsidRDefault="008B5A14" w:rsidP="004C03F3">
      <w:pPr>
        <w:pStyle w:val="Bullet"/>
      </w:pPr>
      <w:r w:rsidRPr="004C03F3">
        <w:t xml:space="preserve">Act as a diversity champion, and take responsibility for advocating and driving inclusion and diversity in </w:t>
      </w:r>
      <w:proofErr w:type="gramStart"/>
      <w:r w:rsidRPr="004C03F3">
        <w:t>Treasury</w:t>
      </w:r>
      <w:proofErr w:type="gramEnd"/>
    </w:p>
    <w:p w14:paraId="7B10F594" w14:textId="77777777" w:rsidR="008B5A14" w:rsidRDefault="008B5A14" w:rsidP="004C03F3">
      <w:pPr>
        <w:pStyle w:val="Heading3"/>
      </w:pPr>
      <w:r>
        <w:t xml:space="preserve">How senior leaders are </w:t>
      </w:r>
      <w:proofErr w:type="gramStart"/>
      <w:r>
        <w:t>supported</w:t>
      </w:r>
      <w:proofErr w:type="gramEnd"/>
    </w:p>
    <w:p w14:paraId="54AA2FF1" w14:textId="4524A6A9" w:rsidR="008B5A14" w:rsidRPr="004C03F3" w:rsidRDefault="008B5A14" w:rsidP="004C03F3">
      <w:pPr>
        <w:pStyle w:val="Bullet"/>
      </w:pPr>
      <w:r>
        <w:t xml:space="preserve">Access to </w:t>
      </w:r>
      <w:r w:rsidRPr="004C03F3">
        <w:t xml:space="preserve">workforce data and insights on inclusion and diversity within the workforce </w:t>
      </w:r>
    </w:p>
    <w:p w14:paraId="069938A3" w14:textId="3D2FDCED" w:rsidR="008B5A14" w:rsidRDefault="008B5A14" w:rsidP="004C03F3">
      <w:pPr>
        <w:pStyle w:val="Bullet"/>
      </w:pPr>
      <w:r w:rsidRPr="004C03F3">
        <w:t>Ongoing support to</w:t>
      </w:r>
      <w:r>
        <w:t xml:space="preserve"> integrate inclusion and diversity into organisational </w:t>
      </w:r>
      <w:proofErr w:type="gramStart"/>
      <w:r>
        <w:t>practices</w:t>
      </w:r>
      <w:proofErr w:type="gramEnd"/>
    </w:p>
    <w:p w14:paraId="0AC45867" w14:textId="2E75ED38" w:rsidR="004D7FB5" w:rsidRDefault="004D7FB5">
      <w:pPr>
        <w:spacing w:before="0" w:after="160" w:line="259" w:lineRule="auto"/>
      </w:pPr>
      <w:r>
        <w:br w:type="page"/>
      </w:r>
    </w:p>
    <w:p w14:paraId="23819494" w14:textId="06E5DAC3" w:rsidR="004D7FB5" w:rsidRDefault="004D7FB5" w:rsidP="00C777D7">
      <w:pPr>
        <w:pStyle w:val="Heading1"/>
      </w:pPr>
      <w:r>
        <w:lastRenderedPageBreak/>
        <w:t>Delivering the strategy –</w:t>
      </w:r>
      <w:r w:rsidR="00111F7F">
        <w:t xml:space="preserve"> </w:t>
      </w:r>
      <w:r>
        <w:t>accountability</w:t>
      </w:r>
    </w:p>
    <w:p w14:paraId="62D732C3" w14:textId="77777777" w:rsidR="004C03F3" w:rsidRPr="004C03F3" w:rsidRDefault="004C03F3" w:rsidP="00557F89">
      <w:r w:rsidRPr="004C03F3">
        <w:t xml:space="preserve">Delivery of the Strategy requires cohesive and sustained efforts, with clear oversight. Senior leaders are responsible for championing the Strategy, and all staff have a role to play in supporting the goals of the Strategy. </w:t>
      </w:r>
    </w:p>
    <w:p w14:paraId="74C33BDA" w14:textId="77777777" w:rsidR="004C03F3" w:rsidRPr="004C03F3" w:rsidRDefault="004C03F3" w:rsidP="00557F89">
      <w:r w:rsidRPr="004C03F3">
        <w:t xml:space="preserve">The People and Inclusion Committee is accountable for overseeing the delivery of the Strategy. The Strategy will be reviewed </w:t>
      </w:r>
      <w:proofErr w:type="gramStart"/>
      <w:r w:rsidRPr="004C03F3">
        <w:t>annually</w:t>
      </w:r>
      <w:proofErr w:type="gramEnd"/>
      <w:r w:rsidRPr="004C03F3">
        <w:t xml:space="preserve"> and progress will be reported to the People and Inclusion Committee and the Executive Board. </w:t>
      </w:r>
    </w:p>
    <w:p w14:paraId="00DC124F" w14:textId="77777777" w:rsidR="004C03F3" w:rsidRPr="004C03F3" w:rsidRDefault="004C03F3" w:rsidP="00557F89">
      <w:r w:rsidRPr="004C03F3">
        <w:t xml:space="preserve">Progress will be measured through: </w:t>
      </w:r>
    </w:p>
    <w:p w14:paraId="15B71AC6" w14:textId="5A00A232" w:rsidR="004C03F3" w:rsidRPr="004C03F3" w:rsidRDefault="004C03F3" w:rsidP="004C03F3">
      <w:pPr>
        <w:pStyle w:val="Bullet"/>
      </w:pPr>
      <w:r w:rsidRPr="004C03F3">
        <w:t xml:space="preserve">an annual Treasury Inclusion and Diversity survey </w:t>
      </w:r>
    </w:p>
    <w:p w14:paraId="2C8AC8A4" w14:textId="7B34AD02" w:rsidR="004C03F3" w:rsidRPr="004C03F3" w:rsidRDefault="004C03F3" w:rsidP="004C03F3">
      <w:pPr>
        <w:pStyle w:val="Bullet"/>
      </w:pPr>
      <w:r w:rsidRPr="004C03F3">
        <w:t xml:space="preserve">the APS Census </w:t>
      </w:r>
    </w:p>
    <w:p w14:paraId="63400F15" w14:textId="1B1170D5" w:rsidR="004C03F3" w:rsidRPr="004C03F3" w:rsidRDefault="004C03F3" w:rsidP="004C03F3">
      <w:pPr>
        <w:pStyle w:val="Bullet"/>
      </w:pPr>
      <w:r w:rsidRPr="004C03F3">
        <w:t xml:space="preserve">workforce composition </w:t>
      </w:r>
    </w:p>
    <w:p w14:paraId="2B8F9679" w14:textId="4B3D8D76" w:rsidR="004C03F3" w:rsidRPr="004C03F3" w:rsidRDefault="004C03F3" w:rsidP="004C03F3">
      <w:pPr>
        <w:pStyle w:val="Bullet"/>
      </w:pPr>
      <w:r w:rsidRPr="004C03F3">
        <w:t xml:space="preserve">participation in relevant training and events </w:t>
      </w:r>
    </w:p>
    <w:p w14:paraId="5710DBED" w14:textId="66A173B2" w:rsidR="00270110" w:rsidRPr="004C03F3" w:rsidRDefault="004C03F3" w:rsidP="004C03F3">
      <w:pPr>
        <w:pStyle w:val="Bullet"/>
      </w:pPr>
      <w:r w:rsidRPr="004C03F3">
        <w:t>external recognition of achievements in benchmarking and awards</w:t>
      </w:r>
    </w:p>
    <w:p w14:paraId="2E61585A" w14:textId="0B1BD5BA" w:rsidR="00270110" w:rsidRDefault="00270110" w:rsidP="004C03F3">
      <w:pPr>
        <w:pStyle w:val="Heading2"/>
      </w:pPr>
      <w:r>
        <w:t>Roles and responsibilities</w:t>
      </w:r>
    </w:p>
    <w:p w14:paraId="1316DF8B" w14:textId="77777777" w:rsidR="004C03F3" w:rsidRDefault="004C03F3" w:rsidP="004C03F3">
      <w:pPr>
        <w:pStyle w:val="Heading3"/>
      </w:pPr>
      <w:r>
        <w:t>Executive Board</w:t>
      </w:r>
    </w:p>
    <w:p w14:paraId="74677BFE" w14:textId="2D991637" w:rsidR="004C03F3" w:rsidRDefault="004C03F3" w:rsidP="004C03F3">
      <w:pPr>
        <w:pStyle w:val="Bullet"/>
      </w:pPr>
      <w:r>
        <w:t xml:space="preserve">Oversee and set the strategic direction and priorities for inclusion and diversity in </w:t>
      </w:r>
      <w:proofErr w:type="gramStart"/>
      <w:r>
        <w:t>Treasury</w:t>
      </w:r>
      <w:proofErr w:type="gramEnd"/>
    </w:p>
    <w:p w14:paraId="7317072B" w14:textId="4A11A868" w:rsidR="004C03F3" w:rsidRDefault="004C03F3" w:rsidP="004C03F3">
      <w:pPr>
        <w:pStyle w:val="Bullet"/>
      </w:pPr>
      <w:r>
        <w:t xml:space="preserve">Assess the enterprise risks and allocate appropriate resourcing to implement the </w:t>
      </w:r>
      <w:proofErr w:type="gramStart"/>
      <w:r>
        <w:t>Strategy</w:t>
      </w:r>
      <w:proofErr w:type="gramEnd"/>
    </w:p>
    <w:p w14:paraId="45E2EB94" w14:textId="3CC9A6ED" w:rsidR="004C03F3" w:rsidRDefault="004C03F3" w:rsidP="004C03F3">
      <w:pPr>
        <w:pStyle w:val="Bullet"/>
      </w:pPr>
      <w:r>
        <w:t xml:space="preserve">Monitor and oversee the performance of the </w:t>
      </w:r>
      <w:proofErr w:type="gramStart"/>
      <w:r>
        <w:t>Strategy</w:t>
      </w:r>
      <w:proofErr w:type="gramEnd"/>
    </w:p>
    <w:p w14:paraId="4587BFB9" w14:textId="77777777" w:rsidR="00687DD2" w:rsidRDefault="00687DD2" w:rsidP="00687DD2">
      <w:pPr>
        <w:pStyle w:val="Heading3"/>
      </w:pPr>
      <w:r>
        <w:t>People and inclusion committee</w:t>
      </w:r>
    </w:p>
    <w:p w14:paraId="03D2F9CC" w14:textId="28079A9E" w:rsidR="00687DD2" w:rsidRPr="00687DD2" w:rsidRDefault="00687DD2" w:rsidP="00687DD2">
      <w:pPr>
        <w:pStyle w:val="Bullet"/>
      </w:pPr>
      <w:r w:rsidRPr="00687DD2">
        <w:t xml:space="preserve">Oversee the implementation </w:t>
      </w:r>
      <w:r w:rsidR="003E72D0">
        <w:t xml:space="preserve">of </w:t>
      </w:r>
      <w:r w:rsidRPr="00687DD2">
        <w:t xml:space="preserve">the </w:t>
      </w:r>
      <w:proofErr w:type="gramStart"/>
      <w:r w:rsidRPr="00687DD2">
        <w:t>Strategy</w:t>
      </w:r>
      <w:proofErr w:type="gramEnd"/>
    </w:p>
    <w:p w14:paraId="3A5113F9" w14:textId="600F6BC4" w:rsidR="00687DD2" w:rsidRPr="00687DD2" w:rsidRDefault="00687DD2" w:rsidP="00687DD2">
      <w:pPr>
        <w:pStyle w:val="Bullet"/>
      </w:pPr>
      <w:r w:rsidRPr="00687DD2">
        <w:t xml:space="preserve">Advise the Executive Board on relevant resourcing required to implement the </w:t>
      </w:r>
      <w:proofErr w:type="gramStart"/>
      <w:r w:rsidRPr="00687DD2">
        <w:t>Strategy</w:t>
      </w:r>
      <w:proofErr w:type="gramEnd"/>
    </w:p>
    <w:p w14:paraId="53781318" w14:textId="6B4595EB" w:rsidR="00687DD2" w:rsidRPr="00687DD2" w:rsidRDefault="00687DD2" w:rsidP="00687DD2">
      <w:pPr>
        <w:pStyle w:val="Bullet"/>
      </w:pPr>
      <w:r w:rsidRPr="00687DD2">
        <w:t>Monitor the implementation</w:t>
      </w:r>
      <w:r w:rsidR="003E72D0">
        <w:t xml:space="preserve"> of</w:t>
      </w:r>
      <w:r w:rsidRPr="00687DD2">
        <w:t xml:space="preserve"> the </w:t>
      </w:r>
      <w:proofErr w:type="gramStart"/>
      <w:r w:rsidRPr="00687DD2">
        <w:t>Strategy</w:t>
      </w:r>
      <w:proofErr w:type="gramEnd"/>
    </w:p>
    <w:p w14:paraId="1F159D8E" w14:textId="1817BF9F" w:rsidR="004C03F3" w:rsidRDefault="00687DD2" w:rsidP="00687DD2">
      <w:pPr>
        <w:pStyle w:val="Bullet"/>
      </w:pPr>
      <w:r w:rsidRPr="00687DD2">
        <w:t>Advise on the</w:t>
      </w:r>
      <w:r>
        <w:t xml:space="preserve"> progress of the Strategy to the Executive Board</w:t>
      </w:r>
    </w:p>
    <w:p w14:paraId="621EEE5B" w14:textId="4BB450CC" w:rsidR="00687DD2" w:rsidRDefault="00687DD2" w:rsidP="00687DD2">
      <w:pPr>
        <w:pStyle w:val="Heading3"/>
      </w:pPr>
      <w:r w:rsidRPr="00687DD2">
        <w:t>Senior Leaders</w:t>
      </w:r>
    </w:p>
    <w:p w14:paraId="68702AFA" w14:textId="319879C5" w:rsidR="00687DD2" w:rsidRDefault="00687DD2" w:rsidP="00687DD2">
      <w:pPr>
        <w:pStyle w:val="Bullet"/>
      </w:pPr>
      <w:r>
        <w:t>Champion the goals of the Strategy</w:t>
      </w:r>
    </w:p>
    <w:p w14:paraId="1DF21A6F" w14:textId="2D833B2A" w:rsidR="00687DD2" w:rsidRDefault="00687DD2" w:rsidP="00687DD2">
      <w:pPr>
        <w:pStyle w:val="Bullet"/>
      </w:pPr>
      <w:r>
        <w:t xml:space="preserve">Implement strategies in their areas of </w:t>
      </w:r>
      <w:proofErr w:type="gramStart"/>
      <w:r>
        <w:t>responsibility</w:t>
      </w:r>
      <w:proofErr w:type="gramEnd"/>
    </w:p>
    <w:p w14:paraId="5F8C8C6E" w14:textId="128F7646" w:rsidR="00687DD2" w:rsidRDefault="00687DD2" w:rsidP="00687DD2">
      <w:pPr>
        <w:pStyle w:val="Bullet"/>
      </w:pPr>
      <w:r>
        <w:t xml:space="preserve">Engage in leadership conversations on inclusion and </w:t>
      </w:r>
      <w:proofErr w:type="gramStart"/>
      <w:r>
        <w:t>diversity</w:t>
      </w:r>
      <w:proofErr w:type="gramEnd"/>
    </w:p>
    <w:p w14:paraId="24B90CCF" w14:textId="494437FE" w:rsidR="00687DD2" w:rsidRDefault="00687DD2" w:rsidP="00687DD2">
      <w:pPr>
        <w:pStyle w:val="Heading3"/>
      </w:pPr>
      <w:r w:rsidRPr="00687DD2">
        <w:t>Diversity Champions</w:t>
      </w:r>
    </w:p>
    <w:p w14:paraId="43E0FA7E" w14:textId="7A6E43A2" w:rsidR="00687DD2" w:rsidRPr="00687DD2" w:rsidRDefault="00687DD2" w:rsidP="00687DD2">
      <w:pPr>
        <w:pStyle w:val="Bullet"/>
      </w:pPr>
      <w:r w:rsidRPr="00687DD2">
        <w:t>Actively lead and visibly champion relevant employee-led network initiatives, action plans, and events</w:t>
      </w:r>
    </w:p>
    <w:p w14:paraId="37178BB2" w14:textId="7A4F9B7B" w:rsidR="00AD4D10" w:rsidRDefault="00687DD2" w:rsidP="00687DD2">
      <w:pPr>
        <w:pStyle w:val="Bullet"/>
      </w:pPr>
      <w:r w:rsidRPr="00687DD2">
        <w:t>Drive senior</w:t>
      </w:r>
      <w:r>
        <w:t xml:space="preserve"> leadership conversation on inclusion and </w:t>
      </w:r>
      <w:proofErr w:type="gramStart"/>
      <w:r>
        <w:t>diversity</w:t>
      </w:r>
      <w:proofErr w:type="gramEnd"/>
    </w:p>
    <w:p w14:paraId="50A156D5" w14:textId="1FD83CAF" w:rsidR="0021707D" w:rsidRDefault="0021707D" w:rsidP="0021707D">
      <w:pPr>
        <w:pStyle w:val="Heading1"/>
      </w:pPr>
      <w:r>
        <w:lastRenderedPageBreak/>
        <w:t>Delivering the strategy – implementation</w:t>
      </w:r>
    </w:p>
    <w:p w14:paraId="030C24FB" w14:textId="1FFECC94" w:rsidR="0021707D" w:rsidRPr="00687DD2" w:rsidRDefault="0021707D" w:rsidP="00687DD2">
      <w:r>
        <w:t>D</w:t>
      </w:r>
      <w:r w:rsidRPr="00687DD2">
        <w:t>elivery of the strategy is guided by a detailed implementation plan.</w:t>
      </w:r>
    </w:p>
    <w:p w14:paraId="525A7AD2" w14:textId="2B5F637D" w:rsidR="00496119" w:rsidRPr="00687DD2" w:rsidRDefault="0021707D" w:rsidP="00687DD2">
      <w:r w:rsidRPr="00687DD2">
        <w:t xml:space="preserve">People and Organisational Strategy Branch is responsible for the delivery of the key actions of the Strategy. Delivery will be supported by </w:t>
      </w:r>
      <w:proofErr w:type="spellStart"/>
      <w:r w:rsidRPr="00687DD2">
        <w:t>networkspecific</w:t>
      </w:r>
      <w:proofErr w:type="spellEnd"/>
      <w:r w:rsidRPr="00687DD2">
        <w:t xml:space="preserve"> action plans, delivered by employee-led networks</w:t>
      </w:r>
      <w:r w:rsidR="00496119" w:rsidRPr="00687DD2">
        <w:t>.</w:t>
      </w:r>
    </w:p>
    <w:p w14:paraId="507BB34D" w14:textId="77777777" w:rsidR="00496119" w:rsidRDefault="00496119" w:rsidP="00687DD2">
      <w:pPr>
        <w:pStyle w:val="Heading2"/>
      </w:pPr>
      <w:r w:rsidRPr="00496119">
        <w:t>Roles and responsibilities</w:t>
      </w:r>
    </w:p>
    <w:p w14:paraId="6818AB76" w14:textId="77777777" w:rsidR="0043475E" w:rsidRDefault="0043475E" w:rsidP="00687DD2">
      <w:pPr>
        <w:pStyle w:val="Heading3"/>
      </w:pPr>
      <w:r>
        <w:t>People and Organisational Strategy Branch</w:t>
      </w:r>
    </w:p>
    <w:p w14:paraId="1576B340" w14:textId="79D2478F" w:rsidR="0043475E" w:rsidRPr="00687DD2" w:rsidRDefault="0043475E" w:rsidP="00687DD2">
      <w:pPr>
        <w:pStyle w:val="Bullet"/>
      </w:pPr>
      <w:r>
        <w:t xml:space="preserve">Plan, </w:t>
      </w:r>
      <w:r w:rsidRPr="00687DD2">
        <w:t xml:space="preserve">lead and implement key inclusion and diversity </w:t>
      </w:r>
      <w:proofErr w:type="gramStart"/>
      <w:r w:rsidRPr="00687DD2">
        <w:t>initiatives</w:t>
      </w:r>
      <w:proofErr w:type="gramEnd"/>
    </w:p>
    <w:p w14:paraId="05C74883" w14:textId="0FBA08E6" w:rsidR="0043475E" w:rsidRPr="00687DD2" w:rsidRDefault="0043475E" w:rsidP="00687DD2">
      <w:pPr>
        <w:pStyle w:val="Bullet"/>
      </w:pPr>
      <w:r w:rsidRPr="00687DD2">
        <w:t xml:space="preserve">Ensure people policy, processes and systems are </w:t>
      </w:r>
      <w:proofErr w:type="gramStart"/>
      <w:r w:rsidRPr="00687DD2">
        <w:t>inclusive</w:t>
      </w:r>
      <w:proofErr w:type="gramEnd"/>
    </w:p>
    <w:p w14:paraId="49358E26" w14:textId="56E210A2" w:rsidR="0043475E" w:rsidRPr="00687DD2" w:rsidRDefault="0043475E" w:rsidP="00687DD2">
      <w:pPr>
        <w:pStyle w:val="Bullet"/>
      </w:pPr>
      <w:r w:rsidRPr="00687DD2">
        <w:t xml:space="preserve">Address barriers to access and </w:t>
      </w:r>
      <w:proofErr w:type="gramStart"/>
      <w:r w:rsidRPr="00687DD2">
        <w:t>inclusion</w:t>
      </w:r>
      <w:proofErr w:type="gramEnd"/>
    </w:p>
    <w:p w14:paraId="269B295D" w14:textId="76D118E1" w:rsidR="0043475E" w:rsidRPr="00687DD2" w:rsidRDefault="0043475E" w:rsidP="00687DD2">
      <w:pPr>
        <w:pStyle w:val="Bullet"/>
      </w:pPr>
      <w:r w:rsidRPr="00687DD2">
        <w:t xml:space="preserve">Implement recruitment and workforce strategies to sustain pipeline of diverse </w:t>
      </w:r>
      <w:proofErr w:type="gramStart"/>
      <w:r w:rsidRPr="00687DD2">
        <w:t>talent</w:t>
      </w:r>
      <w:proofErr w:type="gramEnd"/>
    </w:p>
    <w:p w14:paraId="298E9B4B" w14:textId="30C52CDA" w:rsidR="0043475E" w:rsidRPr="00687DD2" w:rsidRDefault="0043475E" w:rsidP="00687DD2">
      <w:pPr>
        <w:pStyle w:val="Bullet"/>
      </w:pPr>
      <w:r w:rsidRPr="00687DD2">
        <w:t xml:space="preserve">Provide resources and learning programs that build inclusion </w:t>
      </w:r>
      <w:proofErr w:type="gramStart"/>
      <w:r w:rsidRPr="00687DD2">
        <w:t>capability</w:t>
      </w:r>
      <w:proofErr w:type="gramEnd"/>
    </w:p>
    <w:p w14:paraId="5EE86329" w14:textId="11F830F8" w:rsidR="0043475E" w:rsidRPr="00687DD2" w:rsidRDefault="0043475E" w:rsidP="00687DD2">
      <w:pPr>
        <w:pStyle w:val="Bullet"/>
      </w:pPr>
      <w:r w:rsidRPr="00687DD2">
        <w:t xml:space="preserve">Regularly analyse employee data to understand risks and </w:t>
      </w:r>
      <w:proofErr w:type="gramStart"/>
      <w:r w:rsidRPr="00687DD2">
        <w:t>opportunities</w:t>
      </w:r>
      <w:proofErr w:type="gramEnd"/>
    </w:p>
    <w:p w14:paraId="143110B6" w14:textId="299D2C9F" w:rsidR="0043475E" w:rsidRPr="00687DD2" w:rsidRDefault="0043475E" w:rsidP="00687DD2">
      <w:pPr>
        <w:pStyle w:val="Bullet"/>
      </w:pPr>
      <w:r w:rsidRPr="00687DD2">
        <w:t xml:space="preserve">Implement talent management practices that build a diverse pipeline and foster </w:t>
      </w:r>
      <w:proofErr w:type="gramStart"/>
      <w:r w:rsidRPr="00687DD2">
        <w:t>inclusion</w:t>
      </w:r>
      <w:proofErr w:type="gramEnd"/>
    </w:p>
    <w:p w14:paraId="395AD06A" w14:textId="743F543D" w:rsidR="0043475E" w:rsidRPr="00687DD2" w:rsidRDefault="0043475E" w:rsidP="00687DD2">
      <w:pPr>
        <w:pStyle w:val="Bullet"/>
      </w:pPr>
      <w:r w:rsidRPr="00687DD2">
        <w:t xml:space="preserve">Seek and respond to employee feedback on matters of </w:t>
      </w:r>
      <w:proofErr w:type="gramStart"/>
      <w:r w:rsidRPr="00687DD2">
        <w:t>inclusion</w:t>
      </w:r>
      <w:proofErr w:type="gramEnd"/>
    </w:p>
    <w:p w14:paraId="62095A80" w14:textId="77777777" w:rsidR="004B37BC" w:rsidRDefault="0043475E" w:rsidP="00687DD2">
      <w:pPr>
        <w:pStyle w:val="Bullet"/>
      </w:pPr>
      <w:r w:rsidRPr="00687DD2">
        <w:t>Assist the employee-led</w:t>
      </w:r>
      <w:r>
        <w:t xml:space="preserve"> networks to develop and implement network-specific action </w:t>
      </w:r>
      <w:proofErr w:type="gramStart"/>
      <w:r>
        <w:t>plans</w:t>
      </w:r>
      <w:proofErr w:type="gramEnd"/>
    </w:p>
    <w:p w14:paraId="283FC526" w14:textId="77777777" w:rsidR="004B37BC" w:rsidRDefault="004B37BC" w:rsidP="00687DD2">
      <w:pPr>
        <w:pStyle w:val="Heading3"/>
      </w:pPr>
      <w:r>
        <w:t>Employee Network Committees</w:t>
      </w:r>
    </w:p>
    <w:p w14:paraId="317AFD1A" w14:textId="091A3944" w:rsidR="004B37BC" w:rsidRPr="00687DD2" w:rsidRDefault="004B37BC" w:rsidP="00687DD2">
      <w:pPr>
        <w:pStyle w:val="Bullet"/>
      </w:pPr>
      <w:r w:rsidRPr="00687DD2">
        <w:t xml:space="preserve">Develop and implement network-specific action plans that are aligned with the </w:t>
      </w:r>
      <w:proofErr w:type="gramStart"/>
      <w:r w:rsidRPr="00687DD2">
        <w:t>Strategy</w:t>
      </w:r>
      <w:proofErr w:type="gramEnd"/>
    </w:p>
    <w:p w14:paraId="51F2B774" w14:textId="04695CC2" w:rsidR="004B37BC" w:rsidRPr="00687DD2" w:rsidRDefault="004B37BC" w:rsidP="007A7E96">
      <w:pPr>
        <w:pStyle w:val="Bullet"/>
      </w:pPr>
      <w:r w:rsidRPr="00687DD2">
        <w:t xml:space="preserve">Conduct events on nominated celebration/commemoration days to foster belonging, connection and raise </w:t>
      </w:r>
      <w:proofErr w:type="gramStart"/>
      <w:r w:rsidRPr="00687DD2">
        <w:t>awareness</w:t>
      </w:r>
      <w:proofErr w:type="gramEnd"/>
    </w:p>
    <w:p w14:paraId="6774CD75" w14:textId="5C622629" w:rsidR="004B37BC" w:rsidRPr="00687DD2" w:rsidRDefault="004B37BC" w:rsidP="00687DD2">
      <w:pPr>
        <w:pStyle w:val="Bullet"/>
      </w:pPr>
      <w:r w:rsidRPr="00687DD2">
        <w:t xml:space="preserve">Provide a safe and supportive environment/space for all employees to </w:t>
      </w:r>
      <w:proofErr w:type="gramStart"/>
      <w:r w:rsidRPr="00687DD2">
        <w:t>connect</w:t>
      </w:r>
      <w:proofErr w:type="gramEnd"/>
    </w:p>
    <w:p w14:paraId="62589E25" w14:textId="6B40E6D2" w:rsidR="004B37BC" w:rsidRPr="00687DD2" w:rsidRDefault="004B37BC" w:rsidP="00956171">
      <w:pPr>
        <w:pStyle w:val="Bullet"/>
      </w:pPr>
      <w:r w:rsidRPr="00687DD2">
        <w:t xml:space="preserve">Provide lived experience insights to POSB to support inclusive people policy, processes and </w:t>
      </w:r>
      <w:proofErr w:type="gramStart"/>
      <w:r w:rsidRPr="00687DD2">
        <w:t>systems</w:t>
      </w:r>
      <w:proofErr w:type="gramEnd"/>
    </w:p>
    <w:p w14:paraId="1A239A50" w14:textId="6E92466D" w:rsidR="00AB1E9B" w:rsidRPr="00687DD2" w:rsidRDefault="004B37BC" w:rsidP="00687DD2">
      <w:pPr>
        <w:pStyle w:val="Bullet"/>
      </w:pPr>
      <w:r w:rsidRPr="00687DD2">
        <w:t>Foster cross-network</w:t>
      </w:r>
      <w:r>
        <w:t xml:space="preserve"> collaboration and consideration of intersectionality</w:t>
      </w:r>
    </w:p>
    <w:sectPr w:rsidR="00AB1E9B" w:rsidRPr="00687DD2" w:rsidSect="00177D46">
      <w:pgSz w:w="11907" w:h="16840" w:code="9"/>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079B" w14:textId="77777777" w:rsidR="009A640B" w:rsidRDefault="009A640B">
      <w:pPr>
        <w:spacing w:before="0" w:after="0"/>
      </w:pPr>
      <w:r>
        <w:separator/>
      </w:r>
    </w:p>
  </w:endnote>
  <w:endnote w:type="continuationSeparator" w:id="0">
    <w:p w14:paraId="17D8827D" w14:textId="77777777" w:rsidR="009A640B" w:rsidRDefault="009A64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roy ExtraBold">
    <w:altName w:val="Gilroy ExtraBold"/>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5216" w14:textId="50F5E2F5" w:rsidR="00687DD2" w:rsidRDefault="00687DD2" w:rsidP="00687DD2">
    <w:pPr>
      <w:pStyle w:val="FooterEven"/>
      <w:tabs>
        <w:tab w:val="center" w:pos="9072"/>
      </w:tabs>
      <w:jc w:val="right"/>
    </w:pPr>
    <w:r w:rsidRPr="00742366">
      <w:drawing>
        <wp:anchor distT="0" distB="0" distL="114300" distR="114300" simplePos="0" relativeHeight="251663360" behindDoc="1" locked="1" layoutInCell="1" allowOverlap="1" wp14:anchorId="43B4A7E0" wp14:editId="2BAB1118">
          <wp:simplePos x="0" y="0"/>
          <wp:positionH relativeFrom="margin">
            <wp:posOffset>5459095</wp:posOffset>
          </wp:positionH>
          <wp:positionV relativeFrom="page">
            <wp:posOffset>3280410</wp:posOffset>
          </wp:positionV>
          <wp:extent cx="7574280" cy="1043940"/>
          <wp:effectExtent l="762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CF6902E" wp14:editId="4FEBF01F">
          <wp:extent cx="1324800" cy="201600"/>
          <wp:effectExtent l="0" t="0" r="0" b="825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TITLE   \* MERGEFORMAT ">
      <w:r w:rsidR="00672D3D">
        <w:t>Treasury Inclusion and Diversity Strategy 2023–2028</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2813" w14:textId="47E99CCE"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093EC3">
      <w:fldChar w:fldCharType="begin"/>
    </w:r>
    <w:r w:rsidR="00093EC3">
      <w:instrText xml:space="preserve"> STYLEREF  "Heading 1"  \* MERGEFORMAT </w:instrText>
    </w:r>
    <w:r w:rsidR="00093EC3">
      <w:fldChar w:fldCharType="separate"/>
    </w:r>
    <w:r w:rsidR="00177D46">
      <w:t>Delivering the strategy – implementation</w:t>
    </w:r>
    <w:r w:rsidR="00093EC3">
      <w:fldChar w:fldCharType="end"/>
    </w:r>
    <w:r w:rsidR="00103F3C">
      <w:tab/>
    </w:r>
    <w:r w:rsidR="00103F3C" w:rsidRPr="00103F3C">
      <w:rPr>
        <w:position w:val="-8"/>
      </w:rPr>
      <w:drawing>
        <wp:inline distT="0" distB="0" distL="0" distR="0" wp14:anchorId="5F4E06C6" wp14:editId="2967ACC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B080"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FC01" w14:textId="77777777" w:rsidR="009A640B" w:rsidRPr="00ED5A20" w:rsidRDefault="009A640B" w:rsidP="000F6233">
      <w:pPr>
        <w:rPr>
          <w:color w:val="4D7861" w:themeColor="accent2"/>
        </w:rPr>
      </w:pPr>
      <w:r w:rsidRPr="00ED5A20">
        <w:rPr>
          <w:color w:val="4D7861" w:themeColor="accent2"/>
        </w:rPr>
        <w:separator/>
      </w:r>
    </w:p>
  </w:footnote>
  <w:footnote w:type="continuationSeparator" w:id="0">
    <w:p w14:paraId="765A1935" w14:textId="77777777" w:rsidR="009A640B" w:rsidRPr="00B737EB" w:rsidRDefault="009A640B">
      <w:pPr>
        <w:spacing w:before="0" w:after="0"/>
        <w:rPr>
          <w:color w:val="2C384A" w:themeColor="accent1"/>
        </w:rPr>
      </w:pPr>
      <w:r w:rsidRPr="00B737EB">
        <w:rPr>
          <w:color w:val="2C384A"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71BA" w14:textId="520840F7" w:rsidR="00687DD2" w:rsidRDefault="00687DD2">
    <w:pPr>
      <w:pStyle w:val="Header"/>
    </w:pPr>
    <w:r>
      <w:rPr>
        <w:noProof/>
      </w:rPr>
      <w:drawing>
        <wp:anchor distT="0" distB="0" distL="114300" distR="114300" simplePos="0" relativeHeight="251661312" behindDoc="1" locked="1" layoutInCell="1" allowOverlap="1" wp14:anchorId="21B12BA8" wp14:editId="384AE11E">
          <wp:simplePos x="0" y="0"/>
          <wp:positionH relativeFrom="margin">
            <wp:posOffset>-897890</wp:posOffset>
          </wp:positionH>
          <wp:positionV relativeFrom="page">
            <wp:posOffset>10160</wp:posOffset>
          </wp:positionV>
          <wp:extent cx="7569835" cy="104394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6442" w14:textId="77777777" w:rsidR="00672B5D" w:rsidRPr="00AC75E2" w:rsidRDefault="00AC75E2" w:rsidP="00AC75E2">
    <w:pPr>
      <w:pStyle w:val="HeaderEven"/>
    </w:pPr>
    <w:r>
      <w:rPr>
        <w:noProof/>
      </w:rPr>
      <w:drawing>
        <wp:anchor distT="0" distB="0" distL="114300" distR="114300" simplePos="0" relativeHeight="251659264" behindDoc="1" locked="1" layoutInCell="1" allowOverlap="1" wp14:anchorId="1CED6E84" wp14:editId="222A820D">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75B3"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751EB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25pt;height:18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6E2D15"/>
    <w:multiLevelType w:val="hybridMultilevel"/>
    <w:tmpl w:val="6F6ABD06"/>
    <w:lvl w:ilvl="0" w:tplc="88BE837E">
      <w:start w:val="1"/>
      <w:numFmt w:val="bullet"/>
      <w:pStyle w:val="TableTextLef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2"/>
  </w:num>
  <w:num w:numId="5" w16cid:durableId="709110180">
    <w:abstractNumId w:val="5"/>
  </w:num>
  <w:num w:numId="6" w16cid:durableId="306596971">
    <w:abstractNumId w:val="15"/>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1"/>
  </w:num>
  <w:num w:numId="10" w16cid:durableId="832991063">
    <w:abstractNumId w:val="9"/>
  </w:num>
  <w:num w:numId="11" w16cid:durableId="215508863">
    <w:abstractNumId w:val="21"/>
  </w:num>
  <w:num w:numId="12" w16cid:durableId="2019234066">
    <w:abstractNumId w:val="15"/>
  </w:num>
  <w:num w:numId="13" w16cid:durableId="1757362042">
    <w:abstractNumId w:val="22"/>
  </w:num>
  <w:num w:numId="14" w16cid:durableId="353965158">
    <w:abstractNumId w:val="14"/>
  </w:num>
  <w:num w:numId="15" w16cid:durableId="77220001">
    <w:abstractNumId w:val="8"/>
  </w:num>
  <w:num w:numId="16" w16cid:durableId="626086807">
    <w:abstractNumId w:val="17"/>
  </w:num>
  <w:num w:numId="17" w16cid:durableId="143200778">
    <w:abstractNumId w:val="12"/>
  </w:num>
  <w:num w:numId="18" w16cid:durableId="1054039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6"/>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8"/>
  </w:num>
  <w:num w:numId="25" w16cid:durableId="1198618205">
    <w:abstractNumId w:val="7"/>
  </w:num>
  <w:num w:numId="26" w16cid:durableId="5401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proofState w:spelling="clean" w:grammar="clean"/>
  <w:attachedTemplate r:id="rId1"/>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135C1"/>
    <w:rsid w:val="00011725"/>
    <w:rsid w:val="00012C62"/>
    <w:rsid w:val="0001396A"/>
    <w:rsid w:val="0002544D"/>
    <w:rsid w:val="0004274D"/>
    <w:rsid w:val="00043348"/>
    <w:rsid w:val="0004483F"/>
    <w:rsid w:val="00046CB4"/>
    <w:rsid w:val="0005138B"/>
    <w:rsid w:val="000522B7"/>
    <w:rsid w:val="00053717"/>
    <w:rsid w:val="00056880"/>
    <w:rsid w:val="00056975"/>
    <w:rsid w:val="000675D1"/>
    <w:rsid w:val="00073521"/>
    <w:rsid w:val="000775DE"/>
    <w:rsid w:val="000855D5"/>
    <w:rsid w:val="00087FAF"/>
    <w:rsid w:val="00093EC3"/>
    <w:rsid w:val="00095D88"/>
    <w:rsid w:val="000A6EEF"/>
    <w:rsid w:val="000B093F"/>
    <w:rsid w:val="000B302A"/>
    <w:rsid w:val="000C571D"/>
    <w:rsid w:val="000C5F40"/>
    <w:rsid w:val="000C63C9"/>
    <w:rsid w:val="000D258E"/>
    <w:rsid w:val="000E0B74"/>
    <w:rsid w:val="000E7901"/>
    <w:rsid w:val="000F6233"/>
    <w:rsid w:val="00103F3C"/>
    <w:rsid w:val="00110A61"/>
    <w:rsid w:val="001118CB"/>
    <w:rsid w:val="00111F7F"/>
    <w:rsid w:val="00122C92"/>
    <w:rsid w:val="00131DC3"/>
    <w:rsid w:val="001343EC"/>
    <w:rsid w:val="00135E4C"/>
    <w:rsid w:val="001373F5"/>
    <w:rsid w:val="001574C0"/>
    <w:rsid w:val="001606CF"/>
    <w:rsid w:val="0016128D"/>
    <w:rsid w:val="00164599"/>
    <w:rsid w:val="0017089D"/>
    <w:rsid w:val="00174637"/>
    <w:rsid w:val="00174BFF"/>
    <w:rsid w:val="00177D46"/>
    <w:rsid w:val="001805A8"/>
    <w:rsid w:val="0019101A"/>
    <w:rsid w:val="00195C8E"/>
    <w:rsid w:val="001972D2"/>
    <w:rsid w:val="001A521E"/>
    <w:rsid w:val="001C358D"/>
    <w:rsid w:val="001C40A0"/>
    <w:rsid w:val="001F1B27"/>
    <w:rsid w:val="00203CB0"/>
    <w:rsid w:val="0021707D"/>
    <w:rsid w:val="00221E77"/>
    <w:rsid w:val="00221EC0"/>
    <w:rsid w:val="002270C1"/>
    <w:rsid w:val="00231049"/>
    <w:rsid w:val="002314D2"/>
    <w:rsid w:val="0023305C"/>
    <w:rsid w:val="00241881"/>
    <w:rsid w:val="0024294C"/>
    <w:rsid w:val="0024365B"/>
    <w:rsid w:val="002461BA"/>
    <w:rsid w:val="002511E1"/>
    <w:rsid w:val="002543D8"/>
    <w:rsid w:val="0025652F"/>
    <w:rsid w:val="00263B6C"/>
    <w:rsid w:val="00270110"/>
    <w:rsid w:val="00272939"/>
    <w:rsid w:val="0027590B"/>
    <w:rsid w:val="00285969"/>
    <w:rsid w:val="002872E5"/>
    <w:rsid w:val="00295B30"/>
    <w:rsid w:val="00296DD0"/>
    <w:rsid w:val="002A74EF"/>
    <w:rsid w:val="002A7A31"/>
    <w:rsid w:val="002B3829"/>
    <w:rsid w:val="002B44F7"/>
    <w:rsid w:val="002C22EF"/>
    <w:rsid w:val="002E1FB6"/>
    <w:rsid w:val="002E454C"/>
    <w:rsid w:val="002F617F"/>
    <w:rsid w:val="00300109"/>
    <w:rsid w:val="00301755"/>
    <w:rsid w:val="0030665E"/>
    <w:rsid w:val="00306894"/>
    <w:rsid w:val="003122F4"/>
    <w:rsid w:val="003151E0"/>
    <w:rsid w:val="00316DBB"/>
    <w:rsid w:val="003268D5"/>
    <w:rsid w:val="0033755F"/>
    <w:rsid w:val="00343947"/>
    <w:rsid w:val="003448F6"/>
    <w:rsid w:val="00350759"/>
    <w:rsid w:val="00352ED9"/>
    <w:rsid w:val="00354D27"/>
    <w:rsid w:val="003563F7"/>
    <w:rsid w:val="0035738A"/>
    <w:rsid w:val="00361BA7"/>
    <w:rsid w:val="00372A01"/>
    <w:rsid w:val="00375655"/>
    <w:rsid w:val="003822B1"/>
    <w:rsid w:val="003858A6"/>
    <w:rsid w:val="00386297"/>
    <w:rsid w:val="00391836"/>
    <w:rsid w:val="00392DCC"/>
    <w:rsid w:val="003953A2"/>
    <w:rsid w:val="00396497"/>
    <w:rsid w:val="00397BB5"/>
    <w:rsid w:val="003A5B36"/>
    <w:rsid w:val="003C24B4"/>
    <w:rsid w:val="003D5499"/>
    <w:rsid w:val="003D5699"/>
    <w:rsid w:val="003D5AC3"/>
    <w:rsid w:val="003E20D6"/>
    <w:rsid w:val="003E4D87"/>
    <w:rsid w:val="003E72D0"/>
    <w:rsid w:val="003F4F6B"/>
    <w:rsid w:val="003F70E4"/>
    <w:rsid w:val="00401082"/>
    <w:rsid w:val="0040117A"/>
    <w:rsid w:val="00410819"/>
    <w:rsid w:val="00416762"/>
    <w:rsid w:val="00416E55"/>
    <w:rsid w:val="0041776E"/>
    <w:rsid w:val="004212CE"/>
    <w:rsid w:val="00421955"/>
    <w:rsid w:val="0042518A"/>
    <w:rsid w:val="004276A0"/>
    <w:rsid w:val="0043475E"/>
    <w:rsid w:val="00444A63"/>
    <w:rsid w:val="00445265"/>
    <w:rsid w:val="004559CE"/>
    <w:rsid w:val="00460E1A"/>
    <w:rsid w:val="00463DF8"/>
    <w:rsid w:val="00475085"/>
    <w:rsid w:val="00476CF6"/>
    <w:rsid w:val="00476F3F"/>
    <w:rsid w:val="00476F91"/>
    <w:rsid w:val="00477AA8"/>
    <w:rsid w:val="00483DB4"/>
    <w:rsid w:val="00492FCB"/>
    <w:rsid w:val="00496119"/>
    <w:rsid w:val="004A0F11"/>
    <w:rsid w:val="004A3EAA"/>
    <w:rsid w:val="004A7D97"/>
    <w:rsid w:val="004B37BC"/>
    <w:rsid w:val="004B5133"/>
    <w:rsid w:val="004C03F3"/>
    <w:rsid w:val="004C2902"/>
    <w:rsid w:val="004C41B6"/>
    <w:rsid w:val="004C6757"/>
    <w:rsid w:val="004C74C1"/>
    <w:rsid w:val="004D6E37"/>
    <w:rsid w:val="004D7FB5"/>
    <w:rsid w:val="004E00EA"/>
    <w:rsid w:val="004E6B14"/>
    <w:rsid w:val="004F4B92"/>
    <w:rsid w:val="00501B6C"/>
    <w:rsid w:val="00502A9D"/>
    <w:rsid w:val="005135C1"/>
    <w:rsid w:val="00516785"/>
    <w:rsid w:val="0052419D"/>
    <w:rsid w:val="005301F8"/>
    <w:rsid w:val="005312FC"/>
    <w:rsid w:val="00532C6D"/>
    <w:rsid w:val="0053569E"/>
    <w:rsid w:val="0053603D"/>
    <w:rsid w:val="0053742A"/>
    <w:rsid w:val="00537C85"/>
    <w:rsid w:val="00541D29"/>
    <w:rsid w:val="00543F23"/>
    <w:rsid w:val="00545643"/>
    <w:rsid w:val="00545EBF"/>
    <w:rsid w:val="00557F89"/>
    <w:rsid w:val="00562E58"/>
    <w:rsid w:val="00562F17"/>
    <w:rsid w:val="0056582C"/>
    <w:rsid w:val="005776B2"/>
    <w:rsid w:val="00586605"/>
    <w:rsid w:val="005868DE"/>
    <w:rsid w:val="005877AC"/>
    <w:rsid w:val="005910E5"/>
    <w:rsid w:val="005966B7"/>
    <w:rsid w:val="005B2A39"/>
    <w:rsid w:val="005B43C5"/>
    <w:rsid w:val="005B5E2A"/>
    <w:rsid w:val="005B768D"/>
    <w:rsid w:val="005C02A4"/>
    <w:rsid w:val="005C20D2"/>
    <w:rsid w:val="005C32FE"/>
    <w:rsid w:val="005C3B43"/>
    <w:rsid w:val="005C503A"/>
    <w:rsid w:val="005D024A"/>
    <w:rsid w:val="005D4613"/>
    <w:rsid w:val="005D4FD4"/>
    <w:rsid w:val="005D6D64"/>
    <w:rsid w:val="005F5717"/>
    <w:rsid w:val="00601650"/>
    <w:rsid w:val="00604EEF"/>
    <w:rsid w:val="00605AFD"/>
    <w:rsid w:val="006123D4"/>
    <w:rsid w:val="0061445B"/>
    <w:rsid w:val="00624C4B"/>
    <w:rsid w:val="00645AC8"/>
    <w:rsid w:val="006469CC"/>
    <w:rsid w:val="00672B5D"/>
    <w:rsid w:val="00672D3D"/>
    <w:rsid w:val="006743E3"/>
    <w:rsid w:val="0067622C"/>
    <w:rsid w:val="00682249"/>
    <w:rsid w:val="00685CF7"/>
    <w:rsid w:val="00686165"/>
    <w:rsid w:val="00687DD2"/>
    <w:rsid w:val="00691CB5"/>
    <w:rsid w:val="006923DF"/>
    <w:rsid w:val="006A0F94"/>
    <w:rsid w:val="006A37F5"/>
    <w:rsid w:val="006A4FB5"/>
    <w:rsid w:val="006B2AD0"/>
    <w:rsid w:val="006B38FF"/>
    <w:rsid w:val="006C1892"/>
    <w:rsid w:val="006C5B73"/>
    <w:rsid w:val="006C645D"/>
    <w:rsid w:val="006D4818"/>
    <w:rsid w:val="006E1A81"/>
    <w:rsid w:val="006E2D2A"/>
    <w:rsid w:val="006E3CC3"/>
    <w:rsid w:val="006E7CA8"/>
    <w:rsid w:val="006F76FB"/>
    <w:rsid w:val="00706E8E"/>
    <w:rsid w:val="00715E8D"/>
    <w:rsid w:val="00716DD0"/>
    <w:rsid w:val="00722B53"/>
    <w:rsid w:val="007253E1"/>
    <w:rsid w:val="00742366"/>
    <w:rsid w:val="00744484"/>
    <w:rsid w:val="007509DD"/>
    <w:rsid w:val="00763474"/>
    <w:rsid w:val="00766184"/>
    <w:rsid w:val="0078257B"/>
    <w:rsid w:val="00783D75"/>
    <w:rsid w:val="00784C0A"/>
    <w:rsid w:val="00794B40"/>
    <w:rsid w:val="00796E19"/>
    <w:rsid w:val="00796E26"/>
    <w:rsid w:val="007A1079"/>
    <w:rsid w:val="007A1E98"/>
    <w:rsid w:val="007A7E96"/>
    <w:rsid w:val="007B2677"/>
    <w:rsid w:val="007B76AB"/>
    <w:rsid w:val="007D592B"/>
    <w:rsid w:val="007D5AA6"/>
    <w:rsid w:val="007D7A91"/>
    <w:rsid w:val="007E0B77"/>
    <w:rsid w:val="007E6456"/>
    <w:rsid w:val="00811943"/>
    <w:rsid w:val="00815C81"/>
    <w:rsid w:val="008311B8"/>
    <w:rsid w:val="00834243"/>
    <w:rsid w:val="008374C4"/>
    <w:rsid w:val="00844A1D"/>
    <w:rsid w:val="00856269"/>
    <w:rsid w:val="00857969"/>
    <w:rsid w:val="00882CC4"/>
    <w:rsid w:val="008844AC"/>
    <w:rsid w:val="00887EA7"/>
    <w:rsid w:val="00897F46"/>
    <w:rsid w:val="008A2946"/>
    <w:rsid w:val="008B5A14"/>
    <w:rsid w:val="008C7F71"/>
    <w:rsid w:val="008D339F"/>
    <w:rsid w:val="008E24D2"/>
    <w:rsid w:val="008E6292"/>
    <w:rsid w:val="008F23EB"/>
    <w:rsid w:val="00901550"/>
    <w:rsid w:val="00906E61"/>
    <w:rsid w:val="00917E28"/>
    <w:rsid w:val="00925AA5"/>
    <w:rsid w:val="00925B68"/>
    <w:rsid w:val="00930AC0"/>
    <w:rsid w:val="0093224B"/>
    <w:rsid w:val="00934670"/>
    <w:rsid w:val="0093540D"/>
    <w:rsid w:val="0094019D"/>
    <w:rsid w:val="00942C11"/>
    <w:rsid w:val="0094351F"/>
    <w:rsid w:val="009502EC"/>
    <w:rsid w:val="009547F8"/>
    <w:rsid w:val="00962ACF"/>
    <w:rsid w:val="00971BE8"/>
    <w:rsid w:val="009729D4"/>
    <w:rsid w:val="00980759"/>
    <w:rsid w:val="009817B0"/>
    <w:rsid w:val="009821CE"/>
    <w:rsid w:val="009856E2"/>
    <w:rsid w:val="0099175B"/>
    <w:rsid w:val="009A277C"/>
    <w:rsid w:val="009A38EC"/>
    <w:rsid w:val="009A640B"/>
    <w:rsid w:val="009A658F"/>
    <w:rsid w:val="009B088F"/>
    <w:rsid w:val="009B2249"/>
    <w:rsid w:val="009C7B2E"/>
    <w:rsid w:val="009D2CFF"/>
    <w:rsid w:val="009E0CA5"/>
    <w:rsid w:val="009E171B"/>
    <w:rsid w:val="009E31E6"/>
    <w:rsid w:val="009E660A"/>
    <w:rsid w:val="00A015E8"/>
    <w:rsid w:val="00A06BFE"/>
    <w:rsid w:val="00A07D47"/>
    <w:rsid w:val="00A10593"/>
    <w:rsid w:val="00A12F62"/>
    <w:rsid w:val="00A14FE9"/>
    <w:rsid w:val="00A155F0"/>
    <w:rsid w:val="00A3749B"/>
    <w:rsid w:val="00A37D87"/>
    <w:rsid w:val="00A50D88"/>
    <w:rsid w:val="00A51DE6"/>
    <w:rsid w:val="00A54654"/>
    <w:rsid w:val="00A56923"/>
    <w:rsid w:val="00A600CE"/>
    <w:rsid w:val="00A60783"/>
    <w:rsid w:val="00A62E42"/>
    <w:rsid w:val="00A64A71"/>
    <w:rsid w:val="00A7236C"/>
    <w:rsid w:val="00A72960"/>
    <w:rsid w:val="00A72D8F"/>
    <w:rsid w:val="00A74815"/>
    <w:rsid w:val="00A8043A"/>
    <w:rsid w:val="00A93401"/>
    <w:rsid w:val="00A967D9"/>
    <w:rsid w:val="00A97160"/>
    <w:rsid w:val="00AB1E9B"/>
    <w:rsid w:val="00AB2574"/>
    <w:rsid w:val="00AC3196"/>
    <w:rsid w:val="00AC4065"/>
    <w:rsid w:val="00AC75E2"/>
    <w:rsid w:val="00AD4D10"/>
    <w:rsid w:val="00AE0448"/>
    <w:rsid w:val="00AE2F90"/>
    <w:rsid w:val="00AF4CCE"/>
    <w:rsid w:val="00AF71CD"/>
    <w:rsid w:val="00B03DD6"/>
    <w:rsid w:val="00B214C6"/>
    <w:rsid w:val="00B3583B"/>
    <w:rsid w:val="00B37A8F"/>
    <w:rsid w:val="00B51983"/>
    <w:rsid w:val="00B55B04"/>
    <w:rsid w:val="00B65347"/>
    <w:rsid w:val="00B65DE1"/>
    <w:rsid w:val="00B72AF0"/>
    <w:rsid w:val="00B737EB"/>
    <w:rsid w:val="00B775EE"/>
    <w:rsid w:val="00B87927"/>
    <w:rsid w:val="00B96848"/>
    <w:rsid w:val="00BB00F3"/>
    <w:rsid w:val="00BC6E69"/>
    <w:rsid w:val="00BD26AA"/>
    <w:rsid w:val="00BD2B12"/>
    <w:rsid w:val="00BD454F"/>
    <w:rsid w:val="00BE7EA5"/>
    <w:rsid w:val="00BF4114"/>
    <w:rsid w:val="00C01DCC"/>
    <w:rsid w:val="00C202B3"/>
    <w:rsid w:val="00C21EE0"/>
    <w:rsid w:val="00C30297"/>
    <w:rsid w:val="00C50B48"/>
    <w:rsid w:val="00C50FE0"/>
    <w:rsid w:val="00C555AC"/>
    <w:rsid w:val="00C605E6"/>
    <w:rsid w:val="00C70CC2"/>
    <w:rsid w:val="00C713ED"/>
    <w:rsid w:val="00C72318"/>
    <w:rsid w:val="00C724E6"/>
    <w:rsid w:val="00C747A5"/>
    <w:rsid w:val="00C777D7"/>
    <w:rsid w:val="00C85314"/>
    <w:rsid w:val="00C964E0"/>
    <w:rsid w:val="00CA0116"/>
    <w:rsid w:val="00CA4BC0"/>
    <w:rsid w:val="00CA5CA8"/>
    <w:rsid w:val="00CB0157"/>
    <w:rsid w:val="00CB28E9"/>
    <w:rsid w:val="00CB2B4A"/>
    <w:rsid w:val="00CB5205"/>
    <w:rsid w:val="00CC38AC"/>
    <w:rsid w:val="00CC559D"/>
    <w:rsid w:val="00CD0C13"/>
    <w:rsid w:val="00CD654B"/>
    <w:rsid w:val="00CE223E"/>
    <w:rsid w:val="00CE32EE"/>
    <w:rsid w:val="00CF3F0D"/>
    <w:rsid w:val="00D101F7"/>
    <w:rsid w:val="00D145F5"/>
    <w:rsid w:val="00D316A1"/>
    <w:rsid w:val="00D329F1"/>
    <w:rsid w:val="00D355F0"/>
    <w:rsid w:val="00D402F7"/>
    <w:rsid w:val="00D43AC8"/>
    <w:rsid w:val="00D46AE9"/>
    <w:rsid w:val="00D50879"/>
    <w:rsid w:val="00D51610"/>
    <w:rsid w:val="00D56113"/>
    <w:rsid w:val="00D643F4"/>
    <w:rsid w:val="00D64CEC"/>
    <w:rsid w:val="00D7348A"/>
    <w:rsid w:val="00D833D9"/>
    <w:rsid w:val="00D836B3"/>
    <w:rsid w:val="00D83BD9"/>
    <w:rsid w:val="00D94DCF"/>
    <w:rsid w:val="00D94EAE"/>
    <w:rsid w:val="00DA586F"/>
    <w:rsid w:val="00DB08DA"/>
    <w:rsid w:val="00DB6440"/>
    <w:rsid w:val="00DB7F09"/>
    <w:rsid w:val="00DC00E8"/>
    <w:rsid w:val="00DC1C56"/>
    <w:rsid w:val="00DC4756"/>
    <w:rsid w:val="00DC6379"/>
    <w:rsid w:val="00DC6AAD"/>
    <w:rsid w:val="00DE2763"/>
    <w:rsid w:val="00DE3A53"/>
    <w:rsid w:val="00DE3C77"/>
    <w:rsid w:val="00DE70F1"/>
    <w:rsid w:val="00DF6F61"/>
    <w:rsid w:val="00E101C6"/>
    <w:rsid w:val="00E22D51"/>
    <w:rsid w:val="00E2407B"/>
    <w:rsid w:val="00E349A7"/>
    <w:rsid w:val="00E363F1"/>
    <w:rsid w:val="00E36775"/>
    <w:rsid w:val="00E50E7C"/>
    <w:rsid w:val="00E51545"/>
    <w:rsid w:val="00E51D9E"/>
    <w:rsid w:val="00E537D1"/>
    <w:rsid w:val="00E567E6"/>
    <w:rsid w:val="00E56971"/>
    <w:rsid w:val="00E61484"/>
    <w:rsid w:val="00E62387"/>
    <w:rsid w:val="00E7017C"/>
    <w:rsid w:val="00E711D7"/>
    <w:rsid w:val="00E749D3"/>
    <w:rsid w:val="00E815E1"/>
    <w:rsid w:val="00E82D81"/>
    <w:rsid w:val="00E902B0"/>
    <w:rsid w:val="00E902E8"/>
    <w:rsid w:val="00E90703"/>
    <w:rsid w:val="00E9296B"/>
    <w:rsid w:val="00E97C19"/>
    <w:rsid w:val="00EA23AC"/>
    <w:rsid w:val="00EA398F"/>
    <w:rsid w:val="00EA7C3D"/>
    <w:rsid w:val="00EB2564"/>
    <w:rsid w:val="00EB4B0B"/>
    <w:rsid w:val="00EB6878"/>
    <w:rsid w:val="00EC1E0E"/>
    <w:rsid w:val="00EC236D"/>
    <w:rsid w:val="00EC38E8"/>
    <w:rsid w:val="00EC57A5"/>
    <w:rsid w:val="00EC6B16"/>
    <w:rsid w:val="00ED5A20"/>
    <w:rsid w:val="00EE1447"/>
    <w:rsid w:val="00EE1BF1"/>
    <w:rsid w:val="00EE2EA4"/>
    <w:rsid w:val="00EE4864"/>
    <w:rsid w:val="00EE7744"/>
    <w:rsid w:val="00EF03E1"/>
    <w:rsid w:val="00EF145E"/>
    <w:rsid w:val="00EF2BBB"/>
    <w:rsid w:val="00F0082D"/>
    <w:rsid w:val="00F015AB"/>
    <w:rsid w:val="00F0368C"/>
    <w:rsid w:val="00F045E0"/>
    <w:rsid w:val="00F07C90"/>
    <w:rsid w:val="00F20BD0"/>
    <w:rsid w:val="00F20F8A"/>
    <w:rsid w:val="00F22F8B"/>
    <w:rsid w:val="00F304A4"/>
    <w:rsid w:val="00F3205B"/>
    <w:rsid w:val="00F33DB8"/>
    <w:rsid w:val="00F417A6"/>
    <w:rsid w:val="00F51D7F"/>
    <w:rsid w:val="00F5365A"/>
    <w:rsid w:val="00F57BED"/>
    <w:rsid w:val="00F60198"/>
    <w:rsid w:val="00F669CD"/>
    <w:rsid w:val="00F737DB"/>
    <w:rsid w:val="00F7613A"/>
    <w:rsid w:val="00F82746"/>
    <w:rsid w:val="00F836F9"/>
    <w:rsid w:val="00F845D7"/>
    <w:rsid w:val="00F92279"/>
    <w:rsid w:val="00F976B9"/>
    <w:rsid w:val="00FB4D21"/>
    <w:rsid w:val="00FB55F2"/>
    <w:rsid w:val="00FB762B"/>
    <w:rsid w:val="00FC6ADA"/>
    <w:rsid w:val="00FD12D2"/>
    <w:rsid w:val="00FD1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16CA8679"/>
  <w15:docId w15:val="{4904DB28-84FB-4196-8EF4-2A12AAC8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46"/>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177D46"/>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177D46"/>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177D46"/>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177D46"/>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177D46"/>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177D46"/>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D46"/>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177D46"/>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177D46"/>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177D46"/>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177D46"/>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177D46"/>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177D46"/>
    <w:pPr>
      <w:keepNext/>
      <w:spacing w:before="0" w:after="0"/>
      <w:jc w:val="center"/>
    </w:pPr>
    <w:rPr>
      <w:color w:val="004A7F"/>
      <w:sz w:val="20"/>
    </w:rPr>
  </w:style>
  <w:style w:type="paragraph" w:customStyle="1" w:styleId="AlphaParagraph">
    <w:name w:val="Alpha Paragraph"/>
    <w:basedOn w:val="Normal"/>
    <w:qFormat/>
    <w:rsid w:val="00177D46"/>
    <w:pPr>
      <w:numPr>
        <w:ilvl w:val="1"/>
        <w:numId w:val="10"/>
      </w:numPr>
      <w:spacing w:before="0"/>
    </w:pPr>
  </w:style>
  <w:style w:type="character" w:customStyle="1" w:styleId="DashChar">
    <w:name w:val="Dash Char"/>
    <w:basedOn w:val="DefaultParagraphFont"/>
    <w:link w:val="Dash"/>
    <w:uiPriority w:val="99"/>
    <w:locked/>
    <w:rsid w:val="00177D46"/>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177D46"/>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177D46"/>
    <w:rPr>
      <w:rFonts w:ascii="Calibri Light" w:eastAsia="Times New Roman" w:hAnsi="Calibri Light" w:cs="Times New Roman"/>
      <w:szCs w:val="20"/>
      <w:lang w:eastAsia="en-AU"/>
    </w:rPr>
  </w:style>
  <w:style w:type="paragraph" w:customStyle="1" w:styleId="BoxHeading">
    <w:name w:val="Box Heading"/>
    <w:basedOn w:val="Normal"/>
    <w:next w:val="Normal"/>
    <w:rsid w:val="00177D46"/>
    <w:pPr>
      <w:keepNext/>
      <w:spacing w:before="240"/>
    </w:pPr>
    <w:rPr>
      <w:b/>
      <w:color w:val="2C384A" w:themeColor="accent1"/>
      <w:sz w:val="26"/>
      <w:szCs w:val="26"/>
    </w:rPr>
  </w:style>
  <w:style w:type="paragraph" w:customStyle="1" w:styleId="BoxText">
    <w:name w:val="Box Text"/>
    <w:basedOn w:val="Normal"/>
    <w:link w:val="BoxTextChar"/>
    <w:rsid w:val="00177D46"/>
  </w:style>
  <w:style w:type="paragraph" w:customStyle="1" w:styleId="Bullet">
    <w:name w:val="Bullet"/>
    <w:basedOn w:val="Normal"/>
    <w:link w:val="BulletChar"/>
    <w:qFormat/>
    <w:rsid w:val="00177D46"/>
    <w:pPr>
      <w:numPr>
        <w:numId w:val="24"/>
      </w:numPr>
      <w:tabs>
        <w:tab w:val="left" w:pos="720"/>
      </w:tabs>
      <w:spacing w:before="0" w:line="276" w:lineRule="auto"/>
    </w:pPr>
  </w:style>
  <w:style w:type="paragraph" w:customStyle="1" w:styleId="ChartandTableFootnoteAlpha">
    <w:name w:val="Chart and Table Footnote Alpha"/>
    <w:rsid w:val="00177D46"/>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177D46"/>
    <w:pPr>
      <w:jc w:val="center"/>
    </w:pPr>
  </w:style>
  <w:style w:type="paragraph" w:customStyle="1" w:styleId="ChartorTableNote">
    <w:name w:val="Chart or Table Note"/>
    <w:next w:val="Normal"/>
    <w:rsid w:val="00177D46"/>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177D46"/>
    <w:pPr>
      <w:jc w:val="center"/>
    </w:pPr>
    <w:rPr>
      <w:b w:val="0"/>
      <w:bCs/>
    </w:rPr>
  </w:style>
  <w:style w:type="paragraph" w:customStyle="1" w:styleId="ReportDate">
    <w:name w:val="Report Date"/>
    <w:basedOn w:val="Normal"/>
    <w:link w:val="ReportDateChar"/>
    <w:rsid w:val="00177D46"/>
    <w:pPr>
      <w:keepNext/>
      <w:spacing w:before="0" w:after="360"/>
    </w:pPr>
    <w:rPr>
      <w:color w:val="90B6F0"/>
      <w:sz w:val="32"/>
    </w:rPr>
  </w:style>
  <w:style w:type="paragraph" w:customStyle="1" w:styleId="Dash">
    <w:name w:val="Dash"/>
    <w:basedOn w:val="Normal"/>
    <w:link w:val="DashChar"/>
    <w:uiPriority w:val="99"/>
    <w:qFormat/>
    <w:rsid w:val="00177D46"/>
    <w:pPr>
      <w:numPr>
        <w:ilvl w:val="1"/>
        <w:numId w:val="24"/>
      </w:numPr>
      <w:spacing w:before="0"/>
    </w:pPr>
  </w:style>
  <w:style w:type="paragraph" w:customStyle="1" w:styleId="DoubleDot">
    <w:name w:val="Double Dot"/>
    <w:basedOn w:val="Normal"/>
    <w:link w:val="DoubleDotChar"/>
    <w:uiPriority w:val="99"/>
    <w:qFormat/>
    <w:rsid w:val="00177D46"/>
    <w:pPr>
      <w:numPr>
        <w:ilvl w:val="2"/>
        <w:numId w:val="24"/>
      </w:numPr>
      <w:spacing w:before="0"/>
    </w:pPr>
  </w:style>
  <w:style w:type="paragraph" w:customStyle="1" w:styleId="TableMainHeading">
    <w:name w:val="Table Main Heading"/>
    <w:basedOn w:val="Heading3"/>
    <w:next w:val="Normal"/>
    <w:rsid w:val="00177D46"/>
    <w:pPr>
      <w:spacing w:before="120"/>
    </w:pPr>
    <w:rPr>
      <w:b w:val="0"/>
      <w:sz w:val="26"/>
    </w:rPr>
  </w:style>
  <w:style w:type="paragraph" w:customStyle="1" w:styleId="FooterEven">
    <w:name w:val="Footer Even"/>
    <w:basedOn w:val="Footer"/>
    <w:rsid w:val="00177D46"/>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77D46"/>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177D46"/>
    <w:rPr>
      <w:color w:val="3A6FAF"/>
      <w:u w:val="none"/>
    </w:rPr>
  </w:style>
  <w:style w:type="paragraph" w:customStyle="1" w:styleId="OutlineNumbered1">
    <w:name w:val="Outline Numbered 1"/>
    <w:basedOn w:val="Normal"/>
    <w:rsid w:val="00177D46"/>
    <w:pPr>
      <w:numPr>
        <w:numId w:val="6"/>
      </w:numPr>
      <w:spacing w:before="0"/>
    </w:pPr>
  </w:style>
  <w:style w:type="paragraph" w:customStyle="1" w:styleId="OutlineNumbered2">
    <w:name w:val="Outline Numbered 2"/>
    <w:basedOn w:val="Normal"/>
    <w:rsid w:val="00177D46"/>
    <w:pPr>
      <w:numPr>
        <w:ilvl w:val="1"/>
        <w:numId w:val="6"/>
      </w:numPr>
      <w:spacing w:before="0"/>
    </w:pPr>
  </w:style>
  <w:style w:type="paragraph" w:customStyle="1" w:styleId="OutlineNumbered3">
    <w:name w:val="Outline Numbered 3"/>
    <w:basedOn w:val="Normal"/>
    <w:rsid w:val="00177D46"/>
    <w:pPr>
      <w:numPr>
        <w:ilvl w:val="2"/>
        <w:numId w:val="6"/>
      </w:numPr>
      <w:spacing w:before="0"/>
    </w:pPr>
  </w:style>
  <w:style w:type="paragraph" w:customStyle="1" w:styleId="SingleParagraph">
    <w:name w:val="Single Paragraph"/>
    <w:basedOn w:val="Normal"/>
    <w:next w:val="Normal"/>
    <w:link w:val="SingleParagraphChar"/>
    <w:rsid w:val="00177D46"/>
    <w:pPr>
      <w:spacing w:before="0" w:after="0"/>
    </w:pPr>
  </w:style>
  <w:style w:type="paragraph" w:customStyle="1" w:styleId="TableSecondHeading">
    <w:name w:val="Table Second Heading"/>
    <w:basedOn w:val="Normal"/>
    <w:next w:val="Normal"/>
    <w:rsid w:val="00177D46"/>
    <w:pPr>
      <w:keepNext/>
      <w:spacing w:before="0" w:after="20"/>
    </w:pPr>
    <w:rPr>
      <w:b/>
      <w:color w:val="004A7F"/>
    </w:rPr>
  </w:style>
  <w:style w:type="paragraph" w:customStyle="1" w:styleId="TableColumnHeadingCentred">
    <w:name w:val="Table Column Heading Centred"/>
    <w:basedOn w:val="TableTextLeft"/>
    <w:rsid w:val="00177D46"/>
    <w:pPr>
      <w:jc w:val="center"/>
    </w:pPr>
    <w:rPr>
      <w:b/>
      <w:color w:val="2C384A" w:themeColor="accent1"/>
      <w:sz w:val="20"/>
    </w:rPr>
  </w:style>
  <w:style w:type="paragraph" w:customStyle="1" w:styleId="TableColumnHeadingLeft">
    <w:name w:val="Table Column Heading Left"/>
    <w:basedOn w:val="TableTextLeft"/>
    <w:rsid w:val="00177D46"/>
    <w:rPr>
      <w:b/>
      <w:color w:val="2C384A" w:themeColor="accent1"/>
      <w:sz w:val="20"/>
    </w:rPr>
  </w:style>
  <w:style w:type="paragraph" w:customStyle="1" w:styleId="TableColumnHeadingRight">
    <w:name w:val="Table Column Heading Right"/>
    <w:basedOn w:val="TableTextLeft"/>
    <w:rsid w:val="00177D46"/>
    <w:pPr>
      <w:jc w:val="right"/>
    </w:pPr>
    <w:rPr>
      <w:b/>
      <w:color w:val="2C384A" w:themeColor="accent1"/>
      <w:sz w:val="20"/>
    </w:rPr>
  </w:style>
  <w:style w:type="table" w:styleId="TableGrid">
    <w:name w:val="Table Grid"/>
    <w:basedOn w:val="TableNormal"/>
    <w:rsid w:val="00177D46"/>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77D46"/>
    <w:pPr>
      <w:jc w:val="center"/>
    </w:pPr>
  </w:style>
  <w:style w:type="paragraph" w:customStyle="1" w:styleId="TableTextLeft">
    <w:name w:val="Table Text Left"/>
    <w:basedOn w:val="TableTextRight"/>
    <w:rsid w:val="00177D46"/>
    <w:pPr>
      <w:jc w:val="left"/>
    </w:pPr>
  </w:style>
  <w:style w:type="paragraph" w:customStyle="1" w:styleId="TableTextRight">
    <w:name w:val="Table Text Right"/>
    <w:basedOn w:val="Normal"/>
    <w:rsid w:val="00177D46"/>
    <w:pPr>
      <w:spacing w:before="40" w:after="40"/>
      <w:jc w:val="right"/>
    </w:pPr>
    <w:rPr>
      <w:color w:val="000000"/>
      <w:sz w:val="18"/>
    </w:rPr>
  </w:style>
  <w:style w:type="paragraph" w:styleId="TOC1">
    <w:name w:val="toc 1"/>
    <w:basedOn w:val="Normal"/>
    <w:next w:val="Normal"/>
    <w:uiPriority w:val="39"/>
    <w:rsid w:val="00177D46"/>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177D46"/>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177D46"/>
    <w:pPr>
      <w:tabs>
        <w:tab w:val="right" w:leader="dot" w:pos="9072"/>
      </w:tabs>
      <w:spacing w:before="20" w:after="0"/>
      <w:ind w:left="284" w:right="-2"/>
    </w:pPr>
    <w:rPr>
      <w:rFonts w:cs="Calibri"/>
      <w:noProof/>
    </w:rPr>
  </w:style>
  <w:style w:type="numbering" w:customStyle="1" w:styleId="OutlineList">
    <w:name w:val="OutlineList"/>
    <w:uiPriority w:val="99"/>
    <w:rsid w:val="00177D46"/>
    <w:pPr>
      <w:numPr>
        <w:numId w:val="4"/>
      </w:numPr>
    </w:pPr>
  </w:style>
  <w:style w:type="numbering" w:customStyle="1" w:styleId="BulletedList">
    <w:name w:val="Bulleted List"/>
    <w:uiPriority w:val="99"/>
    <w:rsid w:val="00177D46"/>
    <w:pPr>
      <w:numPr>
        <w:numId w:val="1"/>
      </w:numPr>
    </w:pPr>
  </w:style>
  <w:style w:type="numbering" w:customStyle="1" w:styleId="BoxBulletedList">
    <w:name w:val="Box Bulleted List"/>
    <w:uiPriority w:val="99"/>
    <w:rsid w:val="00177D46"/>
    <w:pPr>
      <w:numPr>
        <w:numId w:val="2"/>
      </w:numPr>
    </w:pPr>
  </w:style>
  <w:style w:type="numbering" w:customStyle="1" w:styleId="OneLevelList">
    <w:name w:val="OneLevelList"/>
    <w:uiPriority w:val="99"/>
    <w:rsid w:val="00177D46"/>
    <w:pPr>
      <w:numPr>
        <w:numId w:val="3"/>
      </w:numPr>
    </w:pPr>
  </w:style>
  <w:style w:type="numbering" w:customStyle="1" w:styleId="ChartandTableFootnoteAlphaList">
    <w:name w:val="ChartandTableFootnoteAlphaList"/>
    <w:uiPriority w:val="99"/>
    <w:rsid w:val="00177D46"/>
    <w:pPr>
      <w:numPr>
        <w:numId w:val="17"/>
      </w:numPr>
    </w:pPr>
  </w:style>
  <w:style w:type="paragraph" w:customStyle="1" w:styleId="Heading1Numbered">
    <w:name w:val="Heading 1 Numbered"/>
    <w:basedOn w:val="Heading1"/>
    <w:next w:val="Normal"/>
    <w:rsid w:val="00177D46"/>
    <w:pPr>
      <w:numPr>
        <w:numId w:val="8"/>
      </w:numPr>
    </w:pPr>
  </w:style>
  <w:style w:type="character" w:customStyle="1" w:styleId="SingleParagraphChar">
    <w:name w:val="Single Paragraph Char"/>
    <w:basedOn w:val="DefaultParagraphFont"/>
    <w:link w:val="SingleParagraph"/>
    <w:rsid w:val="00177D46"/>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177D46"/>
    <w:pPr>
      <w:numPr>
        <w:ilvl w:val="1"/>
        <w:numId w:val="8"/>
      </w:numPr>
      <w:ind w:left="284" w:hanging="284"/>
    </w:pPr>
  </w:style>
  <w:style w:type="paragraph" w:customStyle="1" w:styleId="Heading3Numbered">
    <w:name w:val="Heading 3 Numbered"/>
    <w:basedOn w:val="Heading3"/>
    <w:rsid w:val="00177D46"/>
    <w:pPr>
      <w:numPr>
        <w:ilvl w:val="2"/>
        <w:numId w:val="8"/>
      </w:numPr>
      <w:ind w:left="284" w:hanging="284"/>
    </w:pPr>
  </w:style>
  <w:style w:type="paragraph" w:styleId="Title">
    <w:name w:val="Title"/>
    <w:basedOn w:val="Normal"/>
    <w:next w:val="Normal"/>
    <w:link w:val="TitleChar"/>
    <w:uiPriority w:val="10"/>
    <w:rsid w:val="00177D46"/>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77D46"/>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177D46"/>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177D46"/>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177D46"/>
    <w:rPr>
      <w:i/>
      <w:iCs/>
      <w:color w:val="808080" w:themeColor="text1" w:themeTint="7F"/>
    </w:rPr>
  </w:style>
  <w:style w:type="paragraph" w:styleId="Footer">
    <w:name w:val="footer"/>
    <w:basedOn w:val="Normal"/>
    <w:link w:val="FooterChar"/>
    <w:unhideWhenUsed/>
    <w:rsid w:val="00177D46"/>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177D46"/>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177D46"/>
    <w:pPr>
      <w:keepNext/>
      <w:spacing w:before="0" w:after="0"/>
      <w:jc w:val="right"/>
    </w:pPr>
    <w:rPr>
      <w:color w:val="004A7F"/>
      <w:sz w:val="20"/>
    </w:rPr>
  </w:style>
  <w:style w:type="character" w:customStyle="1" w:styleId="HeaderChar">
    <w:name w:val="Header Char"/>
    <w:basedOn w:val="DefaultParagraphFont"/>
    <w:link w:val="Header"/>
    <w:uiPriority w:val="99"/>
    <w:rsid w:val="00177D46"/>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177D46"/>
    <w:rPr>
      <w:color w:val="808080"/>
    </w:rPr>
  </w:style>
  <w:style w:type="paragraph" w:customStyle="1" w:styleId="AppendixHeading">
    <w:name w:val="Appendix Heading"/>
    <w:basedOn w:val="Heading1"/>
    <w:next w:val="Normal"/>
    <w:rsid w:val="00177D46"/>
  </w:style>
  <w:style w:type="paragraph" w:customStyle="1" w:styleId="HeadingBase">
    <w:name w:val="Heading Base"/>
    <w:rsid w:val="00177D46"/>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177D46"/>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177D46"/>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177D46"/>
    <w:pPr>
      <w:ind w:left="720"/>
      <w:contextualSpacing/>
    </w:pPr>
  </w:style>
  <w:style w:type="paragraph" w:customStyle="1" w:styleId="TableTextIndented">
    <w:name w:val="Table Text Indented"/>
    <w:basedOn w:val="TableTextLeft"/>
    <w:rsid w:val="00177D46"/>
    <w:pPr>
      <w:ind w:left="284"/>
    </w:pPr>
  </w:style>
  <w:style w:type="paragraph" w:customStyle="1" w:styleId="TableHeadingContinued">
    <w:name w:val="Table Heading Continued"/>
    <w:basedOn w:val="TableMainHeading"/>
    <w:next w:val="TableGraphic"/>
    <w:rsid w:val="00177D46"/>
  </w:style>
  <w:style w:type="paragraph" w:customStyle="1" w:styleId="TableGraphic">
    <w:name w:val="Table Graphic"/>
    <w:basedOn w:val="HeadingBase"/>
    <w:next w:val="Normal"/>
    <w:rsid w:val="00177D46"/>
    <w:pPr>
      <w:spacing w:after="0"/>
    </w:pPr>
  </w:style>
  <w:style w:type="paragraph" w:customStyle="1" w:styleId="HeaderEven">
    <w:name w:val="Header Even"/>
    <w:basedOn w:val="Header"/>
    <w:qFormat/>
    <w:rsid w:val="00177D46"/>
    <w:pPr>
      <w:jc w:val="left"/>
    </w:pPr>
    <w:rPr>
      <w:color w:val="002C47"/>
    </w:rPr>
  </w:style>
  <w:style w:type="paragraph" w:customStyle="1" w:styleId="HeaderOdd">
    <w:name w:val="Header Odd"/>
    <w:basedOn w:val="Header"/>
    <w:qFormat/>
    <w:rsid w:val="00177D46"/>
    <w:rPr>
      <w:color w:val="002C47"/>
    </w:rPr>
  </w:style>
  <w:style w:type="paragraph" w:styleId="FootnoteText">
    <w:name w:val="footnote text"/>
    <w:basedOn w:val="Normal"/>
    <w:link w:val="FootnoteTextChar"/>
    <w:uiPriority w:val="99"/>
    <w:rsid w:val="00177D46"/>
    <w:pPr>
      <w:spacing w:before="0" w:after="0"/>
      <w:ind w:left="397" w:hanging="397"/>
    </w:pPr>
    <w:rPr>
      <w:sz w:val="20"/>
    </w:rPr>
  </w:style>
  <w:style w:type="character" w:customStyle="1" w:styleId="FootnoteTextChar">
    <w:name w:val="Footnote Text Char"/>
    <w:basedOn w:val="DefaultParagraphFont"/>
    <w:link w:val="FootnoteText"/>
    <w:uiPriority w:val="99"/>
    <w:rsid w:val="00177D46"/>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177D46"/>
    <w:rPr>
      <w:sz w:val="18"/>
    </w:rPr>
  </w:style>
  <w:style w:type="paragraph" w:styleId="BalloonText">
    <w:name w:val="Balloon Text"/>
    <w:basedOn w:val="Normal"/>
    <w:link w:val="BalloonTextChar"/>
    <w:uiPriority w:val="99"/>
    <w:semiHidden/>
    <w:unhideWhenUsed/>
    <w:rsid w:val="00177D4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D46"/>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177D46"/>
    <w:rPr>
      <w:rFonts w:ascii="Calibri Light" w:eastAsia="Times New Roman" w:hAnsi="Calibri Light" w:cs="Times New Roman"/>
      <w:szCs w:val="20"/>
      <w:lang w:eastAsia="en-AU"/>
    </w:rPr>
  </w:style>
  <w:style w:type="paragraph" w:customStyle="1" w:styleId="Boxbullet">
    <w:name w:val="Box bullet"/>
    <w:basedOn w:val="Bullet"/>
    <w:rsid w:val="00177D46"/>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177D46"/>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177D46"/>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177D46"/>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177D46"/>
    <w:rPr>
      <w:sz w:val="16"/>
      <w:szCs w:val="16"/>
    </w:rPr>
  </w:style>
  <w:style w:type="paragraph" w:styleId="CommentText">
    <w:name w:val="annotation text"/>
    <w:basedOn w:val="Normal"/>
    <w:link w:val="CommentTextChar"/>
    <w:uiPriority w:val="99"/>
    <w:unhideWhenUsed/>
    <w:rsid w:val="00177D46"/>
    <w:rPr>
      <w:rFonts w:ascii="Calibri" w:hAnsi="Calibri"/>
      <w:sz w:val="20"/>
    </w:rPr>
  </w:style>
  <w:style w:type="character" w:customStyle="1" w:styleId="CommentTextChar">
    <w:name w:val="Comment Text Char"/>
    <w:basedOn w:val="DefaultParagraphFont"/>
    <w:link w:val="CommentText"/>
    <w:uiPriority w:val="99"/>
    <w:rsid w:val="00177D46"/>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177D46"/>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177D46"/>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177D46"/>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177D46"/>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177D46"/>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177D46"/>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177D46"/>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177D46"/>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296DD0"/>
    <w:rPr>
      <w:rFonts w:ascii="Calibri Light" w:hAnsi="Calibri Light"/>
      <w:b/>
      <w:bCs/>
    </w:rPr>
  </w:style>
  <w:style w:type="character" w:customStyle="1" w:styleId="CommentSubjectChar">
    <w:name w:val="Comment Subject Char"/>
    <w:basedOn w:val="CommentTextChar"/>
    <w:link w:val="CommentSubject"/>
    <w:uiPriority w:val="99"/>
    <w:semiHidden/>
    <w:rsid w:val="00296DD0"/>
    <w:rPr>
      <w:rFonts w:ascii="Calibri Light" w:eastAsia="Times New Roman" w:hAnsi="Calibri Light" w:cs="Times New Roman"/>
      <w:b/>
      <w:bCs/>
      <w:sz w:val="20"/>
      <w:szCs w:val="20"/>
      <w:lang w:eastAsia="en-AU"/>
    </w:rPr>
  </w:style>
  <w:style w:type="character" w:styleId="Strong">
    <w:name w:val="Strong"/>
    <w:basedOn w:val="DefaultParagraphFont"/>
    <w:qFormat/>
    <w:rsid w:val="00D836B3"/>
    <w:rPr>
      <w:b/>
      <w:bCs/>
    </w:rPr>
  </w:style>
  <w:style w:type="paragraph" w:customStyle="1" w:styleId="TableTextLeftbullet">
    <w:name w:val="Table Text Left bullet"/>
    <w:basedOn w:val="TableTextLeft"/>
    <w:qFormat/>
    <w:rsid w:val="00CE32EE"/>
    <w:pPr>
      <w:numPr>
        <w:numId w:val="26"/>
      </w:numPr>
      <w:ind w:left="357" w:hanging="357"/>
    </w:pPr>
  </w:style>
  <w:style w:type="paragraph" w:customStyle="1" w:styleId="Pa15">
    <w:name w:val="Pa15"/>
    <w:basedOn w:val="Normal"/>
    <w:next w:val="Normal"/>
    <w:uiPriority w:val="99"/>
    <w:rsid w:val="004C03F3"/>
    <w:pPr>
      <w:autoSpaceDE w:val="0"/>
      <w:autoSpaceDN w:val="0"/>
      <w:adjustRightInd w:val="0"/>
      <w:spacing w:before="0" w:after="0" w:line="181" w:lineRule="atLeast"/>
    </w:pPr>
    <w:rPr>
      <w:rFonts w:ascii="Gilroy ExtraBold" w:eastAsiaTheme="minorHAnsi" w:hAnsi="Gilroy ExtraBold" w:cstheme="minorBidi"/>
      <w:sz w:val="24"/>
      <w:szCs w:val="24"/>
      <w:lang w:eastAsia="en-US"/>
    </w:rPr>
  </w:style>
  <w:style w:type="character" w:customStyle="1" w:styleId="A9">
    <w:name w:val="A9"/>
    <w:uiPriority w:val="99"/>
    <w:rsid w:val="004C03F3"/>
    <w:rPr>
      <w:rFonts w:cs="Gilroy ExtraBold"/>
      <w:b/>
      <w:bCs/>
      <w:color w:val="000000"/>
      <w:sz w:val="26"/>
      <w:szCs w:val="26"/>
      <w:u w:val="single"/>
    </w:rPr>
  </w:style>
  <w:style w:type="paragraph" w:customStyle="1" w:styleId="Pa20">
    <w:name w:val="Pa20"/>
    <w:basedOn w:val="Normal"/>
    <w:next w:val="Normal"/>
    <w:uiPriority w:val="99"/>
    <w:rsid w:val="004C03F3"/>
    <w:pPr>
      <w:autoSpaceDE w:val="0"/>
      <w:autoSpaceDN w:val="0"/>
      <w:adjustRightInd w:val="0"/>
      <w:spacing w:before="0" w:after="0" w:line="181" w:lineRule="atLeast"/>
    </w:pPr>
    <w:rPr>
      <w:rFonts w:ascii="Gilroy ExtraBold" w:eastAsiaTheme="minorHAnsi" w:hAnsi="Gilroy ExtraBold" w:cstheme="minorBidi"/>
      <w:sz w:val="24"/>
      <w:szCs w:val="24"/>
      <w:lang w:eastAsia="en-US"/>
    </w:rPr>
  </w:style>
  <w:style w:type="character" w:customStyle="1" w:styleId="A10">
    <w:name w:val="A10"/>
    <w:uiPriority w:val="99"/>
    <w:rsid w:val="004C03F3"/>
    <w:rPr>
      <w:rFonts w:ascii="Wingdings" w:hAnsi="Wingdings" w:cs="Wingdings"/>
      <w:color w:val="000000"/>
      <w:sz w:val="18"/>
      <w:szCs w:val="18"/>
    </w:rPr>
  </w:style>
  <w:style w:type="paragraph" w:styleId="Revision">
    <w:name w:val="Revision"/>
    <w:hidden/>
    <w:uiPriority w:val="99"/>
    <w:semiHidden/>
    <w:rsid w:val="009856E2"/>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A4 Report.dotm</Template>
  <TotalTime>1</TotalTime>
  <Pages>18</Pages>
  <Words>3402</Words>
  <Characters>19398</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Treasury Inclusion and Diversity Strategy 2023–2028</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Inclusion and Diversity Strategy 2023–2028</dc:title>
  <dc:creator>Australian Government - The Treasury</dc:creator>
  <cp:lastModifiedBy>van der Hoeven, Megan</cp:lastModifiedBy>
  <cp:revision>3</cp:revision>
  <cp:lastPrinted>2019-05-17T02:37:00Z</cp:lastPrinted>
  <dcterms:created xsi:type="dcterms:W3CDTF">2023-10-13T01:47:00Z</dcterms:created>
  <dcterms:modified xsi:type="dcterms:W3CDTF">2023-10-13T01:47:00Z</dcterms:modified>
</cp:coreProperties>
</file>